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AAF877">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曲江区第四批典型村基础设施建设及农文旅融合发展项目（乌石镇展如村）施工</w:t>
      </w:r>
    </w:p>
    <w:p w14:paraId="77926019">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p>
    <w:p w14:paraId="7F3BE48C">
      <w:pPr>
        <w:pStyle w:val="47"/>
        <w:spacing w:line="360" w:lineRule="auto"/>
        <w:jc w:val="cente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pPr>
      <w:bookmarkStart w:id="279" w:name="_GoBack"/>
      <w:bookmarkEnd w:id="279"/>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31E03FD0">
      <w:pPr>
        <w:pStyle w:val="47"/>
        <w:spacing w:line="360" w:lineRule="auto"/>
        <w:rPr>
          <w:rFonts w:hint="eastAsia" w:ascii="宋体" w:hAnsi="宋体" w:eastAsia="宋体" w:cs="宋体"/>
          <w:b/>
          <w:bCs/>
          <w:color w:val="auto"/>
          <w:spacing w:val="26"/>
          <w:sz w:val="52"/>
          <w:szCs w:val="52"/>
          <w:highlight w:val="none"/>
          <w14:shadow w14:blurRad="50800" w14:dist="38100" w14:dir="2700000" w14:sx="100000" w14:sy="100000" w14:kx="0" w14:ky="0" w14:algn="tl">
            <w14:srgbClr w14:val="000000">
              <w14:alpha w14:val="60000"/>
            </w14:srgbClr>
          </w14:shadow>
        </w:rPr>
      </w:pPr>
    </w:p>
    <w:tbl>
      <w:tblPr>
        <w:tblStyle w:val="14"/>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204754C4">
        <w:tblPrEx>
          <w:tblCellMar>
            <w:top w:w="0" w:type="dxa"/>
            <w:left w:w="0" w:type="dxa"/>
            <w:bottom w:w="0" w:type="dxa"/>
            <w:right w:w="0" w:type="dxa"/>
          </w:tblCellMar>
        </w:tblPrEx>
        <w:trPr>
          <w:trHeight w:val="1057" w:hRule="atLeast"/>
        </w:trPr>
        <w:tc>
          <w:tcPr>
            <w:tcW w:w="4815" w:type="dxa"/>
            <w:noWrap w:val="0"/>
            <w:vAlign w:val="center"/>
          </w:tcPr>
          <w:p w14:paraId="45A2C9EA">
            <w:pPr>
              <w:pStyle w:val="48"/>
              <w:spacing w:line="240" w:lineRule="auto"/>
              <w:rPr>
                <w:rFonts w:hint="eastAsia" w:hAnsi="宋体" w:cs="宋体"/>
                <w:color w:val="auto"/>
                <w:sz w:val="28"/>
                <w:szCs w:val="28"/>
                <w:highlight w:val="none"/>
              </w:rPr>
            </w:pPr>
            <w:r>
              <w:rPr>
                <w:rFonts w:hint="eastAsia" w:hAnsi="宋体" w:cs="宋体"/>
                <w:color w:val="auto"/>
                <w:sz w:val="28"/>
                <w:szCs w:val="28"/>
                <w:highlight w:val="none"/>
              </w:rPr>
              <w:t xml:space="preserve"> 招        标        人（盖 章）：</w:t>
            </w:r>
          </w:p>
        </w:tc>
        <w:tc>
          <w:tcPr>
            <w:tcW w:w="4844" w:type="dxa"/>
            <w:noWrap w:val="0"/>
            <w:vAlign w:val="center"/>
          </w:tcPr>
          <w:p w14:paraId="6B79DFF5">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韶关市曲江区乌石镇人民政府</w:t>
            </w:r>
          </w:p>
        </w:tc>
      </w:tr>
      <w:tr w14:paraId="71A5190E">
        <w:tblPrEx>
          <w:tblCellMar>
            <w:top w:w="0" w:type="dxa"/>
            <w:left w:w="0" w:type="dxa"/>
            <w:bottom w:w="0" w:type="dxa"/>
            <w:right w:w="0" w:type="dxa"/>
          </w:tblCellMar>
        </w:tblPrEx>
        <w:trPr>
          <w:trHeight w:val="1158" w:hRule="atLeast"/>
        </w:trPr>
        <w:tc>
          <w:tcPr>
            <w:tcW w:w="4815" w:type="dxa"/>
            <w:noWrap w:val="0"/>
            <w:vAlign w:val="center"/>
          </w:tcPr>
          <w:p w14:paraId="1804EA22">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1B329948">
            <w:pPr>
              <w:pStyle w:val="48"/>
              <w:spacing w:line="240" w:lineRule="auto"/>
              <w:rPr>
                <w:rFonts w:hint="eastAsia" w:hAnsi="宋体" w:cs="宋体"/>
                <w:color w:val="auto"/>
                <w:sz w:val="28"/>
                <w:szCs w:val="28"/>
                <w:highlight w:val="none"/>
              </w:rPr>
            </w:pPr>
          </w:p>
        </w:tc>
      </w:tr>
      <w:tr w14:paraId="7BDFF2AA">
        <w:tblPrEx>
          <w:tblCellMar>
            <w:top w:w="0" w:type="dxa"/>
            <w:left w:w="0" w:type="dxa"/>
            <w:bottom w:w="0" w:type="dxa"/>
            <w:right w:w="0" w:type="dxa"/>
          </w:tblCellMar>
        </w:tblPrEx>
        <w:trPr>
          <w:trHeight w:val="1083" w:hRule="atLeast"/>
        </w:trPr>
        <w:tc>
          <w:tcPr>
            <w:tcW w:w="4815" w:type="dxa"/>
            <w:noWrap w:val="0"/>
            <w:vAlign w:val="center"/>
          </w:tcPr>
          <w:p w14:paraId="7CE13960">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7183D8E9">
            <w:pPr>
              <w:pStyle w:val="4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深圳市祺骏建设工程顾问有限公司</w:t>
            </w:r>
          </w:p>
        </w:tc>
      </w:tr>
      <w:tr w14:paraId="1584FF1B">
        <w:tblPrEx>
          <w:tblCellMar>
            <w:top w:w="0" w:type="dxa"/>
            <w:left w:w="0" w:type="dxa"/>
            <w:bottom w:w="0" w:type="dxa"/>
            <w:right w:w="0" w:type="dxa"/>
          </w:tblCellMar>
        </w:tblPrEx>
        <w:trPr>
          <w:trHeight w:val="1192" w:hRule="atLeast"/>
        </w:trPr>
        <w:tc>
          <w:tcPr>
            <w:tcW w:w="4815" w:type="dxa"/>
            <w:noWrap w:val="0"/>
            <w:vAlign w:val="center"/>
          </w:tcPr>
          <w:p w14:paraId="7D1284AC">
            <w:pPr>
              <w:pStyle w:val="4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51F91DA9">
            <w:pPr>
              <w:pStyle w:val="48"/>
              <w:spacing w:line="240" w:lineRule="auto"/>
              <w:rPr>
                <w:rFonts w:hint="eastAsia" w:hAnsi="宋体" w:cs="宋体"/>
                <w:color w:val="auto"/>
                <w:sz w:val="28"/>
                <w:szCs w:val="28"/>
                <w:highlight w:val="none"/>
              </w:rPr>
            </w:pPr>
          </w:p>
        </w:tc>
      </w:tr>
      <w:tr w14:paraId="0C61C7A2">
        <w:tblPrEx>
          <w:tblCellMar>
            <w:top w:w="0" w:type="dxa"/>
            <w:left w:w="0" w:type="dxa"/>
            <w:bottom w:w="0" w:type="dxa"/>
            <w:right w:w="0" w:type="dxa"/>
          </w:tblCellMar>
        </w:tblPrEx>
        <w:trPr>
          <w:trHeight w:val="1217" w:hRule="atLeast"/>
        </w:trPr>
        <w:tc>
          <w:tcPr>
            <w:tcW w:w="4815" w:type="dxa"/>
            <w:noWrap w:val="0"/>
            <w:vAlign w:val="center"/>
          </w:tcPr>
          <w:p w14:paraId="27D3040E">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163F4C30">
            <w:pPr>
              <w:pStyle w:val="48"/>
              <w:spacing w:line="240" w:lineRule="auto"/>
              <w:rPr>
                <w:rFonts w:hint="eastAsia" w:hAnsi="宋体" w:cs="宋体"/>
                <w:color w:val="auto"/>
                <w:sz w:val="28"/>
                <w:szCs w:val="28"/>
                <w:highlight w:val="none"/>
              </w:rPr>
            </w:pPr>
          </w:p>
        </w:tc>
      </w:tr>
      <w:tr w14:paraId="779D13E8">
        <w:tblPrEx>
          <w:tblCellMar>
            <w:top w:w="0" w:type="dxa"/>
            <w:left w:w="0" w:type="dxa"/>
            <w:bottom w:w="0" w:type="dxa"/>
            <w:right w:w="0" w:type="dxa"/>
          </w:tblCellMar>
        </w:tblPrEx>
        <w:trPr>
          <w:trHeight w:val="950" w:hRule="atLeast"/>
        </w:trPr>
        <w:tc>
          <w:tcPr>
            <w:tcW w:w="4815" w:type="dxa"/>
            <w:noWrap w:val="0"/>
            <w:vAlign w:val="center"/>
          </w:tcPr>
          <w:p w14:paraId="1F32F23A">
            <w:pPr>
              <w:pStyle w:val="4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44D1754B">
            <w:pPr>
              <w:pStyle w:val="48"/>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5</w:t>
            </w:r>
            <w:r>
              <w:rPr>
                <w:rFonts w:hint="eastAsia" w:hAnsi="宋体" w:cs="宋体"/>
                <w:color w:val="auto"/>
                <w:sz w:val="28"/>
                <w:highlight w:val="none"/>
              </w:rPr>
              <w:t>月</w:t>
            </w:r>
          </w:p>
        </w:tc>
      </w:tr>
    </w:tbl>
    <w:p w14:paraId="2DF2E24F">
      <w:pPr>
        <w:pStyle w:val="3"/>
        <w:rPr>
          <w:rFonts w:hint="eastAsia" w:ascii="宋体" w:hAnsi="宋体" w:eastAsia="宋体" w:cs="宋体"/>
          <w:b/>
          <w:bCs/>
          <w:color w:val="auto"/>
          <w:kern w:val="2"/>
          <w:sz w:val="56"/>
          <w:szCs w:val="72"/>
          <w:highlight w:val="none"/>
          <w:u w:val="none"/>
          <w:lang w:val="en-US" w:eastAsia="zh-CN" w:bidi="ar-SA"/>
        </w:rPr>
      </w:pPr>
    </w:p>
    <w:p w14:paraId="0751871B">
      <w:pPr>
        <w:rPr>
          <w:rFonts w:hint="eastAsia" w:ascii="宋体" w:hAnsi="宋体" w:eastAsia="宋体" w:cs="宋体"/>
          <w:b/>
          <w:bCs/>
          <w:color w:val="auto"/>
          <w:kern w:val="2"/>
          <w:sz w:val="56"/>
          <w:szCs w:val="72"/>
          <w:highlight w:val="none"/>
          <w:u w:val="none"/>
          <w:lang w:val="en-US" w:eastAsia="zh-CN" w:bidi="ar-SA"/>
        </w:rPr>
      </w:pPr>
    </w:p>
    <w:p w14:paraId="754B1189">
      <w:pPr>
        <w:rPr>
          <w:rFonts w:hint="eastAsia" w:ascii="宋体" w:hAnsi="宋体" w:eastAsia="宋体" w:cs="宋体"/>
          <w:b/>
          <w:bCs/>
          <w:color w:val="auto"/>
          <w:kern w:val="2"/>
          <w:sz w:val="56"/>
          <w:szCs w:val="72"/>
          <w:highlight w:val="none"/>
          <w:u w:val="none"/>
          <w:lang w:val="en-US" w:eastAsia="zh-CN" w:bidi="ar-SA"/>
        </w:rPr>
        <w:sectPr>
          <w:headerReference r:id="rId3"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p>
    <w:p w14:paraId="484EE0F0">
      <w:pPr>
        <w:rPr>
          <w:rFonts w:hint="eastAsia" w:ascii="宋体" w:hAnsi="宋体" w:eastAsia="宋体" w:cs="宋体"/>
          <w:color w:val="auto"/>
          <w:highlight w:val="none"/>
        </w:rPr>
      </w:pPr>
    </w:p>
    <w:p w14:paraId="16F7CD0A">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目录</w:t>
      </w:r>
    </w:p>
    <w:p w14:paraId="3DFC7087">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_Toc30584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_Toc30584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A0223B6">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22F934">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_Toc14297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第二节 重要事项时间地点一览表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_Toc14297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609B84">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_Toc9283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投标人须知正文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_Toc9283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53F24B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_Toc19017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4"/>
          <w:sz w:val="24"/>
          <w:szCs w:val="24"/>
          <w:highlight w:val="none"/>
        </w:rPr>
        <w:t>．项目概况、招标范围和标段划分、投标费用等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_Toc19017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CC4B9B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_Toc21208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2．</w:t>
      </w:r>
      <w:r>
        <w:rPr>
          <w:rFonts w:hint="eastAsia" w:ascii="宋体" w:hAnsi="宋体" w:eastAsia="宋体" w:cs="宋体"/>
          <w:bCs w:val="0"/>
          <w:color w:val="auto"/>
          <w:sz w:val="24"/>
          <w:szCs w:val="24"/>
          <w:highlight w:val="none"/>
          <w:lang w:eastAsia="zh-CN"/>
        </w:rPr>
        <w:t>投标人</w:t>
      </w:r>
      <w:r>
        <w:rPr>
          <w:rFonts w:hint="eastAsia" w:ascii="宋体" w:hAnsi="宋体" w:eastAsia="宋体" w:cs="宋体"/>
          <w:bCs w:val="0"/>
          <w:color w:val="auto"/>
          <w:sz w:val="24"/>
          <w:szCs w:val="24"/>
          <w:highlight w:val="none"/>
        </w:rPr>
        <w:t>资质要求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_Toc21208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6661F8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_Toc21490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3．招标文件的获取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_Toc21490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6F8D0C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_Toc8255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8"/>
          <w:sz w:val="24"/>
          <w:szCs w:val="24"/>
          <w:highlight w:val="none"/>
          <w:lang w:val="en-US" w:eastAsia="zh-CN"/>
        </w:rPr>
        <w:t xml:space="preserve"> </w:t>
      </w:r>
      <w:r>
        <w:rPr>
          <w:rFonts w:hint="eastAsia" w:ascii="宋体" w:hAnsi="宋体" w:eastAsia="宋体" w:cs="宋体"/>
          <w:bCs/>
          <w:color w:val="auto"/>
          <w:spacing w:val="-8"/>
          <w:sz w:val="24"/>
          <w:szCs w:val="24"/>
          <w:highlight w:val="none"/>
        </w:rPr>
        <w:t>．工期要求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_Toc8255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45DC3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_Toc11449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5</w:t>
      </w:r>
      <w:r>
        <w:rPr>
          <w:rFonts w:hint="eastAsia" w:ascii="宋体" w:hAnsi="宋体" w:eastAsia="宋体" w:cs="宋体"/>
          <w:bCs/>
          <w:color w:val="auto"/>
          <w:spacing w:val="-5"/>
          <w:sz w:val="24"/>
          <w:szCs w:val="24"/>
          <w:highlight w:val="none"/>
          <w:lang w:val="en-US" w:eastAsia="zh-CN"/>
        </w:rPr>
        <w:t xml:space="preserve"> </w:t>
      </w:r>
      <w:r>
        <w:rPr>
          <w:rFonts w:hint="eastAsia" w:ascii="宋体" w:hAnsi="宋体" w:eastAsia="宋体" w:cs="宋体"/>
          <w:bCs/>
          <w:color w:val="auto"/>
          <w:spacing w:val="-5"/>
          <w:sz w:val="24"/>
          <w:szCs w:val="24"/>
          <w:highlight w:val="none"/>
        </w:rPr>
        <w:t>．质量标准和材料、机械要求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_Toc11449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CA13DC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_Toc21146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6</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bCs/>
          <w:color w:val="auto"/>
          <w:spacing w:val="-6"/>
          <w:sz w:val="24"/>
          <w:szCs w:val="24"/>
          <w:highlight w:val="none"/>
        </w:rPr>
        <w:t>．施工条件及现场踏勘</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_Toc21146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B3956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_Toc24768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7</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5"/>
          <w:sz w:val="24"/>
          <w:szCs w:val="24"/>
          <w:highlight w:val="none"/>
        </w:rPr>
        <w:t>．招标文件的提问和答疑</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_Toc24768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1678C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8</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5"/>
          <w:sz w:val="24"/>
          <w:szCs w:val="24"/>
          <w:highlight w:val="none"/>
        </w:rPr>
        <w:t>．</w:t>
      </w:r>
      <w:r>
        <w:rPr>
          <w:rFonts w:hint="eastAsia" w:ascii="宋体" w:hAnsi="宋体" w:eastAsia="宋体" w:cs="宋体"/>
          <w:bCs/>
          <w:color w:val="auto"/>
          <w:spacing w:val="-1"/>
          <w:sz w:val="24"/>
          <w:szCs w:val="24"/>
          <w:highlight w:val="none"/>
          <w:lang w:eastAsia="zh-CN"/>
        </w:rPr>
        <w:t>最高投标限价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_Toc20958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D89D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_Toc6911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9</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8"/>
          <w:sz w:val="24"/>
          <w:szCs w:val="24"/>
          <w:highlight w:val="none"/>
        </w:rPr>
        <w:t>．投标报价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_Toc6911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2C3515A">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_Toc23711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10</w:t>
      </w:r>
      <w:r>
        <w:rPr>
          <w:rFonts w:hint="eastAsia" w:ascii="宋体" w:hAnsi="宋体" w:eastAsia="宋体" w:cs="宋体"/>
          <w:bCs/>
          <w:color w:val="auto"/>
          <w:spacing w:val="-21"/>
          <w:sz w:val="24"/>
          <w:szCs w:val="24"/>
          <w:highlight w:val="none"/>
        </w:rPr>
        <w:t xml:space="preserve"> </w:t>
      </w:r>
      <w:r>
        <w:rPr>
          <w:rFonts w:hint="eastAsia" w:ascii="宋体" w:hAnsi="宋体" w:eastAsia="宋体" w:cs="宋体"/>
          <w:bCs/>
          <w:color w:val="auto"/>
          <w:spacing w:val="-6"/>
          <w:sz w:val="24"/>
          <w:szCs w:val="24"/>
          <w:highlight w:val="none"/>
        </w:rPr>
        <w:t>．投标文件的编制要求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_Toc23711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CFF2D0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_Toc10599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11.</w:t>
      </w:r>
      <w:r>
        <w:rPr>
          <w:rFonts w:hint="eastAsia" w:ascii="宋体" w:hAnsi="宋体" w:eastAsia="宋体" w:cs="宋体"/>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_Toc10599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52195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_Toc5126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lang w:val="en-US" w:eastAsia="zh-CN"/>
        </w:rPr>
        <w:t>12.</w:t>
      </w:r>
      <w:r>
        <w:rPr>
          <w:rFonts w:hint="eastAsia" w:ascii="宋体" w:hAnsi="宋体" w:eastAsia="宋体" w:cs="宋体"/>
          <w:bCs/>
          <w:color w:val="auto"/>
          <w:spacing w:val="22"/>
          <w:w w:val="101"/>
          <w:sz w:val="24"/>
          <w:szCs w:val="24"/>
          <w:highlight w:val="none"/>
        </w:rPr>
        <w:t xml:space="preserve"> </w:t>
      </w:r>
      <w:r>
        <w:rPr>
          <w:rFonts w:hint="eastAsia" w:ascii="宋体" w:hAnsi="宋体" w:eastAsia="宋体" w:cs="宋体"/>
          <w:bCs/>
          <w:color w:val="auto"/>
          <w:spacing w:val="-4"/>
          <w:sz w:val="24"/>
          <w:szCs w:val="24"/>
          <w:highlight w:val="none"/>
        </w:rPr>
        <w:t>电子投标及投标解密失败及突发情况的补救方案</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_Toc5126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8AA048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_Toc3957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13</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7"/>
          <w:sz w:val="24"/>
          <w:szCs w:val="24"/>
          <w:highlight w:val="none"/>
        </w:rPr>
        <w:t>．投标文件的提交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_Toc3957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F76608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_Toc8365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14</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．开标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_Toc8365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1ECD35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15</w:t>
      </w:r>
      <w:r>
        <w:rPr>
          <w:rFonts w:hint="eastAsia" w:ascii="宋体" w:hAnsi="宋体" w:eastAsia="宋体" w:cs="宋体"/>
          <w:bCs/>
          <w:color w:val="auto"/>
          <w:spacing w:val="-28"/>
          <w:sz w:val="24"/>
          <w:szCs w:val="24"/>
          <w:highlight w:val="none"/>
        </w:rPr>
        <w:t xml:space="preserve"> </w:t>
      </w:r>
      <w:r>
        <w:rPr>
          <w:rFonts w:hint="eastAsia" w:ascii="宋体" w:hAnsi="宋体" w:eastAsia="宋体" w:cs="宋体"/>
          <w:bCs/>
          <w:color w:val="auto"/>
          <w:spacing w:val="-11"/>
          <w:sz w:val="24"/>
          <w:szCs w:val="24"/>
          <w:highlight w:val="none"/>
        </w:rPr>
        <w:t>．评标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F9A60A6">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ind w:firstLine="43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Cs/>
          <w:snapToGrid w:val="0"/>
          <w:color w:val="auto"/>
          <w:spacing w:val="-11"/>
          <w:sz w:val="24"/>
          <w:szCs w:val="24"/>
          <w:highlight w:val="none"/>
          <w:lang w:val="en-US" w:eastAsia="en-US" w:bidi="ar-SA"/>
        </w:rPr>
        <w:t>16</w:t>
      </w:r>
      <w:r>
        <w:rPr>
          <w:rFonts w:hint="eastAsia" w:ascii="宋体" w:hAnsi="宋体" w:eastAsia="宋体" w:cs="宋体"/>
          <w:bCs/>
          <w:snapToGrid w:val="0"/>
          <w:color w:val="auto"/>
          <w:spacing w:val="-11"/>
          <w:sz w:val="24"/>
          <w:szCs w:val="24"/>
          <w:highlight w:val="none"/>
          <w:lang w:val="en-US" w:eastAsia="zh-CN" w:bidi="ar-SA"/>
        </w:rPr>
        <w:t>.  评标结果公示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_Toc32569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_Toc32569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5EBCF35">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_Toc16554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否决投标条件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_Toc16554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E09DD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_Toc15082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．资格评审环节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_Toc15082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8E3D5A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_Toc5925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．形式评审环节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_Toc5925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49CB2B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_Toc19828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3</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6"/>
          <w:sz w:val="24"/>
          <w:szCs w:val="24"/>
          <w:highlight w:val="none"/>
        </w:rPr>
        <w:t>．响应性评审环节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_Toc19828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BEB922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_Toc1458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1"/>
          <w:sz w:val="24"/>
          <w:szCs w:val="24"/>
          <w:highlight w:val="none"/>
        </w:rPr>
        <w:t>4</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11"/>
          <w:sz w:val="24"/>
          <w:szCs w:val="24"/>
          <w:highlight w:val="none"/>
        </w:rPr>
        <w:t>．其他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EBCD9DE">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_Toc22243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五</w:t>
      </w:r>
      <w:r>
        <w:rPr>
          <w:rFonts w:hint="eastAsia" w:ascii="宋体" w:hAnsi="宋体" w:eastAsia="宋体" w:cs="宋体"/>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定标规定及细则（本项目采用票决数量法定标）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_Toc22243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B09D727">
      <w:pPr>
        <w:pStyle w:val="11"/>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_Toc4926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w:t>
      </w:r>
      <w:r>
        <w:rPr>
          <w:rFonts w:hint="eastAsia" w:ascii="宋体" w:hAnsi="宋体" w:eastAsia="宋体" w:cs="宋体"/>
          <w:bCs/>
          <w:color w:val="auto"/>
          <w:spacing w:val="-3"/>
          <w:sz w:val="24"/>
          <w:szCs w:val="24"/>
          <w:highlight w:val="none"/>
          <w:lang w:val="en-US" w:eastAsia="zh-CN"/>
        </w:rPr>
        <w:t>六</w:t>
      </w:r>
      <w:r>
        <w:rPr>
          <w:rFonts w:hint="eastAsia" w:ascii="宋体" w:hAnsi="宋体" w:eastAsia="宋体" w:cs="宋体"/>
          <w:bCs/>
          <w:color w:val="auto"/>
          <w:spacing w:val="-3"/>
          <w:sz w:val="24"/>
          <w:szCs w:val="24"/>
          <w:highlight w:val="none"/>
        </w:rPr>
        <w:t>节 中标确认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_Toc4926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9F5BD6">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_Toc13655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Cs/>
          <w:color w:val="auto"/>
          <w:spacing w:val="-7"/>
          <w:sz w:val="24"/>
          <w:szCs w:val="24"/>
          <w:highlight w:val="none"/>
        </w:rPr>
        <w:t>中标人须知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_Toc13655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C7805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9"/>
          <w:sz w:val="24"/>
          <w:szCs w:val="24"/>
          <w:highlight w:val="none"/>
        </w:rPr>
        <w:t>1</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9"/>
          <w:sz w:val="24"/>
          <w:szCs w:val="24"/>
          <w:highlight w:val="none"/>
        </w:rPr>
        <w:t>．中标通知书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_Toc21697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9130F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．中标结果公示</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B6204D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_Toc13145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．履约保证</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_Toc13145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88ED6E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4</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8"/>
          <w:sz w:val="24"/>
          <w:szCs w:val="24"/>
          <w:highlight w:val="none"/>
        </w:rPr>
        <w:t>．合同订立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021671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_Toc4089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5</w:t>
      </w:r>
      <w:r>
        <w:rPr>
          <w:rFonts w:hint="eastAsia" w:ascii="宋体" w:hAnsi="宋体" w:eastAsia="宋体" w:cs="宋体"/>
          <w:bCs/>
          <w:color w:val="auto"/>
          <w:spacing w:val="-29"/>
          <w:sz w:val="24"/>
          <w:szCs w:val="24"/>
          <w:highlight w:val="none"/>
        </w:rPr>
        <w:t xml:space="preserve"> </w:t>
      </w:r>
      <w:r>
        <w:rPr>
          <w:rFonts w:hint="eastAsia" w:ascii="宋体" w:hAnsi="宋体" w:eastAsia="宋体" w:cs="宋体"/>
          <w:bCs/>
          <w:color w:val="auto"/>
          <w:spacing w:val="-6"/>
          <w:sz w:val="24"/>
          <w:szCs w:val="24"/>
          <w:highlight w:val="none"/>
        </w:rPr>
        <w:t>．放弃中标的处理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21332B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_Toc7715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拟签订合同的主要条款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_Toc7715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61C23E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_Toc6603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1</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8"/>
          <w:sz w:val="24"/>
          <w:szCs w:val="24"/>
          <w:highlight w:val="none"/>
        </w:rPr>
        <w:t>．工程承包方式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_Toc6603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9D390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_Toc24910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2</w:t>
      </w:r>
      <w:r>
        <w:rPr>
          <w:rFonts w:hint="eastAsia" w:ascii="宋体" w:hAnsi="宋体" w:eastAsia="宋体" w:cs="宋体"/>
          <w:bCs/>
          <w:color w:val="auto"/>
          <w:spacing w:val="-24"/>
          <w:sz w:val="24"/>
          <w:szCs w:val="24"/>
          <w:highlight w:val="none"/>
        </w:rPr>
        <w:t xml:space="preserve"> </w:t>
      </w:r>
      <w:r>
        <w:rPr>
          <w:rFonts w:hint="eastAsia" w:ascii="宋体" w:hAnsi="宋体" w:eastAsia="宋体" w:cs="宋体"/>
          <w:bCs/>
          <w:color w:val="auto"/>
          <w:spacing w:val="-7"/>
          <w:sz w:val="24"/>
          <w:szCs w:val="24"/>
          <w:highlight w:val="none"/>
        </w:rPr>
        <w:t>．工程结算原则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_Toc24910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DDA451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_Toc5247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z w:val="24"/>
          <w:szCs w:val="24"/>
          <w:highlight w:val="none"/>
        </w:rPr>
        <w:t>3. 工程付款办法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_Toc5247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D4D14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_Toc29229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7"/>
          <w:sz w:val="24"/>
          <w:szCs w:val="24"/>
          <w:highlight w:val="none"/>
        </w:rPr>
        <w:t>4</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7"/>
          <w:sz w:val="24"/>
          <w:szCs w:val="24"/>
          <w:highlight w:val="none"/>
        </w:rPr>
        <w:t>．其他专用合同条款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_Toc29229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82F1F31">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_Toc30225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技术要求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_Toc30225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2C733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1</w:t>
      </w:r>
      <w:r>
        <w:rPr>
          <w:rFonts w:hint="eastAsia" w:ascii="宋体" w:hAnsi="宋体" w:eastAsia="宋体" w:cs="宋体"/>
          <w:bCs/>
          <w:color w:val="auto"/>
          <w:spacing w:val="-23"/>
          <w:sz w:val="24"/>
          <w:szCs w:val="24"/>
          <w:highlight w:val="none"/>
        </w:rPr>
        <w:t xml:space="preserve"> </w:t>
      </w:r>
      <w:r>
        <w:rPr>
          <w:rFonts w:hint="eastAsia" w:ascii="宋体" w:hAnsi="宋体" w:eastAsia="宋体" w:cs="宋体"/>
          <w:bCs/>
          <w:color w:val="auto"/>
          <w:spacing w:val="-6"/>
          <w:sz w:val="24"/>
          <w:szCs w:val="24"/>
          <w:highlight w:val="none"/>
        </w:rPr>
        <w:t>．</w:t>
      </w:r>
      <w:r>
        <w:rPr>
          <w:rFonts w:hint="eastAsia" w:ascii="宋体" w:hAnsi="宋体" w:eastAsia="宋体" w:cs="宋体"/>
          <w:bCs/>
          <w:color w:val="auto"/>
          <w:spacing w:val="-1"/>
          <w:sz w:val="24"/>
          <w:szCs w:val="24"/>
          <w:highlight w:val="none"/>
        </w:rPr>
        <w:t>房屋建筑工程建设项目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_Toc19340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EF5ACA6">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_Toc16340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2</w:t>
      </w:r>
      <w:r>
        <w:rPr>
          <w:rFonts w:hint="eastAsia" w:ascii="宋体" w:hAnsi="宋体" w:eastAsia="宋体" w:cs="宋体"/>
          <w:bCs/>
          <w:color w:val="auto"/>
          <w:spacing w:val="-18"/>
          <w:sz w:val="24"/>
          <w:szCs w:val="24"/>
          <w:highlight w:val="none"/>
        </w:rPr>
        <w:t xml:space="preserve"> </w:t>
      </w:r>
      <w:r>
        <w:rPr>
          <w:rFonts w:hint="eastAsia" w:ascii="宋体" w:hAnsi="宋体" w:eastAsia="宋体" w:cs="宋体"/>
          <w:bCs/>
          <w:color w:val="auto"/>
          <w:spacing w:val="-5"/>
          <w:sz w:val="24"/>
          <w:szCs w:val="24"/>
          <w:highlight w:val="none"/>
        </w:rPr>
        <w:t>．市政基础设施工程建设项目</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_Toc16340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15472F8">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_Toc31813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8"/>
          <w:sz w:val="24"/>
          <w:szCs w:val="24"/>
          <w:highlight w:val="none"/>
        </w:rPr>
        <w:t>3</w:t>
      </w:r>
      <w:r>
        <w:rPr>
          <w:rFonts w:hint="eastAsia" w:ascii="宋体" w:hAnsi="宋体" w:eastAsia="宋体" w:cs="宋体"/>
          <w:bCs/>
          <w:color w:val="auto"/>
          <w:spacing w:val="-25"/>
          <w:sz w:val="24"/>
          <w:szCs w:val="24"/>
          <w:highlight w:val="none"/>
        </w:rPr>
        <w:t xml:space="preserve"> </w:t>
      </w:r>
      <w:r>
        <w:rPr>
          <w:rFonts w:hint="eastAsia" w:ascii="宋体" w:hAnsi="宋体" w:eastAsia="宋体" w:cs="宋体"/>
          <w:bCs/>
          <w:color w:val="auto"/>
          <w:spacing w:val="-8"/>
          <w:sz w:val="24"/>
          <w:szCs w:val="24"/>
          <w:highlight w:val="none"/>
        </w:rPr>
        <w:t>．备查要求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_Toc31813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1C0CAD">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Cs/>
          <w:color w:val="auto"/>
          <w:spacing w:val="-5"/>
          <w:sz w:val="24"/>
          <w:szCs w:val="24"/>
          <w:highlight w:val="none"/>
        </w:rPr>
        <w:t>图纸和招标工程量清单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_Toc21699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0187F4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_Toc21706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14"/>
          <w:sz w:val="24"/>
          <w:szCs w:val="24"/>
          <w:highlight w:val="none"/>
        </w:rPr>
        <w:t>1</w:t>
      </w:r>
      <w:r>
        <w:rPr>
          <w:rFonts w:hint="eastAsia" w:ascii="宋体" w:hAnsi="宋体" w:eastAsia="宋体" w:cs="宋体"/>
          <w:bCs/>
          <w:color w:val="auto"/>
          <w:spacing w:val="-27"/>
          <w:sz w:val="24"/>
          <w:szCs w:val="24"/>
          <w:highlight w:val="none"/>
        </w:rPr>
        <w:t xml:space="preserve"> </w:t>
      </w:r>
      <w:r>
        <w:rPr>
          <w:rFonts w:hint="eastAsia" w:ascii="宋体" w:hAnsi="宋体" w:eastAsia="宋体" w:cs="宋体"/>
          <w:bCs/>
          <w:color w:val="auto"/>
          <w:spacing w:val="-14"/>
          <w:sz w:val="24"/>
          <w:szCs w:val="24"/>
          <w:highlight w:val="none"/>
        </w:rPr>
        <w:t>．图纸</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_Toc21706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ACD028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6"/>
          <w:sz w:val="24"/>
          <w:szCs w:val="24"/>
          <w:highlight w:val="none"/>
        </w:rPr>
        <w:t>2</w:t>
      </w:r>
      <w:r>
        <w:rPr>
          <w:rFonts w:hint="eastAsia" w:ascii="宋体" w:hAnsi="宋体" w:eastAsia="宋体" w:cs="宋体"/>
          <w:bCs/>
          <w:color w:val="auto"/>
          <w:spacing w:val="-26"/>
          <w:sz w:val="24"/>
          <w:szCs w:val="24"/>
          <w:highlight w:val="none"/>
        </w:rPr>
        <w:t xml:space="preserve"> </w:t>
      </w:r>
      <w:r>
        <w:rPr>
          <w:rFonts w:hint="eastAsia" w:ascii="宋体" w:hAnsi="宋体" w:eastAsia="宋体" w:cs="宋体"/>
          <w:bCs/>
          <w:color w:val="auto"/>
          <w:spacing w:val="-6"/>
          <w:sz w:val="24"/>
          <w:szCs w:val="24"/>
          <w:highlight w:val="none"/>
        </w:rPr>
        <w:t>．招标工程量清单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_Toc24419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203C0AF">
      <w:pPr>
        <w:pStyle w:val="10"/>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_Toc27130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投标文件格式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_Toc27130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5E6BCE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_Toc11203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Cs/>
          <w:color w:val="auto"/>
          <w:spacing w:val="-4"/>
          <w:sz w:val="24"/>
          <w:szCs w:val="24"/>
          <w:highlight w:val="none"/>
        </w:rPr>
        <w:t>封面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_Toc11203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5A9416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_Toc24492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格式二 投标函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_Toc24492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34F0D0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_Toc15958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格式三 各项承诺一览表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_Toc15958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2A84939">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_Toc16537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格式四 授权委托书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_Toc16537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762D047">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_Toc30394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格式五 法定代表人身份证明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_Toc30394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547D5A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_Toc5771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格式六 联合体协议书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_Toc5771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3326E95">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_Toc17838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格式七 投标人基本情况表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_Toc17838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59BEDFF4">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_Toc19699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格式八 项目经理简历表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_Toc19699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B8C87CE">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_Toc30661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格式九 项目经理任职声明</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_Toc30661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612EDC">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_Toc31071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 项目技术负责人简历表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_Toc31071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2D609A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_Toc25235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格式十一 项目管理机构组成表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_Toc25235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4141F3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_Toc16480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格式十二 建造师查询页（有效期+建造师签字）</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_Toc16480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100DB63">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_Toc28779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格式十三：</w:t>
      </w:r>
      <w:r>
        <w:rPr>
          <w:rFonts w:hint="eastAsia" w:ascii="宋体" w:hAnsi="宋体" w:eastAsia="宋体" w:cs="宋体"/>
          <w:bCs/>
          <w:color w:val="auto"/>
          <w:spacing w:val="7"/>
          <w:sz w:val="24"/>
          <w:szCs w:val="24"/>
          <w:highlight w:val="none"/>
        </w:rPr>
        <w:t>危险性较大的分部分项工程清单及超过一定规模的危险性较大的</w:t>
      </w:r>
      <w:r>
        <w:rPr>
          <w:rFonts w:hint="eastAsia" w:ascii="宋体" w:hAnsi="宋体" w:eastAsia="宋体" w:cs="宋体"/>
          <w:bCs/>
          <w:color w:val="auto"/>
          <w:spacing w:val="5"/>
          <w:sz w:val="24"/>
          <w:szCs w:val="24"/>
          <w:highlight w:val="none"/>
        </w:rPr>
        <w:t>分部分项工程清单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_Toc28779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37AEA4F">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_Toc738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格式十四</w:t>
      </w:r>
      <w:r>
        <w:rPr>
          <w:rFonts w:hint="eastAsia" w:ascii="宋体" w:hAnsi="宋体" w:eastAsia="宋体" w:cs="宋体"/>
          <w:bCs/>
          <w:color w:val="auto"/>
          <w:spacing w:val="-4"/>
          <w:sz w:val="24"/>
          <w:szCs w:val="24"/>
          <w:highlight w:val="none"/>
          <w:lang w:val="en-US" w:eastAsia="zh-CN"/>
        </w:rPr>
        <w:t xml:space="preserve">  </w:t>
      </w:r>
      <w:r>
        <w:rPr>
          <w:rFonts w:hint="eastAsia" w:ascii="宋体" w:hAnsi="宋体" w:eastAsia="宋体" w:cs="宋体"/>
          <w:bCs/>
          <w:color w:val="auto"/>
          <w:spacing w:val="4"/>
          <w:position w:val="3"/>
          <w:sz w:val="24"/>
          <w:szCs w:val="24"/>
          <w:highlight w:val="none"/>
        </w:rPr>
        <w:t>投标保证金信用承诺函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_Toc738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9B5F870">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_Toc9960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4"/>
          <w:sz w:val="24"/>
          <w:szCs w:val="24"/>
          <w:highlight w:val="none"/>
        </w:rPr>
        <w:t>格式十</w:t>
      </w:r>
      <w:r>
        <w:rPr>
          <w:rFonts w:hint="eastAsia" w:ascii="宋体" w:hAnsi="宋体" w:eastAsia="宋体" w:cs="宋体"/>
          <w:bCs/>
          <w:color w:val="auto"/>
          <w:spacing w:val="-4"/>
          <w:sz w:val="24"/>
          <w:szCs w:val="24"/>
          <w:highlight w:val="none"/>
          <w:lang w:eastAsia="zh-CN"/>
        </w:rPr>
        <w:t>五</w:t>
      </w:r>
      <w:r>
        <w:rPr>
          <w:rFonts w:hint="eastAsia" w:ascii="宋体" w:hAnsi="宋体" w:eastAsia="宋体" w:cs="宋体"/>
          <w:bCs/>
          <w:color w:val="auto"/>
          <w:spacing w:val="-4"/>
          <w:sz w:val="24"/>
          <w:szCs w:val="24"/>
          <w:highlight w:val="none"/>
        </w:rPr>
        <w:t xml:space="preserve">  原件一览表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_Toc9960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8445A92">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_Toc7940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val="en-US" w:eastAsia="zh-CN"/>
        </w:rPr>
        <w:t>格式十六 助力项目承诺书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_Toc7940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27380DD">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_Toc26323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lang w:eastAsia="zh-CN"/>
        </w:rPr>
        <w:t>格式十</w:t>
      </w:r>
      <w:r>
        <w:rPr>
          <w:rFonts w:hint="eastAsia" w:ascii="宋体" w:hAnsi="宋体" w:eastAsia="宋体" w:cs="宋体"/>
          <w:color w:val="auto"/>
          <w:sz w:val="24"/>
          <w:szCs w:val="24"/>
          <w:highlight w:val="none"/>
          <w:lang w:val="en-US" w:eastAsia="zh-CN"/>
        </w:rPr>
        <w:t>七 定标因素评审资料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_Toc26323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0202401">
      <w:pPr>
        <w:pStyle w:val="7"/>
        <w:keepNext w:val="0"/>
        <w:keepLines w:val="0"/>
        <w:pageBreakBefore w:val="0"/>
        <w:widowControl/>
        <w:tabs>
          <w:tab w:val="right" w:leader="dot" w:pos="9746"/>
        </w:tabs>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_Toc10482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Cs/>
          <w:color w:val="auto"/>
          <w:spacing w:val="-3"/>
          <w:sz w:val="24"/>
          <w:szCs w:val="24"/>
          <w:highlight w:val="none"/>
        </w:rPr>
        <w:t>建设工程施工合同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_Toc10482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BA2C37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color w:val="auto"/>
          <w:sz w:val="24"/>
          <w:szCs w:val="24"/>
          <w:highlight w:val="none"/>
        </w:rPr>
        <w:sectPr>
          <w:headerReference r:id="rId4" w:type="default"/>
          <w:footerReference r:id="rId5" w:type="default"/>
          <w:pgSz w:w="11906" w:h="16839"/>
          <w:pgMar w:top="1440" w:right="1080" w:bottom="1440" w:left="1080" w:header="1200" w:footer="0" w:gutter="0"/>
          <w:pgBorders>
            <w:top w:val="none" w:sz="0" w:space="0"/>
            <w:left w:val="none" w:sz="0" w:space="0"/>
            <w:bottom w:val="none" w:sz="0" w:space="0"/>
            <w:right w:val="none" w:sz="0" w:space="0"/>
          </w:pgBorders>
          <w:pgNumType w:start="1"/>
          <w:cols w:space="720" w:num="1"/>
        </w:sectPr>
      </w:pPr>
      <w:r>
        <w:rPr>
          <w:rFonts w:hint="eastAsia" w:ascii="宋体" w:hAnsi="宋体" w:eastAsia="宋体" w:cs="宋体"/>
          <w:color w:val="auto"/>
          <w:sz w:val="24"/>
          <w:szCs w:val="24"/>
          <w:highlight w:val="none"/>
        </w:rPr>
        <w:fldChar w:fldCharType="end"/>
      </w:r>
    </w:p>
    <w:p w14:paraId="7A1B4748">
      <w:pPr>
        <w:pStyle w:val="5"/>
        <w:spacing w:line="272" w:lineRule="auto"/>
        <w:rPr>
          <w:rFonts w:hint="eastAsia" w:ascii="宋体" w:hAnsi="宋体" w:eastAsia="宋体" w:cs="宋体"/>
          <w:color w:val="auto"/>
          <w:highlight w:val="none"/>
        </w:rPr>
      </w:pPr>
    </w:p>
    <w:p w14:paraId="1275B705">
      <w:pPr>
        <w:spacing w:before="78" w:line="219" w:lineRule="auto"/>
        <w:ind w:left="3416"/>
        <w:outlineLvl w:val="0"/>
        <w:rPr>
          <w:rFonts w:hint="eastAsia" w:ascii="宋体" w:hAnsi="宋体" w:eastAsia="宋体" w:cs="宋体"/>
          <w:color w:val="auto"/>
          <w:sz w:val="24"/>
          <w:szCs w:val="24"/>
          <w:highlight w:val="none"/>
        </w:rPr>
      </w:pPr>
      <w:bookmarkStart w:id="0" w:name="bookmark1"/>
      <w:bookmarkEnd w:id="0"/>
      <w:bookmarkStart w:id="1" w:name="_Toc30584"/>
      <w:r>
        <w:rPr>
          <w:rFonts w:hint="eastAsia" w:ascii="宋体" w:hAnsi="宋体" w:eastAsia="宋体" w:cs="宋体"/>
          <w:b/>
          <w:bCs/>
          <w:color w:val="auto"/>
          <w:spacing w:val="-3"/>
          <w:sz w:val="24"/>
          <w:szCs w:val="24"/>
          <w:highlight w:val="none"/>
        </w:rPr>
        <w:t>第一章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w:t>
      </w:r>
      <w:bookmarkEnd w:id="1"/>
    </w:p>
    <w:p w14:paraId="75617145">
      <w:pPr>
        <w:spacing w:before="156" w:line="219" w:lineRule="auto"/>
        <w:ind w:left="17"/>
        <w:outlineLvl w:val="1"/>
        <w:rPr>
          <w:rFonts w:hint="eastAsia" w:ascii="宋体" w:hAnsi="宋体" w:eastAsia="宋体" w:cs="宋体"/>
          <w:color w:val="auto"/>
          <w:sz w:val="24"/>
          <w:szCs w:val="24"/>
          <w:highlight w:val="none"/>
        </w:rPr>
      </w:pPr>
      <w:bookmarkStart w:id="2" w:name="bookmark3"/>
      <w:bookmarkEnd w:id="2"/>
      <w:bookmarkStart w:id="3" w:name="_Toc1079"/>
      <w:r>
        <w:rPr>
          <w:rFonts w:hint="eastAsia" w:ascii="宋体" w:hAnsi="宋体" w:eastAsia="宋体" w:cs="宋体"/>
          <w:b/>
          <w:bCs/>
          <w:color w:val="auto"/>
          <w:spacing w:val="-3"/>
          <w:sz w:val="24"/>
          <w:szCs w:val="24"/>
          <w:highlight w:val="none"/>
        </w:rPr>
        <w:t>第一节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投标人须知前附表</w:t>
      </w:r>
      <w:bookmarkEnd w:id="3"/>
    </w:p>
    <w:p w14:paraId="1D853073">
      <w:pPr>
        <w:spacing w:before="25"/>
        <w:rPr>
          <w:rFonts w:hint="eastAsia" w:ascii="宋体" w:hAnsi="宋体" w:eastAsia="宋体" w:cs="宋体"/>
          <w:color w:val="auto"/>
          <w:highlight w:val="none"/>
        </w:rPr>
      </w:pPr>
    </w:p>
    <w:tbl>
      <w:tblPr>
        <w:tblStyle w:val="14"/>
        <w:tblW w:w="998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2"/>
        <w:gridCol w:w="1860"/>
        <w:gridCol w:w="7544"/>
      </w:tblGrid>
      <w:tr w14:paraId="2548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582" w:type="dxa"/>
            <w:vAlign w:val="top"/>
          </w:tcPr>
          <w:p w14:paraId="57F31717">
            <w:pPr>
              <w:spacing w:before="203" w:line="209" w:lineRule="auto"/>
              <w:ind w:left="0" w:leftChars="0" w:firstLine="0" w:firstLine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序号</w:t>
            </w:r>
          </w:p>
        </w:tc>
        <w:tc>
          <w:tcPr>
            <w:tcW w:w="1860" w:type="dxa"/>
            <w:vAlign w:val="center"/>
          </w:tcPr>
          <w:p w14:paraId="014D554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内容</w:t>
            </w:r>
          </w:p>
        </w:tc>
        <w:tc>
          <w:tcPr>
            <w:tcW w:w="7544" w:type="dxa"/>
            <w:vAlign w:val="center"/>
          </w:tcPr>
          <w:p w14:paraId="4715AF9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说明与要求</w:t>
            </w:r>
          </w:p>
        </w:tc>
      </w:tr>
      <w:tr w14:paraId="21A4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4" w:hRule="atLeast"/>
        </w:trPr>
        <w:tc>
          <w:tcPr>
            <w:tcW w:w="582" w:type="dxa"/>
            <w:vAlign w:val="center"/>
          </w:tcPr>
          <w:p w14:paraId="5E350CD8">
            <w:pPr>
              <w:spacing w:before="223" w:line="195" w:lineRule="auto"/>
              <w:jc w:val="center"/>
              <w:rPr>
                <w:rFonts w:hint="eastAsia" w:asciiTheme="minorEastAsia" w:hAnsiTheme="minorEastAsia" w:eastAsiaTheme="minorEastAsia" w:cstheme="minorEastAsia"/>
                <w:color w:val="auto"/>
                <w:sz w:val="21"/>
                <w:szCs w:val="21"/>
                <w:highlight w:val="none"/>
              </w:rPr>
            </w:pPr>
            <w:bookmarkStart w:id="4" w:name="OLE_LINK2" w:colFirst="2" w:colLast="2"/>
            <w:r>
              <w:rPr>
                <w:rFonts w:hint="eastAsia" w:asciiTheme="minorEastAsia" w:hAnsiTheme="minorEastAsia" w:eastAsiaTheme="minorEastAsia" w:cstheme="minorEastAsia"/>
                <w:color w:val="auto"/>
                <w:sz w:val="21"/>
                <w:szCs w:val="21"/>
                <w:highlight w:val="none"/>
              </w:rPr>
              <w:t>1</w:t>
            </w:r>
          </w:p>
        </w:tc>
        <w:tc>
          <w:tcPr>
            <w:tcW w:w="1860" w:type="dxa"/>
            <w:vAlign w:val="center"/>
          </w:tcPr>
          <w:p w14:paraId="012004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项目名称</w:t>
            </w:r>
          </w:p>
        </w:tc>
        <w:tc>
          <w:tcPr>
            <w:tcW w:w="7544" w:type="dxa"/>
            <w:vAlign w:val="center"/>
          </w:tcPr>
          <w:p w14:paraId="31F65808">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曲江区第四批典型村基础设施建设及农文旅融合发展项目（乌石镇展如村）施工</w:t>
            </w:r>
          </w:p>
        </w:tc>
      </w:tr>
      <w:tr w14:paraId="7C81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trPr>
        <w:tc>
          <w:tcPr>
            <w:tcW w:w="582" w:type="dxa"/>
            <w:vAlign w:val="center"/>
          </w:tcPr>
          <w:p w14:paraId="7359E557">
            <w:pPr>
              <w:spacing w:before="22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w:t>
            </w:r>
          </w:p>
        </w:tc>
        <w:tc>
          <w:tcPr>
            <w:tcW w:w="1860" w:type="dxa"/>
            <w:vAlign w:val="center"/>
          </w:tcPr>
          <w:p w14:paraId="28FE386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项目业主</w:t>
            </w:r>
          </w:p>
        </w:tc>
        <w:tc>
          <w:tcPr>
            <w:tcW w:w="7544" w:type="dxa"/>
            <w:vAlign w:val="center"/>
          </w:tcPr>
          <w:p w14:paraId="18CB074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韶关市曲江区乌石镇人民政府</w:t>
            </w:r>
          </w:p>
        </w:tc>
      </w:tr>
      <w:tr w14:paraId="43C65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5" w:hRule="atLeast"/>
        </w:trPr>
        <w:tc>
          <w:tcPr>
            <w:tcW w:w="582" w:type="dxa"/>
            <w:vAlign w:val="center"/>
          </w:tcPr>
          <w:p w14:paraId="56E39C53">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w:t>
            </w:r>
          </w:p>
        </w:tc>
        <w:tc>
          <w:tcPr>
            <w:tcW w:w="1860" w:type="dxa"/>
            <w:vAlign w:val="center"/>
          </w:tcPr>
          <w:p w14:paraId="78720D6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项目批准部门及项目批准文号</w:t>
            </w:r>
          </w:p>
        </w:tc>
        <w:tc>
          <w:tcPr>
            <w:tcW w:w="7544" w:type="dxa"/>
            <w:vAlign w:val="center"/>
          </w:tcPr>
          <w:p w14:paraId="65A9B3B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韶关市曲江区发展和改革局</w:t>
            </w:r>
          </w:p>
          <w:p w14:paraId="79223BF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曲发改投审〔2026〕21号</w:t>
            </w:r>
          </w:p>
        </w:tc>
      </w:tr>
      <w:tr w14:paraId="4EB4D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7228FB2F">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1"/>
                <w:sz w:val="21"/>
                <w:szCs w:val="21"/>
                <w:highlight w:val="none"/>
              </w:rPr>
              <w:t>4</w:t>
            </w:r>
          </w:p>
        </w:tc>
        <w:tc>
          <w:tcPr>
            <w:tcW w:w="1860" w:type="dxa"/>
            <w:vAlign w:val="center"/>
          </w:tcPr>
          <w:p w14:paraId="73DCFD2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建设地点</w:t>
            </w:r>
          </w:p>
        </w:tc>
        <w:tc>
          <w:tcPr>
            <w:tcW w:w="7544" w:type="dxa"/>
            <w:tcMar>
              <w:top w:w="0" w:type="dxa"/>
              <w:left w:w="0" w:type="dxa"/>
              <w:bottom w:w="0" w:type="dxa"/>
              <w:right w:w="0" w:type="dxa"/>
            </w:tcMar>
            <w:vAlign w:val="center"/>
          </w:tcPr>
          <w:p w14:paraId="2453AFA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val="en-US" w:eastAsia="zh-CN"/>
              </w:rPr>
              <w:t>韶关市曲江区乌石镇展如村</w:t>
            </w:r>
          </w:p>
        </w:tc>
      </w:tr>
      <w:tr w14:paraId="30C72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3" w:hRule="atLeast"/>
        </w:trPr>
        <w:tc>
          <w:tcPr>
            <w:tcW w:w="582" w:type="dxa"/>
            <w:vAlign w:val="center"/>
          </w:tcPr>
          <w:p w14:paraId="681E1B8E">
            <w:pPr>
              <w:spacing w:before="226"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w:t>
            </w:r>
          </w:p>
        </w:tc>
        <w:tc>
          <w:tcPr>
            <w:tcW w:w="1860" w:type="dxa"/>
            <w:vAlign w:val="center"/>
          </w:tcPr>
          <w:p w14:paraId="2AE1F4D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项目代码</w:t>
            </w:r>
          </w:p>
        </w:tc>
        <w:tc>
          <w:tcPr>
            <w:tcW w:w="7544" w:type="dxa"/>
            <w:vAlign w:val="center"/>
          </w:tcPr>
          <w:p w14:paraId="5F3E159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bCs/>
                <w:color w:val="auto"/>
                <w:sz w:val="21"/>
                <w:szCs w:val="21"/>
                <w:highlight w:val="none"/>
                <w:lang w:eastAsia="zh-CN"/>
              </w:rPr>
              <w:t>2510-440205-04-01-293680</w:t>
            </w:r>
          </w:p>
        </w:tc>
      </w:tr>
      <w:tr w14:paraId="3CCF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1" w:hRule="atLeast"/>
        </w:trPr>
        <w:tc>
          <w:tcPr>
            <w:tcW w:w="582" w:type="dxa"/>
            <w:vAlign w:val="center"/>
          </w:tcPr>
          <w:p w14:paraId="5DE790D0">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w:t>
            </w:r>
          </w:p>
        </w:tc>
        <w:tc>
          <w:tcPr>
            <w:tcW w:w="1860" w:type="dxa"/>
            <w:vAlign w:val="center"/>
          </w:tcPr>
          <w:p w14:paraId="482BD446">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资金来源及落实情况</w:t>
            </w:r>
          </w:p>
        </w:tc>
        <w:tc>
          <w:tcPr>
            <w:tcW w:w="7544" w:type="dxa"/>
            <w:vAlign w:val="center"/>
          </w:tcPr>
          <w:p w14:paraId="19FD980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区财政统筹安排解决，100%</w:t>
            </w:r>
          </w:p>
        </w:tc>
      </w:tr>
      <w:tr w14:paraId="0072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trPr>
        <w:tc>
          <w:tcPr>
            <w:tcW w:w="582" w:type="dxa"/>
            <w:vAlign w:val="center"/>
          </w:tcPr>
          <w:p w14:paraId="491A7FEC">
            <w:pPr>
              <w:spacing w:before="228" w:line="192"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7</w:t>
            </w:r>
          </w:p>
        </w:tc>
        <w:tc>
          <w:tcPr>
            <w:tcW w:w="1860" w:type="dxa"/>
            <w:vAlign w:val="center"/>
          </w:tcPr>
          <w:p w14:paraId="7CF6BA8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招标人</w:t>
            </w:r>
          </w:p>
        </w:tc>
        <w:tc>
          <w:tcPr>
            <w:tcW w:w="7544" w:type="dxa"/>
            <w:vAlign w:val="center"/>
          </w:tcPr>
          <w:p w14:paraId="3CF7D4D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韶关市曲江区乌石镇人民政府</w:t>
            </w:r>
          </w:p>
        </w:tc>
      </w:tr>
      <w:tr w14:paraId="2FC9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5" w:hRule="atLeast"/>
        </w:trPr>
        <w:tc>
          <w:tcPr>
            <w:tcW w:w="582" w:type="dxa"/>
            <w:vAlign w:val="center"/>
          </w:tcPr>
          <w:p w14:paraId="16D8FF60">
            <w:pPr>
              <w:spacing w:before="224"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8</w:t>
            </w:r>
          </w:p>
        </w:tc>
        <w:tc>
          <w:tcPr>
            <w:tcW w:w="1860" w:type="dxa"/>
            <w:vAlign w:val="center"/>
          </w:tcPr>
          <w:p w14:paraId="1027C8D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招标代理机构</w:t>
            </w:r>
          </w:p>
        </w:tc>
        <w:tc>
          <w:tcPr>
            <w:tcW w:w="7544" w:type="dxa"/>
            <w:vAlign w:val="center"/>
          </w:tcPr>
          <w:p w14:paraId="7CC68DE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深圳市祺骏建设工程顾问有限公司</w:t>
            </w:r>
          </w:p>
        </w:tc>
      </w:tr>
      <w:tr w14:paraId="6DD4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1" w:hRule="atLeast"/>
        </w:trPr>
        <w:tc>
          <w:tcPr>
            <w:tcW w:w="582" w:type="dxa"/>
            <w:vAlign w:val="center"/>
          </w:tcPr>
          <w:p w14:paraId="5BBAB668">
            <w:pPr>
              <w:spacing w:before="22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w:t>
            </w:r>
          </w:p>
        </w:tc>
        <w:tc>
          <w:tcPr>
            <w:tcW w:w="1860" w:type="dxa"/>
            <w:vAlign w:val="center"/>
          </w:tcPr>
          <w:p w14:paraId="3959B52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设计单位</w:t>
            </w:r>
          </w:p>
        </w:tc>
        <w:tc>
          <w:tcPr>
            <w:tcW w:w="7544" w:type="dxa"/>
            <w:vAlign w:val="center"/>
          </w:tcPr>
          <w:p w14:paraId="2F1A1B2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default" w:asciiTheme="minorEastAsia" w:hAnsiTheme="minorEastAsia" w:eastAsiaTheme="minorEastAsia" w:cstheme="minorEastAsia"/>
                <w:snapToGrid w:val="0"/>
                <w:color w:val="auto"/>
                <w:kern w:val="0"/>
                <w:sz w:val="21"/>
                <w:szCs w:val="21"/>
                <w:highlight w:val="none"/>
                <w:lang w:val="en-US" w:eastAsia="zh-CN"/>
              </w:rPr>
            </w:pPr>
            <w:r>
              <w:rPr>
                <w:rFonts w:hint="default" w:asciiTheme="minorEastAsia" w:hAnsiTheme="minorEastAsia" w:eastAsiaTheme="minorEastAsia" w:cstheme="minorEastAsia"/>
                <w:snapToGrid w:val="0"/>
                <w:color w:val="auto"/>
                <w:kern w:val="0"/>
                <w:sz w:val="21"/>
                <w:szCs w:val="21"/>
                <w:highlight w:val="none"/>
                <w:lang w:val="en-US" w:eastAsia="zh-CN"/>
              </w:rPr>
              <w:t>中启信项目咨询有限公司</w:t>
            </w:r>
          </w:p>
        </w:tc>
      </w:tr>
      <w:bookmarkEnd w:id="4"/>
      <w:tr w14:paraId="164A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6" w:hRule="atLeast"/>
        </w:trPr>
        <w:tc>
          <w:tcPr>
            <w:tcW w:w="582" w:type="dxa"/>
            <w:vAlign w:val="center"/>
          </w:tcPr>
          <w:p w14:paraId="522CB4BD">
            <w:pPr>
              <w:spacing w:before="245"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10</w:t>
            </w:r>
          </w:p>
        </w:tc>
        <w:tc>
          <w:tcPr>
            <w:tcW w:w="1860" w:type="dxa"/>
            <w:vAlign w:val="center"/>
          </w:tcPr>
          <w:p w14:paraId="5F32E64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造价咨询单位</w:t>
            </w:r>
          </w:p>
        </w:tc>
        <w:tc>
          <w:tcPr>
            <w:tcW w:w="7544" w:type="dxa"/>
            <w:vAlign w:val="center"/>
          </w:tcPr>
          <w:p w14:paraId="24CBDE4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□非全过程造价咨询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☑全过程造价咨询</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p>
        </w:tc>
      </w:tr>
      <w:tr w14:paraId="3F639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trPr>
        <w:tc>
          <w:tcPr>
            <w:tcW w:w="582" w:type="dxa"/>
            <w:vAlign w:val="center"/>
          </w:tcPr>
          <w:p w14:paraId="4F381BD5">
            <w:pPr>
              <w:spacing w:before="242"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11</w:t>
            </w:r>
          </w:p>
        </w:tc>
        <w:tc>
          <w:tcPr>
            <w:tcW w:w="1860" w:type="dxa"/>
            <w:vAlign w:val="center"/>
          </w:tcPr>
          <w:p w14:paraId="2281F741">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监理单位</w:t>
            </w:r>
          </w:p>
        </w:tc>
        <w:tc>
          <w:tcPr>
            <w:tcW w:w="7544" w:type="dxa"/>
            <w:vAlign w:val="center"/>
          </w:tcPr>
          <w:p w14:paraId="55306AB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☑已确定监理单位</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□未确定监理单位</w:t>
            </w:r>
          </w:p>
        </w:tc>
      </w:tr>
      <w:tr w14:paraId="2F84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0C23CBE5">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rPr>
              <w:t>2</w:t>
            </w:r>
          </w:p>
        </w:tc>
        <w:tc>
          <w:tcPr>
            <w:tcW w:w="1860" w:type="dxa"/>
            <w:vAlign w:val="center"/>
          </w:tcPr>
          <w:p w14:paraId="5425489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建设内容和规模</w:t>
            </w:r>
          </w:p>
        </w:tc>
        <w:tc>
          <w:tcPr>
            <w:tcW w:w="7544" w:type="dxa"/>
            <w:vAlign w:val="center"/>
          </w:tcPr>
          <w:p w14:paraId="6A44A4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□建设规模：</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3E7CF5D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☑建设内容：在乌石镇展如村开展雨污管网建设、道路硬底化、垃圾收集点提升、“四小园”建设、人居环境整治以及部分农房风貌提升、完善村庄基础设施和公共服务设施等（</w:t>
            </w:r>
            <w:r>
              <w:rPr>
                <w:rFonts w:hint="eastAsia" w:asciiTheme="minorEastAsia" w:hAnsiTheme="minorEastAsia" w:eastAsiaTheme="minorEastAsia" w:cstheme="minorEastAsia"/>
                <w:snapToGrid w:val="0"/>
                <w:color w:val="auto"/>
                <w:kern w:val="0"/>
                <w:sz w:val="21"/>
                <w:szCs w:val="21"/>
                <w:highlight w:val="none"/>
                <w:lang w:val="en-US" w:eastAsia="zh-CN"/>
              </w:rPr>
              <w:t>最终以施工图纸及工程量清单为准</w:t>
            </w:r>
            <w:r>
              <w:rPr>
                <w:rFonts w:hint="eastAsia" w:asciiTheme="minorEastAsia" w:hAnsiTheme="minorEastAsia" w:eastAsiaTheme="minorEastAsia" w:cstheme="minorEastAsia"/>
                <w:snapToGrid w:val="0"/>
                <w:color w:val="auto"/>
                <w:kern w:val="0"/>
                <w:sz w:val="21"/>
                <w:szCs w:val="21"/>
                <w:highlight w:val="none"/>
                <w:lang w:eastAsia="zh-CN"/>
              </w:rPr>
              <w:t>）</w:t>
            </w:r>
          </w:p>
        </w:tc>
      </w:tr>
      <w:tr w14:paraId="5D13F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0" w:hRule="atLeast"/>
        </w:trPr>
        <w:tc>
          <w:tcPr>
            <w:tcW w:w="582" w:type="dxa"/>
            <w:vAlign w:val="center"/>
          </w:tcPr>
          <w:p w14:paraId="2A78B69A">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13</w:t>
            </w:r>
          </w:p>
        </w:tc>
        <w:tc>
          <w:tcPr>
            <w:tcW w:w="1860" w:type="dxa"/>
            <w:vAlign w:val="center"/>
          </w:tcPr>
          <w:p w14:paraId="683DE04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项目总投资</w:t>
            </w:r>
          </w:p>
        </w:tc>
        <w:tc>
          <w:tcPr>
            <w:tcW w:w="7544" w:type="dxa"/>
            <w:vAlign w:val="center"/>
          </w:tcPr>
          <w:p w14:paraId="4F117E5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项目估算总投资1400万元，其中：建安工程费用约1224.40万元。</w:t>
            </w:r>
          </w:p>
        </w:tc>
      </w:tr>
      <w:tr w14:paraId="3601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6" w:hRule="atLeast"/>
        </w:trPr>
        <w:tc>
          <w:tcPr>
            <w:tcW w:w="582" w:type="dxa"/>
            <w:vAlign w:val="center"/>
          </w:tcPr>
          <w:p w14:paraId="2E978522">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14</w:t>
            </w:r>
          </w:p>
        </w:tc>
        <w:tc>
          <w:tcPr>
            <w:tcW w:w="1860" w:type="dxa"/>
            <w:vAlign w:val="center"/>
          </w:tcPr>
          <w:p w14:paraId="505D0A7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招标范围</w:t>
            </w:r>
          </w:p>
        </w:tc>
        <w:tc>
          <w:tcPr>
            <w:tcW w:w="7544" w:type="dxa"/>
            <w:vAlign w:val="center"/>
          </w:tcPr>
          <w:p w14:paraId="1298BEF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按审查合格的施工图纸及工程量清单内容施工</w:t>
            </w:r>
          </w:p>
        </w:tc>
      </w:tr>
      <w:tr w14:paraId="0BBE4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trPr>
        <w:tc>
          <w:tcPr>
            <w:tcW w:w="582" w:type="dxa"/>
            <w:vAlign w:val="center"/>
          </w:tcPr>
          <w:p w14:paraId="6565679C">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15</w:t>
            </w:r>
          </w:p>
        </w:tc>
        <w:tc>
          <w:tcPr>
            <w:tcW w:w="1860" w:type="dxa"/>
            <w:vAlign w:val="center"/>
          </w:tcPr>
          <w:p w14:paraId="55794B4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标段划分</w:t>
            </w:r>
          </w:p>
        </w:tc>
        <w:tc>
          <w:tcPr>
            <w:tcW w:w="7544" w:type="dxa"/>
            <w:vAlign w:val="center"/>
          </w:tcPr>
          <w:p w14:paraId="36F0DCE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本招标项目不划分标段。 </w:t>
            </w:r>
          </w:p>
        </w:tc>
      </w:tr>
      <w:tr w14:paraId="35EA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85" w:hRule="atLeast"/>
        </w:trPr>
        <w:tc>
          <w:tcPr>
            <w:tcW w:w="582" w:type="dxa"/>
            <w:vAlign w:val="center"/>
          </w:tcPr>
          <w:p w14:paraId="47D18B68">
            <w:pPr>
              <w:spacing w:before="57" w:line="195"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8"/>
                <w:sz w:val="21"/>
                <w:szCs w:val="21"/>
                <w:highlight w:val="none"/>
              </w:rPr>
              <w:t>16</w:t>
            </w:r>
          </w:p>
        </w:tc>
        <w:tc>
          <w:tcPr>
            <w:tcW w:w="1860" w:type="dxa"/>
            <w:vAlign w:val="center"/>
          </w:tcPr>
          <w:p w14:paraId="479DA87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工期</w:t>
            </w:r>
          </w:p>
        </w:tc>
        <w:tc>
          <w:tcPr>
            <w:tcW w:w="7544" w:type="dxa"/>
            <w:vAlign w:val="top"/>
          </w:tcPr>
          <w:p w14:paraId="68E278A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本招标项目招标工期为</w:t>
            </w:r>
            <w:r>
              <w:rPr>
                <w:rFonts w:hint="eastAsia" w:asciiTheme="minorEastAsia" w:hAnsiTheme="minorEastAsia" w:eastAsiaTheme="minorEastAsia" w:cstheme="minorEastAsia"/>
                <w:snapToGrid w:val="0"/>
                <w:color w:val="auto"/>
                <w:kern w:val="0"/>
                <w:sz w:val="21"/>
                <w:szCs w:val="21"/>
                <w:highlight w:val="none"/>
                <w:lang w:val="en-US" w:eastAsia="zh-CN"/>
              </w:rPr>
              <w:t>180个日历天</w:t>
            </w:r>
            <w:r>
              <w:rPr>
                <w:rFonts w:hint="eastAsia" w:asciiTheme="minorEastAsia" w:hAnsiTheme="minorEastAsia" w:eastAsiaTheme="minorEastAsia" w:cstheme="minorEastAsia"/>
                <w:snapToGrid w:val="0"/>
                <w:color w:val="auto"/>
                <w:kern w:val="0"/>
                <w:sz w:val="21"/>
                <w:szCs w:val="21"/>
                <w:highlight w:val="none"/>
                <w:lang w:eastAsia="zh-CN"/>
              </w:rPr>
              <w:t>。具体如下：</w:t>
            </w:r>
          </w:p>
          <w:p w14:paraId="24C6737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☑总工期：</w:t>
            </w:r>
            <w:r>
              <w:rPr>
                <w:rFonts w:hint="eastAsia" w:asciiTheme="minorEastAsia" w:hAnsiTheme="minorEastAsia" w:eastAsiaTheme="minorEastAsia" w:cstheme="minorEastAsia"/>
                <w:snapToGrid w:val="0"/>
                <w:color w:val="auto"/>
                <w:kern w:val="0"/>
                <w:sz w:val="21"/>
                <w:szCs w:val="21"/>
                <w:highlight w:val="none"/>
                <w:lang w:val="en-US" w:eastAsia="zh-CN"/>
              </w:rPr>
              <w:t>180</w:t>
            </w:r>
            <w:r>
              <w:rPr>
                <w:rFonts w:hint="eastAsia" w:asciiTheme="minorEastAsia" w:hAnsiTheme="minorEastAsia" w:eastAsiaTheme="minorEastAsia" w:cstheme="minorEastAsia"/>
                <w:snapToGrid w:val="0"/>
                <w:color w:val="auto"/>
                <w:kern w:val="0"/>
                <w:sz w:val="21"/>
                <w:szCs w:val="21"/>
                <w:highlight w:val="none"/>
                <w:lang w:eastAsia="zh-CN"/>
              </w:rPr>
              <w:t>天 （日历天）。</w:t>
            </w:r>
          </w:p>
          <w:p w14:paraId="6A9E835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□计划开工日期：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日（具体开工日期以合同为准）</w:t>
            </w:r>
          </w:p>
          <w:p w14:paraId="7E4002F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□计划竣工日期：</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年</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月</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日</w:t>
            </w:r>
          </w:p>
          <w:p w14:paraId="25225ED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□除上述总工期外，发包人还要求以下阶段工期：        </w:t>
            </w:r>
          </w:p>
        </w:tc>
      </w:tr>
      <w:tr w14:paraId="717B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90" w:hRule="atLeast"/>
        </w:trPr>
        <w:tc>
          <w:tcPr>
            <w:tcW w:w="582" w:type="dxa"/>
            <w:vAlign w:val="center"/>
          </w:tcPr>
          <w:p w14:paraId="05CA0D43">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17</w:t>
            </w:r>
          </w:p>
        </w:tc>
        <w:tc>
          <w:tcPr>
            <w:tcW w:w="1860" w:type="dxa"/>
            <w:vAlign w:val="center"/>
          </w:tcPr>
          <w:p w14:paraId="05DF5E6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p>
        </w:tc>
        <w:tc>
          <w:tcPr>
            <w:tcW w:w="7544" w:type="dxa"/>
            <w:vAlign w:val="top"/>
          </w:tcPr>
          <w:p w14:paraId="7E3D7DA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☑质量目标：</w:t>
            </w:r>
            <w:r>
              <w:rPr>
                <w:rFonts w:hint="eastAsia" w:asciiTheme="minorEastAsia" w:hAnsiTheme="minorEastAsia" w:eastAsiaTheme="minorEastAsia" w:cstheme="minorEastAsia"/>
                <w:snapToGrid w:val="0"/>
                <w:color w:val="auto"/>
                <w:kern w:val="0"/>
                <w:sz w:val="21"/>
                <w:szCs w:val="21"/>
                <w:highlight w:val="none"/>
                <w:u w:val="single"/>
                <w:lang w:eastAsia="zh-CN"/>
              </w:rPr>
              <w:t>合格</w:t>
            </w:r>
          </w:p>
          <w:p w14:paraId="5589E58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☑质量标准：</w:t>
            </w:r>
            <w:r>
              <w:rPr>
                <w:rFonts w:hint="eastAsia" w:asciiTheme="minorEastAsia" w:hAnsiTheme="minorEastAsia" w:eastAsiaTheme="minorEastAsia" w:cstheme="minorEastAsia"/>
                <w:snapToGrid w:val="0"/>
                <w:color w:val="auto"/>
                <w:spacing w:val="0"/>
                <w:kern w:val="0"/>
                <w:sz w:val="21"/>
                <w:szCs w:val="21"/>
                <w:highlight w:val="none"/>
                <w:lang w:val="en-US" w:eastAsia="zh-CN"/>
              </w:rPr>
              <w:t>符合现行国家有关工程施工质量验收规范和标准的要求，达到验收合格标准。</w:t>
            </w:r>
          </w:p>
          <w:p w14:paraId="688E24F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□优质工程要求：</w:t>
            </w:r>
            <w:r>
              <w:rPr>
                <w:rFonts w:hint="eastAsia" w:asciiTheme="minorEastAsia" w:hAnsiTheme="minorEastAsia" w:eastAsiaTheme="minorEastAsia" w:cstheme="minorEastAsia"/>
                <w:snapToGrid w:val="0"/>
                <w:color w:val="auto"/>
                <w:kern w:val="0"/>
                <w:sz w:val="21"/>
                <w:szCs w:val="21"/>
                <w:highlight w:val="none"/>
                <w:u w:val="single"/>
                <w:lang w:eastAsia="zh-CN"/>
              </w:rPr>
              <w:t>无</w:t>
            </w:r>
            <w:r>
              <w:rPr>
                <w:rFonts w:hint="eastAsia" w:asciiTheme="minorEastAsia" w:hAnsiTheme="minorEastAsia" w:eastAsiaTheme="minorEastAsia" w:cstheme="minorEastAsia"/>
                <w:snapToGrid w:val="0"/>
                <w:color w:val="auto"/>
                <w:kern w:val="0"/>
                <w:sz w:val="21"/>
                <w:szCs w:val="21"/>
                <w:highlight w:val="none"/>
                <w:lang w:eastAsia="zh-CN"/>
              </w:rPr>
              <w:t>....</w:t>
            </w:r>
          </w:p>
          <w:p w14:paraId="2E385EE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工程优质费：☑无</w:t>
            </w:r>
            <w:r>
              <w:rPr>
                <w:rFonts w:hint="eastAsia" w:asciiTheme="minorEastAsia" w:hAnsiTheme="minorEastAsia" w:eastAsiaTheme="minorEastAsia" w:cstheme="minorEastAsia"/>
                <w:snapToGrid w:val="0"/>
                <w:color w:val="auto"/>
                <w:kern w:val="0"/>
                <w:sz w:val="21"/>
                <w:szCs w:val="21"/>
                <w:highlight w:val="none"/>
                <w:lang w:val="en-US"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□有：</w:t>
            </w:r>
            <w:r>
              <w:rPr>
                <w:rFonts w:hint="eastAsia" w:asciiTheme="minorEastAsia" w:hAnsiTheme="minorEastAsia" w:eastAsiaTheme="minorEastAsia" w:cstheme="minorEastAsia"/>
                <w:snapToGrid w:val="0"/>
                <w:color w:val="auto"/>
                <w:kern w:val="0"/>
                <w:sz w:val="21"/>
                <w:szCs w:val="21"/>
                <w:highlight w:val="none"/>
                <w:lang w:val="en-US" w:eastAsia="zh-CN"/>
              </w:rPr>
              <w:t>/</w:t>
            </w:r>
          </w:p>
        </w:tc>
      </w:tr>
      <w:tr w14:paraId="61DE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3" w:hRule="atLeast"/>
        </w:trPr>
        <w:tc>
          <w:tcPr>
            <w:tcW w:w="582" w:type="dxa"/>
            <w:vMerge w:val="restart"/>
            <w:vAlign w:val="center"/>
          </w:tcPr>
          <w:p w14:paraId="3241D3ED">
            <w:pPr>
              <w:spacing w:before="57"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18</w:t>
            </w:r>
          </w:p>
        </w:tc>
        <w:tc>
          <w:tcPr>
            <w:tcW w:w="1860" w:type="dxa"/>
            <w:vMerge w:val="restart"/>
            <w:vAlign w:val="center"/>
          </w:tcPr>
          <w:p w14:paraId="48092A7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合同类型</w:t>
            </w:r>
          </w:p>
        </w:tc>
        <w:tc>
          <w:tcPr>
            <w:tcW w:w="7544" w:type="dxa"/>
            <w:vAlign w:val="top"/>
          </w:tcPr>
          <w:p w14:paraId="493FED4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☑单价合同：发承包双方约定以工程量清单及其综合单价进行合同价款计算、调整和确认的建设工程施工合同。</w:t>
            </w:r>
          </w:p>
          <w:p w14:paraId="5B69C0B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实际完成且应予计量的工程量确定。</w:t>
            </w:r>
          </w:p>
        </w:tc>
      </w:tr>
      <w:tr w14:paraId="0B9FC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8" w:hRule="atLeast"/>
        </w:trPr>
        <w:tc>
          <w:tcPr>
            <w:tcW w:w="582" w:type="dxa"/>
            <w:vMerge w:val="continue"/>
            <w:vAlign w:val="center"/>
          </w:tcPr>
          <w:p w14:paraId="231CE4D3">
            <w:pPr>
              <w:spacing w:before="57" w:line="195" w:lineRule="auto"/>
              <w:jc w:val="center"/>
              <w:rPr>
                <w:rFonts w:hint="eastAsia" w:asciiTheme="minorEastAsia" w:hAnsiTheme="minorEastAsia" w:eastAsiaTheme="minorEastAsia" w:cstheme="minorEastAsia"/>
                <w:color w:val="auto"/>
                <w:spacing w:val="-8"/>
                <w:sz w:val="21"/>
                <w:szCs w:val="21"/>
                <w:highlight w:val="none"/>
              </w:rPr>
            </w:pPr>
          </w:p>
        </w:tc>
        <w:tc>
          <w:tcPr>
            <w:tcW w:w="1860" w:type="dxa"/>
            <w:vMerge w:val="continue"/>
            <w:vAlign w:val="center"/>
          </w:tcPr>
          <w:p w14:paraId="266E0A9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p>
        </w:tc>
        <w:tc>
          <w:tcPr>
            <w:tcW w:w="7544" w:type="dxa"/>
            <w:vAlign w:val="top"/>
          </w:tcPr>
          <w:p w14:paraId="113BD1B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□总价合同：发承包双方约定以施工图及其预算和有关条件进行合同价款计算、调整和确认的建设工程施工合同。 </w:t>
            </w:r>
          </w:p>
          <w:p w14:paraId="01100DD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14:paraId="339D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582" w:type="dxa"/>
            <w:vAlign w:val="center"/>
          </w:tcPr>
          <w:p w14:paraId="6F522EA8">
            <w:pPr>
              <w:spacing w:before="19"/>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8"/>
                <w:sz w:val="21"/>
                <w:szCs w:val="21"/>
                <w:highlight w:val="none"/>
              </w:rPr>
              <w:t>19</w:t>
            </w:r>
          </w:p>
        </w:tc>
        <w:tc>
          <w:tcPr>
            <w:tcW w:w="1860" w:type="dxa"/>
            <w:vAlign w:val="center"/>
          </w:tcPr>
          <w:p w14:paraId="002FE620">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房屋建筑工程绿色建筑标准</w:t>
            </w:r>
          </w:p>
        </w:tc>
        <w:tc>
          <w:tcPr>
            <w:tcW w:w="7544" w:type="dxa"/>
            <w:vAlign w:val="center"/>
          </w:tcPr>
          <w:p w14:paraId="4A116F9B">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纳入绿色建设实施范围。</w:t>
            </w:r>
          </w:p>
        </w:tc>
      </w:tr>
      <w:tr w14:paraId="621E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trPr>
        <w:tc>
          <w:tcPr>
            <w:tcW w:w="582" w:type="dxa"/>
            <w:vAlign w:val="center"/>
          </w:tcPr>
          <w:p w14:paraId="50C167CF">
            <w:pPr>
              <w:spacing w:before="58" w:line="195"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19.</w:t>
            </w:r>
            <w:r>
              <w:rPr>
                <w:rFonts w:hint="eastAsia" w:asciiTheme="minorEastAsia" w:hAnsiTheme="minorEastAsia" w:eastAsiaTheme="minorEastAsia" w:cstheme="minorEastAsia"/>
                <w:color w:val="auto"/>
                <w:spacing w:val="-26"/>
                <w:sz w:val="21"/>
                <w:szCs w:val="21"/>
                <w:highlight w:val="none"/>
              </w:rPr>
              <w:t xml:space="preserve"> </w:t>
            </w:r>
            <w:r>
              <w:rPr>
                <w:rFonts w:hint="eastAsia" w:asciiTheme="minorEastAsia" w:hAnsiTheme="minorEastAsia" w:eastAsiaTheme="minorEastAsia" w:cstheme="minorEastAsia"/>
                <w:color w:val="auto"/>
                <w:spacing w:val="-3"/>
                <w:sz w:val="21"/>
                <w:szCs w:val="21"/>
                <w:highlight w:val="none"/>
              </w:rPr>
              <w:t>1</w:t>
            </w:r>
          </w:p>
        </w:tc>
        <w:tc>
          <w:tcPr>
            <w:tcW w:w="1860" w:type="dxa"/>
            <w:vAlign w:val="center"/>
          </w:tcPr>
          <w:p w14:paraId="32286FA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装配式建筑标准</w:t>
            </w:r>
          </w:p>
        </w:tc>
        <w:tc>
          <w:tcPr>
            <w:tcW w:w="7544" w:type="dxa"/>
            <w:vAlign w:val="center"/>
          </w:tcPr>
          <w:p w14:paraId="3644E47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本招标项目</w:t>
            </w:r>
            <w:r>
              <w:rPr>
                <w:rFonts w:hint="eastAsia" w:asciiTheme="minorEastAsia" w:hAnsiTheme="minorEastAsia" w:eastAsiaTheme="minorEastAsia" w:cstheme="minorEastAsia"/>
                <w:snapToGrid w:val="0"/>
                <w:color w:val="auto"/>
                <w:kern w:val="0"/>
                <w:sz w:val="21"/>
                <w:szCs w:val="21"/>
                <w:highlight w:val="none"/>
                <w:u w:val="single"/>
                <w:lang w:val="en-US" w:eastAsia="zh-CN"/>
              </w:rPr>
              <w:t>不</w:t>
            </w:r>
            <w:r>
              <w:rPr>
                <w:rFonts w:hint="eastAsia" w:asciiTheme="minorEastAsia" w:hAnsiTheme="minorEastAsia" w:eastAsiaTheme="minorEastAsia" w:cstheme="minorEastAsia"/>
                <w:snapToGrid w:val="0"/>
                <w:color w:val="auto"/>
                <w:kern w:val="0"/>
                <w:sz w:val="21"/>
                <w:szCs w:val="21"/>
                <w:highlight w:val="none"/>
                <w:lang w:eastAsia="zh-CN"/>
              </w:rPr>
              <w:t>纳入装配式建造建设实施范围。</w:t>
            </w:r>
          </w:p>
        </w:tc>
      </w:tr>
      <w:tr w14:paraId="29DB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582" w:type="dxa"/>
            <w:vAlign w:val="center"/>
          </w:tcPr>
          <w:p w14:paraId="1B7DE3D3">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20</w:t>
            </w:r>
          </w:p>
        </w:tc>
        <w:tc>
          <w:tcPr>
            <w:tcW w:w="1860" w:type="dxa"/>
            <w:vAlign w:val="center"/>
          </w:tcPr>
          <w:p w14:paraId="4A62BB9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w:t>
            </w:r>
          </w:p>
        </w:tc>
        <w:tc>
          <w:tcPr>
            <w:tcW w:w="7544" w:type="dxa"/>
            <w:vAlign w:val="center"/>
          </w:tcPr>
          <w:p w14:paraId="6082D71F">
            <w:pPr>
              <w:pageBreakBefore w:val="0"/>
              <w:widowControl w:val="0"/>
              <w:kinsoku/>
              <w:wordWrap w:val="0"/>
              <w:overflowPunct/>
              <w:topLinePunct w:val="0"/>
              <w:autoSpaceDE/>
              <w:autoSpaceDN/>
              <w:bidi w:val="0"/>
              <w:adjustRightInd w:val="0"/>
              <w:snapToGrid w:val="0"/>
              <w:spacing w:line="400" w:lineRule="exact"/>
              <w:ind w:firstLine="210" w:firstLineChars="100"/>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发包人提供材料和工程设备： ☑无     □有：</w:t>
            </w:r>
          </w:p>
        </w:tc>
      </w:tr>
      <w:tr w14:paraId="547D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55" w:hRule="atLeast"/>
        </w:trPr>
        <w:tc>
          <w:tcPr>
            <w:tcW w:w="582" w:type="dxa"/>
            <w:vAlign w:val="center"/>
          </w:tcPr>
          <w:p w14:paraId="0E5FF6E1">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21</w:t>
            </w:r>
          </w:p>
        </w:tc>
        <w:tc>
          <w:tcPr>
            <w:tcW w:w="1860" w:type="dxa"/>
            <w:vAlign w:val="center"/>
          </w:tcPr>
          <w:p w14:paraId="17CDAEE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承包人提供材料和工程设备</w:t>
            </w:r>
          </w:p>
        </w:tc>
        <w:tc>
          <w:tcPr>
            <w:tcW w:w="7544" w:type="dxa"/>
            <w:vAlign w:val="top"/>
          </w:tcPr>
          <w:p w14:paraId="753275F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 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14:paraId="2C8F879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□其它说明：鼓励承包人积极采购环保产品进行施工。</w:t>
            </w:r>
          </w:p>
        </w:tc>
      </w:tr>
      <w:tr w14:paraId="75C89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0" w:hRule="atLeast"/>
        </w:trPr>
        <w:tc>
          <w:tcPr>
            <w:tcW w:w="582" w:type="dxa"/>
            <w:vAlign w:val="center"/>
          </w:tcPr>
          <w:p w14:paraId="3B9CE185">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22</w:t>
            </w:r>
          </w:p>
        </w:tc>
        <w:tc>
          <w:tcPr>
            <w:tcW w:w="1860" w:type="dxa"/>
            <w:vAlign w:val="center"/>
          </w:tcPr>
          <w:p w14:paraId="11B3302A">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最高投标限价</w:t>
            </w:r>
          </w:p>
        </w:tc>
        <w:tc>
          <w:tcPr>
            <w:tcW w:w="7544" w:type="dxa"/>
            <w:vAlign w:val="center"/>
          </w:tcPr>
          <w:p w14:paraId="59270BE1">
            <w:pPr>
              <w:pageBreakBefore w:val="0"/>
              <w:widowControl w:val="0"/>
              <w:kinsoku/>
              <w:wordWrap w:val="0"/>
              <w:overflowPunct/>
              <w:topLinePunct w:val="0"/>
              <w:autoSpaceDE/>
              <w:autoSpaceDN/>
              <w:bidi w:val="0"/>
              <w:adjustRightInd w:val="0"/>
              <w:snapToGrid w:val="0"/>
              <w:spacing w:line="400" w:lineRule="exact"/>
              <w:ind w:left="0" w:leftChars="0" w:firstLine="401" w:firstLineChars="1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最高投标限价、施工图纸、工程量清单在开标前7天另行发布于全国公共资源交易平台（广东省·韶关市）（https://ygp.gdzwfw.gov.cn/ggzy-portal/#/440200/index）、广东省招标投标监管网（http://zbtb.gd.gov.cn）网站。</w:t>
            </w:r>
          </w:p>
        </w:tc>
      </w:tr>
      <w:tr w14:paraId="5A7F6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2" w:hRule="atLeast"/>
        </w:trPr>
        <w:tc>
          <w:tcPr>
            <w:tcW w:w="582" w:type="dxa"/>
            <w:vAlign w:val="center"/>
          </w:tcPr>
          <w:p w14:paraId="0969254D">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23</w:t>
            </w:r>
          </w:p>
        </w:tc>
        <w:tc>
          <w:tcPr>
            <w:tcW w:w="1860" w:type="dxa"/>
            <w:vAlign w:val="center"/>
          </w:tcPr>
          <w:p w14:paraId="03C203F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投标人的投标报价</w:t>
            </w:r>
          </w:p>
        </w:tc>
        <w:tc>
          <w:tcPr>
            <w:tcW w:w="7544" w:type="dxa"/>
            <w:vAlign w:val="center"/>
          </w:tcPr>
          <w:p w14:paraId="69AB178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投标时响应招标文件要求所报出的对已标价工程量清单汇总后标明的总价。投标人在投标报价填写的工程量清单的项目编码、项目名称、项目特征、计量单位、工程数量必须与招标人招标文件中提供的一致，投标价不能低于工程成本、高于最高投标限价。</w:t>
            </w:r>
          </w:p>
          <w:p w14:paraId="1E008D6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投标报价方式： ☑工程量清单报</w:t>
            </w:r>
            <w:r>
              <w:rPr>
                <w:rFonts w:hint="eastAsia" w:asciiTheme="minorEastAsia" w:hAnsiTheme="minorEastAsia" w:eastAsiaTheme="minorEastAsia" w:cstheme="minorEastAsia"/>
                <w:snapToGrid w:val="0"/>
                <w:color w:val="auto"/>
                <w:kern w:val="0"/>
                <w:sz w:val="21"/>
                <w:szCs w:val="21"/>
                <w:highlight w:val="none"/>
                <w:lang w:val="en-US" w:eastAsia="zh-CN"/>
              </w:rPr>
              <w:t>价</w:t>
            </w:r>
          </w:p>
          <w:p w14:paraId="14470C7D">
            <w:pPr>
              <w:pStyle w:val="4"/>
              <w:ind w:firstLine="210" w:firstLineChars="100"/>
              <w:rPr>
                <w:rFonts w:hint="default"/>
                <w:lang w:val="en-US" w:eastAsia="zh-CN"/>
              </w:rPr>
            </w:pPr>
            <w:r>
              <w:rPr>
                <w:rFonts w:hint="default"/>
                <w:lang w:val="en-US" w:eastAsia="zh-CN"/>
              </w:rPr>
              <w:t>投标报价时，应按《广东省建设工程计价依据（2018）》规定的费率报价，若招标工程量清单明确说明不计算预算包干费或另外确定预算包干费费率的，则按招标工程量清单报价。</w:t>
            </w:r>
          </w:p>
        </w:tc>
      </w:tr>
      <w:tr w14:paraId="3B80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582" w:type="dxa"/>
            <w:vAlign w:val="center"/>
          </w:tcPr>
          <w:p w14:paraId="6A229068">
            <w:pPr>
              <w:spacing w:before="69"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24</w:t>
            </w:r>
          </w:p>
        </w:tc>
        <w:tc>
          <w:tcPr>
            <w:tcW w:w="1860" w:type="dxa"/>
            <w:vAlign w:val="center"/>
          </w:tcPr>
          <w:p w14:paraId="666E400C">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投标报价风险</w:t>
            </w:r>
          </w:p>
        </w:tc>
        <w:tc>
          <w:tcPr>
            <w:tcW w:w="7544" w:type="dxa"/>
            <w:vAlign w:val="center"/>
          </w:tcPr>
          <w:p w14:paraId="71B243A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☑投标人依据招标文件约定自行考虑风险因素，一旦中标，投标报价（合同价）除合同另有约定外将不因市场变化而调整。</w:t>
            </w:r>
          </w:p>
          <w:p w14:paraId="2AA2300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☑投标报价中应包括工程量清单项目所发生的人工费、材料费、机具费、管理费、利润、措施项目费、其它项目费、税金、暂列金额、暂估价以及所有风险、责任等各项费用。</w:t>
            </w:r>
          </w:p>
          <w:p w14:paraId="603FF83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☑人工费、材料费、机具费、管理费、利润、措施项目费（不含</w:t>
            </w:r>
            <w:r>
              <w:rPr>
                <w:rFonts w:hint="eastAsia" w:asciiTheme="minorEastAsia" w:hAnsiTheme="minorEastAsia" w:eastAsiaTheme="minorEastAsia" w:cstheme="minorEastAsia"/>
                <w:snapToGrid w:val="0"/>
                <w:color w:val="auto"/>
                <w:kern w:val="0"/>
                <w:sz w:val="21"/>
                <w:szCs w:val="21"/>
                <w:highlight w:val="none"/>
                <w:lang w:val="en-US" w:eastAsia="zh-CN"/>
              </w:rPr>
              <w:t>安全生产措施费</w:t>
            </w:r>
            <w:r>
              <w:rPr>
                <w:rFonts w:hint="eastAsia" w:asciiTheme="minorEastAsia" w:hAnsiTheme="minorEastAsia" w:eastAsiaTheme="minorEastAsia" w:cstheme="minorEastAsia"/>
                <w:snapToGrid w:val="0"/>
                <w:color w:val="auto"/>
                <w:kern w:val="0"/>
                <w:sz w:val="21"/>
                <w:szCs w:val="21"/>
                <w:highlight w:val="none"/>
                <w:lang w:eastAsia="zh-CN"/>
              </w:rPr>
              <w:t>）投标人漏报或不报，招标人视为有关费用已包括在工程量清单项目的其它单价及合价中不予另外增加。</w:t>
            </w:r>
          </w:p>
          <w:p w14:paraId="346A97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b/>
                <w:bCs/>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w:t>
            </w:r>
            <w:r>
              <w:rPr>
                <w:rFonts w:hint="eastAsia" w:asciiTheme="minorEastAsia" w:hAnsiTheme="minorEastAsia" w:eastAsiaTheme="minorEastAsia" w:cstheme="minorEastAsia"/>
                <w:b/>
                <w:bCs/>
                <w:snapToGrid w:val="0"/>
                <w:color w:val="auto"/>
                <w:kern w:val="0"/>
                <w:sz w:val="21"/>
                <w:szCs w:val="21"/>
                <w:highlight w:val="none"/>
                <w:lang w:eastAsia="zh-CN"/>
              </w:rPr>
              <w:t>措施项目中的安全生产措施应单独列项，费用不可竞争，且应符合《企业安全生产费用提取和使用管理办法》（财资〔2022〕136号）及我省有关文件规定。</w:t>
            </w:r>
          </w:p>
          <w:p w14:paraId="4E5433A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☑投标人应按照招标文件提供的工程量清单逐项填写单价和合价，投标人未填写的项目，招标人将视为此项费用已包括在工程量清单项目的其它单价及合价中不予另外增加。</w:t>
            </w:r>
          </w:p>
          <w:p w14:paraId="2F622B4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☑投标人应按《建设工程工程量清单计价标准》（GB/T 50500-2024）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14:paraId="4894F3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☑招标人向投标人提供的有关施工现场资料及数据，是招标人现有的能使投标人利用的资料，招标人对投标人据此作出的推论及理解概不负责。</w:t>
            </w:r>
          </w:p>
          <w:p w14:paraId="5008AF0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14:paraId="7912A53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☑错漏项的认定。中标人已标价工程量清单中，任一清单项目未填报价格或价格为零的，招标人将视为此项费用已包括在工程量清单项目的其它单价及合价中不予另外增加。</w:t>
            </w:r>
          </w:p>
        </w:tc>
      </w:tr>
      <w:tr w14:paraId="1F85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669928C5">
            <w:pPr>
              <w:spacing w:before="284" w:line="188"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pacing w:val="-3"/>
                <w:sz w:val="21"/>
                <w:szCs w:val="21"/>
                <w:highlight w:val="none"/>
              </w:rPr>
              <w:t>25</w:t>
            </w:r>
          </w:p>
        </w:tc>
        <w:tc>
          <w:tcPr>
            <w:tcW w:w="1860" w:type="dxa"/>
            <w:vAlign w:val="center"/>
          </w:tcPr>
          <w:p w14:paraId="3957B4E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投标费用</w:t>
            </w:r>
          </w:p>
        </w:tc>
        <w:tc>
          <w:tcPr>
            <w:tcW w:w="7544" w:type="dxa"/>
            <w:vAlign w:val="center"/>
          </w:tcPr>
          <w:p w14:paraId="5143FA7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投标人自行承担编制与递交投标文件的一切费用。</w:t>
            </w:r>
          </w:p>
        </w:tc>
      </w:tr>
      <w:tr w14:paraId="5BEE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2" w:hRule="atLeast"/>
        </w:trPr>
        <w:tc>
          <w:tcPr>
            <w:tcW w:w="582" w:type="dxa"/>
            <w:vAlign w:val="center"/>
          </w:tcPr>
          <w:p w14:paraId="0DE00A6B">
            <w:pPr>
              <w:spacing w:before="284" w:line="188" w:lineRule="auto"/>
              <w:jc w:val="center"/>
              <w:rPr>
                <w:rFonts w:hint="eastAsia" w:asciiTheme="minorEastAsia" w:hAnsiTheme="minorEastAsia" w:eastAsiaTheme="minorEastAsia" w:cstheme="minorEastAsia"/>
                <w:color w:val="auto"/>
                <w:spacing w:val="-3"/>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26</w:t>
            </w:r>
          </w:p>
        </w:tc>
        <w:tc>
          <w:tcPr>
            <w:tcW w:w="1860" w:type="dxa"/>
            <w:vAlign w:val="center"/>
          </w:tcPr>
          <w:p w14:paraId="63831FA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成本警示价</w:t>
            </w:r>
          </w:p>
        </w:tc>
        <w:tc>
          <w:tcPr>
            <w:tcW w:w="7544" w:type="dxa"/>
            <w:vAlign w:val="center"/>
          </w:tcPr>
          <w:p w14:paraId="2BD7B9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投标报价要求：</w:t>
            </w:r>
          </w:p>
          <w:p w14:paraId="2931CC3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⑴投标人的投标报价不得高于招标人设置的最高投标限价，否则作无效投标处理；</w:t>
            </w:r>
          </w:p>
          <w:p w14:paraId="36FE8D2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⑵投标人的投标报价如低于招标项目的成本警示价的，需提供成本分析资料等报价依据。（成本警示价＝最高投标限价×85%）</w:t>
            </w:r>
          </w:p>
        </w:tc>
      </w:tr>
      <w:tr w14:paraId="0034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8" w:hRule="atLeast"/>
        </w:trPr>
        <w:tc>
          <w:tcPr>
            <w:tcW w:w="582" w:type="dxa"/>
            <w:vAlign w:val="center"/>
          </w:tcPr>
          <w:p w14:paraId="4FF2AF6F">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7</w:t>
            </w:r>
          </w:p>
        </w:tc>
        <w:tc>
          <w:tcPr>
            <w:tcW w:w="1860" w:type="dxa"/>
            <w:vAlign w:val="center"/>
          </w:tcPr>
          <w:p w14:paraId="1A898512">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投标人资格要求</w:t>
            </w:r>
          </w:p>
        </w:tc>
        <w:tc>
          <w:tcPr>
            <w:tcW w:w="7544" w:type="dxa"/>
            <w:vAlign w:val="center"/>
          </w:tcPr>
          <w:p w14:paraId="46CCFB7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1．本次招标接受联合体投标，联合体以一个投标人的身份共同投标。</w:t>
            </w:r>
          </w:p>
          <w:p w14:paraId="134E1F7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1.1 联合体成员数量不超过2个。</w:t>
            </w:r>
          </w:p>
          <w:p w14:paraId="1D94BA5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1.2 联合体各方应按招标文件提供的格式签订联合体协议书，明确联合体牵头人和各方权利义务，并承诺就中标项目向招标人承担连带责任。《联合体协议书》作为投标文件的组成部分向招标人提交。</w:t>
            </w:r>
          </w:p>
          <w:p w14:paraId="3E81FA5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2EC994B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1.4 联合体各方不得再以自己名义单独或参加其他联合体在本招标项目中投标，否则各相关投标均无效。</w:t>
            </w:r>
          </w:p>
          <w:p w14:paraId="5D46EB2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2．资质要求</w:t>
            </w:r>
          </w:p>
          <w:p w14:paraId="7B2CD403">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2.1 投标人须具备独立法人资格，按国家法律经营。</w:t>
            </w:r>
          </w:p>
          <w:p w14:paraId="4225BE7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2.2 投标人须持有建设行政主管部门颁发的企业资质证书及安全生产许可证。</w:t>
            </w:r>
          </w:p>
          <w:p w14:paraId="5419FF2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2.3 投标人须具备以下资质：参加投标的投标人可以是单一独立法人或由不超过两家独立法人组成的联合体（必须注明其中一家为牵头人）。单一独立法人必须具备</w:t>
            </w:r>
            <w:r>
              <w:rPr>
                <w:rFonts w:hint="eastAsia" w:asciiTheme="minorEastAsia" w:hAnsiTheme="minorEastAsia" w:eastAsiaTheme="minorEastAsia" w:cstheme="minorEastAsia"/>
                <w:b/>
                <w:bCs/>
                <w:snapToGrid w:val="0"/>
                <w:color w:val="auto"/>
                <w:kern w:val="0"/>
                <w:sz w:val="21"/>
                <w:szCs w:val="21"/>
                <w:highlight w:val="none"/>
                <w:lang w:val="en-US" w:eastAsia="zh-CN"/>
              </w:rPr>
              <w:t>市政公用工程施工总承包</w:t>
            </w:r>
            <w:r>
              <w:rPr>
                <w:rFonts w:hint="eastAsia" w:ascii="宋体" w:hAnsi="宋体" w:eastAsia="宋体" w:cs="宋体"/>
                <w:b/>
                <w:bCs/>
                <w:snapToGrid w:val="0"/>
                <w:color w:val="auto"/>
                <w:kern w:val="0"/>
                <w:sz w:val="21"/>
                <w:szCs w:val="21"/>
                <w:highlight w:val="none"/>
                <w:lang w:val="en-US" w:eastAsia="zh-CN"/>
              </w:rPr>
              <w:t>叁级以上（含叁级）</w:t>
            </w:r>
            <w:r>
              <w:rPr>
                <w:rFonts w:hint="eastAsia" w:asciiTheme="minorEastAsia" w:hAnsiTheme="minorEastAsia" w:eastAsiaTheme="minorEastAsia" w:cstheme="minorEastAsia"/>
                <w:b/>
                <w:bCs/>
                <w:snapToGrid w:val="0"/>
                <w:color w:val="auto"/>
                <w:kern w:val="0"/>
                <w:sz w:val="21"/>
                <w:szCs w:val="21"/>
                <w:highlight w:val="none"/>
                <w:lang w:val="en-US" w:eastAsia="zh-CN"/>
              </w:rPr>
              <w:t>资质</w:t>
            </w:r>
            <w:r>
              <w:rPr>
                <w:rFonts w:hint="eastAsia" w:asciiTheme="minorEastAsia" w:hAnsiTheme="minorEastAsia" w:eastAsiaTheme="minorEastAsia" w:cstheme="minorEastAsia"/>
                <w:snapToGrid w:val="0"/>
                <w:color w:val="auto"/>
                <w:kern w:val="0"/>
                <w:sz w:val="21"/>
                <w:szCs w:val="21"/>
                <w:highlight w:val="none"/>
                <w:lang w:eastAsia="zh-CN"/>
              </w:rPr>
              <w:t>，组成联合体投标的，联合后必须</w:t>
            </w:r>
            <w:r>
              <w:rPr>
                <w:rFonts w:hint="eastAsia" w:asciiTheme="minorEastAsia" w:hAnsiTheme="minorEastAsia" w:eastAsiaTheme="minorEastAsia" w:cstheme="minorEastAsia"/>
                <w:snapToGrid w:val="0"/>
                <w:color w:val="auto"/>
                <w:kern w:val="0"/>
                <w:sz w:val="21"/>
                <w:szCs w:val="21"/>
                <w:highlight w:val="none"/>
                <w:lang w:val="en-US" w:eastAsia="zh-CN"/>
              </w:rPr>
              <w:t>都</w:t>
            </w:r>
            <w:r>
              <w:rPr>
                <w:rFonts w:hint="eastAsia" w:asciiTheme="minorEastAsia" w:hAnsiTheme="minorEastAsia" w:eastAsiaTheme="minorEastAsia" w:cstheme="minorEastAsia"/>
                <w:snapToGrid w:val="0"/>
                <w:color w:val="auto"/>
                <w:kern w:val="0"/>
                <w:sz w:val="21"/>
                <w:szCs w:val="21"/>
                <w:highlight w:val="none"/>
                <w:lang w:eastAsia="zh-CN"/>
              </w:rPr>
              <w:t>具备</w:t>
            </w:r>
            <w:r>
              <w:rPr>
                <w:rFonts w:hint="eastAsia" w:asciiTheme="minorEastAsia" w:hAnsiTheme="minorEastAsia" w:eastAsiaTheme="minorEastAsia" w:cstheme="minorEastAsia"/>
                <w:b/>
                <w:bCs/>
                <w:snapToGrid w:val="0"/>
                <w:color w:val="auto"/>
                <w:kern w:val="0"/>
                <w:sz w:val="21"/>
                <w:szCs w:val="21"/>
                <w:highlight w:val="none"/>
                <w:lang w:val="en-US" w:eastAsia="zh-CN"/>
              </w:rPr>
              <w:t>市政公用工程施工总承包</w:t>
            </w:r>
            <w:r>
              <w:rPr>
                <w:rFonts w:hint="eastAsia" w:ascii="宋体" w:hAnsi="宋体" w:eastAsia="宋体" w:cs="宋体"/>
                <w:b/>
                <w:bCs/>
                <w:snapToGrid w:val="0"/>
                <w:color w:val="auto"/>
                <w:kern w:val="0"/>
                <w:sz w:val="21"/>
                <w:szCs w:val="21"/>
                <w:highlight w:val="none"/>
                <w:lang w:val="en-US" w:eastAsia="zh-CN"/>
              </w:rPr>
              <w:t>叁级以上（含叁级）</w:t>
            </w:r>
            <w:r>
              <w:rPr>
                <w:rFonts w:hint="eastAsia" w:asciiTheme="minorEastAsia" w:hAnsiTheme="minorEastAsia" w:eastAsiaTheme="minorEastAsia" w:cstheme="minorEastAsia"/>
                <w:b/>
                <w:bCs/>
                <w:snapToGrid w:val="0"/>
                <w:color w:val="auto"/>
                <w:kern w:val="0"/>
                <w:sz w:val="21"/>
                <w:szCs w:val="21"/>
                <w:highlight w:val="none"/>
                <w:lang w:val="en-US" w:eastAsia="zh-CN"/>
              </w:rPr>
              <w:t>资质</w:t>
            </w:r>
            <w:r>
              <w:rPr>
                <w:rFonts w:hint="eastAsia" w:asciiTheme="minorEastAsia" w:hAnsiTheme="minorEastAsia" w:eastAsiaTheme="minorEastAsia" w:cstheme="minorEastAsia"/>
                <w:snapToGrid w:val="0"/>
                <w:color w:val="auto"/>
                <w:kern w:val="0"/>
                <w:sz w:val="21"/>
                <w:szCs w:val="21"/>
                <w:highlight w:val="none"/>
                <w:lang w:val="en-US" w:eastAsia="zh-CN"/>
              </w:rPr>
              <w:t>。</w:t>
            </w:r>
          </w:p>
          <w:p w14:paraId="63F500ED">
            <w:pPr>
              <w:pageBreakBefore w:val="0"/>
              <w:widowControl w:val="0"/>
              <w:kinsoku/>
              <w:wordWrap w:val="0"/>
              <w:overflowPunct/>
              <w:topLinePunct w:val="0"/>
              <w:autoSpaceDE/>
              <w:autoSpaceDN/>
              <w:bidi w:val="0"/>
              <w:adjustRightInd w:val="0"/>
              <w:snapToGrid w:val="0"/>
              <w:spacing w:line="400" w:lineRule="exact"/>
              <w:ind w:left="0" w:leftChars="0" w:right="5" w:righ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2.4 </w:t>
            </w:r>
            <w:r>
              <w:rPr>
                <w:rFonts w:hint="eastAsia" w:asciiTheme="minorEastAsia" w:hAnsiTheme="minorEastAsia" w:eastAsiaTheme="minorEastAsia" w:cstheme="minorEastAsia"/>
                <w:snapToGrid w:val="0"/>
                <w:color w:val="auto"/>
                <w:kern w:val="0"/>
                <w:sz w:val="21"/>
                <w:szCs w:val="21"/>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20BEE5B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3．相关人员要求</w:t>
            </w:r>
          </w:p>
          <w:p w14:paraId="23B00BC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3.1  拟派项目经理为</w:t>
            </w:r>
            <w:r>
              <w:rPr>
                <w:rFonts w:hint="eastAsia" w:asciiTheme="minorEastAsia" w:hAnsiTheme="minorEastAsia" w:eastAsiaTheme="minorEastAsia" w:cstheme="minorEastAsia"/>
                <w:b/>
                <w:bCs/>
                <w:snapToGrid w:val="0"/>
                <w:color w:val="auto"/>
                <w:kern w:val="0"/>
                <w:sz w:val="21"/>
                <w:szCs w:val="21"/>
                <w:highlight w:val="none"/>
                <w:lang w:val="en-US" w:eastAsia="zh-CN"/>
              </w:rPr>
              <w:t>市政公用工程</w:t>
            </w:r>
            <w:r>
              <w:rPr>
                <w:rFonts w:hint="eastAsia" w:asciiTheme="minorEastAsia" w:hAnsiTheme="minorEastAsia" w:eastAsiaTheme="minorEastAsia" w:cstheme="minorEastAsia"/>
                <w:snapToGrid w:val="0"/>
                <w:color w:val="auto"/>
                <w:kern w:val="0"/>
                <w:sz w:val="21"/>
                <w:szCs w:val="21"/>
                <w:highlight w:val="none"/>
                <w:lang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67FBF7E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3.2 拟派项目技术负责人须具备</w:t>
            </w:r>
            <w:r>
              <w:rPr>
                <w:rFonts w:hint="eastAsia" w:asciiTheme="minorEastAsia" w:hAnsiTheme="minorEastAsia" w:eastAsiaTheme="minorEastAsia" w:cstheme="minorEastAsia"/>
                <w:b/>
                <w:bCs/>
                <w:snapToGrid w:val="0"/>
                <w:color w:val="auto"/>
                <w:kern w:val="0"/>
                <w:sz w:val="21"/>
                <w:szCs w:val="21"/>
                <w:highlight w:val="none"/>
                <w:lang w:eastAsia="zh-CN"/>
              </w:rPr>
              <w:t>中级或以上</w:t>
            </w:r>
            <w:r>
              <w:rPr>
                <w:rFonts w:hint="eastAsia" w:asciiTheme="minorEastAsia" w:hAnsiTheme="minorEastAsia" w:eastAsiaTheme="minorEastAsia" w:cstheme="minorEastAsia"/>
                <w:snapToGrid w:val="0"/>
                <w:color w:val="auto"/>
                <w:kern w:val="0"/>
                <w:sz w:val="21"/>
                <w:szCs w:val="21"/>
                <w:highlight w:val="none"/>
                <w:lang w:eastAsia="zh-CN"/>
              </w:rPr>
              <w:t>技术职称。</w:t>
            </w:r>
          </w:p>
          <w:p w14:paraId="7E69509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3.3 投标人拟派专职安全生产管理人员须具备有效安全生产考核合格证明（C证，安全生产考核合格证书或“广东省建筑施工企业管理人员安全生产考核系统”考核合格信息打印页），且不少于</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u w:val="single"/>
                <w:lang w:val="en-US" w:eastAsia="zh-CN"/>
              </w:rPr>
              <w:t>1</w:t>
            </w:r>
            <w:r>
              <w:rPr>
                <w:rFonts w:hint="eastAsia" w:asciiTheme="minorEastAsia" w:hAnsiTheme="minorEastAsia" w:eastAsiaTheme="minorEastAsia" w:cstheme="minorEastAsia"/>
                <w:snapToGrid w:val="0"/>
                <w:color w:val="auto"/>
                <w:kern w:val="0"/>
                <w:sz w:val="21"/>
                <w:szCs w:val="21"/>
                <w:highlight w:val="none"/>
                <w:u w:val="single"/>
                <w:lang w:eastAsia="zh-CN"/>
              </w:rPr>
              <w:t xml:space="preserve"> </w:t>
            </w:r>
            <w:r>
              <w:rPr>
                <w:rFonts w:hint="eastAsia" w:asciiTheme="minorEastAsia" w:hAnsiTheme="minorEastAsia" w:eastAsiaTheme="minorEastAsia" w:cstheme="minorEastAsia"/>
                <w:snapToGrid w:val="0"/>
                <w:color w:val="auto"/>
                <w:kern w:val="0"/>
                <w:sz w:val="21"/>
                <w:szCs w:val="21"/>
                <w:highlight w:val="none"/>
                <w:lang w:eastAsia="zh-CN"/>
              </w:rPr>
              <w:t>人。</w:t>
            </w:r>
          </w:p>
          <w:p w14:paraId="72753C4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3.4 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2C30D11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 ．禁止投标条款：</w:t>
            </w:r>
          </w:p>
          <w:p w14:paraId="368F0E6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4.1  投标人不得存在下列情形之一：</w:t>
            </w:r>
          </w:p>
          <w:p w14:paraId="3C8825A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（1）为招标人不具有独立法人资格的附属机构（单位）；</w:t>
            </w:r>
          </w:p>
          <w:p w14:paraId="274A9A5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（2）为本招标项目前期准备提供设计或咨询服务的；</w:t>
            </w:r>
          </w:p>
          <w:p w14:paraId="68E4AAB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（3）与本招标项目的其他投标人为同一个单位负责人；</w:t>
            </w:r>
          </w:p>
          <w:p w14:paraId="5C1887A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（4）与本招标项目的其他投标人存在控股、管理关系；</w:t>
            </w:r>
          </w:p>
          <w:p w14:paraId="109645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（5）为本招标项目的监理人；</w:t>
            </w:r>
          </w:p>
          <w:p w14:paraId="60D4CCE0">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（6）为本招标项目的代建人；</w:t>
            </w:r>
          </w:p>
          <w:p w14:paraId="75D7D7B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（7）为本招标项目的招标代理机构；</w:t>
            </w:r>
          </w:p>
          <w:p w14:paraId="50E80432">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（8）与本招标项目的监理人或代建人或招标代理机构同为一个法定代表人；</w:t>
            </w:r>
          </w:p>
          <w:p w14:paraId="31BF760B">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（9）与本招标项目的监理人或代建人或招标代理机构存在控股或参股关系；</w:t>
            </w:r>
          </w:p>
          <w:p w14:paraId="64622BD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（10）与本招标项目的监理人或代建人或招标代理机构存在相互任职或工作关系；</w:t>
            </w:r>
          </w:p>
          <w:p w14:paraId="0F573315">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（11）被依法暂停或者取消投标资格；</w:t>
            </w:r>
          </w:p>
          <w:p w14:paraId="0E5D6D2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（12）被责令停产停业、暂扣或者吊销许可证、暂扣或者吊销执照；</w:t>
            </w:r>
          </w:p>
          <w:p w14:paraId="7E532429">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（13）进入清算程序，或被宣告破产，或其他丧失履约能力的情形；</w:t>
            </w:r>
          </w:p>
          <w:p w14:paraId="25F7FF0F">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（14）在最近三年内发生重大工程质量或安全问题（以相关行业 主管部门的行政处罚决定或司法机关出具的有关法律文书为准）；</w:t>
            </w:r>
          </w:p>
          <w:p w14:paraId="790C29E8">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（15）被“信用中国 ”网站（https://www.creditchina.gov.cn）发布的《法人和非法人组织公共信用信息报告》列为严重失信主体名单的。</w:t>
            </w:r>
          </w:p>
          <w:p w14:paraId="2CE66971">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4.2  招标人拒绝以下名单中的单位参加本次投标：</w:t>
            </w:r>
          </w:p>
          <w:tbl>
            <w:tblPr>
              <w:tblStyle w:val="14"/>
              <w:tblW w:w="7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445"/>
              <w:gridCol w:w="2977"/>
            </w:tblGrid>
            <w:tr w14:paraId="3AAFB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676" w:type="dxa"/>
                  <w:vAlign w:val="center"/>
                </w:tcPr>
                <w:p w14:paraId="67EB51C9">
                  <w:pPr>
                    <w:pageBreakBefore w:val="0"/>
                    <w:widowControl w:val="0"/>
                    <w:kinsoku/>
                    <w:wordWrap w:val="0"/>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序号</w:t>
                  </w:r>
                </w:p>
              </w:tc>
              <w:tc>
                <w:tcPr>
                  <w:tcW w:w="3445" w:type="dxa"/>
                  <w:vAlign w:val="center"/>
                </w:tcPr>
                <w:p w14:paraId="6F0BFDAE">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w:t>
                  </w:r>
                </w:p>
              </w:tc>
              <w:tc>
                <w:tcPr>
                  <w:tcW w:w="2977" w:type="dxa"/>
                  <w:vAlign w:val="center"/>
                </w:tcPr>
                <w:p w14:paraId="2D127BFF">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拒绝原因</w:t>
                  </w:r>
                </w:p>
              </w:tc>
            </w:tr>
            <w:tr w14:paraId="5AF3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62C4AFFA">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lang w:val="en-US" w:eastAsia="zh-CN"/>
                    </w:rPr>
                    <w:t>1</w:t>
                  </w:r>
                </w:p>
              </w:tc>
              <w:tc>
                <w:tcPr>
                  <w:tcW w:w="3445" w:type="dxa"/>
                  <w:vAlign w:val="center"/>
                </w:tcPr>
                <w:p w14:paraId="27F7FB1B">
                  <w:pPr>
                    <w:pStyle w:val="49"/>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b w:val="0"/>
                      <w:bCs w:val="0"/>
                      <w:color w:val="auto"/>
                      <w:kern w:val="2"/>
                      <w:sz w:val="21"/>
                      <w:szCs w:val="21"/>
                      <w:highlight w:val="none"/>
                      <w:lang w:val="en-US" w:eastAsia="zh-CN" w:bidi="ar"/>
                    </w:rPr>
                    <w:t>韶关市曲江区农业农村局</w:t>
                  </w:r>
                </w:p>
              </w:tc>
              <w:tc>
                <w:tcPr>
                  <w:tcW w:w="2977" w:type="dxa"/>
                  <w:vAlign w:val="center"/>
                </w:tcPr>
                <w:p w14:paraId="5A8CA71B">
                  <w:pPr>
                    <w:pStyle w:val="49"/>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b w:val="0"/>
                      <w:bCs w:val="0"/>
                      <w:color w:val="auto"/>
                      <w:kern w:val="2"/>
                      <w:sz w:val="21"/>
                      <w:szCs w:val="21"/>
                      <w:highlight w:val="none"/>
                      <w:lang w:val="en-US" w:eastAsia="zh-CN" w:bidi="ar"/>
                    </w:rPr>
                    <w:t>为本招标项目</w:t>
                  </w:r>
                  <w:r>
                    <w:rPr>
                      <w:rFonts w:hint="eastAsia" w:hAnsi="宋体" w:eastAsia="宋体" w:cs="宋体"/>
                      <w:b w:val="0"/>
                      <w:bCs w:val="0"/>
                      <w:color w:val="auto"/>
                      <w:kern w:val="2"/>
                      <w:sz w:val="21"/>
                      <w:szCs w:val="21"/>
                      <w:highlight w:val="none"/>
                      <w:lang w:val="en-US" w:eastAsia="zh-CN" w:bidi="ar"/>
                    </w:rPr>
                    <w:t>监督</w:t>
                  </w:r>
                  <w:r>
                    <w:rPr>
                      <w:rFonts w:hint="eastAsia" w:ascii="宋体" w:hAnsi="宋体" w:eastAsia="宋体" w:cs="宋体"/>
                      <w:b w:val="0"/>
                      <w:bCs w:val="0"/>
                      <w:color w:val="auto"/>
                      <w:kern w:val="2"/>
                      <w:sz w:val="21"/>
                      <w:szCs w:val="21"/>
                      <w:highlight w:val="none"/>
                      <w:lang w:val="en-US" w:eastAsia="zh-CN" w:bidi="ar"/>
                    </w:rPr>
                    <w:t>单位</w:t>
                  </w:r>
                </w:p>
              </w:tc>
            </w:tr>
            <w:tr w14:paraId="3D5E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73002015">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cs="宋体"/>
                      <w:b w:val="0"/>
                      <w:bCs w:val="0"/>
                      <w:snapToGrid w:val="0"/>
                      <w:color w:val="auto"/>
                      <w:kern w:val="0"/>
                      <w:sz w:val="21"/>
                      <w:szCs w:val="21"/>
                      <w:highlight w:val="none"/>
                      <w:lang w:val="en-US" w:eastAsia="zh-CN"/>
                    </w:rPr>
                    <w:t>2</w:t>
                  </w:r>
                </w:p>
              </w:tc>
              <w:tc>
                <w:tcPr>
                  <w:tcW w:w="3445" w:type="dxa"/>
                  <w:vAlign w:val="center"/>
                </w:tcPr>
                <w:p w14:paraId="1D594C04">
                  <w:pPr>
                    <w:pStyle w:val="22"/>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韶关市曲江区乌石镇人民政府</w:t>
                  </w:r>
                </w:p>
              </w:tc>
              <w:tc>
                <w:tcPr>
                  <w:tcW w:w="2977" w:type="dxa"/>
                  <w:vAlign w:val="center"/>
                </w:tcPr>
                <w:p w14:paraId="77E9D97B">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为本招标项目的招标人</w:t>
                  </w:r>
                </w:p>
              </w:tc>
            </w:tr>
            <w:tr w14:paraId="1832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1AF59A03">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cs="宋体"/>
                      <w:b w:val="0"/>
                      <w:bCs w:val="0"/>
                      <w:snapToGrid w:val="0"/>
                      <w:color w:val="auto"/>
                      <w:kern w:val="0"/>
                      <w:sz w:val="21"/>
                      <w:szCs w:val="21"/>
                      <w:highlight w:val="none"/>
                      <w:lang w:val="en-US" w:eastAsia="zh-CN"/>
                    </w:rPr>
                    <w:t>3</w:t>
                  </w:r>
                </w:p>
              </w:tc>
              <w:tc>
                <w:tcPr>
                  <w:tcW w:w="3445" w:type="dxa"/>
                  <w:vAlign w:val="center"/>
                </w:tcPr>
                <w:p w14:paraId="7D534040">
                  <w:pPr>
                    <w:pStyle w:val="22"/>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深圳市祺骏建设工程顾问有限公司</w:t>
                  </w:r>
                </w:p>
              </w:tc>
              <w:tc>
                <w:tcPr>
                  <w:tcW w:w="2977" w:type="dxa"/>
                  <w:vAlign w:val="center"/>
                </w:tcPr>
                <w:p w14:paraId="7C2FD604">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rPr>
                    <w:t>为本招标项目的招标代理机构</w:t>
                  </w:r>
                </w:p>
              </w:tc>
            </w:tr>
            <w:tr w14:paraId="75087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4CCE75B5">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4</w:t>
                  </w:r>
                </w:p>
              </w:tc>
              <w:tc>
                <w:tcPr>
                  <w:tcW w:w="3445" w:type="dxa"/>
                  <w:vAlign w:val="center"/>
                </w:tcPr>
                <w:p w14:paraId="07AB9E42">
                  <w:pPr>
                    <w:pStyle w:val="22"/>
                    <w:wordWrap w:val="0"/>
                    <w:adjustRightInd w:val="0"/>
                    <w:snapToGrid w:val="0"/>
                    <w:spacing w:line="240" w:lineRule="auto"/>
                    <w:jc w:val="center"/>
                    <w:rPr>
                      <w:rFonts w:hint="default" w:asciiTheme="minorEastAsia" w:hAnsiTheme="minorEastAsia" w:eastAsiaTheme="minorEastAsia" w:cstheme="minorEastAsia"/>
                      <w:color w:val="auto"/>
                      <w:sz w:val="21"/>
                      <w:szCs w:val="21"/>
                      <w:highlight w:val="none"/>
                      <w:lang w:val="en-US" w:eastAsia="zh-CN"/>
                    </w:rPr>
                  </w:pPr>
                  <w:r>
                    <w:rPr>
                      <w:rFonts w:hint="default" w:asciiTheme="minorEastAsia" w:hAnsiTheme="minorEastAsia" w:eastAsiaTheme="minorEastAsia" w:cstheme="minorEastAsia"/>
                      <w:color w:val="auto"/>
                      <w:sz w:val="21"/>
                      <w:szCs w:val="21"/>
                      <w:highlight w:val="none"/>
                      <w:lang w:val="en-US" w:eastAsia="zh-CN"/>
                    </w:rPr>
                    <w:t>中启信项目咨询有限公司</w:t>
                  </w:r>
                </w:p>
              </w:tc>
              <w:tc>
                <w:tcPr>
                  <w:tcW w:w="2977" w:type="dxa"/>
                  <w:vAlign w:val="center"/>
                </w:tcPr>
                <w:p w14:paraId="01F59B98">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本招标项目的工程设计单位</w:t>
                  </w:r>
                </w:p>
              </w:tc>
            </w:tr>
            <w:tr w14:paraId="30EA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4767011C">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snapToGrid w:val="0"/>
                      <w:color w:val="auto"/>
                      <w:kern w:val="0"/>
                      <w:sz w:val="21"/>
                      <w:szCs w:val="21"/>
                      <w:highlight w:val="none"/>
                      <w:lang w:val="en-US" w:eastAsia="zh-CN"/>
                    </w:rPr>
                  </w:pPr>
                  <w:r>
                    <w:rPr>
                      <w:rFonts w:hint="eastAsia" w:ascii="宋体" w:hAnsi="宋体" w:cs="宋体"/>
                      <w:b w:val="0"/>
                      <w:bCs w:val="0"/>
                      <w:snapToGrid w:val="0"/>
                      <w:color w:val="auto"/>
                      <w:kern w:val="0"/>
                      <w:sz w:val="21"/>
                      <w:szCs w:val="21"/>
                      <w:highlight w:val="none"/>
                      <w:lang w:val="en-US" w:eastAsia="zh-CN"/>
                    </w:rPr>
                    <w:t>5</w:t>
                  </w:r>
                </w:p>
              </w:tc>
              <w:tc>
                <w:tcPr>
                  <w:tcW w:w="3445" w:type="dxa"/>
                  <w:vAlign w:val="center"/>
                </w:tcPr>
                <w:p w14:paraId="1B03233A">
                  <w:pPr>
                    <w:pStyle w:val="22"/>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广州信必达工程造价咨询有限公司</w:t>
                  </w:r>
                </w:p>
              </w:tc>
              <w:tc>
                <w:tcPr>
                  <w:tcW w:w="2977" w:type="dxa"/>
                  <w:vAlign w:val="center"/>
                </w:tcPr>
                <w:p w14:paraId="42CEF835">
                  <w:pPr>
                    <w:pStyle w:val="22"/>
                    <w:wordWrap w:val="0"/>
                    <w:adjustRightInd w:val="0"/>
                    <w:snapToGrid w:val="0"/>
                    <w:spacing w:line="240" w:lineRule="auto"/>
                    <w:jc w:val="center"/>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本招标项目的工程造价咨询单位</w:t>
                  </w:r>
                </w:p>
              </w:tc>
            </w:tr>
            <w:tr w14:paraId="2CF6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11066547">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b w:val="0"/>
                      <w:bCs w:val="0"/>
                      <w:snapToGrid w:val="0"/>
                      <w:color w:val="auto"/>
                      <w:kern w:val="0"/>
                      <w:sz w:val="21"/>
                      <w:szCs w:val="21"/>
                      <w:highlight w:val="none"/>
                      <w:lang w:val="en-US" w:eastAsia="zh-CN"/>
                    </w:rPr>
                    <w:t>6</w:t>
                  </w:r>
                </w:p>
              </w:tc>
              <w:tc>
                <w:tcPr>
                  <w:tcW w:w="3445" w:type="dxa"/>
                  <w:shd w:val="clear" w:color="auto" w:fill="auto"/>
                  <w:vAlign w:val="center"/>
                </w:tcPr>
                <w:p w14:paraId="2185BF34">
                  <w:pPr>
                    <w:pStyle w:val="22"/>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中大设计集团有限公司</w:t>
                  </w:r>
                </w:p>
              </w:tc>
              <w:tc>
                <w:tcPr>
                  <w:tcW w:w="2977" w:type="dxa"/>
                  <w:shd w:val="clear" w:color="auto" w:fill="auto"/>
                  <w:vAlign w:val="center"/>
                </w:tcPr>
                <w:p w14:paraId="46554078">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可研编制单位</w:t>
                  </w:r>
                </w:p>
              </w:tc>
            </w:tr>
            <w:tr w14:paraId="3677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76" w:type="dxa"/>
                  <w:vAlign w:val="center"/>
                </w:tcPr>
                <w:p w14:paraId="4D02AEC7">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default" w:ascii="宋体" w:hAnsi="宋体" w:cs="宋体"/>
                      <w:b w:val="0"/>
                      <w:bCs w:val="0"/>
                      <w:snapToGrid w:val="0"/>
                      <w:color w:val="auto"/>
                      <w:kern w:val="0"/>
                      <w:sz w:val="21"/>
                      <w:szCs w:val="21"/>
                      <w:highlight w:val="none"/>
                      <w:lang w:val="en-US" w:eastAsia="zh-CN"/>
                    </w:rPr>
                  </w:pPr>
                  <w:r>
                    <w:rPr>
                      <w:rFonts w:hint="eastAsia" w:ascii="宋体" w:hAnsi="宋体" w:cs="宋体"/>
                      <w:b w:val="0"/>
                      <w:bCs w:val="0"/>
                      <w:snapToGrid w:val="0"/>
                      <w:color w:val="auto"/>
                      <w:kern w:val="0"/>
                      <w:sz w:val="21"/>
                      <w:szCs w:val="21"/>
                      <w:highlight w:val="none"/>
                      <w:lang w:val="en-US" w:eastAsia="zh-CN"/>
                    </w:rPr>
                    <w:t>7</w:t>
                  </w:r>
                </w:p>
              </w:tc>
              <w:tc>
                <w:tcPr>
                  <w:tcW w:w="3445" w:type="dxa"/>
                  <w:shd w:val="clear" w:color="auto" w:fill="auto"/>
                  <w:vAlign w:val="center"/>
                </w:tcPr>
                <w:p w14:paraId="3615FAC9">
                  <w:pPr>
                    <w:pStyle w:val="22"/>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广东中水工程监理有限公司</w:t>
                  </w:r>
                </w:p>
              </w:tc>
              <w:tc>
                <w:tcPr>
                  <w:tcW w:w="2977" w:type="dxa"/>
                  <w:shd w:val="clear" w:color="auto" w:fill="auto"/>
                  <w:vAlign w:val="center"/>
                </w:tcPr>
                <w:p w14:paraId="648E806F">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 xml:space="preserve">监理单位 </w:t>
                  </w:r>
                </w:p>
              </w:tc>
            </w:tr>
          </w:tbl>
          <w:p w14:paraId="65F467D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5 ．其他要求</w:t>
            </w:r>
          </w:p>
          <w:p w14:paraId="4035EA87">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省外企业</w:t>
            </w:r>
            <w:r>
              <w:rPr>
                <w:rFonts w:hint="eastAsia" w:asciiTheme="minorEastAsia" w:hAnsiTheme="minorEastAsia" w:eastAsiaTheme="minorEastAsia" w:cstheme="minorEastAsia"/>
                <w:snapToGrid w:val="0"/>
                <w:color w:val="auto"/>
                <w:kern w:val="0"/>
                <w:sz w:val="21"/>
                <w:szCs w:val="21"/>
                <w:highlight w:val="none"/>
                <w:lang w:val="en-US" w:eastAsia="zh-CN"/>
              </w:rPr>
              <w:t>（包括组成联合体的所有成员单位）</w:t>
            </w:r>
            <w:r>
              <w:rPr>
                <w:rFonts w:hint="eastAsia" w:asciiTheme="minorEastAsia" w:hAnsiTheme="minorEastAsia" w:eastAsiaTheme="minorEastAsia" w:cstheme="minorEastAsia"/>
                <w:snapToGrid w:val="0"/>
                <w:color w:val="auto"/>
                <w:kern w:val="0"/>
                <w:sz w:val="21"/>
                <w:szCs w:val="21"/>
                <w:highlight w:val="none"/>
                <w:lang w:eastAsia="zh-CN"/>
              </w:rPr>
              <w:t>及其拟派往本项目管理机构的所有人员均须按照《广东省住房和城乡建设厅关于取消省外建筑企业和人员进粤信息备案有关工作的通知》（粤建市﹝2015 ﹞52 号）规定在“进粤企业和人员诚信信息登记平台”录入相关信息并通过数据规范检查。</w:t>
            </w:r>
          </w:p>
        </w:tc>
      </w:tr>
      <w:tr w14:paraId="6A79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atLeast"/>
        </w:trPr>
        <w:tc>
          <w:tcPr>
            <w:tcW w:w="582" w:type="dxa"/>
            <w:vAlign w:val="center"/>
          </w:tcPr>
          <w:p w14:paraId="77319962">
            <w:pPr>
              <w:spacing w:before="19"/>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rPr>
              <w:t>2</w:t>
            </w:r>
            <w:r>
              <w:rPr>
                <w:rFonts w:hint="eastAsia" w:asciiTheme="minorEastAsia" w:hAnsiTheme="minorEastAsia" w:eastAsiaTheme="minorEastAsia" w:cstheme="minorEastAsia"/>
                <w:color w:val="auto"/>
                <w:spacing w:val="-3"/>
                <w:sz w:val="21"/>
                <w:szCs w:val="21"/>
                <w:highlight w:val="none"/>
                <w:lang w:val="en-US" w:eastAsia="zh-CN"/>
              </w:rPr>
              <w:t>8</w:t>
            </w:r>
          </w:p>
        </w:tc>
        <w:tc>
          <w:tcPr>
            <w:tcW w:w="1860" w:type="dxa"/>
            <w:vAlign w:val="center"/>
          </w:tcPr>
          <w:p w14:paraId="351117F4">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投标有效期</w:t>
            </w:r>
          </w:p>
        </w:tc>
        <w:tc>
          <w:tcPr>
            <w:tcW w:w="7544" w:type="dxa"/>
            <w:vAlign w:val="center"/>
          </w:tcPr>
          <w:p w14:paraId="5ADA6D44">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本次招标的投标有效期为</w:t>
            </w:r>
            <w:r>
              <w:rPr>
                <w:rFonts w:hint="eastAsia" w:asciiTheme="minorEastAsia" w:hAnsiTheme="minorEastAsia" w:eastAsiaTheme="minorEastAsia" w:cstheme="minorEastAsia"/>
                <w:snapToGrid w:val="0"/>
                <w:color w:val="auto"/>
                <w:kern w:val="0"/>
                <w:sz w:val="21"/>
                <w:szCs w:val="21"/>
                <w:highlight w:val="none"/>
                <w:u w:val="single"/>
                <w:lang w:eastAsia="zh-CN"/>
              </w:rPr>
              <w:t>90</w:t>
            </w:r>
            <w:r>
              <w:rPr>
                <w:rFonts w:hint="eastAsia" w:asciiTheme="minorEastAsia" w:hAnsiTheme="minorEastAsia" w:eastAsiaTheme="minorEastAsia" w:cstheme="minorEastAsia"/>
                <w:snapToGrid w:val="0"/>
                <w:color w:val="auto"/>
                <w:kern w:val="0"/>
                <w:sz w:val="21"/>
                <w:szCs w:val="21"/>
                <w:highlight w:val="none"/>
                <w:lang w:eastAsia="zh-CN"/>
              </w:rPr>
              <w:t xml:space="preserve"> 个日历天。</w:t>
            </w:r>
          </w:p>
        </w:tc>
      </w:tr>
      <w:tr w14:paraId="7429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0" w:hRule="atLeast"/>
        </w:trPr>
        <w:tc>
          <w:tcPr>
            <w:tcW w:w="582" w:type="dxa"/>
            <w:vAlign w:val="center"/>
          </w:tcPr>
          <w:p w14:paraId="39629713">
            <w:pPr>
              <w:spacing w:before="69" w:line="188" w:lineRule="auto"/>
              <w:ind w:left="205"/>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29</w:t>
            </w:r>
          </w:p>
        </w:tc>
        <w:tc>
          <w:tcPr>
            <w:tcW w:w="1860" w:type="dxa"/>
            <w:vAlign w:val="center"/>
          </w:tcPr>
          <w:p w14:paraId="5F554539">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投标文件组成</w:t>
            </w:r>
          </w:p>
        </w:tc>
        <w:tc>
          <w:tcPr>
            <w:tcW w:w="7544" w:type="dxa"/>
            <w:vAlign w:val="center"/>
          </w:tcPr>
          <w:p w14:paraId="6298FD5A">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投标文件包括商务标书、经济标书、施工组织设计</w:t>
            </w:r>
            <w:r>
              <w:rPr>
                <w:rFonts w:hint="eastAsia" w:asciiTheme="minorEastAsia" w:hAnsiTheme="minorEastAsia" w:eastAsiaTheme="minorEastAsia" w:cstheme="minorEastAsia"/>
                <w:snapToGrid w:val="0"/>
                <w:color w:val="auto"/>
                <w:kern w:val="0"/>
                <w:sz w:val="21"/>
                <w:szCs w:val="21"/>
                <w:highlight w:val="none"/>
                <w:lang w:val="en-US" w:eastAsia="zh-CN"/>
              </w:rPr>
              <w:t>和</w:t>
            </w:r>
            <w:r>
              <w:rPr>
                <w:rFonts w:hint="eastAsia" w:asciiTheme="minorEastAsia" w:hAnsiTheme="minorEastAsia" w:eastAsiaTheme="minorEastAsia" w:cstheme="minorEastAsia"/>
                <w:snapToGrid w:val="0"/>
                <w:color w:val="auto"/>
                <w:kern w:val="0"/>
                <w:sz w:val="21"/>
                <w:szCs w:val="21"/>
                <w:highlight w:val="none"/>
                <w:lang w:eastAsia="zh-CN"/>
              </w:rPr>
              <w:t>定标文件四个分册。</w:t>
            </w:r>
          </w:p>
        </w:tc>
      </w:tr>
      <w:tr w14:paraId="0BE6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atLeast"/>
        </w:trPr>
        <w:tc>
          <w:tcPr>
            <w:tcW w:w="582" w:type="dxa"/>
            <w:vAlign w:val="center"/>
          </w:tcPr>
          <w:p w14:paraId="23F8BF94">
            <w:pPr>
              <w:spacing w:before="69" w:line="188" w:lineRule="auto"/>
              <w:ind w:left="205"/>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3"/>
                <w:sz w:val="21"/>
                <w:szCs w:val="21"/>
                <w:highlight w:val="none"/>
                <w:lang w:val="en-US" w:eastAsia="zh-CN"/>
              </w:rPr>
              <w:t>30</w:t>
            </w:r>
          </w:p>
        </w:tc>
        <w:tc>
          <w:tcPr>
            <w:tcW w:w="1860" w:type="dxa"/>
            <w:vAlign w:val="center"/>
          </w:tcPr>
          <w:p w14:paraId="49DE2E5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施工组织设计评审方式</w:t>
            </w:r>
          </w:p>
        </w:tc>
        <w:tc>
          <w:tcPr>
            <w:tcW w:w="7544" w:type="dxa"/>
            <w:vAlign w:val="center"/>
          </w:tcPr>
          <w:p w14:paraId="53E89E26">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本次招标施工组织设计 不采用 “暗标 ”方式进行评审。</w:t>
            </w:r>
          </w:p>
        </w:tc>
      </w:tr>
      <w:tr w14:paraId="0469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549E241C">
            <w:pPr>
              <w:spacing w:before="69" w:line="188" w:lineRule="auto"/>
              <w:ind w:left="209"/>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1</w:t>
            </w:r>
          </w:p>
        </w:tc>
        <w:tc>
          <w:tcPr>
            <w:tcW w:w="1860" w:type="dxa"/>
            <w:vAlign w:val="center"/>
          </w:tcPr>
          <w:p w14:paraId="147BE24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评标委员会</w:t>
            </w:r>
          </w:p>
        </w:tc>
        <w:tc>
          <w:tcPr>
            <w:tcW w:w="7544" w:type="dxa"/>
            <w:vAlign w:val="top"/>
          </w:tcPr>
          <w:p w14:paraId="7E3153EC">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评标委员会由 </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lang w:eastAsia="zh-CN"/>
              </w:rPr>
              <w:t xml:space="preserve"> 人组成，其中招标人代表 0 人，专家 </w:t>
            </w:r>
            <w:r>
              <w:rPr>
                <w:rFonts w:hint="eastAsia" w:asciiTheme="minorEastAsia" w:hAnsiTheme="minorEastAsia" w:eastAsiaTheme="minorEastAsia" w:cstheme="minorEastAsia"/>
                <w:snapToGrid w:val="0"/>
                <w:color w:val="auto"/>
                <w:kern w:val="0"/>
                <w:sz w:val="21"/>
                <w:szCs w:val="21"/>
                <w:highlight w:val="none"/>
                <w:lang w:val="en-US" w:eastAsia="zh-CN"/>
              </w:rPr>
              <w:t>5</w:t>
            </w:r>
            <w:r>
              <w:rPr>
                <w:rFonts w:hint="eastAsia" w:asciiTheme="minorEastAsia" w:hAnsiTheme="minorEastAsia" w:eastAsiaTheme="minorEastAsia" w:cstheme="minorEastAsia"/>
                <w:snapToGrid w:val="0"/>
                <w:color w:val="auto"/>
                <w:kern w:val="0"/>
                <w:sz w:val="21"/>
                <w:szCs w:val="21"/>
                <w:highlight w:val="none"/>
                <w:lang w:eastAsia="zh-CN"/>
              </w:rPr>
              <w:t xml:space="preserve"> 人。专家从广东省综合评标评审专家库（韶关区域）中随机抽取，其中技术类专家 3 人，经济类专家 2 人。</w:t>
            </w:r>
          </w:p>
        </w:tc>
      </w:tr>
      <w:tr w14:paraId="248CB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8" w:hRule="atLeast"/>
        </w:trPr>
        <w:tc>
          <w:tcPr>
            <w:tcW w:w="582" w:type="dxa"/>
            <w:vAlign w:val="center"/>
          </w:tcPr>
          <w:p w14:paraId="35FD8C92">
            <w:pPr>
              <w:spacing w:before="69"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32</w:t>
            </w:r>
          </w:p>
        </w:tc>
        <w:tc>
          <w:tcPr>
            <w:tcW w:w="1860" w:type="dxa"/>
            <w:vAlign w:val="center"/>
          </w:tcPr>
          <w:p w14:paraId="36B2975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定</w:t>
            </w:r>
            <w:r>
              <w:rPr>
                <w:rFonts w:hint="eastAsia" w:asciiTheme="minorEastAsia" w:hAnsiTheme="minorEastAsia" w:eastAsiaTheme="minorEastAsia" w:cstheme="minorEastAsia"/>
                <w:color w:val="auto"/>
                <w:sz w:val="21"/>
                <w:szCs w:val="21"/>
                <w:highlight w:val="none"/>
              </w:rPr>
              <w:t>标委员会</w:t>
            </w:r>
          </w:p>
        </w:tc>
        <w:tc>
          <w:tcPr>
            <w:tcW w:w="7544" w:type="dxa"/>
            <w:vAlign w:val="center"/>
          </w:tcPr>
          <w:p w14:paraId="062BDE77">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color w:val="auto"/>
                <w:sz w:val="21"/>
                <w:szCs w:val="21"/>
                <w:highlight w:val="none"/>
                <w:u w:val="none"/>
                <w:lang w:val="en-US" w:eastAsia="zh-CN"/>
              </w:rPr>
              <w:t>本</w:t>
            </w:r>
            <w:r>
              <w:rPr>
                <w:rFonts w:hint="eastAsia" w:asciiTheme="minorEastAsia" w:hAnsiTheme="minorEastAsia" w:eastAsiaTheme="minorEastAsia" w:cstheme="minorEastAsia"/>
                <w:color w:val="auto"/>
                <w:sz w:val="21"/>
                <w:szCs w:val="21"/>
                <w:highlight w:val="none"/>
                <w:u w:val="none"/>
                <w:lang w:eastAsia="zh-CN"/>
              </w:rPr>
              <w:t>项目</w:t>
            </w:r>
            <w:r>
              <w:rPr>
                <w:rFonts w:hint="eastAsia" w:asciiTheme="minorEastAsia" w:hAnsiTheme="minorEastAsia" w:eastAsiaTheme="minorEastAsia" w:cstheme="minorEastAsia"/>
                <w:color w:val="auto"/>
                <w:sz w:val="21"/>
                <w:szCs w:val="21"/>
                <w:highlight w:val="none"/>
                <w:u w:val="none"/>
              </w:rPr>
              <w:t>定标委员会</w:t>
            </w:r>
            <w:r>
              <w:rPr>
                <w:rFonts w:hint="eastAsia" w:asciiTheme="minorEastAsia" w:hAnsiTheme="minorEastAsia" w:eastAsiaTheme="minorEastAsia" w:cstheme="minorEastAsia"/>
                <w:color w:val="auto"/>
                <w:sz w:val="21"/>
                <w:szCs w:val="21"/>
                <w:highlight w:val="none"/>
                <w:u w:val="none"/>
                <w:lang w:eastAsia="zh-CN"/>
              </w:rPr>
              <w:t>组成人</w:t>
            </w:r>
            <w:r>
              <w:rPr>
                <w:rFonts w:hint="eastAsia" w:asciiTheme="minorEastAsia" w:hAnsiTheme="minorEastAsia" w:eastAsiaTheme="minorEastAsia" w:cstheme="minorEastAsia"/>
                <w:color w:val="auto"/>
                <w:sz w:val="21"/>
                <w:szCs w:val="21"/>
                <w:highlight w:val="none"/>
                <w:u w:val="none"/>
              </w:rPr>
              <w:t>员为</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single"/>
                <w:lang w:val="en-US" w:eastAsia="zh-CN"/>
              </w:rPr>
              <w:t xml:space="preserve">7 </w:t>
            </w:r>
            <w:r>
              <w:rPr>
                <w:rFonts w:hint="eastAsia" w:asciiTheme="minorEastAsia" w:hAnsiTheme="minorEastAsia" w:eastAsiaTheme="minorEastAsia" w:cstheme="minorEastAsia"/>
                <w:color w:val="auto"/>
                <w:sz w:val="21"/>
                <w:szCs w:val="21"/>
                <w:highlight w:val="none"/>
              </w:rPr>
              <w:t>人</w:t>
            </w:r>
            <w:r>
              <w:rPr>
                <w:rFonts w:hint="eastAsia" w:asciiTheme="minorEastAsia" w:hAnsiTheme="minorEastAsia" w:eastAsiaTheme="minorEastAsia" w:cstheme="minorEastAsia"/>
                <w:color w:val="auto"/>
                <w:sz w:val="21"/>
                <w:szCs w:val="21"/>
                <w:highlight w:val="none"/>
                <w:u w:val="none"/>
                <w:lang w:eastAsia="zh-CN"/>
              </w:rPr>
              <w:t>。</w:t>
            </w:r>
          </w:p>
        </w:tc>
      </w:tr>
      <w:tr w14:paraId="4069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1400A1DD">
            <w:pPr>
              <w:spacing w:before="258" w:line="188" w:lineRule="auto"/>
              <w:ind w:left="209"/>
              <w:jc w:val="both"/>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33</w:t>
            </w:r>
          </w:p>
        </w:tc>
        <w:tc>
          <w:tcPr>
            <w:tcW w:w="1860" w:type="dxa"/>
            <w:vAlign w:val="center"/>
          </w:tcPr>
          <w:p w14:paraId="7DEC51F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评标方法</w:t>
            </w:r>
          </w:p>
        </w:tc>
        <w:tc>
          <w:tcPr>
            <w:tcW w:w="7544" w:type="dxa"/>
            <w:vAlign w:val="center"/>
          </w:tcPr>
          <w:p w14:paraId="4A27804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  □ A＋B 值评标法  □经评审的最低投标价法   ☑综合评估法</w:t>
            </w:r>
          </w:p>
        </w:tc>
      </w:tr>
      <w:tr w14:paraId="2574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6CEE2DF4">
            <w:pPr>
              <w:spacing w:before="258"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34</w:t>
            </w:r>
          </w:p>
        </w:tc>
        <w:tc>
          <w:tcPr>
            <w:tcW w:w="1860" w:type="dxa"/>
            <w:vAlign w:val="center"/>
          </w:tcPr>
          <w:p w14:paraId="4F99436B">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投标文件编制</w:t>
            </w:r>
            <w:r>
              <w:rPr>
                <w:rFonts w:hint="eastAsia" w:asciiTheme="minorEastAsia" w:hAnsiTheme="minorEastAsia" w:eastAsiaTheme="minorEastAsia" w:cstheme="minorEastAsia"/>
                <w:snapToGrid w:val="0"/>
                <w:color w:val="auto"/>
                <w:kern w:val="0"/>
                <w:sz w:val="21"/>
                <w:szCs w:val="21"/>
                <w:highlight w:val="none"/>
                <w:lang w:eastAsia="zh-CN"/>
              </w:rPr>
              <w:t>及</w:t>
            </w:r>
            <w:r>
              <w:rPr>
                <w:rFonts w:hint="eastAsia" w:asciiTheme="minorEastAsia" w:hAnsiTheme="minorEastAsia" w:eastAsiaTheme="minorEastAsia" w:cstheme="minorEastAsia"/>
                <w:snapToGrid w:val="0"/>
                <w:color w:val="auto"/>
                <w:kern w:val="0"/>
                <w:sz w:val="21"/>
                <w:szCs w:val="21"/>
                <w:highlight w:val="none"/>
              </w:rPr>
              <w:t>份数要求</w:t>
            </w:r>
          </w:p>
        </w:tc>
        <w:tc>
          <w:tcPr>
            <w:tcW w:w="7544" w:type="dxa"/>
            <w:vAlign w:val="center"/>
          </w:tcPr>
          <w:p w14:paraId="1D5081FB">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投标人须上传（递交）投标文件：</w:t>
            </w:r>
          </w:p>
          <w:p w14:paraId="5DFDF2C6">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1、电子投标文件一套：</w:t>
            </w:r>
          </w:p>
          <w:p w14:paraId="2D814D67">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（1）商务标书1份；</w:t>
            </w:r>
          </w:p>
          <w:p w14:paraId="3F9DD380">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（2）经济标书1份；</w:t>
            </w:r>
          </w:p>
          <w:p w14:paraId="16067C61">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 xml:space="preserve">（3）施工组织设计1份； </w:t>
            </w:r>
          </w:p>
          <w:p w14:paraId="2048C2C9">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（4）定标文件1份；</w:t>
            </w:r>
          </w:p>
          <w:p w14:paraId="661E79A2">
            <w:pPr>
              <w:keepNext w:val="0"/>
              <w:keepLines w:val="0"/>
              <w:pageBreakBefore w:val="0"/>
              <w:widowControl/>
              <w:suppressLineNumbers w:val="0"/>
              <w:shd w:val="clear" w:color="auto" w:fill="auto"/>
              <w:overflowPunct/>
              <w:topLinePunct w:val="0"/>
              <w:bidi w:val="0"/>
              <w:spacing w:line="360" w:lineRule="auto"/>
              <w:ind w:firstLine="210" w:firstLineChars="1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2、对应评审要求的分项响应文件（如有）。</w:t>
            </w:r>
          </w:p>
          <w:p w14:paraId="4ABF173D">
            <w:pPr>
              <w:keepNext w:val="0"/>
              <w:keepLines w:val="0"/>
              <w:pageBreakBefore w:val="0"/>
              <w:widowControl/>
              <w:suppressLineNumbers w:val="0"/>
              <w:shd w:val="clear" w:color="auto" w:fill="auto"/>
              <w:overflowPunct/>
              <w:topLinePunct w:val="0"/>
              <w:bidi w:val="0"/>
              <w:spacing w:line="360" w:lineRule="auto"/>
              <w:ind w:firstLine="420" w:firstLineChars="200"/>
              <w:jc w:val="left"/>
              <w:textAlignment w:val="center"/>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https://ygp.gdzwfw.gov.cn/ggzy-portal/#/440200/index）交易指引。</w:t>
            </w:r>
          </w:p>
          <w:p w14:paraId="0B72CA08">
            <w:pPr>
              <w:keepNext w:val="0"/>
              <w:keepLines w:val="0"/>
              <w:pageBreakBefore w:val="0"/>
              <w:widowControl w:val="0"/>
              <w:suppressLineNumbers w:val="0"/>
              <w:kinsoku/>
              <w:wordWrap/>
              <w:overflowPunct/>
              <w:topLinePunct w:val="0"/>
              <w:autoSpaceDE/>
              <w:autoSpaceDN/>
              <w:bidi w:val="0"/>
              <w:adjustRightInd/>
              <w:snapToGrid/>
              <w:spacing w:line="360" w:lineRule="auto"/>
              <w:ind w:left="105" w:leftChars="50" w:right="105" w:rightChars="50" w:firstLine="420" w:firstLineChars="200"/>
              <w:jc w:val="left"/>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注：投标人被确定为中标人后，应从交易系统打印二套纸质投标文件（含签名盖章页），内容同电子投标文件，在签订本招标项目承包合同前分别提交给招标人和招标管理部门。（除招标文件约定外，纸质标书须与电子标书一致，不一致的以电子标书为准）。</w:t>
            </w:r>
          </w:p>
        </w:tc>
      </w:tr>
      <w:tr w14:paraId="14153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515477B8">
            <w:pPr>
              <w:spacing w:before="258"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35</w:t>
            </w:r>
          </w:p>
        </w:tc>
        <w:tc>
          <w:tcPr>
            <w:tcW w:w="1860" w:type="dxa"/>
            <w:vAlign w:val="center"/>
          </w:tcPr>
          <w:p w14:paraId="74DD4215">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定标办法</w:t>
            </w:r>
          </w:p>
        </w:tc>
        <w:tc>
          <w:tcPr>
            <w:tcW w:w="7544" w:type="dxa"/>
            <w:vAlign w:val="center"/>
          </w:tcPr>
          <w:p w14:paraId="434425EF">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采用</w:t>
            </w:r>
            <w:r>
              <w:rPr>
                <w:rFonts w:hint="eastAsia" w:asciiTheme="minorEastAsia" w:hAnsiTheme="minorEastAsia" w:eastAsiaTheme="minorEastAsia" w:cstheme="minorEastAsia"/>
                <w:b/>
                <w:bCs w:val="0"/>
                <w:snapToGrid w:val="0"/>
                <w:color w:val="auto"/>
                <w:kern w:val="0"/>
                <w:sz w:val="21"/>
                <w:szCs w:val="21"/>
                <w:highlight w:val="none"/>
                <w:lang w:val="en-US" w:eastAsia="zh-CN"/>
              </w:rPr>
              <w:t>评定分离</w:t>
            </w:r>
            <w:r>
              <w:rPr>
                <w:rFonts w:hint="eastAsia" w:asciiTheme="minorEastAsia" w:hAnsiTheme="minorEastAsia" w:eastAsiaTheme="minorEastAsia" w:cstheme="minorEastAsia"/>
                <w:bCs/>
                <w:snapToGrid w:val="0"/>
                <w:color w:val="auto"/>
                <w:kern w:val="0"/>
                <w:sz w:val="21"/>
                <w:szCs w:val="21"/>
                <w:highlight w:val="none"/>
                <w:lang w:val="en-US" w:eastAsia="zh-CN"/>
              </w:rPr>
              <w:t>的项目，应选定下列定标办法：</w:t>
            </w:r>
          </w:p>
          <w:p w14:paraId="389B1B01">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☑票决数量法</w:t>
            </w:r>
          </w:p>
          <w:p w14:paraId="344C818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□票决计分法</w:t>
            </w:r>
          </w:p>
          <w:p w14:paraId="60102FE3">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□集体议事法</w:t>
            </w:r>
          </w:p>
          <w:p w14:paraId="4BE6FD5B">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□其他方法：</w:t>
            </w:r>
          </w:p>
        </w:tc>
      </w:tr>
      <w:tr w14:paraId="3A7D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trPr>
        <w:tc>
          <w:tcPr>
            <w:tcW w:w="582" w:type="dxa"/>
            <w:vAlign w:val="center"/>
          </w:tcPr>
          <w:p w14:paraId="46D5AAE1">
            <w:pPr>
              <w:spacing w:before="258" w:line="188" w:lineRule="auto"/>
              <w:ind w:left="209"/>
              <w:jc w:val="both"/>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36</w:t>
            </w:r>
          </w:p>
        </w:tc>
        <w:tc>
          <w:tcPr>
            <w:tcW w:w="1860" w:type="dxa"/>
            <w:vAlign w:val="center"/>
          </w:tcPr>
          <w:p w14:paraId="7DF19486">
            <w:pPr>
              <w:keepNext w:val="0"/>
              <w:keepLines w:val="0"/>
              <w:pageBreakBefore w:val="0"/>
              <w:widowControl w:val="0"/>
              <w:shd w:val="clear" w:color="auto" w:fill="auto"/>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纳入百千万工程公益性项目</w:t>
            </w:r>
          </w:p>
        </w:tc>
        <w:tc>
          <w:tcPr>
            <w:tcW w:w="7544" w:type="dxa"/>
            <w:vAlign w:val="center"/>
          </w:tcPr>
          <w:p w14:paraId="22EEB78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14:paraId="3BE075BA">
            <w:pPr>
              <w:keepNext w:val="0"/>
              <w:keepLines w:val="0"/>
              <w:pageBreakBefore w:val="0"/>
              <w:widowControl w:val="0"/>
              <w:suppressLineNumbers w:val="0"/>
              <w:kinsoku/>
              <w:wordWrap/>
              <w:overflowPunct/>
              <w:topLinePunct w:val="0"/>
              <w:autoSpaceDE/>
              <w:autoSpaceDN/>
              <w:bidi w:val="0"/>
              <w:adjustRightInd/>
              <w:snapToGrid/>
              <w:spacing w:line="400" w:lineRule="exact"/>
              <w:ind w:left="105" w:leftChars="50" w:right="105" w:rightChars="50" w:firstLine="420" w:firstLineChars="200"/>
              <w:jc w:val="left"/>
              <w:textAlignment w:val="auto"/>
              <w:rPr>
                <w:rFonts w:hint="eastAsia" w:asciiTheme="minorEastAsia" w:hAnsiTheme="minorEastAsia" w:eastAsiaTheme="minorEastAsia" w:cstheme="minorEastAsia"/>
                <w:bCs/>
                <w:snapToGrid w:val="0"/>
                <w:color w:val="auto"/>
                <w:kern w:val="0"/>
                <w:sz w:val="21"/>
                <w:szCs w:val="21"/>
                <w:highlight w:val="none"/>
                <w:lang w:val="en-US" w:eastAsia="zh-CN"/>
              </w:rPr>
            </w:pPr>
            <w:r>
              <w:rPr>
                <w:rFonts w:hint="eastAsia" w:asciiTheme="minorEastAsia" w:hAnsiTheme="minorEastAsia" w:eastAsiaTheme="minorEastAsia" w:cstheme="minorEastAsia"/>
                <w:bCs/>
                <w:snapToGrid w:val="0"/>
                <w:color w:val="auto"/>
                <w:kern w:val="0"/>
                <w:sz w:val="21"/>
                <w:szCs w:val="21"/>
                <w:highlight w:val="none"/>
                <w:lang w:val="en-US" w:eastAsia="zh-CN"/>
              </w:rPr>
              <w:t>投标人需提供自愿助力百千万工程公益性项目公益捐建（捐赠或配建）进度计划及保证措施；以投标人自愿为原则，按招标文件格式格式十六要求提供《助力项目承诺书》。</w:t>
            </w:r>
          </w:p>
        </w:tc>
      </w:tr>
      <w:tr w14:paraId="2AAF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trPr>
        <w:tc>
          <w:tcPr>
            <w:tcW w:w="582" w:type="dxa"/>
            <w:vAlign w:val="center"/>
          </w:tcPr>
          <w:p w14:paraId="0FDB9118">
            <w:pPr>
              <w:spacing w:before="57" w:line="195"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w:t>
            </w:r>
          </w:p>
        </w:tc>
        <w:tc>
          <w:tcPr>
            <w:tcW w:w="1860" w:type="dxa"/>
            <w:vAlign w:val="center"/>
          </w:tcPr>
          <w:p w14:paraId="482E59B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招标文件要求提交的用于评审的证书、证件、证明原件</w:t>
            </w:r>
          </w:p>
        </w:tc>
        <w:tc>
          <w:tcPr>
            <w:tcW w:w="7544" w:type="dxa"/>
            <w:vAlign w:val="top"/>
          </w:tcPr>
          <w:p w14:paraId="3BA7D70D">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投标人在提交用于评审的证书、证件、证明原件的，投标人应自行将所需原件密封于文件袋（箱）中，并自行准备两张“原件一览表 ” (详见格式十五，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14:paraId="3EBD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7" w:hRule="atLeast"/>
        </w:trPr>
        <w:tc>
          <w:tcPr>
            <w:tcW w:w="582" w:type="dxa"/>
            <w:vAlign w:val="center"/>
          </w:tcPr>
          <w:p w14:paraId="1932BDBC">
            <w:pPr>
              <w:spacing w:before="69" w:line="188" w:lineRule="auto"/>
              <w:ind w:left="209"/>
              <w:rPr>
                <w:rFonts w:hint="eastAsia" w:asciiTheme="minorEastAsia" w:hAnsiTheme="minorEastAsia" w:eastAsiaTheme="minorEastAsia" w:cstheme="minorEastAsia"/>
                <w:color w:val="auto"/>
                <w:spacing w:val="-5"/>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lang w:eastAsia="zh-CN"/>
              </w:rPr>
              <w:t>3</w:t>
            </w:r>
            <w:r>
              <w:rPr>
                <w:rFonts w:hint="eastAsia" w:asciiTheme="minorEastAsia" w:hAnsiTheme="minorEastAsia" w:eastAsiaTheme="minorEastAsia" w:cstheme="minorEastAsia"/>
                <w:color w:val="auto"/>
                <w:spacing w:val="-5"/>
                <w:sz w:val="21"/>
                <w:szCs w:val="21"/>
                <w:highlight w:val="none"/>
                <w:lang w:val="en-US" w:eastAsia="zh-CN"/>
              </w:rPr>
              <w:t>8</w:t>
            </w:r>
          </w:p>
        </w:tc>
        <w:tc>
          <w:tcPr>
            <w:tcW w:w="1860" w:type="dxa"/>
            <w:vAlign w:val="center"/>
          </w:tcPr>
          <w:p w14:paraId="7474D5D5">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招标代理费和评标专家酬劳</w:t>
            </w:r>
          </w:p>
        </w:tc>
        <w:tc>
          <w:tcPr>
            <w:tcW w:w="7544" w:type="dxa"/>
            <w:vAlign w:val="center"/>
          </w:tcPr>
          <w:p w14:paraId="6109F0EE">
            <w:pPr>
              <w:pageBreakBefore w:val="0"/>
              <w:widowControl w:val="0"/>
              <w:kinsoku/>
              <w:wordWrap w:val="0"/>
              <w:overflowPunct/>
              <w:topLinePunct w:val="0"/>
              <w:autoSpaceDE/>
              <w:autoSpaceDN/>
              <w:bidi w:val="0"/>
              <w:adjustRightInd w:val="0"/>
              <w:snapToGrid w:val="0"/>
              <w:spacing w:line="400" w:lineRule="exact"/>
              <w:ind w:left="0" w:leftChars="0" w:firstLine="191" w:firstLineChars="91"/>
              <w:jc w:val="both"/>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工程的招标代理费由中标人支付，该费用不再另行报价，由投标人在投标报价时综合考虑在内。中标人须向招标代理机构一次性支付（招标代理服务费：根据《招标代理服务收费管理暂行办法》（计价格[2002]1980号）计算。</w:t>
            </w:r>
          </w:p>
        </w:tc>
      </w:tr>
      <w:tr w14:paraId="022B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trPr>
        <w:tc>
          <w:tcPr>
            <w:tcW w:w="582" w:type="dxa"/>
            <w:vAlign w:val="center"/>
          </w:tcPr>
          <w:p w14:paraId="2E1FF47D">
            <w:pPr>
              <w:spacing w:before="69" w:line="188"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5"/>
                <w:sz w:val="21"/>
                <w:szCs w:val="21"/>
                <w:highlight w:val="none"/>
              </w:rPr>
              <w:t>3</w:t>
            </w:r>
            <w:r>
              <w:rPr>
                <w:rFonts w:hint="eastAsia" w:asciiTheme="minorEastAsia" w:hAnsiTheme="minorEastAsia" w:eastAsiaTheme="minorEastAsia" w:cstheme="minorEastAsia"/>
                <w:color w:val="auto"/>
                <w:spacing w:val="-5"/>
                <w:sz w:val="21"/>
                <w:szCs w:val="21"/>
                <w:highlight w:val="none"/>
                <w:lang w:val="en-US" w:eastAsia="zh-CN"/>
              </w:rPr>
              <w:t>9</w:t>
            </w:r>
          </w:p>
        </w:tc>
        <w:tc>
          <w:tcPr>
            <w:tcW w:w="1860" w:type="dxa"/>
            <w:vAlign w:val="center"/>
          </w:tcPr>
          <w:p w14:paraId="286FFCCD">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招标人</w:t>
            </w:r>
          </w:p>
          <w:p w14:paraId="55BB2098">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05D7D285">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rPr>
              <w:t>单位名称：</w:t>
            </w:r>
            <w:r>
              <w:rPr>
                <w:rFonts w:hint="eastAsia" w:asciiTheme="minorEastAsia" w:hAnsiTheme="minorEastAsia" w:eastAsiaTheme="minorEastAsia" w:cstheme="minorEastAsia"/>
                <w:snapToGrid w:val="0"/>
                <w:color w:val="auto"/>
                <w:kern w:val="0"/>
                <w:sz w:val="21"/>
                <w:szCs w:val="21"/>
                <w:highlight w:val="none"/>
                <w:lang w:eastAsia="zh-CN"/>
              </w:rPr>
              <w:t>韶关市曲江区乌石镇人民政府</w:t>
            </w:r>
          </w:p>
          <w:p w14:paraId="5A0EF3E0">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办公地址：韶关市曲江区乌石镇委（253省道东）</w:t>
            </w:r>
          </w:p>
          <w:p w14:paraId="1AFB1612">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yellow"/>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联系人（部门）</w:t>
            </w:r>
            <w:r>
              <w:rPr>
                <w:rFonts w:hint="eastAsia" w:asciiTheme="minorEastAsia" w:hAnsiTheme="minorEastAsia" w:eastAsiaTheme="minorEastAsia" w:cstheme="minorEastAsia"/>
                <w:snapToGrid w:val="0"/>
                <w:color w:val="auto"/>
                <w:kern w:val="0"/>
                <w:sz w:val="21"/>
                <w:szCs w:val="21"/>
                <w:highlight w:val="none"/>
                <w:shd w:val="clear"/>
                <w:lang w:val="en-US" w:eastAsia="zh-CN"/>
              </w:rPr>
              <w:t>：罗工</w:t>
            </w:r>
          </w:p>
          <w:p w14:paraId="240BAB19">
            <w:pPr>
              <w:wordWrap w:val="0"/>
              <w:adjustRightInd w:val="0"/>
              <w:snapToGrid w:val="0"/>
              <w:spacing w:line="36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联系电话：0751-6910808</w:t>
            </w:r>
          </w:p>
        </w:tc>
      </w:tr>
      <w:tr w14:paraId="7BAD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6" w:hRule="atLeast"/>
        </w:trPr>
        <w:tc>
          <w:tcPr>
            <w:tcW w:w="582" w:type="dxa"/>
            <w:vAlign w:val="center"/>
          </w:tcPr>
          <w:p w14:paraId="108C8FDE">
            <w:pPr>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40</w:t>
            </w:r>
          </w:p>
        </w:tc>
        <w:tc>
          <w:tcPr>
            <w:tcW w:w="1860" w:type="dxa"/>
            <w:vAlign w:val="center"/>
          </w:tcPr>
          <w:p w14:paraId="4E976BAF">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招标代理机构</w:t>
            </w:r>
          </w:p>
          <w:p w14:paraId="5B263A67">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联系方式</w:t>
            </w:r>
          </w:p>
        </w:tc>
        <w:tc>
          <w:tcPr>
            <w:tcW w:w="7544" w:type="dxa"/>
            <w:vAlign w:val="center"/>
          </w:tcPr>
          <w:p w14:paraId="750BEA47">
            <w:pPr>
              <w:pStyle w:val="22"/>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单位名称：深圳市祺骏建设工程顾问有限公司</w:t>
            </w:r>
          </w:p>
          <w:p w14:paraId="1A48753D">
            <w:pPr>
              <w:pStyle w:val="22"/>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办公地址：韶关市武江区沐溪大道168号韶关市辉越科技创业服务有限公司科研服务楼A422办公室(仅限于用作办公室使用)（武江分公司）</w:t>
            </w:r>
          </w:p>
          <w:p w14:paraId="77CB4FD6">
            <w:pPr>
              <w:pStyle w:val="22"/>
              <w:wordWrap w:val="0"/>
              <w:adjustRightInd w:val="0"/>
              <w:snapToGrid w:val="0"/>
              <w:spacing w:line="360" w:lineRule="auto"/>
              <w:ind w:firstLine="210" w:firstLineChars="100"/>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联系人：段工</w:t>
            </w:r>
          </w:p>
          <w:p w14:paraId="3FFC0508">
            <w:pPr>
              <w:pStyle w:val="22"/>
              <w:wordWrap w:val="0"/>
              <w:adjustRightInd w:val="0"/>
              <w:snapToGrid w:val="0"/>
              <w:spacing w:line="360" w:lineRule="auto"/>
              <w:ind w:firstLine="210" w:firstLineChars="100"/>
              <w:rPr>
                <w:rFonts w:hint="default"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 xml:space="preserve">联系电话：0751-8989515 </w:t>
            </w:r>
          </w:p>
        </w:tc>
      </w:tr>
      <w:tr w14:paraId="53A84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4" w:hRule="atLeast"/>
        </w:trPr>
        <w:tc>
          <w:tcPr>
            <w:tcW w:w="582" w:type="dxa"/>
            <w:vAlign w:val="center"/>
          </w:tcPr>
          <w:p w14:paraId="4913773C">
            <w:pPr>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41</w:t>
            </w:r>
          </w:p>
        </w:tc>
        <w:tc>
          <w:tcPr>
            <w:tcW w:w="1860" w:type="dxa"/>
            <w:vAlign w:val="center"/>
          </w:tcPr>
          <w:p w14:paraId="02AF1ADB">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交易场所联系方式</w:t>
            </w:r>
          </w:p>
        </w:tc>
        <w:tc>
          <w:tcPr>
            <w:tcW w:w="7544" w:type="dxa"/>
            <w:vAlign w:val="center"/>
          </w:tcPr>
          <w:p w14:paraId="0DBFDD57">
            <w:pPr>
              <w:pStyle w:val="22"/>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单位名称：韶关市公共资源交易中心</w:t>
            </w:r>
          </w:p>
          <w:p w14:paraId="785348AF">
            <w:pPr>
              <w:pStyle w:val="22"/>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办公地址：韶关市曲江区马坝镇鞍山路曲江文化中心一楼</w:t>
            </w:r>
          </w:p>
          <w:p w14:paraId="04E12F23">
            <w:pPr>
              <w:pStyle w:val="22"/>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联系人（部门）：工程交易部</w:t>
            </w:r>
          </w:p>
          <w:p w14:paraId="4C81BEE4">
            <w:pPr>
              <w:pStyle w:val="22"/>
              <w:wordWrap w:val="0"/>
              <w:adjustRightInd w:val="0"/>
              <w:snapToGrid w:val="0"/>
              <w:spacing w:line="360" w:lineRule="auto"/>
              <w:ind w:firstLine="210" w:firstLineChars="100"/>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联系电话：0751-6690193</w:t>
            </w:r>
          </w:p>
        </w:tc>
      </w:tr>
      <w:tr w14:paraId="55AF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4" w:hRule="atLeast"/>
        </w:trPr>
        <w:tc>
          <w:tcPr>
            <w:tcW w:w="582" w:type="dxa"/>
            <w:vAlign w:val="center"/>
          </w:tcPr>
          <w:p w14:paraId="09465065">
            <w:pPr>
              <w:spacing w:before="69" w:line="188" w:lineRule="auto"/>
              <w:jc w:val="center"/>
              <w:rPr>
                <w:rFonts w:hint="eastAsia" w:asciiTheme="minorEastAsia" w:hAnsiTheme="minorEastAsia" w:eastAsiaTheme="minorEastAsia" w:cstheme="minorEastAsia"/>
                <w:color w:val="auto"/>
                <w:spacing w:val="-5"/>
                <w:sz w:val="21"/>
                <w:szCs w:val="21"/>
                <w:highlight w:val="none"/>
                <w:lang w:val="en-US" w:eastAsia="zh-CN"/>
              </w:rPr>
            </w:pPr>
            <w:r>
              <w:rPr>
                <w:rFonts w:hint="eastAsia" w:asciiTheme="minorEastAsia" w:hAnsiTheme="minorEastAsia" w:eastAsiaTheme="minorEastAsia" w:cstheme="minorEastAsia"/>
                <w:color w:val="auto"/>
                <w:spacing w:val="-5"/>
                <w:sz w:val="21"/>
                <w:szCs w:val="21"/>
                <w:highlight w:val="none"/>
                <w:lang w:val="en-US" w:eastAsia="zh-CN"/>
              </w:rPr>
              <w:t>42</w:t>
            </w:r>
          </w:p>
        </w:tc>
        <w:tc>
          <w:tcPr>
            <w:tcW w:w="1860" w:type="dxa"/>
            <w:vAlign w:val="center"/>
          </w:tcPr>
          <w:p w14:paraId="1196A253">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行政监督部</w:t>
            </w:r>
          </w:p>
          <w:p w14:paraId="700C1DBE">
            <w:pPr>
              <w:pageBreakBefore w:val="0"/>
              <w:widowControl w:val="0"/>
              <w:kinsoku/>
              <w:wordWrap w:val="0"/>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门联系方式</w:t>
            </w:r>
          </w:p>
        </w:tc>
        <w:tc>
          <w:tcPr>
            <w:tcW w:w="7544" w:type="dxa"/>
            <w:vAlign w:val="center"/>
          </w:tcPr>
          <w:p w14:paraId="777123A0">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单位名称：韶关市曲江区农业农村局</w:t>
            </w:r>
          </w:p>
          <w:p w14:paraId="7FCFDE19">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 xml:space="preserve">办公地址：韶关市曲江区鞍山路15号 </w:t>
            </w:r>
          </w:p>
          <w:p w14:paraId="34DA0397">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eastAsia="zh-CN"/>
              </w:rPr>
              <w:t>联系人（部门）：</w:t>
            </w:r>
            <w:r>
              <w:rPr>
                <w:rFonts w:hint="eastAsia" w:asciiTheme="minorEastAsia" w:hAnsiTheme="minorEastAsia" w:eastAsiaTheme="minorEastAsia" w:cstheme="minorEastAsia"/>
                <w:snapToGrid w:val="0"/>
                <w:color w:val="auto"/>
                <w:kern w:val="0"/>
                <w:sz w:val="21"/>
                <w:szCs w:val="21"/>
                <w:highlight w:val="none"/>
                <w:lang w:val="en-US" w:eastAsia="zh-CN"/>
              </w:rPr>
              <w:t>朱主任</w:t>
            </w:r>
          </w:p>
          <w:p w14:paraId="776C5FAB">
            <w:pPr>
              <w:wordWrap w:val="0"/>
              <w:adjustRightInd w:val="0"/>
              <w:snapToGrid w:val="0"/>
              <w:spacing w:line="360" w:lineRule="exact"/>
              <w:ind w:firstLine="239" w:firstLineChars="114"/>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联系电话：0751-6666721</w:t>
            </w:r>
          </w:p>
        </w:tc>
      </w:tr>
    </w:tbl>
    <w:p w14:paraId="353554BF">
      <w:pPr>
        <w:rPr>
          <w:rFonts w:hint="eastAsia" w:ascii="宋体" w:hAnsi="宋体" w:eastAsia="宋体" w:cs="宋体"/>
          <w:b/>
          <w:bCs/>
          <w:color w:val="auto"/>
          <w:spacing w:val="-3"/>
          <w:sz w:val="24"/>
          <w:szCs w:val="24"/>
          <w:highlight w:val="none"/>
        </w:rPr>
      </w:pPr>
      <w:bookmarkStart w:id="5" w:name="bookmark115"/>
      <w:bookmarkEnd w:id="5"/>
      <w:r>
        <w:rPr>
          <w:rFonts w:hint="eastAsia" w:ascii="宋体" w:hAnsi="宋体" w:eastAsia="宋体" w:cs="宋体"/>
          <w:b/>
          <w:bCs/>
          <w:color w:val="auto"/>
          <w:spacing w:val="-3"/>
          <w:sz w:val="24"/>
          <w:szCs w:val="24"/>
          <w:highlight w:val="none"/>
        </w:rPr>
        <w:br w:type="page"/>
      </w:r>
    </w:p>
    <w:p w14:paraId="137B8A1A">
      <w:pPr>
        <w:spacing w:before="156" w:line="219" w:lineRule="auto"/>
        <w:ind w:left="17"/>
        <w:jc w:val="left"/>
        <w:outlineLvl w:val="1"/>
        <w:rPr>
          <w:rFonts w:hint="eastAsia" w:ascii="宋体" w:hAnsi="宋体" w:eastAsia="宋体" w:cs="宋体"/>
          <w:color w:val="auto"/>
          <w:highlight w:val="none"/>
        </w:rPr>
      </w:pPr>
      <w:bookmarkStart w:id="6" w:name="_Toc14297"/>
      <w:r>
        <w:rPr>
          <w:rFonts w:hint="eastAsia" w:ascii="宋体" w:hAnsi="宋体" w:eastAsia="宋体" w:cs="宋体"/>
          <w:b/>
          <w:bCs/>
          <w:color w:val="auto"/>
          <w:spacing w:val="-3"/>
          <w:sz w:val="24"/>
          <w:szCs w:val="24"/>
          <w:highlight w:val="none"/>
        </w:rPr>
        <w:t>第二节 重要事项时间地点一览表</w:t>
      </w:r>
      <w:bookmarkEnd w:id="6"/>
    </w:p>
    <w:p w14:paraId="1F33EA19">
      <w:pPr>
        <w:pStyle w:val="5"/>
        <w:rPr>
          <w:rFonts w:hint="eastAsia" w:ascii="宋体" w:hAnsi="宋体" w:eastAsia="宋体" w:cs="宋体"/>
          <w:color w:val="auto"/>
          <w:highlight w:val="none"/>
        </w:rPr>
      </w:pPr>
    </w:p>
    <w:tbl>
      <w:tblPr>
        <w:tblStyle w:val="14"/>
        <w:tblW w:w="5003"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51"/>
        <w:gridCol w:w="1402"/>
        <w:gridCol w:w="7909"/>
      </w:tblGrid>
      <w:tr w14:paraId="1E44CD1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2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C38F69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C5402EE">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招标公告</w:t>
            </w:r>
          </w:p>
          <w:p w14:paraId="725690E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发布时间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0820CA6E">
            <w:pPr>
              <w:pStyle w:val="22"/>
              <w:widowControl/>
              <w:wordWrap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19</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16</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分</w:t>
            </w:r>
          </w:p>
        </w:tc>
      </w:tr>
      <w:tr w14:paraId="2F0B00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A1044EE">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2</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0E32C9FE">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获取招标文件</w:t>
            </w:r>
          </w:p>
          <w:p w14:paraId="23D91625">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1C54F190">
            <w:pPr>
              <w:pStyle w:val="22"/>
              <w:widowControl/>
              <w:wordWrap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p>
        </w:tc>
      </w:tr>
      <w:tr w14:paraId="078566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8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38ED34C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3</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513C70EC">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网上提问</w:t>
            </w:r>
          </w:p>
          <w:p w14:paraId="4AC37F99">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7B8D8C14">
            <w:pPr>
              <w:pStyle w:val="22"/>
              <w:widowControl/>
              <w:wordWrap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lang w:val="en-US"/>
              </w:rPr>
              <w:t xml:space="preserve">  </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分</w:t>
            </w:r>
          </w:p>
        </w:tc>
      </w:tr>
      <w:tr w14:paraId="3D74E2F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3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56170B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4</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19025065">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网上答疑</w:t>
            </w:r>
          </w:p>
          <w:p w14:paraId="722BD18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时间</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6B8ACE79">
            <w:pPr>
              <w:pStyle w:val="22"/>
              <w:widowControl/>
              <w:wordWrap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lang w:val="en-US"/>
              </w:rPr>
              <w:t xml:space="preserve">  </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31</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至</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16</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分</w:t>
            </w:r>
          </w:p>
        </w:tc>
      </w:tr>
      <w:tr w14:paraId="5B4ABEC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46"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679F889B">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5</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34DA815">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投标保证缴</w:t>
            </w:r>
          </w:p>
          <w:p w14:paraId="40601E3D">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纳截止时间</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1AD46858">
            <w:pPr>
              <w:pStyle w:val="22"/>
              <w:widowControl/>
              <w:wordWrap w:val="0"/>
              <w:spacing w:line="400" w:lineRule="exact"/>
              <w:ind w:left="0" w:firstLine="210" w:firstLineChars="100"/>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投标保证金到账截止时间：</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w:t>
            </w:r>
          </w:p>
          <w:p w14:paraId="26594835">
            <w:pPr>
              <w:pStyle w:val="22"/>
              <w:widowControl/>
              <w:wordWrap w:val="0"/>
              <w:spacing w:line="400" w:lineRule="exact"/>
              <w:ind w:left="0" w:firstLine="210" w:firstLineChars="100"/>
              <w:rPr>
                <w:rFonts w:hint="eastAsia"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rPr>
              <w:t>投标保证担保上传截止时间：</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w:t>
            </w:r>
          </w:p>
          <w:p w14:paraId="383E854F">
            <w:pPr>
              <w:pStyle w:val="22"/>
              <w:widowControl/>
              <w:wordWrap w:val="0"/>
              <w:spacing w:line="400" w:lineRule="exact"/>
              <w:ind w:left="0" w:leftChars="0" w:firstLine="210" w:firstLineChars="100"/>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rPr>
              <w:t>投标保证保险投保截止时间：</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w:t>
            </w:r>
          </w:p>
        </w:tc>
      </w:tr>
      <w:tr w14:paraId="05E6F3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1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32F3F961">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6</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31EE883B">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电子投标</w:t>
            </w:r>
          </w:p>
          <w:p w14:paraId="0226D24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截止时间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1866DE13">
            <w:pPr>
              <w:pStyle w:val="22"/>
              <w:widowControl/>
              <w:wordWrap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lang w:val="en-US"/>
              </w:rPr>
              <w:t xml:space="preserve">  </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p>
        </w:tc>
      </w:tr>
      <w:tr w14:paraId="0FA0FA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2F506CC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7</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62B5FEEA">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投标评审原件（如有）</w:t>
            </w:r>
          </w:p>
          <w:p w14:paraId="78B85CE4">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递交时间</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0D85F498">
            <w:pPr>
              <w:pStyle w:val="22"/>
              <w:widowControl/>
              <w:wordWrap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lang w:val="en-US"/>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00</w:t>
            </w:r>
            <w:r>
              <w:rPr>
                <w:rFonts w:hint="eastAsia" w:ascii="宋体" w:hAnsi="宋体" w:eastAsia="宋体" w:cs="宋体"/>
                <w:color w:val="auto"/>
                <w:sz w:val="21"/>
                <w:szCs w:val="21"/>
                <w:highlight w:val="none"/>
              </w:rPr>
              <w:t>分</w:t>
            </w:r>
            <w:r>
              <w:rPr>
                <w:rFonts w:hint="eastAsia" w:ascii="宋体" w:hAnsi="宋体" w:eastAsia="宋体" w:cs="宋体"/>
                <w:color w:val="auto"/>
                <w:kern w:val="0"/>
                <w:sz w:val="21"/>
                <w:szCs w:val="21"/>
                <w:highlight w:val="none"/>
              </w:rPr>
              <w:t>至</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p>
        </w:tc>
      </w:tr>
      <w:tr w14:paraId="519C5C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0490D6B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8</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4DE543D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投标评审原件（如有）</w:t>
            </w:r>
          </w:p>
          <w:p w14:paraId="65C8FB45">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递交地点</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5CE53E69">
            <w:pPr>
              <w:pStyle w:val="22"/>
              <w:widowControl/>
              <w:wordWrap w:val="0"/>
              <w:spacing w:line="400" w:lineRule="exact"/>
              <w:ind w:left="0" w:leftChars="0" w:firstLine="210" w:firstLineChars="100"/>
              <w:jc w:val="left"/>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宋体" w:hAnsi="宋体" w:eastAsia="宋体" w:cs="宋体"/>
                <w:color w:val="auto"/>
                <w:kern w:val="0"/>
                <w:sz w:val="21"/>
                <w:szCs w:val="21"/>
                <w:highlight w:val="none"/>
                <w:lang w:val="en-US"/>
              </w:rPr>
              <w:t>韶关市公共资源交易中心曲江分中心；地址：韶关市曲江区马坝镇鞍山路曲江文化中心一楼，具体房间号以当日现场通知为准。</w:t>
            </w:r>
          </w:p>
        </w:tc>
      </w:tr>
      <w:tr w14:paraId="1465CF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10"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993F3F3">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9</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D3E1F97">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开标时间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710660D4">
            <w:pPr>
              <w:pStyle w:val="22"/>
              <w:widowControl/>
              <w:wordWrap w:val="0"/>
              <w:spacing w:line="400" w:lineRule="exact"/>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lang w:val="en-US"/>
              </w:rPr>
              <w:t xml:space="preserve">  </w:t>
            </w: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none"/>
                <w:lang w:val="en-US" w:eastAsia="zh-CN"/>
              </w:rPr>
              <w:t>30</w:t>
            </w:r>
            <w:r>
              <w:rPr>
                <w:rFonts w:hint="eastAsia" w:ascii="宋体" w:hAnsi="宋体" w:eastAsia="宋体" w:cs="宋体"/>
                <w:color w:val="auto"/>
                <w:sz w:val="21"/>
                <w:szCs w:val="21"/>
                <w:highlight w:val="none"/>
              </w:rPr>
              <w:t>分</w:t>
            </w:r>
          </w:p>
        </w:tc>
      </w:tr>
      <w:tr w14:paraId="1B52AB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6BC911F2">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10</w:t>
            </w:r>
          </w:p>
        </w:tc>
        <w:tc>
          <w:tcPr>
            <w:tcW w:w="717" w:type="pct"/>
            <w:tcBorders>
              <w:top w:val="single" w:color="080000" w:sz="4" w:space="0"/>
              <w:left w:val="single" w:color="080000" w:sz="4" w:space="0"/>
              <w:bottom w:val="single" w:color="080000" w:sz="4" w:space="0"/>
              <w:right w:val="single" w:color="080000" w:sz="4" w:space="0"/>
            </w:tcBorders>
            <w:noWrap w:val="0"/>
            <w:vAlign w:val="center"/>
          </w:tcPr>
          <w:p w14:paraId="2D2963E9">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 xml:space="preserve">开标地点 </w:t>
            </w:r>
          </w:p>
        </w:tc>
        <w:tc>
          <w:tcPr>
            <w:tcW w:w="7909" w:type="dxa"/>
            <w:tcBorders>
              <w:top w:val="single" w:color="080000" w:sz="4" w:space="0"/>
              <w:left w:val="single" w:color="080000" w:sz="4" w:space="0"/>
              <w:bottom w:val="single" w:color="080000" w:sz="4" w:space="0"/>
              <w:right w:val="single" w:color="080000" w:sz="4" w:space="0"/>
            </w:tcBorders>
            <w:noWrap w:val="0"/>
            <w:vAlign w:val="center"/>
          </w:tcPr>
          <w:p w14:paraId="0624A7FB">
            <w:pPr>
              <w:pStyle w:val="22"/>
              <w:widowControl/>
              <w:wordWrap w:val="0"/>
              <w:spacing w:line="400" w:lineRule="exact"/>
              <w:ind w:left="0" w:leftChars="0"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宋体" w:hAnsi="宋体" w:eastAsia="宋体" w:cs="宋体"/>
                <w:color w:val="auto"/>
                <w:kern w:val="0"/>
                <w:sz w:val="21"/>
                <w:szCs w:val="21"/>
                <w:highlight w:val="none"/>
                <w:lang w:val="en-US"/>
              </w:rPr>
              <w:t>韶关市公共资源交易中心曲江分中心；地址：韶关市曲江区马坝镇鞍山路曲江文化中心一楼，具体房间号以当日现场通知为准。</w:t>
            </w:r>
          </w:p>
        </w:tc>
      </w:tr>
      <w:tr w14:paraId="72E2B0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8"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62E8D9A8">
            <w:pPr>
              <w:pStyle w:val="22"/>
              <w:wordWrap w:val="0"/>
              <w:adjustRightInd w:val="0"/>
              <w:snapToGrid w:val="0"/>
              <w:spacing w:line="360" w:lineRule="exact"/>
              <w:jc w:val="center"/>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57076DD">
            <w:pPr>
              <w:pStyle w:val="22"/>
              <w:wordWrap w:val="0"/>
              <w:adjustRightInd w:val="0"/>
              <w:snapToGrid w:val="0"/>
              <w:spacing w:line="400" w:lineRule="exact"/>
              <w:ind w:firstLine="210" w:firstLineChars="100"/>
              <w:jc w:val="left"/>
              <w:rPr>
                <w:rFonts w:hint="eastAsia" w:asciiTheme="minorEastAsia" w:hAnsiTheme="minorEastAsia" w:eastAsiaTheme="minorEastAsia" w:cstheme="minorEastAsia"/>
                <w:snapToGrid w:val="0"/>
                <w:color w:val="auto"/>
                <w:kern w:val="0"/>
                <w:sz w:val="21"/>
                <w:szCs w:val="21"/>
                <w:highlight w:val="none"/>
              </w:rPr>
            </w:pPr>
            <w:r>
              <w:rPr>
                <w:rFonts w:hint="eastAsia" w:asciiTheme="minorEastAsia" w:hAnsiTheme="minorEastAsia" w:eastAsiaTheme="minorEastAsia" w:cstheme="minorEastAsia"/>
                <w:snapToGrid w:val="0"/>
                <w:color w:val="auto"/>
                <w:kern w:val="0"/>
                <w:sz w:val="21"/>
                <w:szCs w:val="21"/>
                <w:highlight w:val="none"/>
              </w:rPr>
              <w:t>自行下载招标文件、资料文件及招标答疑书等。若由于投标人自身原因未能及时取得上述资料的，由此发生的任何责任由投标人自负。</w:t>
            </w:r>
          </w:p>
        </w:tc>
      </w:tr>
    </w:tbl>
    <w:p w14:paraId="51163B74">
      <w:pPr>
        <w:tabs>
          <w:tab w:val="left" w:pos="8820"/>
        </w:tabs>
        <w:rPr>
          <w:rFonts w:hint="eastAsia" w:ascii="宋体" w:hAnsi="宋体" w:eastAsia="宋体" w:cs="宋体"/>
          <w:b w:val="0"/>
          <w:bCs w:val="0"/>
          <w:color w:val="auto"/>
          <w:sz w:val="24"/>
          <w:szCs w:val="24"/>
          <w:highlight w:val="none"/>
        </w:rPr>
        <w:sectPr>
          <w:headerReference r:id="rId6" w:type="default"/>
          <w:footerReference r:id="rId7" w:type="default"/>
          <w:pgSz w:w="11906" w:h="16839"/>
          <w:pgMar w:top="1440" w:right="1080" w:bottom="1440" w:left="1080" w:header="0" w:footer="1085" w:gutter="0"/>
          <w:pgBorders>
            <w:top w:val="none" w:sz="0" w:space="0"/>
            <w:left w:val="none" w:sz="0" w:space="0"/>
            <w:bottom w:val="none" w:sz="0" w:space="0"/>
            <w:right w:val="none" w:sz="0" w:space="0"/>
          </w:pgBorders>
          <w:cols w:space="720" w:num="1"/>
        </w:sectPr>
      </w:pPr>
    </w:p>
    <w:p w14:paraId="0956DF53">
      <w:pPr>
        <w:jc w:val="center"/>
        <w:outlineLvl w:val="1"/>
        <w:rPr>
          <w:rFonts w:hint="eastAsia" w:ascii="宋体" w:hAnsi="宋体" w:eastAsia="宋体" w:cs="宋体"/>
          <w:color w:val="auto"/>
          <w:sz w:val="24"/>
          <w:szCs w:val="24"/>
          <w:highlight w:val="none"/>
        </w:rPr>
      </w:pPr>
      <w:bookmarkStart w:id="7" w:name="_Toc9283"/>
      <w:r>
        <w:rPr>
          <w:rFonts w:hint="eastAsia" w:ascii="宋体" w:hAnsi="宋体" w:eastAsia="宋体" w:cs="宋体"/>
          <w:b/>
          <w:bCs/>
          <w:color w:val="auto"/>
          <w:spacing w:val="-3"/>
          <w:sz w:val="24"/>
          <w:szCs w:val="24"/>
          <w:highlight w:val="none"/>
        </w:rPr>
        <w:t>第三节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投标人须知正文</w:t>
      </w:r>
      <w:bookmarkEnd w:id="7"/>
    </w:p>
    <w:p w14:paraId="02A7B79A">
      <w:pPr>
        <w:pStyle w:val="5"/>
        <w:spacing w:line="256" w:lineRule="auto"/>
        <w:rPr>
          <w:rFonts w:hint="eastAsia" w:ascii="宋体" w:hAnsi="宋体" w:eastAsia="宋体" w:cs="宋体"/>
          <w:color w:val="auto"/>
          <w:highlight w:val="none"/>
        </w:rPr>
      </w:pPr>
    </w:p>
    <w:p w14:paraId="52486261">
      <w:pPr>
        <w:pStyle w:val="5"/>
        <w:spacing w:line="257" w:lineRule="auto"/>
        <w:rPr>
          <w:rFonts w:hint="eastAsia" w:ascii="宋体" w:hAnsi="宋体" w:eastAsia="宋体" w:cs="宋体"/>
          <w:color w:val="auto"/>
          <w:highlight w:val="none"/>
        </w:rPr>
      </w:pPr>
    </w:p>
    <w:p w14:paraId="605C5DF8">
      <w:pPr>
        <w:keepNext w:val="0"/>
        <w:keepLines w:val="0"/>
        <w:widowControl/>
        <w:suppressLineNumbers w:val="0"/>
        <w:spacing w:line="360" w:lineRule="auto"/>
        <w:ind w:right="-258" w:rightChars="-123" w:firstLine="480" w:firstLineChars="200"/>
        <w:jc w:val="left"/>
        <w:rPr>
          <w:rFonts w:hint="eastAsia" w:ascii="宋体" w:hAnsi="宋体" w:eastAsia="宋体" w:cs="宋体"/>
          <w:color w:val="auto"/>
          <w:sz w:val="36"/>
          <w:szCs w:val="36"/>
          <w:highlight w:val="none"/>
        </w:rPr>
      </w:pPr>
      <w:r>
        <w:rPr>
          <w:rFonts w:hint="eastAsia" w:ascii="宋体" w:hAnsi="宋体" w:eastAsia="宋体" w:cs="宋体"/>
          <w:snapToGrid w:val="0"/>
          <w:color w:val="auto"/>
          <w:kern w:val="0"/>
          <w:sz w:val="24"/>
          <w:szCs w:val="32"/>
          <w:highlight w:val="none"/>
          <w:u w:val="single"/>
          <w:lang w:eastAsia="zh-CN"/>
        </w:rPr>
        <w:t>曲江区第四批典型村基础设施建设及农文旅融合发展项目</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韶关市曲江区发展和改革局以《</w:t>
      </w:r>
      <w:r>
        <w:rPr>
          <w:rFonts w:hint="eastAsia" w:ascii="宋体" w:hAnsi="宋体" w:eastAsia="宋体" w:cs="宋体"/>
          <w:snapToGrid w:val="0"/>
          <w:color w:val="auto"/>
          <w:kern w:val="0"/>
          <w:sz w:val="24"/>
          <w:szCs w:val="32"/>
          <w:highlight w:val="none"/>
          <w:u w:val="single"/>
          <w:lang w:val="en-US" w:eastAsia="zh-CN"/>
        </w:rPr>
        <w:t>韶关市曲江区发展和改革局关于曲江区第四批典型村基础设施建设及农文旅融合发展项目可行性研究报告的批复</w:t>
      </w:r>
      <w:r>
        <w:rPr>
          <w:rFonts w:hint="eastAsia" w:ascii="宋体" w:hAnsi="宋体" w:eastAsia="宋体" w:cs="宋体"/>
          <w:snapToGrid w:val="0"/>
          <w:color w:val="auto"/>
          <w:kern w:val="0"/>
          <w:sz w:val="24"/>
          <w:szCs w:val="32"/>
          <w:highlight w:val="none"/>
          <w:u w:val="single"/>
          <w:lang w:eastAsia="zh-CN"/>
        </w:rPr>
        <w:t>》（曲发改投审〔2026〕21号）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2510-440205-04-01-293680</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val="en-US" w:eastAsia="zh-CN"/>
        </w:rPr>
        <w:t>韶关市曲江区农业农村局</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eastAsia="zh-CN"/>
        </w:rPr>
        <w:t>区财政统筹安排解决</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韶关市曲江区乌石镇人民政府</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深圳市祺骏建设工程顾问有限公司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施工</w:t>
      </w:r>
      <w:r>
        <w:rPr>
          <w:rFonts w:hint="eastAsia" w:ascii="宋体" w:hAnsi="宋体" w:eastAsia="宋体" w:cs="宋体"/>
          <w:snapToGrid w:val="0"/>
          <w:color w:val="auto"/>
          <w:kern w:val="0"/>
          <w:sz w:val="24"/>
          <w:szCs w:val="24"/>
          <w:highlight w:val="none"/>
        </w:rPr>
        <w:t>进行公开招标。</w:t>
      </w:r>
    </w:p>
    <w:p w14:paraId="692F6E02">
      <w:pPr>
        <w:spacing w:before="78" w:line="220" w:lineRule="auto"/>
        <w:ind w:left="496"/>
        <w:outlineLvl w:val="2"/>
        <w:rPr>
          <w:rFonts w:hint="eastAsia" w:ascii="宋体" w:hAnsi="宋体" w:eastAsia="宋体" w:cs="宋体"/>
          <w:color w:val="auto"/>
          <w:sz w:val="24"/>
          <w:szCs w:val="24"/>
          <w:highlight w:val="none"/>
        </w:rPr>
      </w:pPr>
      <w:bookmarkStart w:id="8" w:name="bookmark59"/>
      <w:bookmarkEnd w:id="8"/>
      <w:bookmarkStart w:id="9" w:name="bookmark52"/>
      <w:bookmarkEnd w:id="9"/>
      <w:bookmarkStart w:id="10" w:name="bookmark73"/>
      <w:bookmarkEnd w:id="10"/>
      <w:bookmarkStart w:id="11" w:name="_Toc19017"/>
      <w:bookmarkStart w:id="12" w:name="_Toc15993"/>
      <w:r>
        <w:rPr>
          <w:rFonts w:hint="eastAsia" w:ascii="宋体" w:hAnsi="宋体" w:eastAsia="宋体" w:cs="宋体"/>
          <w:b/>
          <w:bCs/>
          <w:color w:val="auto"/>
          <w:spacing w:val="-4"/>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4"/>
          <w:sz w:val="24"/>
          <w:szCs w:val="24"/>
          <w:highlight w:val="none"/>
        </w:rPr>
        <w:t>．项目概况、招标范围和标段划分、投标费用等</w:t>
      </w:r>
      <w:bookmarkEnd w:id="11"/>
      <w:bookmarkEnd w:id="12"/>
    </w:p>
    <w:p w14:paraId="49DE2858">
      <w:pPr>
        <w:spacing w:before="153" w:line="36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1.1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5"/>
          <w:sz w:val="24"/>
          <w:szCs w:val="24"/>
          <w:highlight w:val="none"/>
        </w:rPr>
        <w:t>项目概况</w:t>
      </w:r>
    </w:p>
    <w:p w14:paraId="2FC94A93">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1.1.1  </w:t>
      </w:r>
      <w:r>
        <w:rPr>
          <w:rFonts w:hint="eastAsia" w:ascii="宋体" w:hAnsi="宋体" w:eastAsia="宋体" w:cs="宋体"/>
          <w:color w:val="auto"/>
          <w:spacing w:val="-2"/>
          <w:sz w:val="24"/>
          <w:szCs w:val="24"/>
          <w:highlight w:val="none"/>
        </w:rPr>
        <w:t>建设地点：</w:t>
      </w:r>
      <w:r>
        <w:rPr>
          <w:rFonts w:hint="eastAsia" w:ascii="宋体" w:hAnsi="宋体" w:eastAsia="宋体" w:cs="宋体"/>
          <w:color w:val="auto"/>
          <w:sz w:val="24"/>
          <w:szCs w:val="24"/>
          <w:highlight w:val="none"/>
          <w:u w:val="single"/>
          <w:lang w:val="en-US" w:eastAsia="zh-CN"/>
        </w:rPr>
        <w:t>韶关市曲江区乌石镇展如村。</w:t>
      </w:r>
    </w:p>
    <w:p w14:paraId="017DE51C">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1.1.2  </w:t>
      </w:r>
      <w:r>
        <w:rPr>
          <w:rFonts w:hint="eastAsia" w:ascii="宋体" w:hAnsi="宋体" w:eastAsia="宋体" w:cs="宋体"/>
          <w:color w:val="auto"/>
          <w:spacing w:val="-2"/>
          <w:sz w:val="24"/>
          <w:szCs w:val="24"/>
          <w:highlight w:val="none"/>
        </w:rPr>
        <w:t>建设内容和规模：</w:t>
      </w:r>
      <w:r>
        <w:rPr>
          <w:rFonts w:hint="eastAsia" w:ascii="宋体" w:hAnsi="宋体" w:eastAsia="宋体" w:cs="宋体"/>
          <w:color w:val="auto"/>
          <w:sz w:val="24"/>
          <w:szCs w:val="24"/>
          <w:highlight w:val="none"/>
          <w:u w:val="single"/>
          <w:lang w:val="en-US" w:eastAsia="zh-CN"/>
        </w:rPr>
        <w:t>在乌石镇展如村开展雨污管网建设、道路硬底化、垃圾收集点提升、“四小园”建设、人居环境整治以及部分农房风貌提升、完善村庄基础设施和公共服务设施等（最终以施工图纸及工程量清单为准）</w:t>
      </w:r>
    </w:p>
    <w:p w14:paraId="13C34DB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pacing w:val="-2"/>
          <w:sz w:val="24"/>
          <w:szCs w:val="24"/>
          <w:highlight w:val="none"/>
        </w:rPr>
        <w:t xml:space="preserve">1.1.3  </w:t>
      </w:r>
      <w:r>
        <w:rPr>
          <w:rFonts w:hint="eastAsia" w:ascii="宋体" w:hAnsi="宋体" w:eastAsia="宋体" w:cs="宋体"/>
          <w:color w:val="auto"/>
          <w:spacing w:val="-2"/>
          <w:sz w:val="24"/>
          <w:szCs w:val="24"/>
          <w:highlight w:val="none"/>
        </w:rPr>
        <w:t>项目总投资</w:t>
      </w:r>
      <w:r>
        <w:rPr>
          <w:rStyle w:val="20"/>
          <w:rFonts w:hint="eastAsia" w:ascii="宋体" w:hAnsi="宋体" w:eastAsia="宋体" w:cs="宋体"/>
          <w:color w:val="auto"/>
          <w:kern w:val="0"/>
          <w:sz w:val="24"/>
          <w:szCs w:val="24"/>
          <w:highlight w:val="none"/>
        </w:rPr>
        <w:t>：</w:t>
      </w:r>
      <w:r>
        <w:rPr>
          <w:rStyle w:val="20"/>
          <w:rFonts w:hint="eastAsia" w:ascii="宋体" w:hAnsi="宋体" w:eastAsia="宋体" w:cs="宋体"/>
          <w:color w:val="auto"/>
          <w:kern w:val="0"/>
          <w:sz w:val="24"/>
          <w:szCs w:val="24"/>
          <w:highlight w:val="none"/>
          <w:u w:val="single"/>
          <w:lang w:val="en-US" w:eastAsia="zh-CN"/>
        </w:rPr>
        <w:t>项目估算总投资1400万元，其中：建安工程费用约1224.40万元。</w:t>
      </w:r>
    </w:p>
    <w:p w14:paraId="758B6CCF">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u w:val="single"/>
          <w:lang w:val="en-US" w:eastAsia="zh-CN"/>
        </w:rPr>
      </w:pP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pacing w:val="-2"/>
          <w:sz w:val="24"/>
          <w:szCs w:val="24"/>
          <w:highlight w:val="none"/>
          <w:u w:val="none"/>
          <w:lang w:val="en-US" w:eastAsia="zh-CN"/>
        </w:rPr>
        <w:t xml:space="preserve">.2 </w:t>
      </w:r>
      <w:r>
        <w:rPr>
          <w:rFonts w:hint="eastAsia" w:ascii="宋体" w:hAnsi="宋体" w:eastAsia="宋体" w:cs="宋体"/>
          <w:color w:val="auto"/>
          <w:sz w:val="24"/>
          <w:szCs w:val="24"/>
          <w:highlight w:val="none"/>
          <w:u w:val="single"/>
          <w:lang w:val="en-US" w:eastAsia="zh-CN"/>
        </w:rPr>
        <w:t xml:space="preserve"> 招标范围和标段划分</w:t>
      </w:r>
    </w:p>
    <w:p w14:paraId="52F0C381">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2"/>
          <w:sz w:val="24"/>
          <w:szCs w:val="24"/>
          <w:highlight w:val="none"/>
        </w:rPr>
        <w:t xml:space="preserve">1.2.1  </w:t>
      </w:r>
      <w:r>
        <w:rPr>
          <w:rFonts w:hint="eastAsia" w:ascii="宋体" w:hAnsi="宋体" w:eastAsia="宋体" w:cs="宋体"/>
          <w:color w:val="auto"/>
          <w:spacing w:val="-2"/>
          <w:sz w:val="24"/>
          <w:szCs w:val="24"/>
          <w:highlight w:val="none"/>
        </w:rPr>
        <w:t>招标范围：</w:t>
      </w:r>
      <w:r>
        <w:rPr>
          <w:rFonts w:hint="eastAsia" w:ascii="宋体" w:hAnsi="宋体" w:eastAsia="宋体" w:cs="宋体"/>
          <w:color w:val="auto"/>
          <w:spacing w:val="-1"/>
          <w:sz w:val="24"/>
          <w:szCs w:val="24"/>
          <w:highlight w:val="none"/>
        </w:rPr>
        <w:t>按审查合格的施工图纸及工程量清单内容施工</w:t>
      </w:r>
      <w:r>
        <w:rPr>
          <w:rFonts w:hint="eastAsia" w:ascii="宋体" w:hAnsi="宋体" w:eastAsia="宋体" w:cs="宋体"/>
          <w:color w:val="auto"/>
          <w:spacing w:val="-1"/>
          <w:sz w:val="24"/>
          <w:szCs w:val="24"/>
          <w:highlight w:val="none"/>
          <w:lang w:eastAsia="zh-CN"/>
        </w:rPr>
        <w:t>。</w:t>
      </w:r>
    </w:p>
    <w:p w14:paraId="4A32985A">
      <w:pPr>
        <w:keepNext w:val="0"/>
        <w:keepLines w:val="0"/>
        <w:pageBreakBefore w:val="0"/>
        <w:widowControl/>
        <w:kinsoku w:val="0"/>
        <w:wordWrap/>
        <w:overflowPunct/>
        <w:topLinePunct w:val="0"/>
        <w:autoSpaceDE w:val="0"/>
        <w:autoSpaceDN w:val="0"/>
        <w:bidi w:val="0"/>
        <w:adjustRightInd w:val="0"/>
        <w:snapToGrid w:val="0"/>
        <w:spacing w:line="360" w:lineRule="auto"/>
        <w:ind w:left="493"/>
        <w:textAlignment w:val="baseline"/>
        <w:outlineLvl w:val="9"/>
        <w:rPr>
          <w:rFonts w:hint="eastAsia" w:ascii="宋体" w:hAnsi="宋体" w:eastAsia="宋体" w:cs="宋体"/>
          <w:color w:val="auto"/>
          <w:sz w:val="24"/>
          <w:szCs w:val="24"/>
          <w:highlight w:val="none"/>
        </w:rPr>
      </w:pPr>
      <w:bookmarkStart w:id="13" w:name="_Toc24593"/>
      <w:bookmarkStart w:id="14" w:name="_Toc28202"/>
      <w:bookmarkStart w:id="15" w:name="_Toc14190"/>
      <w:bookmarkStart w:id="16" w:name="_Toc20855"/>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标段划分：本招标项目不划分标段。</w:t>
      </w:r>
      <w:bookmarkEnd w:id="13"/>
      <w:bookmarkEnd w:id="14"/>
      <w:bookmarkEnd w:id="15"/>
      <w:bookmarkEnd w:id="16"/>
    </w:p>
    <w:p w14:paraId="71B39489">
      <w:pPr>
        <w:keepNext w:val="0"/>
        <w:keepLines w:val="0"/>
        <w:pageBreakBefore w:val="0"/>
        <w:widowControl/>
        <w:kinsoku w:val="0"/>
        <w:overflowPunct/>
        <w:topLinePunct w:val="0"/>
        <w:autoSpaceDE w:val="0"/>
        <w:autoSpaceDN w:val="0"/>
        <w:bidi w:val="0"/>
        <w:adjustRightInd w:val="0"/>
        <w:snapToGrid w:val="0"/>
        <w:spacing w:line="360" w:lineRule="auto"/>
        <w:ind w:left="13" w:right="65" w:firstLine="533"/>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  </w:t>
      </w:r>
      <w:r>
        <w:rPr>
          <w:rFonts w:hint="eastAsia" w:ascii="宋体" w:hAnsi="宋体" w:eastAsia="宋体" w:cs="宋体"/>
          <w:color w:val="auto"/>
          <w:spacing w:val="-1"/>
          <w:sz w:val="24"/>
          <w:szCs w:val="24"/>
          <w:highlight w:val="none"/>
        </w:rPr>
        <w:t>投标费用：投标人应承担所有准备和参加投标的相关费用，不</w:t>
      </w:r>
      <w:r>
        <w:rPr>
          <w:rFonts w:hint="eastAsia" w:ascii="宋体" w:hAnsi="宋体" w:eastAsia="宋体" w:cs="宋体"/>
          <w:color w:val="auto"/>
          <w:spacing w:val="-2"/>
          <w:sz w:val="24"/>
          <w:szCs w:val="24"/>
          <w:highlight w:val="none"/>
        </w:rPr>
        <w:t>论投标结果如</w:t>
      </w:r>
      <w:r>
        <w:rPr>
          <w:rFonts w:hint="eastAsia" w:ascii="宋体" w:hAnsi="宋体" w:eastAsia="宋体" w:cs="宋体"/>
          <w:color w:val="auto"/>
          <w:spacing w:val="-1"/>
          <w:sz w:val="24"/>
          <w:szCs w:val="24"/>
          <w:highlight w:val="none"/>
        </w:rPr>
        <w:t>何，招标人均无义务和责任承担这些费用。</w:t>
      </w:r>
    </w:p>
    <w:p w14:paraId="59A5251A">
      <w:pPr>
        <w:keepNext w:val="0"/>
        <w:keepLines w:val="0"/>
        <w:pageBreakBefore w:val="0"/>
        <w:widowControl/>
        <w:kinsoku w:val="0"/>
        <w:overflowPunct/>
        <w:topLinePunct w:val="0"/>
        <w:autoSpaceDE w:val="0"/>
        <w:autoSpaceDN w:val="0"/>
        <w:bidi w:val="0"/>
        <w:adjustRightInd w:val="0"/>
        <w:snapToGrid w:val="0"/>
        <w:spacing w:line="360" w:lineRule="auto"/>
        <w:ind w:left="496"/>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rPr>
        <w:t xml:space="preserve">1.4  </w:t>
      </w:r>
      <w:r>
        <w:rPr>
          <w:rFonts w:hint="eastAsia" w:ascii="宋体" w:hAnsi="宋体" w:eastAsia="宋体" w:cs="宋体"/>
          <w:color w:val="auto"/>
          <w:spacing w:val="-6"/>
          <w:sz w:val="24"/>
          <w:szCs w:val="24"/>
          <w:highlight w:val="none"/>
        </w:rPr>
        <w:t>招标代理费用：</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82"/>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w:t>
      </w:r>
      <w:r>
        <w:rPr>
          <w:rFonts w:hint="eastAsia" w:ascii="宋体" w:hAnsi="宋体" w:eastAsia="宋体" w:cs="宋体"/>
          <w:color w:val="auto"/>
          <w:spacing w:val="6"/>
          <w:sz w:val="24"/>
          <w:szCs w:val="24"/>
          <w:highlight w:val="none"/>
        </w:rPr>
        <w:t>项目业主</w:t>
      </w:r>
      <w:r>
        <w:rPr>
          <w:rFonts w:hint="eastAsia" w:ascii="宋体" w:hAnsi="宋体" w:eastAsia="宋体" w:cs="宋体"/>
          <w:color w:val="auto"/>
          <w:spacing w:val="-6"/>
          <w:sz w:val="24"/>
          <w:szCs w:val="24"/>
          <w:highlight w:val="none"/>
          <w:shd w:val="clear" w:color="auto" w:fill="FFFFFF"/>
        </w:rPr>
        <w:t>支</w:t>
      </w:r>
      <w:r>
        <w:rPr>
          <w:rFonts w:hint="eastAsia" w:ascii="宋体" w:hAnsi="宋体" w:eastAsia="宋体" w:cs="宋体"/>
          <w:color w:val="auto"/>
          <w:spacing w:val="-6"/>
          <w:sz w:val="24"/>
          <w:szCs w:val="24"/>
          <w:highlight w:val="none"/>
        </w:rPr>
        <w:t>付</w:t>
      </w:r>
      <w:r>
        <w:rPr>
          <w:rFonts w:hint="eastAsia" w:ascii="宋体" w:hAnsi="宋体" w:eastAsia="宋体" w:cs="宋体"/>
          <w:color w:val="auto"/>
          <w:position w:val="-6"/>
          <w:sz w:val="24"/>
          <w:szCs w:val="24"/>
          <w:highlight w:val="none"/>
          <w:shd w:val="clear" w:color="auto" w:fill="FFFFFF"/>
          <w:lang w:eastAsia="zh-CN"/>
        </w:rPr>
        <w:t xml:space="preserve"> </w:t>
      </w:r>
      <w:r>
        <w:rPr>
          <w:rFonts w:hint="eastAsia" w:ascii="宋体" w:hAnsi="宋体" w:eastAsia="宋体" w:cs="宋体"/>
          <w:color w:val="auto"/>
          <w:spacing w:val="-6"/>
          <w:sz w:val="24"/>
          <w:szCs w:val="24"/>
          <w:highlight w:val="none"/>
          <w:shd w:val="clear" w:color="auto" w:fill="FFFFFF"/>
          <w:lang w:eastAsia="zh-CN"/>
        </w:rPr>
        <w:t>☑</w:t>
      </w:r>
      <w:r>
        <w:rPr>
          <w:rFonts w:hint="eastAsia" w:ascii="宋体" w:hAnsi="宋体" w:eastAsia="宋体" w:cs="宋体"/>
          <w:color w:val="auto"/>
          <w:spacing w:val="-81"/>
          <w:sz w:val="24"/>
          <w:szCs w:val="24"/>
          <w:highlight w:val="none"/>
          <w:shd w:val="clear" w:color="auto" w:fill="FFFFFF"/>
        </w:rPr>
        <w:t xml:space="preserve"> </w:t>
      </w:r>
      <w:r>
        <w:rPr>
          <w:rFonts w:hint="eastAsia" w:ascii="宋体" w:hAnsi="宋体" w:eastAsia="宋体" w:cs="宋体"/>
          <w:color w:val="auto"/>
          <w:spacing w:val="-6"/>
          <w:sz w:val="24"/>
          <w:szCs w:val="24"/>
          <w:highlight w:val="none"/>
          <w:shd w:val="clear" w:color="auto" w:fill="FFFFFF"/>
        </w:rPr>
        <w:t>由中标人支付。</w:t>
      </w:r>
    </w:p>
    <w:p w14:paraId="695842AD">
      <w:pPr>
        <w:keepNext w:val="0"/>
        <w:keepLines w:val="0"/>
        <w:pageBreakBefore w:val="0"/>
        <w:widowControl/>
        <w:kinsoku w:val="0"/>
        <w:wordWrap w:val="0"/>
        <w:overflowPunct/>
        <w:topLinePunct w:val="0"/>
        <w:autoSpaceDE w:val="0"/>
        <w:autoSpaceDN w:val="0"/>
        <w:bidi w:val="0"/>
        <w:adjustRightInd w:val="0"/>
        <w:snapToGrid w:val="0"/>
        <w:spacing w:line="360" w:lineRule="auto"/>
        <w:ind w:firstLine="482" w:firstLineChars="200"/>
        <w:jc w:val="left"/>
        <w:textAlignment w:val="baseline"/>
        <w:outlineLvl w:val="2"/>
        <w:rPr>
          <w:rFonts w:hint="eastAsia" w:ascii="宋体" w:hAnsi="宋体" w:eastAsia="宋体" w:cs="宋体"/>
          <w:b w:val="0"/>
          <w:bCs w:val="0"/>
          <w:color w:val="auto"/>
          <w:sz w:val="24"/>
          <w:szCs w:val="24"/>
          <w:highlight w:val="none"/>
        </w:rPr>
      </w:pPr>
      <w:bookmarkStart w:id="17" w:name="_Toc21208"/>
      <w:r>
        <w:rPr>
          <w:rFonts w:hint="eastAsia" w:ascii="宋体" w:hAnsi="宋体" w:eastAsia="宋体" w:cs="宋体"/>
          <w:b/>
          <w:bCs/>
          <w:color w:val="auto"/>
          <w:sz w:val="24"/>
          <w:szCs w:val="24"/>
          <w:highlight w:val="none"/>
        </w:rPr>
        <w:t>2．</w:t>
      </w:r>
      <w:r>
        <w:rPr>
          <w:rFonts w:hint="eastAsia" w:ascii="宋体" w:hAnsi="宋体" w:eastAsia="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资质要求</w:t>
      </w:r>
      <w:bookmarkEnd w:id="17"/>
    </w:p>
    <w:p w14:paraId="085A4C5C">
      <w:pPr>
        <w:wordWrap w:val="0"/>
        <w:adjustRightInd w:val="0"/>
        <w:snapToGrid w:val="0"/>
        <w:spacing w:line="360" w:lineRule="auto"/>
        <w:ind w:firstLine="482" w:firstLineChars="200"/>
        <w:rPr>
          <w:rStyle w:val="20"/>
          <w:rFonts w:hint="eastAsia" w:ascii="宋体" w:hAnsi="宋体" w:eastAsia="宋体" w:cs="宋体"/>
          <w:b w:val="0"/>
          <w:bCs w:val="0"/>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w:t>
      </w:r>
      <w:r>
        <w:rPr>
          <w:rStyle w:val="20"/>
          <w:rFonts w:hint="eastAsia" w:ascii="宋体" w:hAnsi="宋体" w:eastAsia="宋体" w:cs="宋体"/>
          <w:b w:val="0"/>
          <w:bCs w:val="0"/>
          <w:color w:val="auto"/>
          <w:kern w:val="0"/>
          <w:sz w:val="24"/>
          <w:szCs w:val="24"/>
          <w:highlight w:val="none"/>
          <w:lang w:val="en-US" w:eastAsia="zh-CN"/>
        </w:rPr>
        <w:t>本次招标接受联合体投标，联合体以一个投标人的身份共同投标。</w:t>
      </w:r>
    </w:p>
    <w:p w14:paraId="7132ECD2">
      <w:pPr>
        <w:wordWrap w:val="0"/>
        <w:adjustRightInd w:val="0"/>
        <w:snapToGrid w:val="0"/>
        <w:spacing w:line="360" w:lineRule="auto"/>
        <w:ind w:firstLine="482" w:firstLineChars="200"/>
        <w:rPr>
          <w:rStyle w:val="20"/>
          <w:rFonts w:hint="eastAsia" w:ascii="宋体" w:hAnsi="宋体" w:eastAsia="宋体" w:cs="宋体"/>
          <w:b w:val="0"/>
          <w:bCs w:val="0"/>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2.11</w:t>
      </w:r>
      <w:r>
        <w:rPr>
          <w:rStyle w:val="20"/>
          <w:rFonts w:hint="eastAsia" w:ascii="宋体" w:hAnsi="宋体" w:eastAsia="宋体" w:cs="宋体"/>
          <w:b w:val="0"/>
          <w:bCs w:val="0"/>
          <w:color w:val="auto"/>
          <w:kern w:val="0"/>
          <w:sz w:val="24"/>
          <w:szCs w:val="24"/>
          <w:highlight w:val="none"/>
          <w:lang w:val="en-US" w:eastAsia="zh-CN"/>
        </w:rPr>
        <w:t xml:space="preserve"> 联合体成员数量不超过2个。</w:t>
      </w:r>
    </w:p>
    <w:p w14:paraId="53D5B60F">
      <w:pPr>
        <w:wordWrap w:val="0"/>
        <w:adjustRightInd w:val="0"/>
        <w:snapToGrid w:val="0"/>
        <w:spacing w:line="360" w:lineRule="auto"/>
        <w:ind w:firstLine="482" w:firstLineChars="200"/>
        <w:rPr>
          <w:rStyle w:val="20"/>
          <w:rFonts w:hint="eastAsia" w:ascii="宋体" w:hAnsi="宋体" w:eastAsia="宋体" w:cs="宋体"/>
          <w:b w:val="0"/>
          <w:bCs w:val="0"/>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2.12</w:t>
      </w:r>
      <w:r>
        <w:rPr>
          <w:rStyle w:val="20"/>
          <w:rFonts w:hint="eastAsia" w:ascii="宋体" w:hAnsi="宋体" w:eastAsia="宋体" w:cs="宋体"/>
          <w:b w:val="0"/>
          <w:bCs w:val="0"/>
          <w:color w:val="auto"/>
          <w:kern w:val="0"/>
          <w:sz w:val="24"/>
          <w:szCs w:val="24"/>
          <w:highlight w:val="none"/>
          <w:lang w:val="en-US" w:eastAsia="zh-CN"/>
        </w:rPr>
        <w:t xml:space="preserve"> 联合体各方应按招标文件提供的格式签订联合体协议书，明确联合体牵头人和各方权利义务，并承诺就中标项目向招标人承担连带责任。《联合体协议书》作为投标文件的组成部分向招标人提交。</w:t>
      </w:r>
    </w:p>
    <w:p w14:paraId="3E6563A8">
      <w:pPr>
        <w:wordWrap w:val="0"/>
        <w:adjustRightInd w:val="0"/>
        <w:snapToGrid w:val="0"/>
        <w:spacing w:line="360" w:lineRule="auto"/>
        <w:ind w:firstLine="482" w:firstLineChars="200"/>
        <w:rPr>
          <w:rStyle w:val="20"/>
          <w:rFonts w:hint="eastAsia" w:ascii="宋体" w:hAnsi="宋体" w:eastAsia="宋体" w:cs="宋体"/>
          <w:b w:val="0"/>
          <w:bCs w:val="0"/>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2.13</w:t>
      </w:r>
      <w:r>
        <w:rPr>
          <w:rStyle w:val="20"/>
          <w:rFonts w:hint="eastAsia" w:ascii="宋体" w:hAnsi="宋体" w:eastAsia="宋体" w:cs="宋体"/>
          <w:b w:val="0"/>
          <w:bCs w:val="0"/>
          <w:color w:val="auto"/>
          <w:kern w:val="0"/>
          <w:sz w:val="24"/>
          <w:szCs w:val="24"/>
          <w:highlight w:val="none"/>
          <w:lang w:val="en-US" w:eastAsia="zh-CN"/>
        </w:rPr>
        <w:t xml:space="preserve">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8ABDEDD">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2.14</w:t>
      </w:r>
      <w:r>
        <w:rPr>
          <w:rStyle w:val="20"/>
          <w:rFonts w:hint="eastAsia" w:ascii="宋体" w:hAnsi="宋体" w:eastAsia="宋体" w:cs="宋体"/>
          <w:b w:val="0"/>
          <w:bCs w:val="0"/>
          <w:color w:val="auto"/>
          <w:kern w:val="0"/>
          <w:sz w:val="24"/>
          <w:szCs w:val="24"/>
          <w:highlight w:val="none"/>
          <w:lang w:val="en-US" w:eastAsia="zh-CN"/>
        </w:rPr>
        <w:t xml:space="preserve"> 联合体各方不得再以自己名义单独或参加其他联合体在本招标项目中投标，否则各相关投标均无效。</w:t>
      </w:r>
    </w:p>
    <w:p w14:paraId="65A5F158">
      <w:pPr>
        <w:wordWrap w:val="0"/>
        <w:adjustRightInd w:val="0"/>
        <w:snapToGrid w:val="0"/>
        <w:spacing w:line="360" w:lineRule="auto"/>
        <w:ind w:firstLine="482" w:firstLineChars="200"/>
        <w:rPr>
          <w:rStyle w:val="20"/>
          <w:rFonts w:hint="eastAsia" w:ascii="宋体" w:hAnsi="宋体" w:eastAsia="宋体" w:cs="宋体"/>
          <w:b w:val="0"/>
          <w:bCs w:val="0"/>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 </w:t>
      </w:r>
      <w:r>
        <w:rPr>
          <w:rStyle w:val="20"/>
          <w:rFonts w:hint="eastAsia" w:ascii="宋体" w:hAnsi="宋体" w:eastAsia="宋体" w:cs="宋体"/>
          <w:b w:val="0"/>
          <w:bCs w:val="0"/>
          <w:color w:val="auto"/>
          <w:kern w:val="0"/>
          <w:sz w:val="24"/>
          <w:szCs w:val="24"/>
          <w:highlight w:val="none"/>
          <w:lang w:val="en-US" w:eastAsia="zh-CN"/>
        </w:rPr>
        <w:t>资格资质要求</w:t>
      </w:r>
    </w:p>
    <w:p w14:paraId="3EC3E140">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2.2.1 </w:t>
      </w:r>
      <w:r>
        <w:rPr>
          <w:rFonts w:hint="eastAsia" w:ascii="宋体" w:hAnsi="宋体" w:eastAsia="宋体" w:cs="宋体"/>
          <w:b w:val="0"/>
          <w:bCs w:val="0"/>
          <w:color w:val="auto"/>
          <w:sz w:val="24"/>
          <w:szCs w:val="24"/>
          <w:highlight w:val="none"/>
          <w:lang w:val="en-US" w:eastAsia="zh-CN"/>
        </w:rPr>
        <w:t>投标人须具备独立法人资格，按国家法律经营。</w:t>
      </w:r>
    </w:p>
    <w:p w14:paraId="11B0033A">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2.2.2 </w:t>
      </w:r>
      <w:r>
        <w:rPr>
          <w:rFonts w:hint="eastAsia" w:ascii="宋体" w:hAnsi="宋体" w:eastAsia="宋体" w:cs="宋体"/>
          <w:b w:val="0"/>
          <w:bCs w:val="0"/>
          <w:color w:val="auto"/>
          <w:sz w:val="24"/>
          <w:szCs w:val="24"/>
          <w:highlight w:val="none"/>
          <w:lang w:val="en-US" w:eastAsia="zh-CN"/>
        </w:rPr>
        <w:t>投标人须持有建设行政主管部门颁发的企业资质证书及安全生产许可证。</w:t>
      </w:r>
    </w:p>
    <w:p w14:paraId="7C360684">
      <w:pPr>
        <w:keepNext w:val="0"/>
        <w:keepLines w:val="0"/>
        <w:pageBreakBefore w:val="0"/>
        <w:shd w:val="clear" w:color="auto" w:fill="auto"/>
        <w:kinsoku/>
        <w:wordWrap w:val="0"/>
        <w:overflowPunct/>
        <w:topLinePunct w:val="0"/>
        <w:bidi w:val="0"/>
        <w:adjustRightInd w:val="0"/>
        <w:snapToGrid w:val="0"/>
        <w:spacing w:line="312" w:lineRule="auto"/>
        <w:ind w:firstLine="482" w:firstLineChars="200"/>
        <w:jc w:val="left"/>
        <w:textAlignment w:val="auto"/>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2.2.3 </w:t>
      </w:r>
      <w:r>
        <w:rPr>
          <w:rFonts w:hint="eastAsia" w:ascii="宋体" w:hAnsi="宋体" w:eastAsia="宋体" w:cs="宋体"/>
          <w:b w:val="0"/>
          <w:bCs w:val="0"/>
          <w:color w:val="auto"/>
          <w:sz w:val="24"/>
          <w:szCs w:val="24"/>
          <w:highlight w:val="none"/>
          <w:lang w:val="en-US" w:eastAsia="zh-CN"/>
        </w:rPr>
        <w:t>投标人须具备以下资质：参加投标的投标人可以是单一独立法人或由不超过两家独立法人组成的联合体（必须注明其中一家为牵头人）。单一独立法人必须具备市政公用工程施工总承包叁级以上（含叁级）资质，组成联合体投标的，联合后必须都具备市政公用工程施工总承包叁级以上（含叁级）资质。</w:t>
      </w:r>
    </w:p>
    <w:p w14:paraId="207B07C9">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2.2.4 </w:t>
      </w:r>
      <w:r>
        <w:rPr>
          <w:rFonts w:hint="eastAsia" w:ascii="宋体" w:hAnsi="宋体" w:eastAsia="宋体" w:cs="宋体"/>
          <w:b w:val="0"/>
          <w:bCs w:val="0"/>
          <w:color w:val="auto"/>
          <w:sz w:val="24"/>
          <w:szCs w:val="24"/>
          <w:highlight w:val="none"/>
          <w:lang w:val="en-US" w:eastAsia="zh-CN"/>
        </w:rPr>
        <w:t>根据有关文件精神，投标人的企业相关证书到期的，均按该证书的发证机构相关行业主管部门最新文件执行（如自动顺延或推迟办理延期业务的通知），投标人必须将相关文件附在该证书后面中，证明在开标日继续有效。</w:t>
      </w:r>
    </w:p>
    <w:p w14:paraId="1246A834">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 </w:t>
      </w:r>
      <w:r>
        <w:rPr>
          <w:rFonts w:hint="eastAsia" w:ascii="宋体" w:hAnsi="宋体" w:eastAsia="宋体" w:cs="宋体"/>
          <w:b w:val="0"/>
          <w:bCs w:val="0"/>
          <w:color w:val="auto"/>
          <w:sz w:val="24"/>
          <w:szCs w:val="24"/>
          <w:highlight w:val="none"/>
          <w:lang w:val="en-US" w:eastAsia="zh-CN"/>
        </w:rPr>
        <w:t>相关人员要求</w:t>
      </w:r>
    </w:p>
    <w:p w14:paraId="0684207F">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2.3.1 </w:t>
      </w:r>
      <w:r>
        <w:rPr>
          <w:rStyle w:val="20"/>
          <w:rFonts w:hint="eastAsia" w:ascii="宋体" w:hAnsi="宋体" w:eastAsia="宋体" w:cs="宋体"/>
          <w:b w:val="0"/>
          <w:bCs w:val="0"/>
          <w:color w:val="auto"/>
          <w:kern w:val="0"/>
          <w:sz w:val="24"/>
          <w:szCs w:val="24"/>
          <w:highlight w:val="none"/>
          <w:lang w:val="en-US" w:eastAsia="zh-CN"/>
        </w:rPr>
        <w:t>拟派项目经理为</w:t>
      </w:r>
      <w:r>
        <w:rPr>
          <w:rStyle w:val="20"/>
          <w:rFonts w:hint="eastAsia" w:ascii="宋体" w:hAnsi="宋体" w:eastAsia="宋体" w:cs="宋体"/>
          <w:b/>
          <w:bCs/>
          <w:color w:val="auto"/>
          <w:kern w:val="0"/>
          <w:sz w:val="24"/>
          <w:szCs w:val="24"/>
          <w:highlight w:val="none"/>
          <w:lang w:val="en-US" w:eastAsia="zh-CN"/>
        </w:rPr>
        <w:t>市政公用工程</w:t>
      </w:r>
      <w:r>
        <w:rPr>
          <w:rStyle w:val="20"/>
          <w:rFonts w:hint="eastAsia" w:ascii="宋体" w:hAnsi="宋体" w:eastAsia="宋体" w:cs="宋体"/>
          <w:b w:val="0"/>
          <w:bCs w:val="0"/>
          <w:color w:val="auto"/>
          <w:kern w:val="0"/>
          <w:sz w:val="24"/>
          <w:szCs w:val="24"/>
          <w:highlight w:val="none"/>
          <w:lang w:val="en-US" w:eastAsia="zh-CN"/>
        </w:rPr>
        <w:t>专业一级或二级注册建造师，应持有住建部门印发的在使用有效期内的有效电子注册证书（根据广东省住房和城乡建设厅（粤建市函〔2023〕469 号）文件精神，二级注册建造师可随注册企业在全国范围内执业）。同时均须具备有效安全生产考核合格证明（B 证），且未担任其他在施（包括已中标未开工、已开工未竣工）建设工程项目的项目经理。</w:t>
      </w:r>
    </w:p>
    <w:p w14:paraId="7EC74BD7">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2.3.2 </w:t>
      </w:r>
      <w:r>
        <w:rPr>
          <w:rFonts w:hint="eastAsia" w:ascii="Times New Roman" w:hAnsi="Times New Roman" w:eastAsia="宋体" w:cs="Times New Roman"/>
          <w:b/>
          <w:bCs/>
          <w:snapToGrid w:val="0"/>
          <w:color w:val="auto"/>
          <w:kern w:val="0"/>
          <w:sz w:val="24"/>
          <w:szCs w:val="24"/>
          <w:highlight w:val="none"/>
          <w:lang w:val="en-US" w:eastAsia="zh-CN" w:bidi="ar-SA"/>
        </w:rPr>
        <w:t xml:space="preserve"> </w:t>
      </w:r>
      <w:r>
        <w:rPr>
          <w:rFonts w:hint="eastAsia" w:ascii="宋体" w:hAnsi="宋体" w:eastAsia="宋体" w:cs="宋体"/>
          <w:b w:val="0"/>
          <w:bCs w:val="0"/>
          <w:snapToGrid w:val="0"/>
          <w:color w:val="auto"/>
          <w:kern w:val="0"/>
          <w:sz w:val="24"/>
          <w:szCs w:val="24"/>
          <w:highlight w:val="none"/>
        </w:rPr>
        <w:t>拟派项目技术负责人须具备</w:t>
      </w:r>
      <w:r>
        <w:rPr>
          <w:rFonts w:hint="eastAsia" w:ascii="宋体" w:hAnsi="宋体" w:eastAsia="宋体" w:cs="宋体"/>
          <w:b/>
          <w:bCs/>
          <w:snapToGrid w:val="0"/>
          <w:color w:val="auto"/>
          <w:kern w:val="0"/>
          <w:sz w:val="24"/>
          <w:szCs w:val="24"/>
          <w:highlight w:val="none"/>
        </w:rPr>
        <w:t>中级或以上</w:t>
      </w:r>
      <w:r>
        <w:rPr>
          <w:rFonts w:hint="eastAsia" w:ascii="宋体" w:hAnsi="宋体" w:eastAsia="宋体" w:cs="宋体"/>
          <w:b w:val="0"/>
          <w:bCs w:val="0"/>
          <w:snapToGrid w:val="0"/>
          <w:color w:val="auto"/>
          <w:kern w:val="0"/>
          <w:sz w:val="24"/>
          <w:szCs w:val="24"/>
          <w:highlight w:val="none"/>
        </w:rPr>
        <w:t>技术职称。</w:t>
      </w:r>
    </w:p>
    <w:p w14:paraId="0C2DFAEE">
      <w:pPr>
        <w:wordWrap w:val="0"/>
        <w:adjustRightInd w:val="0"/>
        <w:snapToGrid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2.3.3 </w:t>
      </w:r>
      <w:r>
        <w:rPr>
          <w:rFonts w:hint="eastAsia" w:ascii="宋体" w:hAnsi="宋体" w:eastAsia="宋体" w:cs="宋体"/>
          <w:b w:val="0"/>
          <w:bCs w:val="0"/>
          <w:color w:val="auto"/>
          <w:sz w:val="24"/>
          <w:szCs w:val="24"/>
          <w:highlight w:val="none"/>
          <w:lang w:val="en-US" w:eastAsia="zh-CN"/>
        </w:rPr>
        <w:t>拟派专职安全生产管理人员须具备有效安全生产考核合格证明（C证，安全生产考核合格证书或“广东省建筑施工企业管理人员安全生产考核信息系统”考核合格信息打印页），且不少于</w:t>
      </w:r>
      <w:r>
        <w:rPr>
          <w:rFonts w:hint="eastAsia" w:ascii="宋体" w:hAnsi="宋体" w:eastAsia="宋体" w:cs="宋体"/>
          <w:b/>
          <w:bCs/>
          <w:color w:val="auto"/>
          <w:sz w:val="24"/>
          <w:szCs w:val="24"/>
          <w:highlight w:val="none"/>
          <w:u w:val="single"/>
          <w:lang w:val="en-US" w:eastAsia="zh-CN"/>
        </w:rPr>
        <w:t>1</w:t>
      </w:r>
      <w:r>
        <w:rPr>
          <w:rFonts w:hint="eastAsia" w:ascii="宋体" w:hAnsi="宋体" w:eastAsia="宋体" w:cs="宋体"/>
          <w:b w:val="0"/>
          <w:bCs w:val="0"/>
          <w:color w:val="auto"/>
          <w:sz w:val="24"/>
          <w:szCs w:val="24"/>
          <w:highlight w:val="none"/>
          <w:lang w:val="en-US" w:eastAsia="zh-CN"/>
        </w:rPr>
        <w:t xml:space="preserve">人。 </w:t>
      </w:r>
    </w:p>
    <w:p w14:paraId="3EC82F78">
      <w:pPr>
        <w:wordWrap w:val="0"/>
        <w:adjustRightInd w:val="0"/>
        <w:snapToGrid w:val="0"/>
        <w:spacing w:line="360" w:lineRule="auto"/>
        <w:ind w:firstLine="482" w:firstLineChars="200"/>
        <w:rPr>
          <w:rFonts w:hint="eastAsia" w:ascii="宋体" w:hAnsi="宋体" w:eastAsia="宋体" w:cs="宋体"/>
          <w:b w:val="0"/>
          <w:bCs w:val="0"/>
          <w:color w:val="auto"/>
          <w:sz w:val="24"/>
          <w:szCs w:val="24"/>
          <w:highlight w:val="none"/>
          <w:lang w:val="en-US" w:eastAsia="zh-CN"/>
        </w:rPr>
      </w:pPr>
      <w:r>
        <w:rPr>
          <w:rStyle w:val="20"/>
          <w:rFonts w:hint="eastAsia" w:ascii="宋体" w:hAnsi="宋体" w:eastAsia="宋体" w:cs="宋体"/>
          <w:b/>
          <w:bCs/>
          <w:color w:val="auto"/>
          <w:kern w:val="0"/>
          <w:sz w:val="24"/>
          <w:szCs w:val="24"/>
          <w:highlight w:val="none"/>
          <w:lang w:val="en-US" w:eastAsia="zh-CN"/>
        </w:rPr>
        <w:t xml:space="preserve">2.3.4 </w:t>
      </w:r>
      <w:r>
        <w:rPr>
          <w:rFonts w:hint="eastAsia" w:ascii="宋体" w:hAnsi="宋体" w:eastAsia="宋体" w:cs="宋体"/>
          <w:b w:val="0"/>
          <w:bCs w:val="0"/>
          <w:color w:val="auto"/>
          <w:sz w:val="24"/>
          <w:szCs w:val="24"/>
          <w:highlight w:val="none"/>
          <w:lang w:val="en-US" w:eastAsia="zh-CN"/>
        </w:rPr>
        <w:t>投标人（包括组成联合体的所有成员单位）与其拟派往本项目管理机构的所有人员之间必须具备合法、唯一的劳动聘用关系。拟派人员中具备注册执业资格的，其注册单位须与投标人保持一致（提供社保缴纳证明或劳动合同）。</w:t>
      </w:r>
    </w:p>
    <w:p w14:paraId="390DDE10">
      <w:pPr>
        <w:spacing w:before="78"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  </w:t>
      </w:r>
      <w:r>
        <w:rPr>
          <w:rFonts w:hint="eastAsia" w:ascii="宋体" w:hAnsi="宋体" w:eastAsia="宋体" w:cs="宋体"/>
          <w:color w:val="auto"/>
          <w:spacing w:val="-1"/>
          <w:sz w:val="24"/>
          <w:szCs w:val="24"/>
          <w:highlight w:val="none"/>
        </w:rPr>
        <w:t>禁止投标条款</w:t>
      </w:r>
    </w:p>
    <w:p w14:paraId="06D1D3EA">
      <w:pPr>
        <w:spacing w:before="153" w:line="220" w:lineRule="auto"/>
        <w:ind w:left="48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2.4.1  </w:t>
      </w:r>
      <w:r>
        <w:rPr>
          <w:rFonts w:hint="eastAsia" w:ascii="宋体" w:hAnsi="宋体" w:eastAsia="宋体" w:cs="宋体"/>
          <w:color w:val="auto"/>
          <w:spacing w:val="-1"/>
          <w:sz w:val="24"/>
          <w:szCs w:val="24"/>
          <w:highlight w:val="none"/>
        </w:rPr>
        <w:t>投标人不得存在下列情形之一：</w:t>
      </w:r>
    </w:p>
    <w:p w14:paraId="3E5CCC45">
      <w:pPr>
        <w:spacing w:before="153"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（1）为招标人不具有独立法人资格的附属机构（单位</w:t>
      </w:r>
      <w:r>
        <w:rPr>
          <w:rFonts w:hint="eastAsia" w:ascii="宋体" w:hAnsi="宋体" w:eastAsia="宋体" w:cs="宋体"/>
          <w:color w:val="auto"/>
          <w:spacing w:val="1"/>
          <w:sz w:val="24"/>
          <w:szCs w:val="24"/>
          <w:highlight w:val="none"/>
        </w:rPr>
        <w:t>）；</w:t>
      </w:r>
    </w:p>
    <w:p w14:paraId="16678467">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（2）为本招标项目前期准备提供设计或咨询服务的；</w:t>
      </w:r>
    </w:p>
    <w:p w14:paraId="5DFF6242">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（3）与本招标项目的其他投标人为同一个单位负责人；</w:t>
      </w:r>
    </w:p>
    <w:p w14:paraId="17078E26">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（4）与本招标项目的其他投标人存在控股、管理关系；</w:t>
      </w:r>
    </w:p>
    <w:p w14:paraId="2AE295DB">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（5）为本招标项目的监理人；</w:t>
      </w:r>
    </w:p>
    <w:p w14:paraId="3F7FFAD1">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（6）为本招标项目的代建人；</w:t>
      </w:r>
    </w:p>
    <w:p w14:paraId="0877A5E5">
      <w:pPr>
        <w:spacing w:before="155"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（7）为本招标项目的招标代理机构；</w:t>
      </w:r>
    </w:p>
    <w:p w14:paraId="7D23E0F9">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（8）与本招标项目的监理人或代建人或招标代理机构同为一个法定代表人；</w:t>
      </w:r>
    </w:p>
    <w:p w14:paraId="63FAB54C">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（9）与本招标项目的监理人或代建人或招标代理机构存在控股或参股关系；</w:t>
      </w:r>
    </w:p>
    <w:p w14:paraId="1275DB45">
      <w:pPr>
        <w:spacing w:before="155" w:line="219" w:lineRule="auto"/>
        <w:ind w:firstLine="468"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（10）与本招标项目的监理人或代建人或招标代理机构存在相互</w:t>
      </w:r>
      <w:r>
        <w:rPr>
          <w:rFonts w:hint="eastAsia" w:ascii="宋体" w:hAnsi="宋体" w:eastAsia="宋体" w:cs="宋体"/>
          <w:color w:val="auto"/>
          <w:spacing w:val="-4"/>
          <w:sz w:val="24"/>
          <w:szCs w:val="24"/>
          <w:highlight w:val="none"/>
        </w:rPr>
        <w:t>任职或工作关系；</w:t>
      </w:r>
    </w:p>
    <w:p w14:paraId="6C0F71C6">
      <w:pPr>
        <w:spacing w:before="157"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（11）被依法暂停或者取消投标资格；</w:t>
      </w:r>
    </w:p>
    <w:p w14:paraId="228B28A4">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（12）被责令停产停业、暂扣或者吊销许可证、暂扣或者吊销执照；</w:t>
      </w:r>
    </w:p>
    <w:p w14:paraId="366BE637">
      <w:pPr>
        <w:spacing w:before="154" w:line="219" w:lineRule="auto"/>
        <w:ind w:left="50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（13）进入清算程序，或被宣告破产，或其他丧失履约能力的情形；</w:t>
      </w:r>
    </w:p>
    <w:p w14:paraId="1EB464C8">
      <w:pPr>
        <w:pStyle w:val="22"/>
        <w:wordWrap w:val="0"/>
        <w:adjustRightInd w:val="0"/>
        <w:snapToGrid w:val="0"/>
        <w:spacing w:line="440" w:lineRule="exact"/>
        <w:ind w:firstLine="480"/>
        <w:jc w:val="left"/>
        <w:rPr>
          <w:rFonts w:hint="eastAsia" w:ascii="宋体" w:hAnsi="宋体" w:eastAsia="宋体" w:cs="宋体"/>
          <w:color w:val="auto"/>
          <w:spacing w:val="2"/>
          <w:sz w:val="24"/>
          <w:szCs w:val="24"/>
          <w:highlight w:val="none"/>
        </w:rPr>
      </w:pPr>
      <w:bookmarkStart w:id="18" w:name="bookmark116"/>
      <w:bookmarkEnd w:id="18"/>
      <w:r>
        <w:rPr>
          <w:rFonts w:hint="eastAsia" w:ascii="宋体" w:hAnsi="宋体" w:eastAsia="宋体" w:cs="宋体"/>
          <w:color w:val="auto"/>
          <w:spacing w:val="-1"/>
          <w:sz w:val="24"/>
          <w:szCs w:val="24"/>
          <w:highlight w:val="none"/>
        </w:rPr>
        <w:t>处罚决定或司法机关出具的有关法律文书为准</w:t>
      </w:r>
      <w:r>
        <w:rPr>
          <w:rFonts w:hint="eastAsia" w:ascii="宋体" w:hAnsi="宋体" w:eastAsia="宋体" w:cs="宋体"/>
          <w:color w:val="auto"/>
          <w:spacing w:val="2"/>
          <w:sz w:val="24"/>
          <w:szCs w:val="24"/>
          <w:highlight w:val="none"/>
        </w:rPr>
        <w:t>）；</w:t>
      </w:r>
    </w:p>
    <w:p w14:paraId="54C119DA">
      <w:pPr>
        <w:pStyle w:val="22"/>
        <w:wordWrap w:val="0"/>
        <w:adjustRightInd w:val="0"/>
        <w:snapToGrid w:val="0"/>
        <w:spacing w:line="44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highlight w:val="none"/>
        </w:rPr>
        <w:t>（14）在最近三年内发生重大工程质量或安全问题（以相关行业主管部门的行政处罚决定或司法机关出具的有关法律文书为准）；</w:t>
      </w:r>
    </w:p>
    <w:p w14:paraId="71DB056F">
      <w:pPr>
        <w:spacing w:before="118" w:line="293" w:lineRule="auto"/>
        <w:ind w:left="232" w:right="99" w:firstLine="36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（15）被“信用中国</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”网站（https://www.creditchina.gov.cn）发布的《法人和</w:t>
      </w:r>
      <w:r>
        <w:rPr>
          <w:rFonts w:hint="eastAsia" w:ascii="宋体" w:hAnsi="宋体" w:eastAsia="宋体" w:cs="宋体"/>
          <w:color w:val="auto"/>
          <w:spacing w:val="-3"/>
          <w:sz w:val="24"/>
          <w:szCs w:val="24"/>
          <w:highlight w:val="none"/>
        </w:rPr>
        <w:t>非法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人组织公共信用信息报告</w:t>
      </w:r>
      <w:r>
        <w:rPr>
          <w:rFonts w:hint="eastAsia" w:ascii="宋体" w:hAnsi="宋体" w:eastAsia="宋体" w:cs="宋体"/>
          <w:snapToGrid w:val="0"/>
          <w:color w:val="auto"/>
          <w:kern w:val="0"/>
          <w:sz w:val="24"/>
          <w:szCs w:val="24"/>
          <w:highlight w:val="none"/>
          <w:lang w:val="en-US" w:eastAsia="zh-CN" w:bidi="ar-SA"/>
        </w:rPr>
        <w:t>》列为严重失信主体名单的</w:t>
      </w:r>
      <w:r>
        <w:rPr>
          <w:rFonts w:hint="eastAsia" w:ascii="宋体" w:hAnsi="宋体" w:eastAsia="宋体" w:cs="宋体"/>
          <w:color w:val="auto"/>
          <w:spacing w:val="2"/>
          <w:sz w:val="24"/>
          <w:szCs w:val="24"/>
          <w:highlight w:val="none"/>
        </w:rPr>
        <w:t>。</w:t>
      </w:r>
    </w:p>
    <w:p w14:paraId="421AB695">
      <w:pPr>
        <w:spacing w:before="155" w:line="219" w:lineRule="auto"/>
        <w:ind w:left="706"/>
        <w:rPr>
          <w:rFonts w:hint="eastAsia" w:ascii="宋体" w:hAnsi="宋体" w:eastAsia="宋体" w:cs="宋体"/>
          <w:color w:val="auto"/>
          <w:spacing w:val="-1"/>
          <w:sz w:val="24"/>
          <w:szCs w:val="24"/>
          <w:highlight w:val="none"/>
        </w:rPr>
      </w:pPr>
      <w:r>
        <w:rPr>
          <w:rFonts w:hint="eastAsia" w:ascii="宋体" w:hAnsi="宋体" w:eastAsia="宋体" w:cs="宋体"/>
          <w:b/>
          <w:bCs/>
          <w:color w:val="auto"/>
          <w:sz w:val="24"/>
          <w:szCs w:val="24"/>
          <w:highlight w:val="none"/>
        </w:rPr>
        <w:t xml:space="preserve">2.4.2  </w:t>
      </w:r>
      <w:r>
        <w:rPr>
          <w:rFonts w:hint="eastAsia" w:ascii="宋体" w:hAnsi="宋体" w:eastAsia="宋体" w:cs="宋体"/>
          <w:color w:val="auto"/>
          <w:sz w:val="24"/>
          <w:szCs w:val="24"/>
          <w:highlight w:val="none"/>
        </w:rPr>
        <w:t>招标人拒绝以下名单中的单位</w:t>
      </w:r>
      <w:r>
        <w:rPr>
          <w:rFonts w:hint="eastAsia" w:ascii="宋体" w:hAnsi="宋体" w:eastAsia="宋体" w:cs="宋体"/>
          <w:color w:val="auto"/>
          <w:spacing w:val="-1"/>
          <w:sz w:val="24"/>
          <w:szCs w:val="24"/>
          <w:highlight w:val="none"/>
        </w:rPr>
        <w:t>参加本次投标：</w:t>
      </w:r>
    </w:p>
    <w:tbl>
      <w:tblPr>
        <w:tblStyle w:val="14"/>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4217"/>
        <w:gridCol w:w="4268"/>
      </w:tblGrid>
      <w:tr w14:paraId="6208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93" w:type="dxa"/>
            <w:vAlign w:val="center"/>
          </w:tcPr>
          <w:p w14:paraId="334665A7">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序号</w:t>
            </w:r>
          </w:p>
        </w:tc>
        <w:tc>
          <w:tcPr>
            <w:tcW w:w="4217" w:type="dxa"/>
            <w:vAlign w:val="center"/>
          </w:tcPr>
          <w:p w14:paraId="3BC4915E">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单位名称</w:t>
            </w:r>
          </w:p>
        </w:tc>
        <w:tc>
          <w:tcPr>
            <w:tcW w:w="4268" w:type="dxa"/>
            <w:vAlign w:val="center"/>
          </w:tcPr>
          <w:p w14:paraId="21EA3626">
            <w:pPr>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eastAsia="zh-CN"/>
              </w:rPr>
              <w:t>拒绝原因</w:t>
            </w:r>
          </w:p>
        </w:tc>
      </w:tr>
      <w:tr w14:paraId="4EA80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6A2835F8">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val="0"/>
                <w:bCs w:val="0"/>
                <w:snapToGrid w:val="0"/>
                <w:color w:val="auto"/>
                <w:kern w:val="0"/>
                <w:sz w:val="24"/>
                <w:szCs w:val="24"/>
                <w:highlight w:val="none"/>
                <w:lang w:val="en-US" w:eastAsia="zh-CN"/>
              </w:rPr>
              <w:t>1</w:t>
            </w:r>
          </w:p>
        </w:tc>
        <w:tc>
          <w:tcPr>
            <w:tcW w:w="4217" w:type="dxa"/>
            <w:vAlign w:val="center"/>
          </w:tcPr>
          <w:p w14:paraId="234C470D">
            <w:pPr>
              <w:pStyle w:val="49"/>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韶关市曲江区农业农村局</w:t>
            </w:r>
          </w:p>
        </w:tc>
        <w:tc>
          <w:tcPr>
            <w:tcW w:w="4268" w:type="dxa"/>
            <w:vAlign w:val="center"/>
          </w:tcPr>
          <w:p w14:paraId="16F3CD79">
            <w:pPr>
              <w:pStyle w:val="49"/>
              <w:keepNext w:val="0"/>
              <w:keepLines w:val="0"/>
              <w:pageBreakBefore w:val="0"/>
              <w:widowControl/>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
              </w:rPr>
              <w:t>为本招标项目</w:t>
            </w:r>
            <w:r>
              <w:rPr>
                <w:rFonts w:hint="eastAsia" w:hAnsi="宋体" w:eastAsia="宋体" w:cs="宋体"/>
                <w:b w:val="0"/>
                <w:bCs w:val="0"/>
                <w:color w:val="auto"/>
                <w:kern w:val="2"/>
                <w:sz w:val="24"/>
                <w:szCs w:val="24"/>
                <w:highlight w:val="none"/>
                <w:lang w:val="en-US" w:eastAsia="zh-CN" w:bidi="ar"/>
              </w:rPr>
              <w:t>监督</w:t>
            </w:r>
            <w:r>
              <w:rPr>
                <w:rFonts w:hint="eastAsia" w:ascii="宋体" w:hAnsi="宋体" w:eastAsia="宋体" w:cs="宋体"/>
                <w:b w:val="0"/>
                <w:bCs w:val="0"/>
                <w:color w:val="auto"/>
                <w:kern w:val="2"/>
                <w:sz w:val="24"/>
                <w:szCs w:val="24"/>
                <w:highlight w:val="none"/>
                <w:lang w:val="en-US" w:eastAsia="zh-CN" w:bidi="ar"/>
              </w:rPr>
              <w:t>单位</w:t>
            </w:r>
          </w:p>
        </w:tc>
      </w:tr>
      <w:tr w14:paraId="246D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10B8D341">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2</w:t>
            </w:r>
          </w:p>
        </w:tc>
        <w:tc>
          <w:tcPr>
            <w:tcW w:w="4217" w:type="dxa"/>
            <w:vAlign w:val="center"/>
          </w:tcPr>
          <w:p w14:paraId="0EFA7E61">
            <w:pPr>
              <w:pStyle w:val="22"/>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snapToGrid w:val="0"/>
                <w:color w:val="auto"/>
                <w:kern w:val="0"/>
                <w:sz w:val="24"/>
                <w:szCs w:val="24"/>
                <w:highlight w:val="none"/>
                <w:lang w:eastAsia="zh-CN"/>
              </w:rPr>
              <w:t>韶关市曲江区乌石镇人民政府</w:t>
            </w:r>
          </w:p>
        </w:tc>
        <w:tc>
          <w:tcPr>
            <w:tcW w:w="4268" w:type="dxa"/>
            <w:vAlign w:val="center"/>
          </w:tcPr>
          <w:p w14:paraId="4D44C582">
            <w:pPr>
              <w:pStyle w:val="22"/>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为本招标项目的招标人</w:t>
            </w:r>
          </w:p>
        </w:tc>
      </w:tr>
      <w:tr w14:paraId="5995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51D1E547">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3</w:t>
            </w:r>
          </w:p>
        </w:tc>
        <w:tc>
          <w:tcPr>
            <w:tcW w:w="4217" w:type="dxa"/>
            <w:vAlign w:val="center"/>
          </w:tcPr>
          <w:p w14:paraId="41AB8933">
            <w:pPr>
              <w:pStyle w:val="22"/>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深圳市祺骏建设工程顾问有限公司</w:t>
            </w:r>
          </w:p>
        </w:tc>
        <w:tc>
          <w:tcPr>
            <w:tcW w:w="4268" w:type="dxa"/>
            <w:vAlign w:val="center"/>
          </w:tcPr>
          <w:p w14:paraId="22DB37F5">
            <w:pPr>
              <w:pStyle w:val="22"/>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为本招标项目的招标代理机构</w:t>
            </w:r>
          </w:p>
        </w:tc>
      </w:tr>
      <w:tr w14:paraId="0947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70E13915">
            <w:pPr>
              <w:pStyle w:val="22"/>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4</w:t>
            </w:r>
          </w:p>
        </w:tc>
        <w:tc>
          <w:tcPr>
            <w:tcW w:w="4217" w:type="dxa"/>
            <w:shd w:val="clear" w:color="auto" w:fill="auto"/>
            <w:vAlign w:val="center"/>
          </w:tcPr>
          <w:p w14:paraId="78A4831E">
            <w:pPr>
              <w:pStyle w:val="22"/>
              <w:wordWrap w:val="0"/>
              <w:adjustRightInd w:val="0"/>
              <w:snapToGrid w:val="0"/>
              <w:spacing w:line="240" w:lineRule="auto"/>
              <w:jc w:val="center"/>
              <w:rPr>
                <w:rFonts w:hint="default" w:ascii="宋体" w:hAnsi="宋体" w:eastAsia="宋体" w:cs="宋体"/>
                <w:color w:val="auto"/>
                <w:kern w:val="2"/>
                <w:sz w:val="24"/>
                <w:szCs w:val="24"/>
                <w:highlight w:val="yellow"/>
                <w:lang w:val="en-US" w:eastAsia="zh-CN" w:bidi="ar-SA"/>
              </w:rPr>
            </w:pPr>
            <w:r>
              <w:rPr>
                <w:rFonts w:hint="default" w:ascii="宋体" w:hAnsi="宋体" w:eastAsia="宋体" w:cs="宋体"/>
                <w:color w:val="auto"/>
                <w:kern w:val="2"/>
                <w:sz w:val="24"/>
                <w:szCs w:val="24"/>
                <w:highlight w:val="none"/>
                <w:lang w:val="en-US" w:eastAsia="zh-CN" w:bidi="ar-SA"/>
              </w:rPr>
              <w:t>中启信项目咨询有限公司</w:t>
            </w:r>
          </w:p>
        </w:tc>
        <w:tc>
          <w:tcPr>
            <w:tcW w:w="4268" w:type="dxa"/>
            <w:shd w:val="clear" w:color="auto" w:fill="auto"/>
            <w:vAlign w:val="center"/>
          </w:tcPr>
          <w:p w14:paraId="6E7B5602">
            <w:pPr>
              <w:pStyle w:val="22"/>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bidi="ar-SA"/>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本招标项目的工程设计单位</w:t>
            </w:r>
          </w:p>
        </w:tc>
      </w:tr>
      <w:tr w14:paraId="32C1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580E6A29">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snapToGrid w:val="0"/>
                <w:color w:val="auto"/>
                <w:kern w:val="0"/>
                <w:sz w:val="24"/>
                <w:szCs w:val="24"/>
                <w:highlight w:val="none"/>
                <w:lang w:val="en-US" w:eastAsia="zh-CN"/>
              </w:rPr>
              <w:t>5</w:t>
            </w:r>
          </w:p>
        </w:tc>
        <w:tc>
          <w:tcPr>
            <w:tcW w:w="4217" w:type="dxa"/>
            <w:shd w:val="clear" w:color="auto" w:fill="auto"/>
            <w:vAlign w:val="center"/>
          </w:tcPr>
          <w:p w14:paraId="25B6157E">
            <w:pPr>
              <w:pStyle w:val="22"/>
              <w:wordWrap w:val="0"/>
              <w:adjustRightInd w:val="0"/>
              <w:snapToGrid w:val="0"/>
              <w:spacing w:line="240" w:lineRule="auto"/>
              <w:jc w:val="center"/>
              <w:rPr>
                <w:rFonts w:hint="default" w:ascii="宋体" w:hAnsi="宋体" w:eastAsia="宋体" w:cs="宋体"/>
                <w:color w:val="auto"/>
                <w:sz w:val="24"/>
                <w:szCs w:val="24"/>
                <w:highlight w:val="yellow"/>
                <w:lang w:val="en-US" w:eastAsia="zh-CN"/>
              </w:rPr>
            </w:pPr>
            <w:r>
              <w:rPr>
                <w:rFonts w:hint="default" w:ascii="宋体" w:hAnsi="宋体" w:eastAsia="宋体" w:cs="宋体"/>
                <w:color w:val="auto"/>
                <w:sz w:val="24"/>
                <w:szCs w:val="24"/>
                <w:highlight w:val="none"/>
                <w:lang w:val="en-US" w:eastAsia="zh-CN"/>
              </w:rPr>
              <w:t>广州信必达工程造价咨询有限公司</w:t>
            </w:r>
          </w:p>
        </w:tc>
        <w:tc>
          <w:tcPr>
            <w:tcW w:w="4268" w:type="dxa"/>
            <w:shd w:val="clear" w:color="auto" w:fill="auto"/>
            <w:vAlign w:val="center"/>
          </w:tcPr>
          <w:p w14:paraId="2EE73D3A">
            <w:pPr>
              <w:pStyle w:val="22"/>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1"/>
                <w:szCs w:val="21"/>
                <w:highlight w:val="none"/>
                <w:lang w:val="en-US" w:eastAsia="zh-CN"/>
              </w:rPr>
              <w:t>本招标项目的工程造价咨询单位</w:t>
            </w:r>
          </w:p>
        </w:tc>
      </w:tr>
      <w:tr w14:paraId="6BBCC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564539E1">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default" w:ascii="宋体" w:hAnsi="宋体" w:eastAsia="宋体" w:cs="宋体"/>
                <w:b w:val="0"/>
                <w:bCs w:val="0"/>
                <w:snapToGrid w:val="0"/>
                <w:color w:val="auto"/>
                <w:kern w:val="0"/>
                <w:sz w:val="24"/>
                <w:szCs w:val="24"/>
                <w:highlight w:val="none"/>
                <w:lang w:val="en-US" w:eastAsia="zh-CN"/>
              </w:rPr>
            </w:pPr>
            <w:r>
              <w:rPr>
                <w:rFonts w:hint="eastAsia" w:ascii="宋体" w:hAnsi="宋体" w:cs="宋体"/>
                <w:b w:val="0"/>
                <w:bCs w:val="0"/>
                <w:snapToGrid w:val="0"/>
                <w:color w:val="auto"/>
                <w:kern w:val="0"/>
                <w:sz w:val="24"/>
                <w:szCs w:val="24"/>
                <w:highlight w:val="none"/>
                <w:lang w:val="en-US" w:eastAsia="zh-CN"/>
              </w:rPr>
              <w:t>6</w:t>
            </w:r>
          </w:p>
        </w:tc>
        <w:tc>
          <w:tcPr>
            <w:tcW w:w="4217" w:type="dxa"/>
            <w:shd w:val="clear" w:color="auto" w:fill="auto"/>
            <w:vAlign w:val="center"/>
          </w:tcPr>
          <w:p w14:paraId="6048F8D3">
            <w:pPr>
              <w:pStyle w:val="22"/>
              <w:wordWrap w:val="0"/>
              <w:adjustRightInd w:val="0"/>
              <w:snapToGrid w:val="0"/>
              <w:spacing w:line="240" w:lineRule="auto"/>
              <w:jc w:val="center"/>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中大设计集团有限公司</w:t>
            </w:r>
          </w:p>
        </w:tc>
        <w:tc>
          <w:tcPr>
            <w:tcW w:w="4268" w:type="dxa"/>
            <w:shd w:val="clear" w:color="auto" w:fill="auto"/>
            <w:vAlign w:val="center"/>
          </w:tcPr>
          <w:p w14:paraId="556514F2">
            <w:pPr>
              <w:pStyle w:val="22"/>
              <w:wordWrap w:val="0"/>
              <w:adjustRightInd w:val="0"/>
              <w:snapToGrid w:val="0"/>
              <w:spacing w:line="240" w:lineRule="auto"/>
              <w:jc w:val="center"/>
              <w:rPr>
                <w:rFonts w:hint="eastAsia" w:ascii="宋体" w:hAnsi="宋体" w:eastAsia="宋体" w:cs="宋体"/>
                <w:snapToGrid w:val="0"/>
                <w:color w:val="auto"/>
                <w:kern w:val="0"/>
                <w:sz w:val="24"/>
                <w:szCs w:val="24"/>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可研编制单位</w:t>
            </w:r>
          </w:p>
        </w:tc>
      </w:tr>
      <w:tr w14:paraId="2B5A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93" w:type="dxa"/>
            <w:vAlign w:val="center"/>
          </w:tcPr>
          <w:p w14:paraId="5E4D2AA0">
            <w:pPr>
              <w:pStyle w:val="22"/>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jc w:val="center"/>
              <w:textAlignment w:val="auto"/>
              <w:rPr>
                <w:rFonts w:hint="eastAsia" w:ascii="宋体" w:hAnsi="宋体" w:cs="宋体"/>
                <w:b w:val="0"/>
                <w:bCs w:val="0"/>
                <w:snapToGrid w:val="0"/>
                <w:color w:val="auto"/>
                <w:kern w:val="0"/>
                <w:sz w:val="24"/>
                <w:szCs w:val="24"/>
                <w:highlight w:val="none"/>
                <w:lang w:val="en-US" w:eastAsia="zh-CN"/>
              </w:rPr>
            </w:pPr>
            <w:r>
              <w:rPr>
                <w:rFonts w:hint="eastAsia" w:ascii="宋体" w:hAnsi="宋体" w:cs="宋体"/>
                <w:b w:val="0"/>
                <w:bCs w:val="0"/>
                <w:snapToGrid w:val="0"/>
                <w:color w:val="auto"/>
                <w:kern w:val="0"/>
                <w:sz w:val="21"/>
                <w:szCs w:val="21"/>
                <w:highlight w:val="none"/>
                <w:lang w:val="en-US" w:eastAsia="zh-CN"/>
              </w:rPr>
              <w:t>7</w:t>
            </w:r>
          </w:p>
        </w:tc>
        <w:tc>
          <w:tcPr>
            <w:tcW w:w="4217" w:type="dxa"/>
            <w:shd w:val="clear" w:color="auto" w:fill="auto"/>
            <w:vAlign w:val="center"/>
          </w:tcPr>
          <w:p w14:paraId="5B55F226">
            <w:pPr>
              <w:pStyle w:val="22"/>
              <w:wordWrap w:val="0"/>
              <w:adjustRightInd w:val="0"/>
              <w:snapToGrid w:val="0"/>
              <w:spacing w:line="240" w:lineRule="auto"/>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广东中水工程监理有限公司</w:t>
            </w:r>
          </w:p>
        </w:tc>
        <w:tc>
          <w:tcPr>
            <w:tcW w:w="4268" w:type="dxa"/>
            <w:shd w:val="clear" w:color="auto" w:fill="auto"/>
            <w:vAlign w:val="center"/>
          </w:tcPr>
          <w:p w14:paraId="617081B1">
            <w:pPr>
              <w:pStyle w:val="22"/>
              <w:wordWrap w:val="0"/>
              <w:adjustRightInd w:val="0"/>
              <w:snapToGrid w:val="0"/>
              <w:spacing w:line="240" w:lineRule="auto"/>
              <w:jc w:val="center"/>
              <w:rPr>
                <w:rFonts w:hint="eastAsia" w:asciiTheme="minorEastAsia" w:hAnsiTheme="minorEastAsia" w:eastAsiaTheme="minorEastAsia" w:cstheme="minorEastAsia"/>
                <w:snapToGrid w:val="0"/>
                <w:color w:val="auto"/>
                <w:kern w:val="0"/>
                <w:sz w:val="21"/>
                <w:szCs w:val="21"/>
                <w:highlight w:val="none"/>
                <w:lang w:eastAsia="zh-CN"/>
              </w:rPr>
            </w:pPr>
            <w:r>
              <w:rPr>
                <w:rFonts w:hint="eastAsia" w:asciiTheme="minorEastAsia" w:hAnsiTheme="minorEastAsia" w:eastAsiaTheme="minorEastAsia" w:cstheme="minorEastAsia"/>
                <w:snapToGrid w:val="0"/>
                <w:color w:val="auto"/>
                <w:kern w:val="0"/>
                <w:sz w:val="21"/>
                <w:szCs w:val="21"/>
                <w:highlight w:val="none"/>
                <w:lang w:eastAsia="zh-CN"/>
              </w:rPr>
              <w:t>为本招标项目的</w:t>
            </w:r>
            <w:r>
              <w:rPr>
                <w:rFonts w:hint="eastAsia" w:asciiTheme="minorEastAsia" w:hAnsiTheme="minorEastAsia" w:eastAsiaTheme="minorEastAsia" w:cstheme="minorEastAsia"/>
                <w:snapToGrid w:val="0"/>
                <w:color w:val="auto"/>
                <w:kern w:val="0"/>
                <w:sz w:val="21"/>
                <w:szCs w:val="21"/>
                <w:highlight w:val="none"/>
                <w:lang w:val="en-US" w:eastAsia="zh-CN"/>
              </w:rPr>
              <w:t xml:space="preserve">监理单位 </w:t>
            </w:r>
          </w:p>
        </w:tc>
      </w:tr>
    </w:tbl>
    <w:p w14:paraId="1BD15F79">
      <w:pPr>
        <w:spacing w:line="93" w:lineRule="auto"/>
        <w:rPr>
          <w:rFonts w:hint="eastAsia" w:ascii="宋体" w:hAnsi="宋体" w:eastAsia="宋体" w:cs="宋体"/>
          <w:color w:val="auto"/>
          <w:sz w:val="2"/>
          <w:highlight w:val="none"/>
        </w:rPr>
      </w:pPr>
    </w:p>
    <w:p w14:paraId="0E5D39AE">
      <w:pPr>
        <w:spacing w:before="153" w:line="221" w:lineRule="auto"/>
        <w:ind w:left="70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其他要求</w:t>
      </w:r>
    </w:p>
    <w:p w14:paraId="513698FE">
      <w:pPr>
        <w:spacing w:before="150" w:line="334" w:lineRule="auto"/>
        <w:ind w:left="232" w:right="99" w:firstLine="481"/>
        <w:rPr>
          <w:rFonts w:hint="eastAsia" w:ascii="宋体" w:hAnsi="宋体" w:eastAsia="宋体" w:cs="宋体"/>
          <w:color w:val="auto"/>
          <w:highlight w:val="none"/>
        </w:rPr>
      </w:pPr>
      <w:r>
        <w:rPr>
          <w:rFonts w:hint="eastAsia" w:ascii="宋体" w:hAnsi="宋体" w:eastAsia="宋体" w:cs="宋体"/>
          <w:color w:val="auto"/>
          <w:spacing w:val="-1"/>
          <w:sz w:val="24"/>
          <w:szCs w:val="24"/>
          <w:highlight w:val="none"/>
        </w:rPr>
        <w:t>省外企业</w:t>
      </w:r>
      <w:r>
        <w:rPr>
          <w:rFonts w:hint="eastAsia" w:ascii="宋体" w:hAnsi="宋体" w:eastAsia="宋体" w:cs="宋体"/>
          <w:color w:val="auto"/>
          <w:spacing w:val="-1"/>
          <w:sz w:val="24"/>
          <w:szCs w:val="24"/>
          <w:highlight w:val="none"/>
          <w:lang w:val="en-US" w:eastAsia="zh-CN"/>
        </w:rPr>
        <w:t>（包括组成联合体的所有成员单位）</w:t>
      </w:r>
      <w:r>
        <w:rPr>
          <w:rFonts w:hint="eastAsia" w:ascii="宋体" w:hAnsi="宋体" w:eastAsia="宋体" w:cs="宋体"/>
          <w:color w:val="auto"/>
          <w:spacing w:val="-1"/>
          <w:sz w:val="24"/>
          <w:szCs w:val="24"/>
          <w:highlight w:val="none"/>
        </w:rPr>
        <w:t>及其拟派往本项目管理机构的所有</w:t>
      </w:r>
      <w:r>
        <w:rPr>
          <w:rFonts w:hint="eastAsia" w:ascii="宋体" w:hAnsi="宋体" w:eastAsia="宋体" w:cs="宋体"/>
          <w:color w:val="auto"/>
          <w:spacing w:val="-2"/>
          <w:sz w:val="24"/>
          <w:szCs w:val="24"/>
          <w:highlight w:val="none"/>
        </w:rPr>
        <w:t>人员均须按照《广东省住房和城乡建</w:t>
      </w:r>
      <w:r>
        <w:rPr>
          <w:rFonts w:hint="eastAsia" w:ascii="宋体" w:hAnsi="宋体" w:eastAsia="宋体" w:cs="宋体"/>
          <w:color w:val="auto"/>
          <w:spacing w:val="-1"/>
          <w:sz w:val="24"/>
          <w:szCs w:val="24"/>
          <w:highlight w:val="none"/>
        </w:rPr>
        <w:t>设厅关于取消省外建筑企业和人员进粤信息备案有关工作的通知》</w:t>
      </w:r>
      <w:r>
        <w:rPr>
          <w:rFonts w:hint="eastAsia" w:ascii="宋体" w:hAnsi="宋体" w:eastAsia="宋体" w:cs="宋体"/>
          <w:color w:val="auto"/>
          <w:spacing w:val="-2"/>
          <w:sz w:val="24"/>
          <w:szCs w:val="24"/>
          <w:highlight w:val="none"/>
        </w:rPr>
        <w:t>（粤建市﹝2015﹞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52</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4"/>
          <w:sz w:val="24"/>
          <w:szCs w:val="24"/>
          <w:highlight w:val="none"/>
        </w:rPr>
        <w:t>号）规定在“进粤企业和人员诚信信息登记平台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”录入相关信息并通过数</w:t>
      </w:r>
      <w:r>
        <w:rPr>
          <w:rFonts w:hint="eastAsia" w:ascii="宋体" w:hAnsi="宋体" w:eastAsia="宋体" w:cs="宋体"/>
          <w:color w:val="auto"/>
          <w:spacing w:val="-5"/>
          <w:sz w:val="24"/>
          <w:szCs w:val="24"/>
          <w:highlight w:val="none"/>
        </w:rPr>
        <w:t>据规范检</w:t>
      </w:r>
      <w:r>
        <w:rPr>
          <w:rFonts w:hint="eastAsia" w:ascii="宋体" w:hAnsi="宋体" w:eastAsia="宋体" w:cs="宋体"/>
          <w:color w:val="auto"/>
          <w:spacing w:val="-6"/>
          <w:sz w:val="24"/>
          <w:szCs w:val="24"/>
          <w:highlight w:val="none"/>
        </w:rPr>
        <w:t>查。</w:t>
      </w:r>
    </w:p>
    <w:p w14:paraId="52958258">
      <w:pPr>
        <w:spacing w:before="79" w:line="220" w:lineRule="auto"/>
        <w:ind w:left="715"/>
        <w:outlineLvl w:val="2"/>
        <w:rPr>
          <w:rFonts w:hint="eastAsia" w:ascii="宋体" w:hAnsi="宋体" w:eastAsia="宋体" w:cs="宋体"/>
          <w:color w:val="auto"/>
          <w:sz w:val="24"/>
          <w:szCs w:val="24"/>
          <w:highlight w:val="none"/>
        </w:rPr>
      </w:pPr>
      <w:bookmarkStart w:id="19" w:name="_Toc21490"/>
      <w:bookmarkStart w:id="20" w:name="_Toc23243"/>
      <w:r>
        <w:rPr>
          <w:rFonts w:hint="eastAsia" w:ascii="宋体" w:hAnsi="宋体" w:eastAsia="宋体" w:cs="宋体"/>
          <w:b/>
          <w:bCs/>
          <w:color w:val="auto"/>
          <w:spacing w:val="-4"/>
          <w:sz w:val="24"/>
          <w:szCs w:val="24"/>
          <w:highlight w:val="none"/>
        </w:rPr>
        <w:t>3．招标文件的获取</w:t>
      </w:r>
      <w:bookmarkEnd w:id="19"/>
      <w:bookmarkEnd w:id="20"/>
    </w:p>
    <w:p w14:paraId="6BA39D71">
      <w:pPr>
        <w:spacing w:before="182" w:line="219" w:lineRule="auto"/>
        <w:ind w:left="70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3.1  </w:t>
      </w:r>
      <w:r>
        <w:rPr>
          <w:rFonts w:hint="eastAsia" w:ascii="宋体" w:hAnsi="宋体" w:eastAsia="宋体" w:cs="宋体"/>
          <w:color w:val="auto"/>
          <w:spacing w:val="-1"/>
          <w:sz w:val="24"/>
          <w:szCs w:val="24"/>
          <w:highlight w:val="none"/>
        </w:rPr>
        <w:t>本次招标实行电子投标。</w:t>
      </w:r>
    </w:p>
    <w:p w14:paraId="3ABD5E16">
      <w:pPr>
        <w:spacing w:before="178" w:line="355" w:lineRule="auto"/>
        <w:ind w:left="229" w:firstLine="48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本次招标实行电子投标。本项目招标文件随招标公</w:t>
      </w:r>
      <w:r>
        <w:rPr>
          <w:rFonts w:hint="eastAsia" w:ascii="宋体" w:hAnsi="宋体" w:eastAsia="宋体" w:cs="宋体"/>
          <w:color w:val="auto"/>
          <w:spacing w:val="-2"/>
          <w:sz w:val="24"/>
          <w:szCs w:val="24"/>
          <w:highlight w:val="none"/>
        </w:rPr>
        <w:t>告一并在全国公共资源交易平台（广东省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56"/>
          <w:sz w:val="24"/>
          <w:szCs w:val="24"/>
          <w:highlight w:val="none"/>
        </w:rPr>
        <w:t>）（</w:t>
      </w:r>
      <w:r>
        <w:rPr>
          <w:rFonts w:hint="eastAsia" w:ascii="宋体" w:hAnsi="宋体" w:eastAsia="宋体" w:cs="宋体"/>
          <w:color w:val="auto"/>
          <w:spacing w:val="-56"/>
          <w:sz w:val="24"/>
          <w:szCs w:val="24"/>
          <w:highlight w:val="none"/>
          <w:lang w:val="en-US" w:eastAsia="zh-CN"/>
        </w:rPr>
        <w:t xml:space="preserve">              </w:t>
      </w:r>
      <w:r>
        <w:rPr>
          <w:rFonts w:hint="eastAsia" w:ascii="宋体" w:hAnsi="宋体" w:eastAsia="宋体" w:cs="宋体"/>
          <w:color w:val="auto"/>
          <w:spacing w:val="-2"/>
          <w:sz w:val="24"/>
          <w:szCs w:val="24"/>
          <w:highlight w:val="none"/>
        </w:rPr>
        <w:t>https://yg</w:t>
      </w:r>
      <w:r>
        <w:rPr>
          <w:rFonts w:hint="eastAsia" w:ascii="宋体" w:hAnsi="宋体" w:eastAsia="宋体" w:cs="宋体"/>
          <w:color w:val="auto"/>
          <w:spacing w:val="-3"/>
          <w:sz w:val="24"/>
          <w:szCs w:val="24"/>
          <w:highlight w:val="none"/>
        </w:rPr>
        <w:t>p.gdzwfw.gov.cn/ggzy-portal/#/440200/index）</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网站发布。招标文件一经发布，视为发送投标人，招标文件及相</w:t>
      </w:r>
      <w:r>
        <w:rPr>
          <w:rFonts w:hint="eastAsia" w:ascii="宋体" w:hAnsi="宋体" w:eastAsia="宋体" w:cs="宋体"/>
          <w:color w:val="auto"/>
          <w:spacing w:val="-2"/>
          <w:sz w:val="24"/>
          <w:szCs w:val="24"/>
          <w:highlight w:val="none"/>
        </w:rPr>
        <w:t>关附件由投标人自行</w:t>
      </w:r>
      <w:r>
        <w:rPr>
          <w:rFonts w:hint="eastAsia" w:ascii="宋体" w:hAnsi="宋体" w:eastAsia="宋体" w:cs="宋体"/>
          <w:color w:val="auto"/>
          <w:spacing w:val="-7"/>
          <w:sz w:val="24"/>
          <w:szCs w:val="24"/>
          <w:highlight w:val="none"/>
        </w:rPr>
        <w:t>在全国公共资源交易平台（广东省</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7"/>
          <w:sz w:val="24"/>
          <w:szCs w:val="24"/>
          <w:highlight w:val="none"/>
        </w:rPr>
        <w:t>·韶关市）网站下载。请于招标文件获取期间,（见</w:t>
      </w:r>
      <w:r>
        <w:rPr>
          <w:rFonts w:hint="eastAsia" w:ascii="宋体" w:hAnsi="宋体" w:eastAsia="宋体" w:cs="宋体"/>
          <w:color w:val="auto"/>
          <w:spacing w:val="-2"/>
          <w:sz w:val="24"/>
          <w:szCs w:val="24"/>
          <w:highlight w:val="none"/>
        </w:rPr>
        <w:t>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”）招标文件获取期间与招标公告发</w:t>
      </w:r>
      <w:r>
        <w:rPr>
          <w:rFonts w:hint="eastAsia" w:ascii="宋体" w:hAnsi="宋体" w:eastAsia="宋体" w:cs="宋体"/>
          <w:color w:val="auto"/>
          <w:spacing w:val="-3"/>
          <w:sz w:val="24"/>
          <w:szCs w:val="24"/>
          <w:highlight w:val="none"/>
        </w:rPr>
        <w:t>布时间一</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致，投标人须登录全国公共资源交易平台（广东省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pacing w:val="-40"/>
          <w:sz w:val="24"/>
          <w:szCs w:val="24"/>
          <w:highlight w:val="none"/>
        </w:rPr>
        <w:t>）（</w:t>
      </w:r>
      <w:r>
        <w:rPr>
          <w:rFonts w:hint="eastAsia" w:ascii="宋体" w:hAnsi="宋体" w:eastAsia="宋体" w:cs="宋体"/>
          <w:color w:val="auto"/>
          <w:spacing w:val="-40"/>
          <w:sz w:val="24"/>
          <w:szCs w:val="24"/>
          <w:highlight w:val="none"/>
          <w:lang w:val="en-US" w:eastAsia="zh-CN"/>
        </w:rPr>
        <w:t xml:space="preserve">   </w:t>
      </w:r>
      <w:r>
        <w:rPr>
          <w:rFonts w:hint="eastAsia" w:ascii="宋体" w:hAnsi="宋体" w:eastAsia="宋体" w:cs="宋体"/>
          <w:color w:val="auto"/>
          <w:spacing w:val="-4"/>
          <w:sz w:val="24"/>
          <w:szCs w:val="24"/>
          <w:highlight w:val="none"/>
        </w:rPr>
        <w:t>https://ygp.gdzwfw.</w:t>
      </w:r>
      <w:r>
        <w:rPr>
          <w:rFonts w:hint="eastAsia" w:ascii="宋体" w:hAnsi="宋体" w:eastAsia="宋体" w:cs="宋体"/>
          <w:color w:val="auto"/>
          <w:sz w:val="24"/>
          <w:szCs w:val="24"/>
          <w:highlight w:val="none"/>
        </w:rPr>
        <w:t xml:space="preserve">  gov</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cn</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ggzy</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portal</w:t>
      </w:r>
      <w:r>
        <w:rPr>
          <w:rFonts w:hint="eastAsia" w:ascii="宋体" w:hAnsi="宋体" w:eastAsia="宋体" w:cs="宋体"/>
          <w:color w:val="auto"/>
          <w:spacing w:val="2"/>
          <w:sz w:val="24"/>
          <w:szCs w:val="24"/>
          <w:highlight w:val="none"/>
        </w:rPr>
        <w:t>/#/440200/</w:t>
      </w:r>
      <w:r>
        <w:rPr>
          <w:rFonts w:hint="eastAsia" w:ascii="宋体" w:hAnsi="宋体" w:eastAsia="宋体" w:cs="宋体"/>
          <w:color w:val="auto"/>
          <w:sz w:val="24"/>
          <w:szCs w:val="24"/>
          <w:highlight w:val="none"/>
        </w:rPr>
        <w:t>index</w:t>
      </w:r>
      <w:r>
        <w:rPr>
          <w:rFonts w:hint="eastAsia" w:ascii="宋体" w:hAnsi="宋体" w:eastAsia="宋体" w:cs="宋体"/>
          <w:color w:val="auto"/>
          <w:spacing w:val="7"/>
          <w:sz w:val="24"/>
          <w:szCs w:val="24"/>
          <w:highlight w:val="none"/>
        </w:rPr>
        <w:t>），</w:t>
      </w:r>
      <w:r>
        <w:rPr>
          <w:rFonts w:hint="eastAsia" w:ascii="宋体" w:hAnsi="宋体" w:eastAsia="宋体" w:cs="宋体"/>
          <w:color w:val="auto"/>
          <w:spacing w:val="2"/>
          <w:sz w:val="24"/>
          <w:szCs w:val="24"/>
          <w:highlight w:val="none"/>
        </w:rPr>
        <w:t>使用新建设工程交易系统进行下载</w:t>
      </w:r>
      <w:r>
        <w:rPr>
          <w:rFonts w:hint="eastAsia" w:ascii="宋体" w:hAnsi="宋体" w:eastAsia="宋体" w:cs="宋体"/>
          <w:color w:val="auto"/>
          <w:spacing w:val="1"/>
          <w:sz w:val="24"/>
          <w:szCs w:val="24"/>
          <w:highlight w:val="none"/>
        </w:rPr>
        <w:t>招标文</w:t>
      </w:r>
      <w:r>
        <w:rPr>
          <w:rFonts w:hint="eastAsia" w:ascii="宋体" w:hAnsi="宋体" w:eastAsia="宋体" w:cs="宋体"/>
          <w:color w:val="auto"/>
          <w:spacing w:val="-6"/>
          <w:sz w:val="24"/>
          <w:szCs w:val="24"/>
          <w:highlight w:val="none"/>
        </w:rPr>
        <w:t>件及相关附件，并于电子投标截止时间（见本章第二节“重要事项时间地点一览表</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前完成电子投标。投标人可登录全国公共资源交易平</w:t>
      </w:r>
      <w:r>
        <w:rPr>
          <w:rFonts w:hint="eastAsia" w:ascii="宋体" w:hAnsi="宋体" w:eastAsia="宋体" w:cs="宋体"/>
          <w:color w:val="auto"/>
          <w:spacing w:val="-3"/>
          <w:sz w:val="24"/>
          <w:szCs w:val="24"/>
          <w:highlight w:val="none"/>
        </w:rPr>
        <w:t>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·韶关市</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5"/>
          <w:sz w:val="24"/>
          <w:szCs w:val="24"/>
          <w:highlight w:val="none"/>
          <w:lang w:val="en-US" w:eastAsia="zh-CN"/>
        </w:rPr>
        <w:t xml:space="preserve">   </w:t>
      </w:r>
      <w:r>
        <w:rPr>
          <w:rFonts w:hint="eastAsia" w:ascii="宋体" w:hAnsi="宋体" w:eastAsia="宋体" w:cs="宋体"/>
          <w:color w:val="auto"/>
          <w:spacing w:val="-3"/>
          <w:sz w:val="24"/>
          <w:szCs w:val="24"/>
          <w:highlight w:val="none"/>
        </w:rPr>
        <w:t>https:</w:t>
      </w:r>
      <w:r>
        <w:rPr>
          <w:rFonts w:hint="eastAsia" w:ascii="宋体" w:hAnsi="宋体" w:eastAsia="宋体" w:cs="宋体"/>
          <w:color w:val="auto"/>
          <w:sz w:val="24"/>
          <w:szCs w:val="24"/>
          <w:highlight w:val="none"/>
        </w:rPr>
        <w:t>//ygp.gdzwfw.gov.cn/ggz</w:t>
      </w:r>
      <w:r>
        <w:rPr>
          <w:rFonts w:hint="eastAsia" w:ascii="宋体" w:hAnsi="宋体" w:eastAsia="宋体" w:cs="宋体"/>
          <w:color w:val="auto"/>
          <w:spacing w:val="-1"/>
          <w:sz w:val="24"/>
          <w:szCs w:val="24"/>
          <w:highlight w:val="none"/>
        </w:rPr>
        <w:t>y-portal/#/440200/index</w:t>
      </w:r>
      <w:r>
        <w:rPr>
          <w:rFonts w:hint="eastAsia" w:ascii="宋体" w:hAnsi="宋体" w:eastAsia="宋体" w:cs="宋体"/>
          <w:color w:val="auto"/>
          <w:spacing w:val="-6"/>
          <w:sz w:val="24"/>
          <w:szCs w:val="24"/>
          <w:highlight w:val="none"/>
        </w:rPr>
        <w:t>），</w:t>
      </w:r>
      <w:r>
        <w:rPr>
          <w:rFonts w:hint="eastAsia" w:ascii="宋体" w:hAnsi="宋体" w:eastAsia="宋体" w:cs="宋体"/>
          <w:color w:val="auto"/>
          <w:spacing w:val="-1"/>
          <w:sz w:val="24"/>
          <w:szCs w:val="24"/>
          <w:highlight w:val="none"/>
        </w:rPr>
        <w:t>在【服务指南】栏目中建设</w:t>
      </w:r>
      <w:r>
        <w:rPr>
          <w:rFonts w:hint="eastAsia" w:ascii="宋体" w:hAnsi="宋体" w:eastAsia="宋体" w:cs="宋体"/>
          <w:color w:val="auto"/>
          <w:spacing w:val="-2"/>
          <w:sz w:val="24"/>
          <w:szCs w:val="24"/>
          <w:highlight w:val="none"/>
        </w:rPr>
        <w:t>工程交易中下载《韶关市公共资源建设工程交易系统-投</w:t>
      </w:r>
      <w:r>
        <w:rPr>
          <w:rFonts w:hint="eastAsia" w:ascii="宋体" w:hAnsi="宋体" w:eastAsia="宋体" w:cs="宋体"/>
          <w:color w:val="auto"/>
          <w:spacing w:val="-1"/>
          <w:sz w:val="24"/>
          <w:szCs w:val="24"/>
          <w:highlight w:val="none"/>
        </w:rPr>
        <w:t>标人操作指南（电子评标）》 （附件 2），了解网上获取招标文件操作流程。技术咨询电话：0751-837</w:t>
      </w:r>
      <w:r>
        <w:rPr>
          <w:rFonts w:hint="eastAsia" w:ascii="宋体" w:hAnsi="宋体" w:eastAsia="宋体" w:cs="宋体"/>
          <w:color w:val="auto"/>
          <w:spacing w:val="-4"/>
          <w:sz w:val="24"/>
          <w:szCs w:val="24"/>
          <w:highlight w:val="none"/>
        </w:rPr>
        <w:t>9671 伍</w:t>
      </w:r>
      <w:r>
        <w:rPr>
          <w:rFonts w:hint="eastAsia" w:ascii="宋体" w:hAnsi="宋体" w:eastAsia="宋体" w:cs="宋体"/>
          <w:color w:val="auto"/>
          <w:spacing w:val="-5"/>
          <w:sz w:val="24"/>
          <w:szCs w:val="24"/>
          <w:highlight w:val="none"/>
        </w:rPr>
        <w:t>先生，</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业务咨询电话：0751-8633211。</w:t>
      </w:r>
    </w:p>
    <w:p w14:paraId="772F64E5">
      <w:pPr>
        <w:spacing w:before="142" w:line="330" w:lineRule="auto"/>
        <w:ind w:left="11" w:right="105" w:firstLine="473"/>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3.2  </w:t>
      </w:r>
      <w:r>
        <w:rPr>
          <w:rFonts w:hint="eastAsia" w:ascii="宋体" w:hAnsi="宋体" w:eastAsia="宋体" w:cs="宋体"/>
          <w:color w:val="auto"/>
          <w:spacing w:val="-1"/>
          <w:sz w:val="24"/>
          <w:szCs w:val="24"/>
          <w:highlight w:val="none"/>
        </w:rPr>
        <w:t>只有申领了数字证书（CA）、“粤企签</w:t>
      </w:r>
      <w:r>
        <w:rPr>
          <w:rFonts w:hint="eastAsia" w:ascii="宋体" w:hAnsi="宋体" w:eastAsia="宋体" w:cs="宋体"/>
          <w:color w:val="auto"/>
          <w:spacing w:val="-76"/>
          <w:sz w:val="24"/>
          <w:szCs w:val="24"/>
          <w:highlight w:val="none"/>
        </w:rPr>
        <w:t xml:space="preserve"> </w:t>
      </w:r>
      <w:r>
        <w:rPr>
          <w:rFonts w:hint="eastAsia" w:ascii="宋体" w:hAnsi="宋体" w:eastAsia="宋体" w:cs="宋体"/>
          <w:color w:val="auto"/>
          <w:spacing w:val="-1"/>
          <w:sz w:val="24"/>
          <w:szCs w:val="24"/>
          <w:highlight w:val="none"/>
        </w:rPr>
        <w:t>”或</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GDCA/SZCA/NETCA</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1"/>
          <w:sz w:val="24"/>
          <w:szCs w:val="24"/>
          <w:highlight w:val="none"/>
        </w:rPr>
        <w:t>等符合法律法规规定的电子印章，并在交易系统中完成企业信息数据入库</w:t>
      </w:r>
      <w:r>
        <w:rPr>
          <w:rFonts w:hint="eastAsia" w:ascii="宋体" w:hAnsi="宋体" w:eastAsia="宋体" w:cs="宋体"/>
          <w:color w:val="auto"/>
          <w:spacing w:val="-2"/>
          <w:sz w:val="24"/>
          <w:szCs w:val="24"/>
          <w:highlight w:val="none"/>
        </w:rPr>
        <w:t>的投标人，方可使用建设</w:t>
      </w:r>
      <w:r>
        <w:rPr>
          <w:rFonts w:hint="eastAsia" w:ascii="宋体" w:hAnsi="宋体" w:eastAsia="宋体" w:cs="宋体"/>
          <w:color w:val="auto"/>
          <w:spacing w:val="-1"/>
          <w:sz w:val="24"/>
          <w:szCs w:val="24"/>
          <w:highlight w:val="none"/>
        </w:rPr>
        <w:t>工程交易系统进行招标文件及附件获取和电子投标。</w:t>
      </w:r>
    </w:p>
    <w:p w14:paraId="76AAA589">
      <w:pPr>
        <w:spacing w:before="32" w:line="332" w:lineRule="auto"/>
        <w:ind w:left="10" w:right="90"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首次在韶关市参与建设工程招标投标活动的</w:t>
      </w:r>
      <w:r>
        <w:rPr>
          <w:rFonts w:hint="eastAsia" w:ascii="宋体" w:hAnsi="宋体" w:eastAsia="宋体" w:cs="宋体"/>
          <w:color w:val="auto"/>
          <w:spacing w:val="-2"/>
          <w:sz w:val="24"/>
          <w:szCs w:val="24"/>
          <w:highlight w:val="none"/>
        </w:rPr>
        <w:t>投标人，必须在平台系统上传企业相</w:t>
      </w:r>
      <w:r>
        <w:rPr>
          <w:rFonts w:hint="eastAsia" w:ascii="宋体" w:hAnsi="宋体" w:eastAsia="宋体" w:cs="宋体"/>
          <w:color w:val="auto"/>
          <w:spacing w:val="-3"/>
          <w:sz w:val="24"/>
          <w:szCs w:val="24"/>
          <w:highlight w:val="none"/>
        </w:rPr>
        <w:t>关资料办理企业入库事宜。投标人可登录全国公共资源</w:t>
      </w:r>
      <w:r>
        <w:rPr>
          <w:rFonts w:hint="eastAsia" w:ascii="宋体" w:hAnsi="宋体" w:eastAsia="宋体" w:cs="宋体"/>
          <w:color w:val="auto"/>
          <w:spacing w:val="-4"/>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·韶关市）</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"https://ygp.gdzwfw.gov.cn/ggzy-portal/#/440200/index" </w:instrText>
      </w:r>
      <w:r>
        <w:rPr>
          <w:rFonts w:hint="eastAsia" w:ascii="宋体" w:hAnsi="宋体" w:eastAsia="宋体" w:cs="宋体"/>
          <w:color w:val="auto"/>
          <w:highlight w:val="none"/>
        </w:rPr>
        <w:fldChar w:fldCharType="separate"/>
      </w:r>
      <w:r>
        <w:rPr>
          <w:rFonts w:hint="eastAsia" w:ascii="宋体" w:hAnsi="宋体" w:eastAsia="宋体" w:cs="宋体"/>
          <w:color w:val="auto"/>
          <w:spacing w:val="-1"/>
          <w:sz w:val="24"/>
          <w:szCs w:val="24"/>
          <w:highlight w:val="none"/>
        </w:rPr>
        <w:t>https://ygp.gdzwfw.gov.cn/ggzy-portal/#/440200/index</w:t>
      </w:r>
      <w:r>
        <w:rPr>
          <w:rFonts w:hint="eastAsia" w:ascii="宋体" w:hAnsi="宋体" w:eastAsia="宋体" w:cs="宋体"/>
          <w:color w:val="auto"/>
          <w:spacing w:val="-1"/>
          <w:sz w:val="24"/>
          <w:szCs w:val="24"/>
          <w:highlight w:val="none"/>
        </w:rPr>
        <w:fldChar w:fldCharType="end"/>
      </w:r>
      <w:r>
        <w:rPr>
          <w:rFonts w:hint="eastAsia" w:ascii="宋体" w:hAnsi="宋体" w:eastAsia="宋体" w:cs="宋体"/>
          <w:color w:val="auto"/>
          <w:spacing w:val="-1"/>
          <w:sz w:val="24"/>
          <w:szCs w:val="24"/>
          <w:highlight w:val="none"/>
        </w:rPr>
        <w:t>）办理企业入库、数字证书及电子印章事宜，具体请在平台查阅相应的交易指引。</w:t>
      </w:r>
    </w:p>
    <w:p w14:paraId="7ABA17A1">
      <w:pPr>
        <w:spacing w:before="37" w:line="329" w:lineRule="auto"/>
        <w:ind w:left="9" w:right="105"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已入库企业有关信息（如单位名称、基本账号、资质、人员等）发生变化</w:t>
      </w:r>
      <w:r>
        <w:rPr>
          <w:rFonts w:hint="eastAsia" w:ascii="宋体" w:hAnsi="宋体" w:eastAsia="宋体" w:cs="宋体"/>
          <w:color w:val="auto"/>
          <w:spacing w:val="-3"/>
          <w:sz w:val="24"/>
          <w:szCs w:val="24"/>
          <w:highlight w:val="none"/>
        </w:rPr>
        <w:t>的，须</w:t>
      </w:r>
      <w:r>
        <w:rPr>
          <w:rFonts w:hint="eastAsia" w:ascii="宋体" w:hAnsi="宋体" w:eastAsia="宋体" w:cs="宋体"/>
          <w:color w:val="auto"/>
          <w:spacing w:val="-1"/>
          <w:sz w:val="24"/>
          <w:szCs w:val="24"/>
          <w:highlight w:val="none"/>
        </w:rPr>
        <w:t>及时在交易系统进行相应变更。投标人未及时变更信息而造成的</w:t>
      </w:r>
      <w:r>
        <w:rPr>
          <w:rFonts w:hint="eastAsia" w:ascii="宋体" w:hAnsi="宋体" w:eastAsia="宋体" w:cs="宋体"/>
          <w:color w:val="auto"/>
          <w:spacing w:val="-2"/>
          <w:sz w:val="24"/>
          <w:szCs w:val="24"/>
          <w:highlight w:val="none"/>
        </w:rPr>
        <w:t>损失和后果，由投标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人自行承担。</w:t>
      </w:r>
    </w:p>
    <w:p w14:paraId="73A40149">
      <w:pPr>
        <w:spacing w:before="33" w:line="335" w:lineRule="auto"/>
        <w:ind w:left="10" w:right="105" w:firstLine="50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电子印章：是指获得国家工业和信息化部颁发的《电子认证服务许可</w:t>
      </w:r>
      <w:r>
        <w:rPr>
          <w:rFonts w:hint="eastAsia" w:ascii="宋体" w:hAnsi="宋体" w:eastAsia="宋体" w:cs="宋体"/>
          <w:color w:val="auto"/>
          <w:spacing w:val="-3"/>
          <w:sz w:val="24"/>
          <w:szCs w:val="24"/>
          <w:highlight w:val="none"/>
        </w:rPr>
        <w:t>证》、国家</w:t>
      </w:r>
      <w:r>
        <w:rPr>
          <w:rFonts w:hint="eastAsia" w:ascii="宋体" w:hAnsi="宋体" w:eastAsia="宋体" w:cs="宋体"/>
          <w:color w:val="auto"/>
          <w:spacing w:val="-1"/>
          <w:sz w:val="24"/>
          <w:szCs w:val="24"/>
          <w:highlight w:val="none"/>
        </w:rPr>
        <w:t>密码管理局颁发的《电子认证服务使用密码许可证》等资质，</w:t>
      </w:r>
      <w:r>
        <w:rPr>
          <w:rFonts w:hint="eastAsia" w:ascii="宋体" w:hAnsi="宋体" w:eastAsia="宋体" w:cs="宋体"/>
          <w:color w:val="auto"/>
          <w:spacing w:val="-2"/>
          <w:sz w:val="24"/>
          <w:szCs w:val="24"/>
          <w:highlight w:val="none"/>
        </w:rPr>
        <w:t>具备承担因数字证书原</w:t>
      </w:r>
      <w:r>
        <w:rPr>
          <w:rFonts w:hint="eastAsia" w:ascii="宋体" w:hAnsi="宋体" w:eastAsia="宋体" w:cs="宋体"/>
          <w:color w:val="auto"/>
          <w:spacing w:val="-1"/>
          <w:sz w:val="24"/>
          <w:szCs w:val="24"/>
          <w:highlight w:val="none"/>
        </w:rPr>
        <w:t>因产生纠纷的相关责任的能力，且在广东省内具有数量基础和</w:t>
      </w:r>
      <w:r>
        <w:rPr>
          <w:rFonts w:hint="eastAsia" w:ascii="宋体" w:hAnsi="宋体" w:eastAsia="宋体" w:cs="宋体"/>
          <w:color w:val="auto"/>
          <w:spacing w:val="-2"/>
          <w:sz w:val="24"/>
          <w:szCs w:val="24"/>
          <w:highlight w:val="none"/>
        </w:rPr>
        <w:t>服务能力的依法设立的</w:t>
      </w:r>
      <w:r>
        <w:rPr>
          <w:rFonts w:hint="eastAsia" w:ascii="宋体" w:hAnsi="宋体" w:eastAsia="宋体" w:cs="宋体"/>
          <w:color w:val="auto"/>
          <w:spacing w:val="3"/>
          <w:sz w:val="24"/>
          <w:szCs w:val="24"/>
          <w:highlight w:val="none"/>
        </w:rPr>
        <w:t>电子认证服务机构签发的电子签章认证证书（即</w:t>
      </w:r>
      <w:r>
        <w:rPr>
          <w:rFonts w:hint="eastAsia" w:ascii="宋体" w:hAnsi="宋体" w:eastAsia="宋体" w:cs="宋体"/>
          <w:color w:val="auto"/>
          <w:sz w:val="24"/>
          <w:szCs w:val="24"/>
          <w:highlight w:val="none"/>
        </w:rPr>
        <w:t>CA</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数字证书）。投标人应当到相关</w:t>
      </w:r>
      <w:r>
        <w:rPr>
          <w:rFonts w:hint="eastAsia" w:ascii="宋体" w:hAnsi="宋体" w:eastAsia="宋体" w:cs="宋体"/>
          <w:color w:val="auto"/>
          <w:spacing w:val="-1"/>
          <w:sz w:val="24"/>
          <w:szCs w:val="24"/>
          <w:highlight w:val="none"/>
        </w:rPr>
        <w:t>服务机构办理并取得数字证书介质和应用。电子印章包括机构</w:t>
      </w:r>
      <w:r>
        <w:rPr>
          <w:rFonts w:hint="eastAsia" w:ascii="宋体" w:hAnsi="宋体" w:eastAsia="宋体" w:cs="宋体"/>
          <w:color w:val="auto"/>
          <w:spacing w:val="-2"/>
          <w:sz w:val="24"/>
          <w:szCs w:val="24"/>
          <w:highlight w:val="none"/>
        </w:rPr>
        <w:t>法人电子形式印章，单</w:t>
      </w:r>
      <w:r>
        <w:rPr>
          <w:rFonts w:hint="eastAsia" w:ascii="宋体" w:hAnsi="宋体" w:eastAsia="宋体" w:cs="宋体"/>
          <w:color w:val="auto"/>
          <w:spacing w:val="-1"/>
          <w:sz w:val="24"/>
          <w:szCs w:val="24"/>
          <w:highlight w:val="none"/>
        </w:rPr>
        <w:t>位法定代表人、被委托人及其他个人的电子形式印章。电子印</w:t>
      </w:r>
      <w:r>
        <w:rPr>
          <w:rFonts w:hint="eastAsia" w:ascii="宋体" w:hAnsi="宋体" w:eastAsia="宋体" w:cs="宋体"/>
          <w:color w:val="auto"/>
          <w:spacing w:val="-2"/>
          <w:sz w:val="24"/>
          <w:szCs w:val="24"/>
          <w:highlight w:val="none"/>
        </w:rPr>
        <w:t>章与手写签名或者盖章</w:t>
      </w:r>
      <w:r>
        <w:rPr>
          <w:rFonts w:hint="eastAsia" w:ascii="宋体" w:hAnsi="宋体" w:eastAsia="宋体" w:cs="宋体"/>
          <w:color w:val="auto"/>
          <w:spacing w:val="-1"/>
          <w:sz w:val="24"/>
          <w:szCs w:val="24"/>
          <w:highlight w:val="none"/>
        </w:rPr>
        <w:t>具有同等的法律效力。</w:t>
      </w:r>
    </w:p>
    <w:p w14:paraId="1296078A">
      <w:pPr>
        <w:spacing w:before="33" w:line="221"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3.3</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3"/>
          <w:sz w:val="24"/>
          <w:szCs w:val="24"/>
          <w:highlight w:val="none"/>
        </w:rPr>
        <w:t>投标保证</w:t>
      </w:r>
    </w:p>
    <w:p w14:paraId="70FE9E8C">
      <w:pPr>
        <w:spacing w:before="152" w:line="280" w:lineRule="auto"/>
        <w:ind w:left="8" w:right="105"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3.3.1  </w:t>
      </w:r>
      <w:r>
        <w:rPr>
          <w:rFonts w:hint="eastAsia" w:ascii="宋体" w:hAnsi="宋体" w:eastAsia="宋体" w:cs="宋体"/>
          <w:color w:val="auto"/>
          <w:spacing w:val="-1"/>
          <w:sz w:val="24"/>
          <w:szCs w:val="24"/>
          <w:highlight w:val="none"/>
        </w:rPr>
        <w:t>投标人须缴纳金额为</w:t>
      </w:r>
      <w:r>
        <w:rPr>
          <w:rFonts w:hint="eastAsia" w:ascii="宋体" w:hAnsi="宋体" w:eastAsia="宋体" w:cs="宋体"/>
          <w:color w:val="auto"/>
          <w:spacing w:val="-1"/>
          <w:sz w:val="24"/>
          <w:szCs w:val="24"/>
          <w:highlight w:val="none"/>
          <w:u w:val="single"/>
          <w:lang w:val="en-US" w:eastAsia="zh-CN"/>
        </w:rPr>
        <w:t>10万元</w:t>
      </w:r>
      <w:r>
        <w:rPr>
          <w:rFonts w:hint="eastAsia" w:ascii="宋体" w:hAnsi="宋体" w:eastAsia="宋体" w:cs="宋体"/>
          <w:color w:val="auto"/>
          <w:spacing w:val="-1"/>
          <w:sz w:val="24"/>
          <w:szCs w:val="24"/>
          <w:highlight w:val="none"/>
        </w:rPr>
        <w:t xml:space="preserve">人民币的投标保证。 </w:t>
      </w:r>
    </w:p>
    <w:p w14:paraId="77827FA8">
      <w:pPr>
        <w:spacing w:before="35" w:line="325" w:lineRule="auto"/>
        <w:ind w:left="12" w:right="108" w:firstLine="471"/>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 xml:space="preserve">3.3.2  </w:t>
      </w:r>
      <w:r>
        <w:rPr>
          <w:rFonts w:hint="eastAsia" w:ascii="宋体" w:hAnsi="宋体" w:eastAsia="宋体" w:cs="宋体"/>
          <w:color w:val="auto"/>
          <w:spacing w:val="2"/>
          <w:sz w:val="24"/>
          <w:szCs w:val="24"/>
          <w:highlight w:val="none"/>
        </w:rPr>
        <w:t>投标保证的形式包括投标保证金、投标保证担保、投标保证保险三种</w:t>
      </w:r>
      <w:r>
        <w:rPr>
          <w:rFonts w:hint="eastAsia" w:ascii="宋体" w:hAnsi="宋体" w:eastAsia="宋体" w:cs="宋体"/>
          <w:color w:val="auto"/>
          <w:spacing w:val="1"/>
          <w:sz w:val="24"/>
          <w:szCs w:val="24"/>
          <w:highlight w:val="none"/>
        </w:rPr>
        <w:t>，由</w:t>
      </w:r>
      <w:r>
        <w:rPr>
          <w:rFonts w:hint="eastAsia" w:ascii="宋体" w:hAnsi="宋体" w:eastAsia="宋体" w:cs="宋体"/>
          <w:color w:val="auto"/>
          <w:spacing w:val="-2"/>
          <w:sz w:val="24"/>
          <w:szCs w:val="24"/>
          <w:highlight w:val="none"/>
        </w:rPr>
        <w:t>投标人自主选择。</w:t>
      </w:r>
    </w:p>
    <w:p w14:paraId="4459D6DD">
      <w:pPr>
        <w:spacing w:before="78" w:line="334" w:lineRule="auto"/>
        <w:ind w:left="12" w:right="2" w:firstLine="490"/>
        <w:jc w:val="both"/>
        <w:rPr>
          <w:rFonts w:hint="eastAsia" w:ascii="宋体" w:hAnsi="宋体" w:eastAsia="宋体" w:cs="宋体"/>
          <w:color w:val="auto"/>
          <w:spacing w:val="-1"/>
          <w:sz w:val="24"/>
          <w:szCs w:val="24"/>
          <w:highlight w:val="none"/>
        </w:rPr>
      </w:pPr>
      <w:bookmarkStart w:id="21" w:name="bookmark117"/>
      <w:bookmarkEnd w:id="21"/>
      <w:r>
        <w:rPr>
          <w:rFonts w:hint="eastAsia" w:ascii="宋体" w:hAnsi="宋体" w:eastAsia="宋体" w:cs="宋体"/>
          <w:color w:val="auto"/>
          <w:spacing w:val="2"/>
          <w:sz w:val="24"/>
          <w:szCs w:val="24"/>
          <w:highlight w:val="none"/>
        </w:rPr>
        <w:t>（1）采用投标保证金的，投标人在建设工程交易系统获取招</w:t>
      </w:r>
      <w:r>
        <w:rPr>
          <w:rFonts w:hint="eastAsia" w:ascii="宋体" w:hAnsi="宋体" w:eastAsia="宋体" w:cs="宋体"/>
          <w:color w:val="auto"/>
          <w:spacing w:val="1"/>
          <w:sz w:val="24"/>
          <w:szCs w:val="24"/>
          <w:highlight w:val="none"/>
        </w:rPr>
        <w:t>标文件完毕后，即</w:t>
      </w:r>
      <w:r>
        <w:rPr>
          <w:rFonts w:hint="eastAsia" w:ascii="宋体" w:hAnsi="宋体" w:eastAsia="宋体" w:cs="宋体"/>
          <w:color w:val="auto"/>
          <w:spacing w:val="-1"/>
          <w:sz w:val="24"/>
          <w:szCs w:val="24"/>
          <w:highlight w:val="none"/>
        </w:rPr>
        <w:t>可在系统申请缴纳投标保证金，获取本次招标投标保证金缴</w:t>
      </w:r>
      <w:r>
        <w:rPr>
          <w:rFonts w:hint="eastAsia" w:ascii="宋体" w:hAnsi="宋体" w:eastAsia="宋体" w:cs="宋体"/>
          <w:color w:val="auto"/>
          <w:spacing w:val="-2"/>
          <w:sz w:val="24"/>
          <w:szCs w:val="24"/>
          <w:highlight w:val="none"/>
        </w:rPr>
        <w:t>纳账号。投标人必须于投标保证金到账截</w:t>
      </w:r>
      <w:r>
        <w:rPr>
          <w:rFonts w:hint="eastAsia" w:ascii="宋体" w:hAnsi="宋体" w:eastAsia="宋体" w:cs="宋体"/>
          <w:color w:val="auto"/>
          <w:spacing w:val="-1"/>
          <w:sz w:val="24"/>
          <w:szCs w:val="24"/>
          <w:highlight w:val="none"/>
        </w:rPr>
        <w:t>止时间（见本招标文件“重要事项时间地点一览表 ”）前，从其基本账户将投标保证金转账到指定的缴纳账号。逾期到账的、从非投标人基本账户转出的，其投标无效。</w:t>
      </w:r>
    </w:p>
    <w:p w14:paraId="19B8D669">
      <w:pPr>
        <w:spacing w:before="78" w:line="334" w:lineRule="auto"/>
        <w:ind w:left="12" w:right="2" w:firstLine="490"/>
        <w:jc w:val="both"/>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 ”）前，使用工程建设交易系统完成网上办理电子保函或保证保险。</w:t>
      </w:r>
    </w:p>
    <w:p w14:paraId="59A2CBC2">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（3）采用投标保证保险的，投标人须在投标保证保险投保截止时间（见本招标文件“重要事项时间地点一览表 ”）前，使用建设工程交易系统完成网上投保。投标人可在系统选择保险机构、录入投保信息、支付保费、打印</w:t>
      </w:r>
      <w:r>
        <w:rPr>
          <w:rFonts w:hint="eastAsia" w:ascii="宋体" w:hAnsi="宋体" w:eastAsia="宋体" w:cs="宋体"/>
          <w:color w:val="auto"/>
          <w:spacing w:val="-2"/>
          <w:sz w:val="24"/>
          <w:szCs w:val="24"/>
          <w:highlight w:val="none"/>
        </w:rPr>
        <w:t>电子保单，电子保单的有</w:t>
      </w:r>
      <w:r>
        <w:rPr>
          <w:rFonts w:hint="eastAsia" w:ascii="宋体" w:hAnsi="宋体" w:eastAsia="宋体" w:cs="宋体"/>
          <w:color w:val="auto"/>
          <w:spacing w:val="-3"/>
          <w:sz w:val="24"/>
          <w:szCs w:val="24"/>
          <w:highlight w:val="none"/>
        </w:rPr>
        <w:t>效期不得短于投标有效期。投标人可登录全国公共资源交易平台（广东省 ·韶关市） （</w:t>
      </w:r>
      <w:r>
        <w:rPr>
          <w:rFonts w:hint="eastAsia" w:ascii="宋体" w:hAnsi="宋体" w:eastAsia="宋体" w:cs="宋体"/>
          <w:color w:val="auto"/>
          <w:spacing w:val="-3"/>
          <w:sz w:val="24"/>
          <w:szCs w:val="24"/>
          <w:highlight w:val="none"/>
        </w:rPr>
        <w:fldChar w:fldCharType="begin"/>
      </w:r>
      <w:r>
        <w:rPr>
          <w:rFonts w:hint="eastAsia" w:ascii="宋体" w:hAnsi="宋体" w:eastAsia="宋体" w:cs="宋体"/>
          <w:color w:val="auto"/>
          <w:spacing w:val="-3"/>
          <w:sz w:val="24"/>
          <w:szCs w:val="24"/>
          <w:highlight w:val="none"/>
        </w:rPr>
        <w:instrText xml:space="preserve"> HYPERLINK "https://ygp.gdzwfw.gov.cn/ggzy-portal/#/440200/index" </w:instrText>
      </w:r>
      <w:r>
        <w:rPr>
          <w:rFonts w:hint="eastAsia" w:ascii="宋体" w:hAnsi="宋体" w:eastAsia="宋体" w:cs="宋体"/>
          <w:color w:val="auto"/>
          <w:spacing w:val="-3"/>
          <w:sz w:val="24"/>
          <w:szCs w:val="24"/>
          <w:highlight w:val="none"/>
        </w:rPr>
        <w:fldChar w:fldCharType="separate"/>
      </w:r>
      <w:r>
        <w:rPr>
          <w:rFonts w:hint="eastAsia" w:ascii="宋体" w:hAnsi="宋体" w:eastAsia="宋体" w:cs="宋体"/>
          <w:color w:val="auto"/>
          <w:spacing w:val="-3"/>
          <w:sz w:val="24"/>
          <w:szCs w:val="24"/>
          <w:highlight w:val="none"/>
        </w:rPr>
        <w:t>https://ygp.gdzwfw.gov.cn/ggzy-portal/#/440200/index</w:t>
      </w:r>
      <w:r>
        <w:rPr>
          <w:rFonts w:hint="eastAsia" w:ascii="宋体" w:hAnsi="宋体" w:eastAsia="宋体" w:cs="宋体"/>
          <w:color w:val="auto"/>
          <w:spacing w:val="-3"/>
          <w:sz w:val="24"/>
          <w:szCs w:val="24"/>
          <w:highlight w:val="none"/>
        </w:rPr>
        <w:fldChar w:fldCharType="end"/>
      </w:r>
      <w:r>
        <w:rPr>
          <w:rFonts w:hint="eastAsia" w:ascii="宋体" w:hAnsi="宋体" w:eastAsia="宋体" w:cs="宋体"/>
          <w:color w:val="auto"/>
          <w:spacing w:val="-3"/>
          <w:sz w:val="24"/>
          <w:szCs w:val="24"/>
          <w:highlight w:val="none"/>
        </w:rPr>
        <w:t>），在【服务指南】栏 目中下载《建设工程网上交易系统保险保证金缴纳操作指南》，了解网上投保具体操 作流程。逾期投保的，其投标无效。</w:t>
      </w:r>
    </w:p>
    <w:p w14:paraId="0C95A37A">
      <w:pPr>
        <w:spacing w:before="78" w:line="334" w:lineRule="auto"/>
        <w:ind w:left="12" w:right="2" w:firstLine="490"/>
        <w:jc w:val="both"/>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温馨提示：1.投标人采用投标保证担保或投标保证保险的，为避免在评标过程中因有效期发生争议，建议投标人将银行保函或电子保单有效期设置为较招标文件规定的投标有效期延长不少于 20 个日历天。</w:t>
      </w:r>
    </w:p>
    <w:p w14:paraId="39A5AF30">
      <w:pPr>
        <w:spacing w:before="78" w:line="334" w:lineRule="auto"/>
        <w:ind w:left="12" w:right="2" w:firstLine="490"/>
        <w:jc w:val="both"/>
        <w:rPr>
          <w:rFonts w:hint="eastAsia" w:ascii="宋体" w:hAnsi="宋体" w:eastAsia="宋体" w:cs="宋体"/>
          <w:color w:val="auto"/>
          <w:highlight w:val="none"/>
        </w:rPr>
      </w:pPr>
      <w:r>
        <w:rPr>
          <w:rFonts w:hint="eastAsia" w:ascii="宋体" w:hAnsi="宋体" w:eastAsia="宋体" w:cs="宋体"/>
          <w:b/>
          <w:bCs/>
          <w:color w:val="auto"/>
          <w:spacing w:val="-3"/>
          <w:sz w:val="24"/>
          <w:szCs w:val="24"/>
          <w:highlight w:val="none"/>
        </w:rPr>
        <w:t xml:space="preserve">3.4 </w:t>
      </w:r>
      <w:r>
        <w:rPr>
          <w:rFonts w:hint="eastAsia" w:ascii="宋体" w:hAnsi="宋体" w:eastAsia="宋体" w:cs="宋体"/>
          <w:color w:val="auto"/>
          <w:spacing w:val="-3"/>
          <w:sz w:val="24"/>
          <w:szCs w:val="24"/>
          <w:highlight w:val="none"/>
        </w:rPr>
        <w:t xml:space="preserve"> 若投标人因自身原因未能正确完成获取招标文件</w:t>
      </w:r>
      <w:r>
        <w:rPr>
          <w:rFonts w:hint="eastAsia" w:ascii="宋体" w:hAnsi="宋体" w:eastAsia="宋体" w:cs="宋体"/>
          <w:color w:val="auto"/>
          <w:sz w:val="24"/>
          <w:szCs w:val="24"/>
          <w:highlight w:val="none"/>
        </w:rPr>
        <w:t>、电子投标、缴纳投标保证</w:t>
      </w:r>
      <w:r>
        <w:rPr>
          <w:rFonts w:hint="eastAsia" w:ascii="宋体" w:hAnsi="宋体" w:eastAsia="宋体" w:cs="宋体"/>
          <w:color w:val="auto"/>
          <w:spacing w:val="-4"/>
          <w:sz w:val="24"/>
          <w:szCs w:val="24"/>
          <w:highlight w:val="none"/>
        </w:rPr>
        <w:t>的，其投标无效。</w:t>
      </w:r>
    </w:p>
    <w:p w14:paraId="7C7CE3F6">
      <w:pPr>
        <w:spacing w:before="79" w:line="221" w:lineRule="auto"/>
        <w:ind w:left="487"/>
        <w:outlineLvl w:val="2"/>
        <w:rPr>
          <w:rFonts w:hint="eastAsia" w:ascii="宋体" w:hAnsi="宋体" w:eastAsia="宋体" w:cs="宋体"/>
          <w:color w:val="auto"/>
          <w:sz w:val="24"/>
          <w:szCs w:val="24"/>
          <w:highlight w:val="none"/>
        </w:rPr>
      </w:pPr>
      <w:bookmarkStart w:id="22" w:name="bookmark78"/>
      <w:bookmarkEnd w:id="22"/>
      <w:bookmarkStart w:id="23" w:name="bookmark64"/>
      <w:bookmarkEnd w:id="23"/>
      <w:bookmarkStart w:id="24" w:name="_Toc15498"/>
      <w:bookmarkStart w:id="25" w:name="_Toc8255"/>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8"/>
          <w:sz w:val="24"/>
          <w:szCs w:val="24"/>
          <w:highlight w:val="none"/>
          <w:lang w:val="en-US" w:eastAsia="zh-CN"/>
        </w:rPr>
        <w:t xml:space="preserve"> </w:t>
      </w:r>
      <w:r>
        <w:rPr>
          <w:rFonts w:hint="eastAsia" w:ascii="宋体" w:hAnsi="宋体" w:eastAsia="宋体" w:cs="宋体"/>
          <w:b/>
          <w:bCs/>
          <w:color w:val="auto"/>
          <w:spacing w:val="-8"/>
          <w:sz w:val="24"/>
          <w:szCs w:val="24"/>
          <w:highlight w:val="none"/>
        </w:rPr>
        <w:t>．工期要求</w:t>
      </w:r>
      <w:bookmarkEnd w:id="24"/>
      <w:bookmarkEnd w:id="25"/>
    </w:p>
    <w:p w14:paraId="533C7AA5">
      <w:pPr>
        <w:spacing w:before="153" w:line="324" w:lineRule="auto"/>
        <w:ind w:left="30" w:right="65" w:firstLine="4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本招标项目招标工期为</w:t>
      </w:r>
      <w:r>
        <w:rPr>
          <w:rFonts w:hint="eastAsia" w:ascii="宋体" w:hAnsi="宋体" w:eastAsia="宋体" w:cs="宋体"/>
          <w:color w:val="auto"/>
          <w:spacing w:val="-2"/>
          <w:sz w:val="24"/>
          <w:szCs w:val="24"/>
          <w:highlight w:val="none"/>
          <w:u w:val="single"/>
          <w:lang w:val="en-US" w:eastAsia="zh-CN"/>
        </w:rPr>
        <w:t>180个日历天</w:t>
      </w:r>
      <w:r>
        <w:rPr>
          <w:rFonts w:hint="eastAsia" w:ascii="宋体" w:hAnsi="宋体" w:eastAsia="宋体" w:cs="宋体"/>
          <w:color w:val="auto"/>
          <w:spacing w:val="-2"/>
          <w:sz w:val="24"/>
          <w:szCs w:val="24"/>
          <w:highlight w:val="none"/>
        </w:rPr>
        <w:t>，中标人必须在招标工期内完成招标范围内</w:t>
      </w:r>
      <w:r>
        <w:rPr>
          <w:rFonts w:hint="eastAsia" w:ascii="宋体" w:hAnsi="宋体" w:eastAsia="宋体" w:cs="宋体"/>
          <w:color w:val="auto"/>
          <w:spacing w:val="-5"/>
          <w:sz w:val="24"/>
          <w:szCs w:val="24"/>
          <w:highlight w:val="none"/>
        </w:rPr>
        <w:t>的全部内容。</w:t>
      </w:r>
    </w:p>
    <w:p w14:paraId="20DC87FE">
      <w:pPr>
        <w:spacing w:before="78" w:line="219" w:lineRule="auto"/>
        <w:ind w:left="488"/>
        <w:outlineLvl w:val="2"/>
        <w:rPr>
          <w:rFonts w:hint="eastAsia" w:ascii="宋体" w:hAnsi="宋体" w:eastAsia="宋体" w:cs="宋体"/>
          <w:color w:val="auto"/>
          <w:sz w:val="24"/>
          <w:szCs w:val="24"/>
          <w:highlight w:val="none"/>
        </w:rPr>
      </w:pPr>
      <w:bookmarkStart w:id="26" w:name="_Toc4154"/>
      <w:bookmarkStart w:id="27" w:name="_Toc11449"/>
      <w:r>
        <w:rPr>
          <w:rFonts w:hint="eastAsia" w:ascii="宋体" w:hAnsi="宋体" w:eastAsia="宋体" w:cs="宋体"/>
          <w:b/>
          <w:bCs/>
          <w:color w:val="auto"/>
          <w:spacing w:val="-5"/>
          <w:sz w:val="24"/>
          <w:szCs w:val="24"/>
          <w:highlight w:val="none"/>
        </w:rPr>
        <w:t>5</w:t>
      </w:r>
      <w:r>
        <w:rPr>
          <w:rFonts w:hint="eastAsia" w:ascii="宋体" w:hAnsi="宋体" w:eastAsia="宋体" w:cs="宋体"/>
          <w:b/>
          <w:bCs/>
          <w:color w:val="auto"/>
          <w:spacing w:val="-5"/>
          <w:sz w:val="24"/>
          <w:szCs w:val="24"/>
          <w:highlight w:val="none"/>
          <w:lang w:val="en-US" w:eastAsia="zh-CN"/>
        </w:rPr>
        <w:t xml:space="preserve"> </w:t>
      </w:r>
      <w:r>
        <w:rPr>
          <w:rFonts w:hint="eastAsia" w:ascii="宋体" w:hAnsi="宋体" w:eastAsia="宋体" w:cs="宋体"/>
          <w:b/>
          <w:bCs/>
          <w:color w:val="auto"/>
          <w:spacing w:val="-5"/>
          <w:sz w:val="24"/>
          <w:szCs w:val="24"/>
          <w:highlight w:val="none"/>
        </w:rPr>
        <w:t>．质量标准和材料、机械要求</w:t>
      </w:r>
      <w:bookmarkEnd w:id="26"/>
      <w:bookmarkEnd w:id="27"/>
    </w:p>
    <w:p w14:paraId="3BC3191A">
      <w:pPr>
        <w:spacing w:before="154" w:line="279" w:lineRule="auto"/>
        <w:ind w:left="11" w:right="99"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5.1  </w:t>
      </w:r>
      <w:r>
        <w:rPr>
          <w:rFonts w:hint="eastAsia" w:ascii="宋体" w:hAnsi="宋体" w:eastAsia="宋体" w:cs="宋体"/>
          <w:color w:val="auto"/>
          <w:sz w:val="24"/>
          <w:szCs w:val="24"/>
          <w:highlight w:val="none"/>
        </w:rPr>
        <w:t>施工工艺严格按照国家和广东省的有关现行施工技术规范及标准执行，工程</w:t>
      </w:r>
      <w:r>
        <w:rPr>
          <w:rFonts w:hint="eastAsia" w:ascii="宋体" w:hAnsi="宋体" w:eastAsia="宋体" w:cs="宋体"/>
          <w:color w:val="auto"/>
          <w:spacing w:val="-1"/>
          <w:sz w:val="24"/>
          <w:szCs w:val="24"/>
          <w:highlight w:val="none"/>
        </w:rPr>
        <w:t>质量标准须达到</w:t>
      </w:r>
      <w:r>
        <w:rPr>
          <w:rFonts w:hint="eastAsia" w:ascii="宋体" w:hAnsi="宋体" w:eastAsia="宋体" w:cs="宋体"/>
          <w:color w:val="auto"/>
          <w:spacing w:val="-1"/>
          <w:sz w:val="24"/>
          <w:szCs w:val="24"/>
          <w:highlight w:val="none"/>
          <w:u w:val="single"/>
          <w:lang w:val="en-US" w:eastAsia="zh-CN"/>
        </w:rPr>
        <w:t>《建筑工程施工质量验收统一标准》(GB50300-2013)并且合格</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w:t>
      </w:r>
    </w:p>
    <w:p w14:paraId="5197C550">
      <w:pPr>
        <w:spacing w:before="154" w:line="279" w:lineRule="auto"/>
        <w:ind w:left="10" w:right="99"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5.2</w:t>
      </w:r>
      <w:r>
        <w:rPr>
          <w:rFonts w:hint="eastAsia" w:ascii="宋体" w:hAnsi="宋体" w:eastAsia="宋体" w:cs="宋体"/>
          <w:b/>
          <w:bCs/>
          <w:color w:val="auto"/>
          <w:spacing w:val="21"/>
          <w:w w:val="101"/>
          <w:sz w:val="24"/>
          <w:szCs w:val="24"/>
          <w:highlight w:val="none"/>
        </w:rPr>
        <w:t xml:space="preserve">  </w:t>
      </w:r>
      <w:r>
        <w:rPr>
          <w:rFonts w:hint="eastAsia" w:ascii="宋体" w:hAnsi="宋体" w:eastAsia="宋体" w:cs="宋体"/>
          <w:color w:val="auto"/>
          <w:spacing w:val="-3"/>
          <w:sz w:val="24"/>
          <w:szCs w:val="24"/>
          <w:highlight w:val="none"/>
        </w:rPr>
        <w:t>中标人在施工中如果工程质量不符合设计要求和有关规定，招标人或监理单</w:t>
      </w:r>
      <w:r>
        <w:rPr>
          <w:rFonts w:hint="eastAsia" w:ascii="宋体" w:hAnsi="宋体" w:eastAsia="宋体" w:cs="宋体"/>
          <w:color w:val="auto"/>
          <w:sz w:val="24"/>
          <w:szCs w:val="24"/>
          <w:highlight w:val="none"/>
        </w:rPr>
        <w:t>位要求停工和返工的必须立即执行，并承担由此产生的各</w:t>
      </w:r>
      <w:r>
        <w:rPr>
          <w:rFonts w:hint="eastAsia" w:ascii="宋体" w:hAnsi="宋体" w:eastAsia="宋体" w:cs="宋体"/>
          <w:color w:val="auto"/>
          <w:spacing w:val="-1"/>
          <w:sz w:val="24"/>
          <w:szCs w:val="24"/>
          <w:highlight w:val="none"/>
        </w:rPr>
        <w:t>种费用，工期不予顺延。</w:t>
      </w:r>
    </w:p>
    <w:p w14:paraId="1B1D3255">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6"/>
          <w:sz w:val="24"/>
          <w:szCs w:val="24"/>
          <w:highlight w:val="none"/>
        </w:rPr>
        <w:t xml:space="preserve">5.3  </w:t>
      </w:r>
      <w:r>
        <w:rPr>
          <w:rFonts w:hint="eastAsia" w:ascii="宋体" w:hAnsi="宋体" w:eastAsia="宋体" w:cs="宋体"/>
          <w:color w:val="auto"/>
          <w:spacing w:val="-6"/>
          <w:sz w:val="24"/>
          <w:szCs w:val="24"/>
          <w:highlight w:val="none"/>
        </w:rPr>
        <w:t>保修期限按《建设工程质量管理条例》（中华人民共和国国务院令第</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6"/>
          <w:sz w:val="24"/>
          <w:szCs w:val="24"/>
          <w:highlight w:val="none"/>
        </w:rPr>
        <w:t>279</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6"/>
          <w:sz w:val="24"/>
          <w:szCs w:val="24"/>
          <w:highlight w:val="none"/>
        </w:rPr>
        <w:t>号）</w:t>
      </w:r>
      <w:r>
        <w:rPr>
          <w:rFonts w:hint="eastAsia" w:ascii="宋体" w:hAnsi="宋体" w:eastAsia="宋体" w:cs="宋体"/>
          <w:color w:val="auto"/>
          <w:spacing w:val="-1"/>
          <w:sz w:val="24"/>
          <w:szCs w:val="24"/>
          <w:highlight w:val="none"/>
        </w:rPr>
        <w:t>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14:paraId="2D8C80FB">
      <w:pPr>
        <w:spacing w:before="152" w:line="309" w:lineRule="auto"/>
        <w:ind w:left="9" w:firstLine="568"/>
        <w:rPr>
          <w:rFonts w:hint="eastAsia" w:ascii="宋体" w:hAnsi="宋体" w:eastAsia="宋体" w:cs="宋体"/>
          <w:color w:val="auto"/>
          <w:spacing w:val="-6"/>
          <w:sz w:val="24"/>
          <w:szCs w:val="24"/>
          <w:highlight w:val="none"/>
        </w:rPr>
      </w:pPr>
      <w:r>
        <w:rPr>
          <w:rFonts w:hint="eastAsia" w:ascii="宋体" w:hAnsi="宋体" w:eastAsia="宋体" w:cs="宋体"/>
          <w:b/>
          <w:bCs/>
          <w:color w:val="auto"/>
          <w:spacing w:val="-1"/>
          <w:sz w:val="24"/>
          <w:szCs w:val="24"/>
          <w:highlight w:val="none"/>
        </w:rPr>
        <w:t>5.4</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6"/>
          <w:sz w:val="24"/>
          <w:szCs w:val="24"/>
          <w:highlight w:val="none"/>
          <w:lang w:val="en-US" w:eastAsia="zh-CN"/>
        </w:rPr>
        <w:t>根据韶关市人民政府《关于加快推进全市绿色建筑发展工作的通知》（韶府办明电〔2013〕277 号）有关规定，结合《韶关市住建管理局关于贯彻落实&lt;广东省绿色建筑条例&gt;有关工作的通知》（韶市建字〔2021〕85 号）等有关规定，</w:t>
      </w:r>
      <w:r>
        <w:rPr>
          <w:rFonts w:hint="eastAsia" w:ascii="宋体" w:hAnsi="宋体" w:eastAsia="宋体" w:cs="宋体"/>
          <w:color w:val="auto"/>
          <w:spacing w:val="-6"/>
          <w:sz w:val="24"/>
          <w:szCs w:val="24"/>
          <w:highlight w:val="none"/>
        </w:rPr>
        <w:t>本招标项目</w:t>
      </w:r>
      <w:r>
        <w:rPr>
          <w:rFonts w:hint="eastAsia" w:ascii="宋体" w:hAnsi="宋体" w:eastAsia="宋体" w:cs="宋体"/>
          <w:color w:val="auto"/>
          <w:spacing w:val="-6"/>
          <w:sz w:val="24"/>
          <w:szCs w:val="24"/>
          <w:highlight w:val="none"/>
          <w:lang w:val="en-US" w:eastAsia="zh-CN"/>
        </w:rPr>
        <w:t>不</w:t>
      </w:r>
      <w:r>
        <w:rPr>
          <w:rFonts w:hint="eastAsia" w:ascii="宋体" w:hAnsi="宋体" w:eastAsia="宋体" w:cs="宋体"/>
          <w:color w:val="auto"/>
          <w:spacing w:val="-6"/>
          <w:sz w:val="24"/>
          <w:szCs w:val="24"/>
          <w:highlight w:val="none"/>
        </w:rPr>
        <w:t>纳入绿色建设实施范围</w:t>
      </w:r>
      <w:r>
        <w:rPr>
          <w:rFonts w:hint="eastAsia" w:ascii="宋体" w:hAnsi="宋体" w:eastAsia="宋体" w:cs="宋体"/>
          <w:color w:val="auto"/>
          <w:spacing w:val="-6"/>
          <w:sz w:val="24"/>
          <w:szCs w:val="24"/>
          <w:highlight w:val="none"/>
          <w:lang w:eastAsia="zh-CN"/>
        </w:rPr>
        <w:t>。</w:t>
      </w:r>
    </w:p>
    <w:p w14:paraId="67F07540">
      <w:pPr>
        <w:spacing w:before="152" w:line="309" w:lineRule="auto"/>
        <w:ind w:left="9" w:firstLine="568"/>
        <w:rPr>
          <w:rFonts w:hint="eastAsia" w:ascii="宋体" w:hAnsi="宋体" w:eastAsia="宋体" w:cs="宋体"/>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rPr>
        <w:t>5.5</w:t>
      </w:r>
      <w:r>
        <w:rPr>
          <w:rFonts w:hint="eastAsia" w:ascii="宋体" w:hAnsi="宋体" w:eastAsia="宋体" w:cs="宋体"/>
          <w:color w:val="auto"/>
          <w:spacing w:val="-1"/>
          <w:sz w:val="24"/>
          <w:szCs w:val="24"/>
          <w:highlight w:val="none"/>
        </w:rPr>
        <w:t xml:space="preserve">  其它：</w:t>
      </w:r>
      <w:r>
        <w:rPr>
          <w:rFonts w:hint="eastAsia" w:ascii="宋体" w:hAnsi="宋体" w:eastAsia="宋体" w:cs="宋体"/>
          <w:color w:val="auto"/>
          <w:spacing w:val="-1"/>
          <w:sz w:val="24"/>
          <w:szCs w:val="24"/>
          <w:highlight w:val="none"/>
          <w:lang w:eastAsia="zh-CN"/>
        </w:rPr>
        <w:t>本招标项目</w:t>
      </w:r>
      <w:r>
        <w:rPr>
          <w:rFonts w:hint="eastAsia" w:ascii="宋体" w:hAnsi="宋体" w:eastAsia="宋体" w:cs="宋体"/>
          <w:color w:val="auto"/>
          <w:spacing w:val="-1"/>
          <w:sz w:val="24"/>
          <w:szCs w:val="24"/>
          <w:highlight w:val="none"/>
          <w:lang w:val="en-US" w:eastAsia="zh-CN"/>
        </w:rPr>
        <w:t>不</w:t>
      </w:r>
      <w:r>
        <w:rPr>
          <w:rFonts w:hint="eastAsia" w:ascii="宋体" w:hAnsi="宋体" w:eastAsia="宋体" w:cs="宋体"/>
          <w:color w:val="auto"/>
          <w:spacing w:val="-1"/>
          <w:sz w:val="24"/>
          <w:szCs w:val="24"/>
          <w:highlight w:val="none"/>
          <w:lang w:eastAsia="zh-CN"/>
        </w:rPr>
        <w:t>纳入装配式建造建设实施范围。</w:t>
      </w:r>
    </w:p>
    <w:p w14:paraId="06C479B1">
      <w:pPr>
        <w:spacing w:before="152" w:line="309" w:lineRule="auto"/>
        <w:ind w:left="9" w:firstLine="568"/>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5.6</w:t>
      </w:r>
      <w:r>
        <w:rPr>
          <w:rFonts w:hint="eastAsia" w:ascii="宋体" w:hAnsi="宋体" w:eastAsia="宋体" w:cs="宋体"/>
          <w:color w:val="auto"/>
          <w:spacing w:val="-1"/>
          <w:sz w:val="24"/>
          <w:szCs w:val="24"/>
          <w:highlight w:val="none"/>
        </w:rPr>
        <w:t xml:space="preserve">  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则中标人必须使用合格材料或设备。</w:t>
      </w:r>
    </w:p>
    <w:p w14:paraId="65D6044A">
      <w:pPr>
        <w:spacing w:before="152" w:line="309" w:lineRule="auto"/>
        <w:ind w:left="9" w:firstLine="568"/>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w:t>
      </w:r>
      <w:r>
        <w:rPr>
          <w:rFonts w:hint="eastAsia" w:ascii="宋体" w:hAnsi="宋体" w:eastAsia="宋体" w:cs="宋体"/>
          <w:b/>
          <w:bCs/>
          <w:color w:val="auto"/>
          <w:spacing w:val="-1"/>
          <w:sz w:val="24"/>
          <w:szCs w:val="24"/>
          <w:highlight w:val="none"/>
          <w:lang w:eastAsia="zh-CN"/>
        </w:rPr>
        <w:t>7</w:t>
      </w:r>
      <w:r>
        <w:rPr>
          <w:rFonts w:hint="eastAsia" w:ascii="宋体" w:hAnsi="宋体" w:eastAsia="宋体" w:cs="宋体"/>
          <w:color w:val="auto"/>
          <w:spacing w:val="-1"/>
          <w:sz w:val="24"/>
          <w:szCs w:val="24"/>
          <w:highlight w:val="none"/>
        </w:rPr>
        <w:t xml:space="preserve"> 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14:paraId="370C3495">
      <w:pPr>
        <w:spacing w:before="78" w:line="220" w:lineRule="auto"/>
        <w:ind w:left="489"/>
        <w:outlineLvl w:val="2"/>
        <w:rPr>
          <w:rFonts w:hint="eastAsia" w:ascii="宋体" w:hAnsi="宋体" w:eastAsia="宋体" w:cs="宋体"/>
          <w:color w:val="auto"/>
          <w:sz w:val="24"/>
          <w:szCs w:val="24"/>
          <w:highlight w:val="none"/>
        </w:rPr>
      </w:pPr>
      <w:bookmarkStart w:id="28" w:name="_Toc7763"/>
      <w:bookmarkStart w:id="29" w:name="_Toc21146"/>
      <w:r>
        <w:rPr>
          <w:rFonts w:hint="eastAsia" w:ascii="宋体" w:hAnsi="宋体" w:eastAsia="宋体" w:cs="宋体"/>
          <w:b/>
          <w:bCs/>
          <w:color w:val="auto"/>
          <w:spacing w:val="-6"/>
          <w:sz w:val="24"/>
          <w:szCs w:val="24"/>
          <w:highlight w:val="none"/>
        </w:rPr>
        <w:t>6</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b/>
          <w:bCs/>
          <w:color w:val="auto"/>
          <w:spacing w:val="-6"/>
          <w:sz w:val="24"/>
          <w:szCs w:val="24"/>
          <w:highlight w:val="none"/>
        </w:rPr>
        <w:t>．施工条件及现场踏勘</w:t>
      </w:r>
      <w:bookmarkEnd w:id="28"/>
      <w:bookmarkEnd w:id="29"/>
    </w:p>
    <w:p w14:paraId="65C882D9">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6.1  </w:t>
      </w:r>
      <w:r>
        <w:rPr>
          <w:rFonts w:hint="eastAsia" w:ascii="宋体" w:hAnsi="宋体" w:eastAsia="宋体" w:cs="宋体"/>
          <w:color w:val="auto"/>
          <w:spacing w:val="-2"/>
          <w:sz w:val="24"/>
          <w:szCs w:val="24"/>
          <w:highlight w:val="none"/>
        </w:rPr>
        <w:t>招标人仅在本招标项目征地红线范围内提供场地，其他一切场地费用由中标人自行负责（含临时道路）。</w:t>
      </w:r>
    </w:p>
    <w:p w14:paraId="49C1BAAE">
      <w:pPr>
        <w:spacing w:before="155" w:line="324" w:lineRule="auto"/>
        <w:ind w:left="12" w:right="99" w:firstLine="556"/>
        <w:rPr>
          <w:rFonts w:hint="eastAsia" w:ascii="宋体" w:hAnsi="宋体" w:eastAsia="宋体" w:cs="宋体"/>
          <w:color w:val="auto"/>
          <w:spacing w:val="-2"/>
          <w:sz w:val="24"/>
          <w:szCs w:val="24"/>
          <w:highlight w:val="none"/>
        </w:rPr>
      </w:pPr>
      <w:bookmarkStart w:id="30" w:name="bookmark118"/>
      <w:bookmarkEnd w:id="30"/>
      <w:r>
        <w:rPr>
          <w:rFonts w:hint="eastAsia" w:ascii="宋体" w:hAnsi="宋体" w:eastAsia="宋体" w:cs="宋体"/>
          <w:b/>
          <w:bCs/>
          <w:color w:val="auto"/>
          <w:spacing w:val="-2"/>
          <w:sz w:val="24"/>
          <w:szCs w:val="24"/>
          <w:highlight w:val="none"/>
        </w:rPr>
        <w:t>6.2</w:t>
      </w:r>
      <w:r>
        <w:rPr>
          <w:rFonts w:hint="eastAsia" w:ascii="宋体" w:hAnsi="宋体" w:eastAsia="宋体" w:cs="宋体"/>
          <w:color w:val="auto"/>
          <w:spacing w:val="-2"/>
          <w:sz w:val="24"/>
          <w:szCs w:val="24"/>
          <w:highlight w:val="none"/>
        </w:rPr>
        <w:t xml:space="preserve">  施工用水：</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416B05D2">
      <w:pPr>
        <w:spacing w:before="155" w:line="324" w:lineRule="auto"/>
        <w:ind w:left="12" w:right="99" w:firstLine="55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6.3</w:t>
      </w:r>
      <w:r>
        <w:rPr>
          <w:rFonts w:hint="eastAsia" w:ascii="宋体" w:hAnsi="宋体" w:eastAsia="宋体" w:cs="宋体"/>
          <w:color w:val="auto"/>
          <w:spacing w:val="-2"/>
          <w:sz w:val="24"/>
          <w:szCs w:val="24"/>
          <w:highlight w:val="none"/>
        </w:rPr>
        <w:t xml:space="preserve">  施工用电：</w:t>
      </w:r>
      <w:r>
        <w:rPr>
          <w:rFonts w:hint="eastAsia" w:ascii="宋体" w:hAnsi="宋体" w:eastAsia="宋体" w:cs="宋体"/>
          <w:color w:val="auto"/>
          <w:spacing w:val="-2"/>
          <w:sz w:val="24"/>
          <w:szCs w:val="24"/>
          <w:highlight w:val="none"/>
          <w:u w:val="single"/>
        </w:rPr>
        <w:t xml:space="preserve"> 由中标人自行解决，费用考虑在投标报价中</w:t>
      </w:r>
      <w:r>
        <w:rPr>
          <w:rFonts w:hint="eastAsia" w:ascii="宋体" w:hAnsi="宋体" w:eastAsia="宋体" w:cs="宋体"/>
          <w:color w:val="auto"/>
          <w:spacing w:val="-2"/>
          <w:sz w:val="24"/>
          <w:szCs w:val="24"/>
          <w:highlight w:val="none"/>
        </w:rPr>
        <w:t>。</w:t>
      </w:r>
    </w:p>
    <w:p w14:paraId="17DBA3CD">
      <w:pPr>
        <w:spacing w:before="154" w:line="299" w:lineRule="auto"/>
        <w:ind w:left="9" w:right="16" w:firstLine="558"/>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4</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val="0"/>
          <w:bCs w:val="0"/>
          <w:color w:val="auto"/>
          <w:spacing w:val="-2"/>
          <w:sz w:val="24"/>
          <w:szCs w:val="24"/>
          <w:highlight w:val="none"/>
        </w:rPr>
        <w:t>施工用水、用电各提供一驳接点到现场边缘。要求中标人单独安装水表、电表，其水、电费按项目所在地</w:t>
      </w:r>
      <w:r>
        <w:rPr>
          <w:rFonts w:hint="eastAsia" w:ascii="宋体" w:hAnsi="宋体" w:eastAsia="宋体" w:cs="宋体"/>
          <w:b w:val="0"/>
          <w:bCs w:val="0"/>
          <w:color w:val="auto"/>
          <w:spacing w:val="-2"/>
          <w:sz w:val="24"/>
          <w:szCs w:val="24"/>
          <w:highlight w:val="none"/>
          <w:u w:val="single"/>
          <w:lang w:val="en-US" w:eastAsia="zh-CN"/>
        </w:rPr>
        <w:t>韶关市曲江区</w:t>
      </w:r>
      <w:r>
        <w:rPr>
          <w:rFonts w:hint="eastAsia" w:ascii="宋体" w:hAnsi="宋体" w:eastAsia="宋体" w:cs="宋体"/>
          <w:b w:val="0"/>
          <w:bCs w:val="0"/>
          <w:color w:val="auto"/>
          <w:spacing w:val="-2"/>
          <w:sz w:val="24"/>
          <w:szCs w:val="24"/>
          <w:highlight w:val="none"/>
        </w:rPr>
        <w:t>基建工程水、电计费标准计算并由中标人缴纳。</w:t>
      </w:r>
    </w:p>
    <w:p w14:paraId="324254FC">
      <w:pPr>
        <w:spacing w:before="154" w:line="29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val="en-US" w:eastAsia="zh-CN"/>
        </w:rPr>
        <w:t>6.5</w:t>
      </w:r>
      <w:r>
        <w:rPr>
          <w:rFonts w:hint="eastAsia" w:ascii="宋体" w:hAnsi="宋体" w:eastAsia="宋体" w:cs="宋体"/>
          <w:color w:val="auto"/>
          <w:spacing w:val="-2"/>
          <w:sz w:val="24"/>
          <w:szCs w:val="24"/>
          <w:highlight w:val="none"/>
        </w:rPr>
        <w:t>招标人不组织现场踏勘，</w:t>
      </w:r>
      <w:r>
        <w:rPr>
          <w:rFonts w:hint="eastAsia" w:ascii="宋体" w:hAnsi="宋体" w:eastAsia="宋体" w:cs="宋体"/>
          <w:color w:val="auto"/>
          <w:sz w:val="24"/>
          <w:szCs w:val="24"/>
          <w:highlight w:val="none"/>
        </w:rPr>
        <w:t>投标人需要了解现场情况的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
          <w:sz w:val="24"/>
          <w:szCs w:val="24"/>
          <w:highlight w:val="none"/>
        </w:rPr>
        <w:t>可自行进行现场踏勘。</w:t>
      </w:r>
    </w:p>
    <w:p w14:paraId="1B0B1AFE">
      <w:pPr>
        <w:spacing w:before="153" w:line="280"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6.</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在现场踏勘过程中，投标人应确保自身安全，投标人如果发生人身伤亡、财</w:t>
      </w:r>
      <w:r>
        <w:rPr>
          <w:rFonts w:hint="eastAsia" w:ascii="宋体" w:hAnsi="宋体" w:eastAsia="宋体" w:cs="宋体"/>
          <w:color w:val="auto"/>
          <w:spacing w:val="-1"/>
          <w:sz w:val="24"/>
          <w:szCs w:val="24"/>
          <w:highlight w:val="none"/>
        </w:rPr>
        <w:t>物或其他损失，法律法规有规定的按有关规定处理，没有规定</w:t>
      </w:r>
      <w:r>
        <w:rPr>
          <w:rFonts w:hint="eastAsia" w:ascii="宋体" w:hAnsi="宋体" w:eastAsia="宋体" w:cs="宋体"/>
          <w:color w:val="auto"/>
          <w:spacing w:val="-2"/>
          <w:sz w:val="24"/>
          <w:szCs w:val="24"/>
          <w:highlight w:val="none"/>
        </w:rPr>
        <w:t>的由投标人自行负责。</w:t>
      </w:r>
    </w:p>
    <w:p w14:paraId="5F9F4616">
      <w:pPr>
        <w:spacing w:before="153" w:line="220" w:lineRule="auto"/>
        <w:ind w:left="568"/>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现场踏勘期间的交通、食宿由投标人</w:t>
      </w:r>
      <w:r>
        <w:rPr>
          <w:rFonts w:hint="eastAsia" w:ascii="宋体" w:hAnsi="宋体" w:eastAsia="宋体" w:cs="宋体"/>
          <w:color w:val="auto"/>
          <w:spacing w:val="-1"/>
          <w:sz w:val="24"/>
          <w:szCs w:val="24"/>
          <w:highlight w:val="none"/>
        </w:rPr>
        <w:t>自行安排，费用自理。</w:t>
      </w:r>
    </w:p>
    <w:p w14:paraId="235FFA49">
      <w:pPr>
        <w:spacing w:before="78" w:line="220" w:lineRule="auto"/>
        <w:ind w:left="488"/>
        <w:outlineLvl w:val="2"/>
        <w:rPr>
          <w:rFonts w:hint="eastAsia" w:ascii="宋体" w:hAnsi="宋体" w:eastAsia="宋体" w:cs="宋体"/>
          <w:color w:val="auto"/>
          <w:sz w:val="24"/>
          <w:szCs w:val="24"/>
          <w:highlight w:val="none"/>
        </w:rPr>
      </w:pPr>
      <w:bookmarkStart w:id="31" w:name="bookmark81"/>
      <w:bookmarkEnd w:id="31"/>
      <w:bookmarkStart w:id="32" w:name="bookmark69"/>
      <w:bookmarkEnd w:id="32"/>
      <w:bookmarkStart w:id="33" w:name="bookmark67"/>
      <w:bookmarkEnd w:id="33"/>
      <w:bookmarkStart w:id="34" w:name="_Toc15543"/>
      <w:bookmarkStart w:id="35" w:name="_Toc24768"/>
      <w:r>
        <w:rPr>
          <w:rFonts w:hint="eastAsia" w:ascii="宋体" w:hAnsi="宋体" w:eastAsia="宋体" w:cs="宋体"/>
          <w:b/>
          <w:bCs/>
          <w:color w:val="auto"/>
          <w:spacing w:val="-5"/>
          <w:sz w:val="24"/>
          <w:szCs w:val="24"/>
          <w:highlight w:val="none"/>
        </w:rPr>
        <w:t>7</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5"/>
          <w:sz w:val="24"/>
          <w:szCs w:val="24"/>
          <w:highlight w:val="none"/>
        </w:rPr>
        <w:t>．招标文件的提问和答疑</w:t>
      </w:r>
      <w:bookmarkEnd w:id="34"/>
      <w:bookmarkEnd w:id="35"/>
    </w:p>
    <w:p w14:paraId="75CFCE47">
      <w:pPr>
        <w:spacing w:before="153" w:line="299" w:lineRule="auto"/>
        <w:ind w:left="9" w:right="16" w:firstLine="478"/>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7.1  </w:t>
      </w:r>
      <w:r>
        <w:rPr>
          <w:rFonts w:hint="eastAsia" w:ascii="宋体" w:hAnsi="宋体" w:eastAsia="宋体" w:cs="宋体"/>
          <w:color w:val="auto"/>
          <w:sz w:val="24"/>
          <w:szCs w:val="24"/>
          <w:highlight w:val="none"/>
        </w:rPr>
        <w:t>投标人若对招标文件（含施工图、招标工程量清单）有疑问，应在提问截止</w:t>
      </w:r>
      <w:r>
        <w:rPr>
          <w:rFonts w:hint="eastAsia" w:ascii="宋体" w:hAnsi="宋体" w:eastAsia="宋体" w:cs="宋体"/>
          <w:color w:val="auto"/>
          <w:spacing w:val="-2"/>
          <w:sz w:val="24"/>
          <w:szCs w:val="24"/>
          <w:highlight w:val="none"/>
        </w:rPr>
        <w:t>时间（见本章第二节“重要事项时间地点一览表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”）前使用建设工程交易</w:t>
      </w:r>
      <w:r>
        <w:rPr>
          <w:rFonts w:hint="eastAsia" w:ascii="宋体" w:hAnsi="宋体" w:eastAsia="宋体" w:cs="宋体"/>
          <w:color w:val="auto"/>
          <w:spacing w:val="-3"/>
          <w:sz w:val="24"/>
          <w:szCs w:val="24"/>
          <w:highlight w:val="none"/>
        </w:rPr>
        <w:t>系统提出问</w:t>
      </w:r>
      <w:r>
        <w:rPr>
          <w:rFonts w:hint="eastAsia" w:ascii="宋体" w:hAnsi="宋体" w:eastAsia="宋体" w:cs="宋体"/>
          <w:color w:val="auto"/>
          <w:spacing w:val="-1"/>
          <w:sz w:val="24"/>
          <w:szCs w:val="24"/>
          <w:highlight w:val="none"/>
        </w:rPr>
        <w:t>题。未在指定时间前、未采用指定方式提出的，招标人不予受理。</w:t>
      </w:r>
    </w:p>
    <w:p w14:paraId="1D96D998">
      <w:pPr>
        <w:spacing w:before="154" w:line="309" w:lineRule="auto"/>
        <w:ind w:left="9" w:right="16"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7.2  </w:t>
      </w:r>
      <w:r>
        <w:rPr>
          <w:rFonts w:hint="eastAsia" w:ascii="宋体" w:hAnsi="宋体" w:eastAsia="宋体" w:cs="宋体"/>
          <w:color w:val="auto"/>
          <w:spacing w:val="-1"/>
          <w:sz w:val="24"/>
          <w:szCs w:val="24"/>
          <w:highlight w:val="none"/>
        </w:rPr>
        <w:t>招标人在提问截止时间（见本章第二节“重要</w:t>
      </w:r>
      <w:r>
        <w:rPr>
          <w:rFonts w:hint="eastAsia" w:ascii="宋体" w:hAnsi="宋体" w:eastAsia="宋体" w:cs="宋体"/>
          <w:color w:val="auto"/>
          <w:spacing w:val="-2"/>
          <w:sz w:val="24"/>
          <w:szCs w:val="24"/>
          <w:highlight w:val="none"/>
        </w:rPr>
        <w:t>事项时间地点一览表</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2"/>
          <w:sz w:val="24"/>
          <w:szCs w:val="24"/>
          <w:highlight w:val="none"/>
        </w:rPr>
        <w:t>”）后</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日内，一次性对收到的所有问题作出答复，并形成答疑（或修</w:t>
      </w:r>
      <w:r>
        <w:rPr>
          <w:rFonts w:hint="eastAsia" w:ascii="宋体" w:hAnsi="宋体" w:eastAsia="宋体" w:cs="宋体"/>
          <w:color w:val="auto"/>
          <w:spacing w:val="-2"/>
          <w:sz w:val="24"/>
          <w:szCs w:val="24"/>
          <w:highlight w:val="none"/>
        </w:rPr>
        <w:t>改）公告在发布招标公</w:t>
      </w:r>
      <w:r>
        <w:rPr>
          <w:rFonts w:hint="eastAsia" w:ascii="宋体" w:hAnsi="宋体" w:eastAsia="宋体" w:cs="宋体"/>
          <w:color w:val="auto"/>
          <w:spacing w:val="-1"/>
          <w:sz w:val="24"/>
          <w:szCs w:val="24"/>
          <w:highlight w:val="none"/>
        </w:rPr>
        <w:t>告的媒介上公开发布。答疑（或修改）公告一旦发布，即视所</w:t>
      </w:r>
      <w:r>
        <w:rPr>
          <w:rFonts w:hint="eastAsia" w:ascii="宋体" w:hAnsi="宋体" w:eastAsia="宋体" w:cs="宋体"/>
          <w:color w:val="auto"/>
          <w:spacing w:val="-2"/>
          <w:sz w:val="24"/>
          <w:szCs w:val="24"/>
          <w:highlight w:val="none"/>
        </w:rPr>
        <w:t>有潜在投标人已经知悉</w:t>
      </w:r>
      <w:r>
        <w:rPr>
          <w:rFonts w:hint="eastAsia" w:ascii="宋体" w:hAnsi="宋体" w:eastAsia="宋体" w:cs="宋体"/>
          <w:color w:val="auto"/>
          <w:spacing w:val="-1"/>
          <w:sz w:val="24"/>
          <w:szCs w:val="24"/>
          <w:highlight w:val="none"/>
        </w:rPr>
        <w:t>答疑（或修改）内容，投标人未及时关注而造成的损失和后果</w:t>
      </w:r>
      <w:r>
        <w:rPr>
          <w:rFonts w:hint="eastAsia" w:ascii="宋体" w:hAnsi="宋体" w:eastAsia="宋体" w:cs="宋体"/>
          <w:color w:val="auto"/>
          <w:spacing w:val="-2"/>
          <w:sz w:val="24"/>
          <w:szCs w:val="24"/>
          <w:highlight w:val="none"/>
        </w:rPr>
        <w:t>，由投标人自行承担。</w:t>
      </w:r>
    </w:p>
    <w:p w14:paraId="2E76E133">
      <w:pPr>
        <w:spacing w:before="152" w:line="219" w:lineRule="auto"/>
        <w:ind w:firstLine="478" w:firstLineChars="200"/>
        <w:jc w:val="both"/>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7.3  </w:t>
      </w:r>
      <w:r>
        <w:rPr>
          <w:rFonts w:hint="eastAsia" w:ascii="宋体" w:hAnsi="宋体" w:eastAsia="宋体" w:cs="宋体"/>
          <w:color w:val="auto"/>
          <w:spacing w:val="-1"/>
          <w:sz w:val="24"/>
          <w:szCs w:val="24"/>
          <w:highlight w:val="none"/>
        </w:rPr>
        <w:t>招标人对招标文件所作的答疑（或修改）公告，构成</w:t>
      </w:r>
      <w:r>
        <w:rPr>
          <w:rFonts w:hint="eastAsia" w:ascii="宋体" w:hAnsi="宋体" w:eastAsia="宋体" w:cs="宋体"/>
          <w:color w:val="auto"/>
          <w:spacing w:val="-2"/>
          <w:sz w:val="24"/>
          <w:szCs w:val="24"/>
          <w:highlight w:val="none"/>
        </w:rPr>
        <w:t>招标文件的组成部分。</w:t>
      </w:r>
    </w:p>
    <w:p w14:paraId="27B5D21C">
      <w:pPr>
        <w:spacing w:before="79" w:line="219" w:lineRule="auto"/>
        <w:ind w:left="488"/>
        <w:outlineLvl w:val="2"/>
        <w:rPr>
          <w:rFonts w:hint="eastAsia" w:ascii="宋体" w:hAnsi="宋体" w:eastAsia="宋体" w:cs="宋体"/>
          <w:color w:val="auto"/>
          <w:sz w:val="24"/>
          <w:szCs w:val="24"/>
          <w:highlight w:val="none"/>
          <w:lang w:eastAsia="zh-CN"/>
        </w:rPr>
      </w:pPr>
      <w:bookmarkStart w:id="36" w:name="_Toc20958"/>
      <w:bookmarkStart w:id="37" w:name="_Toc6897"/>
      <w:r>
        <w:rPr>
          <w:rFonts w:hint="eastAsia" w:ascii="宋体" w:hAnsi="宋体" w:eastAsia="宋体" w:cs="宋体"/>
          <w:b/>
          <w:bCs/>
          <w:color w:val="auto"/>
          <w:spacing w:val="-5"/>
          <w:sz w:val="24"/>
          <w:szCs w:val="24"/>
          <w:highlight w:val="none"/>
        </w:rPr>
        <w:t>8</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5"/>
          <w:sz w:val="24"/>
          <w:szCs w:val="24"/>
          <w:highlight w:val="none"/>
        </w:rPr>
        <w:t>．</w:t>
      </w:r>
      <w:r>
        <w:rPr>
          <w:rFonts w:hint="eastAsia" w:ascii="宋体" w:hAnsi="宋体" w:eastAsia="宋体" w:cs="宋体"/>
          <w:b/>
          <w:bCs/>
          <w:color w:val="auto"/>
          <w:spacing w:val="-1"/>
          <w:sz w:val="24"/>
          <w:szCs w:val="24"/>
          <w:highlight w:val="none"/>
          <w:lang w:eastAsia="zh-CN"/>
        </w:rPr>
        <w:t>最高投标限价</w:t>
      </w:r>
      <w:bookmarkEnd w:id="36"/>
      <w:bookmarkEnd w:id="37"/>
    </w:p>
    <w:p w14:paraId="575A60B6">
      <w:pPr>
        <w:spacing w:before="155"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8.1  </w:t>
      </w:r>
      <w:r>
        <w:rPr>
          <w:rFonts w:hint="eastAsia" w:ascii="宋体" w:hAnsi="宋体" w:eastAsia="宋体" w:cs="宋体"/>
          <w:color w:val="auto"/>
          <w:spacing w:val="-1"/>
          <w:sz w:val="24"/>
          <w:szCs w:val="24"/>
          <w:highlight w:val="none"/>
        </w:rPr>
        <w:t>本招标项目按照以下依据编制</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w:t>
      </w:r>
    </w:p>
    <w:p w14:paraId="3CF70373">
      <w:pPr>
        <w:keepNext w:val="0"/>
        <w:keepLines w:val="0"/>
        <w:pageBreakBefore w:val="0"/>
        <w:widowControl/>
        <w:kinsoku w:val="0"/>
        <w:wordWrap/>
        <w:overflowPunct/>
        <w:topLinePunct w:val="0"/>
        <w:autoSpaceDE w:val="0"/>
        <w:autoSpaceDN w:val="0"/>
        <w:bidi w:val="0"/>
        <w:adjustRightInd w:val="0"/>
        <w:snapToGrid w:val="0"/>
        <w:spacing w:before="157" w:line="360" w:lineRule="auto"/>
        <w:ind w:left="50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》（GB/T 50500-2024）；</w:t>
      </w:r>
    </w:p>
    <w:p w14:paraId="400B07CC">
      <w:pPr>
        <w:keepNext w:val="0"/>
        <w:keepLines w:val="0"/>
        <w:pageBreakBefore w:val="0"/>
        <w:widowControl/>
        <w:kinsoku w:val="0"/>
        <w:wordWrap/>
        <w:overflowPunct/>
        <w:topLinePunct w:val="0"/>
        <w:autoSpaceDE w:val="0"/>
        <w:autoSpaceDN w:val="0"/>
        <w:bidi w:val="0"/>
        <w:adjustRightInd w:val="0"/>
        <w:snapToGrid w:val="0"/>
        <w:spacing w:line="360" w:lineRule="auto"/>
        <w:ind w:left="11" w:right="17"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1BF8F48A">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（3）施工图及相关资料；</w:t>
      </w:r>
    </w:p>
    <w:p w14:paraId="32B213E1">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bookmarkStart w:id="38" w:name="bookmark119"/>
      <w:bookmarkEnd w:id="38"/>
      <w:r>
        <w:rPr>
          <w:rFonts w:hint="eastAsia" w:ascii="宋体" w:hAnsi="宋体" w:eastAsia="宋体" w:cs="宋体"/>
          <w:color w:val="auto"/>
          <w:spacing w:val="-2"/>
          <w:sz w:val="24"/>
          <w:szCs w:val="24"/>
          <w:highlight w:val="none"/>
        </w:rPr>
        <w:t>（4）招标文件及招标工程量清单；</w:t>
      </w:r>
    </w:p>
    <w:p w14:paraId="177D9338">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（5）施工现场情况、工程特点及常规施工方案；</w:t>
      </w:r>
    </w:p>
    <w:p w14:paraId="00FB1D3E">
      <w:pPr>
        <w:keepNext w:val="0"/>
        <w:keepLines w:val="0"/>
        <w:pageBreakBefore w:val="0"/>
        <w:widowControl/>
        <w:kinsoku w:val="0"/>
        <w:wordWrap/>
        <w:overflowPunct/>
        <w:topLinePunct w:val="0"/>
        <w:autoSpaceDE w:val="0"/>
        <w:autoSpaceDN w:val="0"/>
        <w:bidi w:val="0"/>
        <w:adjustRightInd w:val="0"/>
        <w:snapToGrid w:val="0"/>
        <w:spacing w:line="360" w:lineRule="auto"/>
        <w:ind w:left="12" w:right="136" w:firstLine="48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（6）项目所在地工程造价管理机构发布的工程造价信息，工程造</w:t>
      </w:r>
      <w:r>
        <w:rPr>
          <w:rFonts w:hint="eastAsia" w:ascii="宋体" w:hAnsi="宋体" w:eastAsia="宋体" w:cs="宋体"/>
          <w:color w:val="auto"/>
          <w:spacing w:val="-4"/>
          <w:sz w:val="24"/>
          <w:szCs w:val="24"/>
          <w:highlight w:val="none"/>
        </w:rPr>
        <w:t>价信息缺项的，</w:t>
      </w:r>
      <w:r>
        <w:rPr>
          <w:rFonts w:hint="eastAsia" w:ascii="宋体" w:hAnsi="宋体" w:eastAsia="宋体" w:cs="宋体"/>
          <w:color w:val="auto"/>
          <w:spacing w:val="-2"/>
          <w:sz w:val="24"/>
          <w:szCs w:val="24"/>
          <w:highlight w:val="none"/>
        </w:rPr>
        <w:t>参照市场价格；</w:t>
      </w:r>
    </w:p>
    <w:p w14:paraId="24969273">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（7）与建设项目相关的标准、规范、技术资料。</w:t>
      </w:r>
    </w:p>
    <w:p w14:paraId="5D017348">
      <w:pPr>
        <w:spacing w:before="79" w:line="333" w:lineRule="auto"/>
        <w:ind w:firstLine="482" w:firstLineChars="200"/>
        <w:jc w:val="both"/>
        <w:rPr>
          <w:rFonts w:hint="eastAsia" w:asciiTheme="minorEastAsia" w:hAnsiTheme="minorEastAsia" w:eastAsiaTheme="minorEastAsia" w:cstheme="minorEastAsia"/>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8.2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本招标项目最高投标限价、施工图纸、工程量清单在开标前7天另行发布于全国公共资源交易平台（广东省·韶关市）（https://ygp.gdzwfw.gov.cn/ggzy-portal/#/440200/index）、广东省招标投标监管网（http://zbtb.gd.gov.cn）网站。</w:t>
      </w:r>
    </w:p>
    <w:p w14:paraId="354CD1E5">
      <w:pPr>
        <w:spacing w:before="79" w:line="333" w:lineRule="auto"/>
        <w:ind w:firstLine="482"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3</w:t>
      </w:r>
      <w:r>
        <w:rPr>
          <w:rFonts w:hint="eastAsia" w:ascii="宋体" w:hAnsi="宋体" w:eastAsia="宋体" w:cs="宋体"/>
          <w:color w:val="auto"/>
          <w:sz w:val="24"/>
          <w:szCs w:val="24"/>
          <w:highlight w:val="none"/>
        </w:rPr>
        <w:t>暂估价指招标工程量清单中提供的用于支付必然发生但暂时不能确定价格的</w:t>
      </w:r>
      <w:r>
        <w:rPr>
          <w:rFonts w:hint="eastAsia" w:ascii="宋体" w:hAnsi="宋体" w:eastAsia="宋体" w:cs="宋体"/>
          <w:color w:val="auto"/>
          <w:spacing w:val="-1"/>
          <w:sz w:val="24"/>
          <w:szCs w:val="24"/>
          <w:highlight w:val="none"/>
        </w:rPr>
        <w:t>材料、工程设备的单价以及专业工程的金额；暂列金额指招标</w:t>
      </w:r>
      <w:r>
        <w:rPr>
          <w:rFonts w:hint="eastAsia" w:ascii="宋体" w:hAnsi="宋体" w:eastAsia="宋体" w:cs="宋体"/>
          <w:color w:val="auto"/>
          <w:spacing w:val="-2"/>
          <w:sz w:val="24"/>
          <w:szCs w:val="24"/>
          <w:highlight w:val="none"/>
        </w:rPr>
        <w:t>工程量清单中暂定并包括在合同价款中的一笔款项，用于工程合同签订时尚未确定或</w:t>
      </w:r>
      <w:r>
        <w:rPr>
          <w:rFonts w:hint="eastAsia" w:ascii="宋体" w:hAnsi="宋体" w:eastAsia="宋体" w:cs="宋体"/>
          <w:color w:val="auto"/>
          <w:spacing w:val="-3"/>
          <w:sz w:val="24"/>
          <w:szCs w:val="24"/>
          <w:highlight w:val="none"/>
        </w:rPr>
        <w:t>者不可预见的所需材料、</w:t>
      </w:r>
      <w:r>
        <w:rPr>
          <w:rFonts w:hint="eastAsia" w:ascii="宋体" w:hAnsi="宋体" w:eastAsia="宋体" w:cs="宋体"/>
          <w:color w:val="auto"/>
          <w:spacing w:val="-1"/>
          <w:sz w:val="24"/>
          <w:szCs w:val="24"/>
          <w:highlight w:val="none"/>
        </w:rPr>
        <w:t>工程设备、服务的采购，施工中可能发生的工程变更、合同约</w:t>
      </w:r>
      <w:r>
        <w:rPr>
          <w:rFonts w:hint="eastAsia" w:ascii="宋体" w:hAnsi="宋体" w:eastAsia="宋体" w:cs="宋体"/>
          <w:color w:val="auto"/>
          <w:spacing w:val="-2"/>
          <w:sz w:val="24"/>
          <w:szCs w:val="24"/>
          <w:highlight w:val="none"/>
        </w:rPr>
        <w:t>定调整因素出现时的合</w:t>
      </w:r>
      <w:r>
        <w:rPr>
          <w:rFonts w:hint="eastAsia" w:ascii="宋体" w:hAnsi="宋体" w:eastAsia="宋体" w:cs="宋体"/>
          <w:color w:val="auto"/>
          <w:spacing w:val="-1"/>
          <w:sz w:val="24"/>
          <w:szCs w:val="24"/>
          <w:highlight w:val="none"/>
        </w:rPr>
        <w:t>同价款调整以及发生的索赔、现场签证确认等的费用。</w:t>
      </w:r>
    </w:p>
    <w:p w14:paraId="2D63794A">
      <w:pPr>
        <w:spacing w:before="36" w:line="278" w:lineRule="auto"/>
        <w:ind w:left="10" w:right="200" w:firstLine="48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本招标项目以暂估价形式列入招标工程量清单中的材料、工程设备、专业工</w:t>
      </w:r>
      <w:r>
        <w:rPr>
          <w:rFonts w:hint="eastAsia" w:ascii="宋体" w:hAnsi="宋体" w:eastAsia="宋体" w:cs="宋体"/>
          <w:color w:val="auto"/>
          <w:spacing w:val="-2"/>
          <w:sz w:val="24"/>
          <w:szCs w:val="24"/>
          <w:highlight w:val="none"/>
        </w:rPr>
        <w:t>程（以下统称“暂估价项目</w:t>
      </w:r>
      <w:r>
        <w:rPr>
          <w:rFonts w:hint="eastAsia" w:ascii="宋体" w:hAnsi="宋体" w:eastAsia="宋体" w:cs="宋体"/>
          <w:color w:val="auto"/>
          <w:spacing w:val="-80"/>
          <w:sz w:val="24"/>
          <w:szCs w:val="24"/>
          <w:highlight w:val="none"/>
        </w:rPr>
        <w:t xml:space="preserve"> </w:t>
      </w:r>
      <w:r>
        <w:rPr>
          <w:rFonts w:hint="eastAsia" w:ascii="宋体" w:hAnsi="宋体" w:eastAsia="宋体" w:cs="宋体"/>
          <w:color w:val="auto"/>
          <w:spacing w:val="-2"/>
          <w:sz w:val="24"/>
          <w:szCs w:val="24"/>
          <w:highlight w:val="none"/>
        </w:rPr>
        <w:t>”）包括：</w:t>
      </w:r>
      <w:r>
        <w:rPr>
          <w:rFonts w:hint="eastAsia" w:ascii="宋体" w:hAnsi="宋体" w:eastAsia="宋体" w:cs="宋体"/>
          <w:color w:val="auto"/>
          <w:sz w:val="24"/>
          <w:szCs w:val="24"/>
          <w:highlight w:val="none"/>
          <w:u w:val="single"/>
        </w:rPr>
        <w:t>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p>
    <w:p w14:paraId="0B134047">
      <w:pPr>
        <w:spacing w:before="154" w:line="280" w:lineRule="auto"/>
        <w:ind w:left="12" w:right="200" w:firstLine="47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当暂估价项目的内容、标准、要求在项目实施过程中得以深化、明确、固定</w:t>
      </w:r>
      <w:r>
        <w:rPr>
          <w:rFonts w:hint="eastAsia" w:ascii="宋体" w:hAnsi="宋体" w:eastAsia="宋体" w:cs="宋体"/>
          <w:color w:val="auto"/>
          <w:spacing w:val="-2"/>
          <w:sz w:val="24"/>
          <w:szCs w:val="24"/>
          <w:highlight w:val="none"/>
        </w:rPr>
        <w:t>后，按以下原则发包：</w:t>
      </w:r>
    </w:p>
    <w:p w14:paraId="497A481B">
      <w:pPr>
        <w:spacing w:before="153" w:line="219" w:lineRule="auto"/>
        <w:ind w:left="-3" w:leftChars="0"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（1）暂估价项目按工程、货物（指材料或工程设备，下同）的类别分类汇总的金额，达到必须</w:t>
      </w:r>
      <w:r>
        <w:rPr>
          <w:rFonts w:hint="eastAsia" w:ascii="宋体" w:hAnsi="宋体" w:eastAsia="宋体" w:cs="宋体"/>
          <w:color w:val="auto"/>
          <w:spacing w:val="-3"/>
          <w:sz w:val="24"/>
          <w:szCs w:val="24"/>
          <w:highlight w:val="none"/>
        </w:rPr>
        <w:t>招标规模标准的，由</w:t>
      </w:r>
      <w:r>
        <w:rPr>
          <w:rFonts w:hint="eastAsia" w:ascii="宋体" w:hAnsi="宋体" w:eastAsia="宋体" w:cs="宋体"/>
          <w:b/>
          <w:bCs/>
          <w:color w:val="auto"/>
          <w:spacing w:val="21"/>
          <w:sz w:val="24"/>
          <w:szCs w:val="24"/>
          <w:highlight w:val="none"/>
          <w:u w:val="single"/>
        </w:rPr>
        <w:t xml:space="preserve"> </w:t>
      </w:r>
      <w:r>
        <w:rPr>
          <w:rFonts w:hint="eastAsia" w:ascii="宋体" w:hAnsi="宋体" w:eastAsia="宋体" w:cs="宋体"/>
          <w:bCs/>
          <w:color w:val="auto"/>
          <w:spacing w:val="-1"/>
          <w:sz w:val="24"/>
          <w:szCs w:val="24"/>
          <w:highlight w:val="none"/>
          <w:u w:val="single"/>
        </w:rPr>
        <w:t xml:space="preserve">中标人招标，招标人参与管理 </w:t>
      </w:r>
      <w:r>
        <w:rPr>
          <w:rFonts w:hint="eastAsia" w:ascii="宋体" w:hAnsi="宋体" w:eastAsia="宋体" w:cs="宋体"/>
          <w:bCs/>
          <w:color w:val="auto"/>
          <w:spacing w:val="-1"/>
          <w:sz w:val="24"/>
          <w:szCs w:val="24"/>
          <w:highlight w:val="none"/>
        </w:rPr>
        <w:t>，</w:t>
      </w:r>
      <w:r>
        <w:rPr>
          <w:rFonts w:hint="eastAsia" w:ascii="宋体" w:hAnsi="宋体" w:eastAsia="宋体" w:cs="宋体"/>
          <w:color w:val="auto"/>
          <w:spacing w:val="-1"/>
          <w:sz w:val="24"/>
          <w:szCs w:val="24"/>
          <w:highlight w:val="none"/>
        </w:rPr>
        <w:t>确定专业工程承包人（或材料、工程</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设备供应商）和合同价格。</w:t>
      </w:r>
    </w:p>
    <w:p w14:paraId="5EEE8160">
      <w:pPr>
        <w:spacing w:before="30"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准但适用政府采购规定的，按照政府采购规定确定专业工</w:t>
      </w:r>
      <w:r>
        <w:rPr>
          <w:rFonts w:hint="eastAsia" w:ascii="宋体" w:hAnsi="宋体" w:eastAsia="宋体" w:cs="宋体"/>
          <w:color w:val="auto"/>
          <w:spacing w:val="-2"/>
          <w:sz w:val="24"/>
          <w:szCs w:val="24"/>
          <w:highlight w:val="none"/>
        </w:rPr>
        <w:t>程承包人（或材料、工程设备供应商）和合同价格。</w:t>
      </w:r>
    </w:p>
    <w:p w14:paraId="414D5F0A">
      <w:pPr>
        <w:spacing w:before="154" w:line="30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准也不适用政府采购规定，中标人具备相应资格条件的，</w:t>
      </w:r>
      <w:r>
        <w:rPr>
          <w:rFonts w:hint="eastAsia" w:ascii="宋体" w:hAnsi="宋体" w:eastAsia="宋体" w:cs="宋体"/>
          <w:color w:val="auto"/>
          <w:spacing w:val="-2"/>
          <w:sz w:val="24"/>
          <w:szCs w:val="24"/>
          <w:highlight w:val="none"/>
        </w:rPr>
        <w:t>由中标人承包；中标人不具</w:t>
      </w:r>
      <w:r>
        <w:rPr>
          <w:rFonts w:hint="eastAsia" w:ascii="宋体" w:hAnsi="宋体" w:eastAsia="宋体" w:cs="宋体"/>
          <w:color w:val="auto"/>
          <w:spacing w:val="-1"/>
          <w:sz w:val="24"/>
          <w:szCs w:val="24"/>
          <w:highlight w:val="none"/>
        </w:rPr>
        <w:t>备相应资格条件但具备分包权的，由中标人分包，招标人</w:t>
      </w:r>
      <w:r>
        <w:rPr>
          <w:rFonts w:hint="eastAsia" w:ascii="宋体" w:hAnsi="宋体" w:eastAsia="宋体" w:cs="宋体"/>
          <w:color w:val="auto"/>
          <w:spacing w:val="-2"/>
          <w:sz w:val="24"/>
          <w:szCs w:val="24"/>
          <w:highlight w:val="none"/>
        </w:rPr>
        <w:t>同中标人结算原则按本招标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文件相关条款执行。</w:t>
      </w:r>
    </w:p>
    <w:p w14:paraId="411CD8B2">
      <w:pPr>
        <w:spacing w:before="154" w:line="299" w:lineRule="auto"/>
        <w:ind w:left="11" w:right="65"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（4）暂估价项目按工程、货物的类别分类汇总的金额，未</w:t>
      </w:r>
      <w:r>
        <w:rPr>
          <w:rFonts w:hint="eastAsia" w:ascii="宋体" w:hAnsi="宋体" w:eastAsia="宋体" w:cs="宋体"/>
          <w:color w:val="auto"/>
          <w:spacing w:val="1"/>
          <w:sz w:val="24"/>
          <w:szCs w:val="24"/>
          <w:highlight w:val="none"/>
        </w:rPr>
        <w:t>达到必须招标规模标</w:t>
      </w:r>
      <w:r>
        <w:rPr>
          <w:rFonts w:hint="eastAsia" w:ascii="宋体" w:hAnsi="宋体" w:eastAsia="宋体" w:cs="宋体"/>
          <w:color w:val="auto"/>
          <w:spacing w:val="-1"/>
          <w:sz w:val="24"/>
          <w:szCs w:val="24"/>
          <w:highlight w:val="none"/>
        </w:rPr>
        <w:t>准也不适用政府采购规定，中标人既不具备相应资格条件</w:t>
      </w:r>
      <w:r>
        <w:rPr>
          <w:rFonts w:hint="eastAsia" w:ascii="宋体" w:hAnsi="宋体" w:eastAsia="宋体" w:cs="宋体"/>
          <w:color w:val="auto"/>
          <w:spacing w:val="-2"/>
          <w:sz w:val="24"/>
          <w:szCs w:val="24"/>
          <w:highlight w:val="none"/>
        </w:rPr>
        <w:t>又不具备分包权的，由招标人另行发包。</w:t>
      </w:r>
    </w:p>
    <w:p w14:paraId="14D894B7">
      <w:pPr>
        <w:spacing w:before="155" w:line="279" w:lineRule="auto"/>
        <w:ind w:left="9" w:right="66"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（5）暂估价项目由其他承包人承包的，纳入中标人的管理</w:t>
      </w:r>
      <w:r>
        <w:rPr>
          <w:rFonts w:hint="eastAsia" w:ascii="宋体" w:hAnsi="宋体" w:eastAsia="宋体" w:cs="宋体"/>
          <w:color w:val="auto"/>
          <w:spacing w:val="1"/>
          <w:sz w:val="24"/>
          <w:szCs w:val="24"/>
          <w:highlight w:val="none"/>
        </w:rPr>
        <w:t>和协调范围，由其他</w:t>
      </w:r>
      <w:r>
        <w:rPr>
          <w:rFonts w:hint="eastAsia" w:ascii="宋体" w:hAnsi="宋体" w:eastAsia="宋体" w:cs="宋体"/>
          <w:color w:val="auto"/>
          <w:spacing w:val="-1"/>
          <w:sz w:val="24"/>
          <w:szCs w:val="24"/>
          <w:highlight w:val="none"/>
        </w:rPr>
        <w:t>承包人向中标人承担质量、安全、文明施工、工期责任，中标</w:t>
      </w:r>
      <w:r>
        <w:rPr>
          <w:rFonts w:hint="eastAsia" w:ascii="宋体" w:hAnsi="宋体" w:eastAsia="宋体" w:cs="宋体"/>
          <w:color w:val="auto"/>
          <w:spacing w:val="-2"/>
          <w:sz w:val="24"/>
          <w:szCs w:val="24"/>
          <w:highlight w:val="none"/>
        </w:rPr>
        <w:t>人向招标人承担责任。</w:t>
      </w:r>
    </w:p>
    <w:p w14:paraId="32E42486">
      <w:pPr>
        <w:spacing w:before="155" w:line="333" w:lineRule="auto"/>
        <w:ind w:left="10" w:right="65" w:firstLine="478"/>
        <w:jc w:val="both"/>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8</w:t>
      </w:r>
      <w:r>
        <w:rPr>
          <w:rFonts w:hint="eastAsia" w:ascii="宋体" w:hAnsi="宋体" w:eastAsia="宋体" w:cs="宋体"/>
          <w:b/>
          <w:bCs/>
          <w:color w:val="auto"/>
          <w:sz w:val="24"/>
          <w:szCs w:val="24"/>
          <w:highlight w:val="none"/>
          <w:lang w:val="en-US" w:eastAsia="zh-CN"/>
        </w:rPr>
        <w:t>.6</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本招标项目以暂列金额形式列入招标工程量清单中的所需货物和服务的采购</w:t>
      </w:r>
      <w:r>
        <w:rPr>
          <w:rFonts w:hint="eastAsia" w:ascii="宋体" w:hAnsi="宋体" w:eastAsia="宋体" w:cs="宋体"/>
          <w:color w:val="auto"/>
          <w:spacing w:val="-1"/>
          <w:sz w:val="24"/>
          <w:szCs w:val="24"/>
          <w:highlight w:val="none"/>
        </w:rPr>
        <w:t>（以下统称“暂列金额项目</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”）若有发生，按照本节第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pacing w:val="-1"/>
          <w:sz w:val="24"/>
          <w:szCs w:val="24"/>
          <w:highlight w:val="none"/>
        </w:rPr>
        <w:t xml:space="preserve">8.5 </w:t>
      </w:r>
      <w:r>
        <w:rPr>
          <w:rFonts w:hint="eastAsia" w:ascii="宋体" w:hAnsi="宋体" w:eastAsia="宋体" w:cs="宋体"/>
          <w:color w:val="auto"/>
          <w:spacing w:val="-1"/>
          <w:sz w:val="24"/>
          <w:szCs w:val="24"/>
          <w:highlight w:val="none"/>
        </w:rPr>
        <w:t>条的规定确定货物（或服务）供应商和合同价格。暂列金额项目由其他承包人承包的</w:t>
      </w:r>
      <w:r>
        <w:rPr>
          <w:rFonts w:hint="eastAsia" w:ascii="宋体" w:hAnsi="宋体" w:eastAsia="宋体" w:cs="宋体"/>
          <w:color w:val="auto"/>
          <w:spacing w:val="-2"/>
          <w:sz w:val="24"/>
          <w:szCs w:val="24"/>
          <w:highlight w:val="none"/>
        </w:rPr>
        <w:t>，纳入中标人的管理和协</w:t>
      </w:r>
      <w:r>
        <w:rPr>
          <w:rFonts w:hint="eastAsia" w:ascii="宋体" w:hAnsi="宋体" w:eastAsia="宋体" w:cs="宋体"/>
          <w:color w:val="auto"/>
          <w:spacing w:val="-1"/>
          <w:sz w:val="24"/>
          <w:szCs w:val="24"/>
          <w:highlight w:val="none"/>
        </w:rPr>
        <w:t>调范围</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由其他承包人向中标人承担质量、安全、文明</w:t>
      </w:r>
      <w:r>
        <w:rPr>
          <w:rFonts w:hint="eastAsia" w:ascii="宋体" w:hAnsi="宋体" w:eastAsia="宋体" w:cs="宋体"/>
          <w:color w:val="auto"/>
          <w:spacing w:val="-2"/>
          <w:sz w:val="24"/>
          <w:szCs w:val="24"/>
          <w:highlight w:val="none"/>
        </w:rPr>
        <w:t>施工、工期责任，中标人向招标人承担责任。</w:t>
      </w:r>
    </w:p>
    <w:p w14:paraId="5743915F">
      <w:pPr>
        <w:spacing w:before="79" w:line="219" w:lineRule="auto"/>
        <w:ind w:left="487"/>
        <w:outlineLvl w:val="2"/>
        <w:rPr>
          <w:rFonts w:hint="eastAsia" w:ascii="宋体" w:hAnsi="宋体" w:eastAsia="宋体" w:cs="宋体"/>
          <w:color w:val="auto"/>
          <w:sz w:val="24"/>
          <w:szCs w:val="24"/>
          <w:highlight w:val="none"/>
        </w:rPr>
      </w:pPr>
      <w:bookmarkStart w:id="39" w:name="_Toc6911"/>
      <w:bookmarkStart w:id="40" w:name="_Toc22978"/>
      <w:r>
        <w:rPr>
          <w:rFonts w:hint="eastAsia" w:ascii="宋体" w:hAnsi="宋体" w:eastAsia="宋体" w:cs="宋体"/>
          <w:b/>
          <w:bCs/>
          <w:color w:val="auto"/>
          <w:spacing w:val="-8"/>
          <w:sz w:val="24"/>
          <w:szCs w:val="24"/>
          <w:highlight w:val="none"/>
        </w:rPr>
        <w:t>9</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8"/>
          <w:sz w:val="24"/>
          <w:szCs w:val="24"/>
          <w:highlight w:val="none"/>
        </w:rPr>
        <w:t>．投标报价</w:t>
      </w:r>
      <w:bookmarkEnd w:id="39"/>
      <w:bookmarkEnd w:id="40"/>
    </w:p>
    <w:p w14:paraId="3DE643F3">
      <w:pPr>
        <w:spacing w:before="157" w:line="219"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9.1  </w:t>
      </w:r>
      <w:r>
        <w:rPr>
          <w:rFonts w:hint="eastAsia" w:ascii="宋体" w:hAnsi="宋体" w:eastAsia="宋体" w:cs="宋体"/>
          <w:color w:val="auto"/>
          <w:spacing w:val="-1"/>
          <w:sz w:val="24"/>
          <w:szCs w:val="24"/>
          <w:highlight w:val="none"/>
        </w:rPr>
        <w:t>投标人应按照以下依据编制投标报价：</w:t>
      </w:r>
    </w:p>
    <w:p w14:paraId="23909BF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（1）《建设工程工程量清单计价标准》（GB/T 50500-2024）</w:t>
      </w:r>
      <w:r>
        <w:rPr>
          <w:rFonts w:hint="eastAsia" w:ascii="宋体" w:hAnsi="宋体" w:eastAsia="宋体" w:cs="宋体"/>
          <w:color w:val="auto"/>
          <w:spacing w:val="4"/>
          <w:sz w:val="24"/>
          <w:szCs w:val="24"/>
          <w:highlight w:val="none"/>
        </w:rPr>
        <w:t>；</w:t>
      </w:r>
    </w:p>
    <w:p w14:paraId="637E8D36">
      <w:pPr>
        <w:spacing w:before="153" w:line="309" w:lineRule="auto"/>
        <w:ind w:left="9" w:right="65"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工程工程量计算标准》(GB/T50857-2024）、《园林绿化工程工程量计算标准》(GB/T50858-2024）、2018年《广东省市政工程综合定额》、2018年《广东省园林绿化工程综合定额》及现行的建筑施工规范和省市有关文件、规定为编制依据进行编制</w:t>
      </w:r>
      <w:r>
        <w:rPr>
          <w:rFonts w:hint="eastAsia" w:ascii="宋体" w:hAnsi="宋体" w:eastAsia="宋体" w:cs="宋体"/>
          <w:color w:val="auto"/>
          <w:spacing w:val="-1"/>
          <w:sz w:val="24"/>
          <w:szCs w:val="24"/>
          <w:highlight w:val="none"/>
        </w:rPr>
        <w:t>；</w:t>
      </w:r>
    </w:p>
    <w:p w14:paraId="094744D0">
      <w:pPr>
        <w:spacing w:before="78" w:line="220" w:lineRule="auto"/>
        <w:ind w:left="501"/>
        <w:rPr>
          <w:rFonts w:hint="eastAsia" w:ascii="宋体" w:hAnsi="宋体" w:eastAsia="宋体" w:cs="宋体"/>
          <w:color w:val="auto"/>
          <w:sz w:val="24"/>
          <w:szCs w:val="24"/>
          <w:highlight w:val="none"/>
        </w:rPr>
      </w:pPr>
      <w:bookmarkStart w:id="41" w:name="bookmark120"/>
      <w:bookmarkEnd w:id="41"/>
      <w:r>
        <w:rPr>
          <w:rFonts w:hint="eastAsia" w:ascii="宋体" w:hAnsi="宋体" w:eastAsia="宋体" w:cs="宋体"/>
          <w:color w:val="auto"/>
          <w:spacing w:val="-3"/>
          <w:sz w:val="24"/>
          <w:szCs w:val="24"/>
          <w:highlight w:val="none"/>
        </w:rPr>
        <w:t>（3）企业定额；</w:t>
      </w:r>
    </w:p>
    <w:p w14:paraId="7217D9D3">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（4）招标文件及其答疑（或修改）公告、招标工程量清单；</w:t>
      </w:r>
    </w:p>
    <w:p w14:paraId="20138A69">
      <w:pPr>
        <w:spacing w:before="154"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（5）施工图及相关资料；</w:t>
      </w:r>
    </w:p>
    <w:p w14:paraId="563DD3EC">
      <w:pPr>
        <w:spacing w:before="152"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（6）施工现场情况、工程特点及投标时拟定的施工组织设计或施工方案；</w:t>
      </w:r>
    </w:p>
    <w:p w14:paraId="03088ADA">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（7）市场价格信息或项目所在地工程造价管理机构发布的工程造价信息；</w:t>
      </w:r>
    </w:p>
    <w:p w14:paraId="177F8FD6">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（8）与建设项目相关的标准、规范、技术资料。</w:t>
      </w:r>
    </w:p>
    <w:p w14:paraId="5572B660">
      <w:pPr>
        <w:spacing w:before="153" w:line="309" w:lineRule="auto"/>
        <w:ind w:left="8" w:right="150" w:firstLine="558"/>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9.2  </w:t>
      </w:r>
      <w:r>
        <w:rPr>
          <w:rFonts w:hint="eastAsia" w:ascii="宋体" w:hAnsi="宋体" w:eastAsia="宋体" w:cs="宋体"/>
          <w:color w:val="auto"/>
          <w:spacing w:val="-2"/>
          <w:sz w:val="24"/>
          <w:szCs w:val="24"/>
          <w:highlight w:val="none"/>
        </w:rPr>
        <w:t>投标人应根据招标工程量清单、工程量清单计价规范中的工作内容、设计文</w:t>
      </w:r>
      <w:r>
        <w:rPr>
          <w:rFonts w:hint="eastAsia" w:ascii="宋体" w:hAnsi="宋体" w:eastAsia="宋体" w:cs="宋体"/>
          <w:color w:val="auto"/>
          <w:spacing w:val="-1"/>
          <w:sz w:val="24"/>
          <w:szCs w:val="24"/>
          <w:highlight w:val="none"/>
        </w:rPr>
        <w:t>件和有关要求、施工现场实际情况、投标人拟定的施工组织设计</w:t>
      </w:r>
      <w:r>
        <w:rPr>
          <w:rFonts w:hint="eastAsia" w:ascii="宋体" w:hAnsi="宋体" w:eastAsia="宋体" w:cs="宋体"/>
          <w:color w:val="auto"/>
          <w:spacing w:val="-2"/>
          <w:sz w:val="24"/>
          <w:szCs w:val="24"/>
          <w:highlight w:val="none"/>
        </w:rPr>
        <w:t>、本单位的企业定额</w:t>
      </w:r>
      <w:r>
        <w:rPr>
          <w:rFonts w:hint="eastAsia" w:ascii="宋体" w:hAnsi="宋体" w:eastAsia="宋体" w:cs="宋体"/>
          <w:color w:val="auto"/>
          <w:spacing w:val="-1"/>
          <w:sz w:val="24"/>
          <w:szCs w:val="24"/>
          <w:highlight w:val="none"/>
        </w:rPr>
        <w:t>和市场价格进行编制，自行报价，并承担一定范围内的风险费用</w:t>
      </w:r>
      <w:r>
        <w:rPr>
          <w:rFonts w:hint="eastAsia" w:ascii="宋体" w:hAnsi="宋体" w:eastAsia="宋体" w:cs="宋体"/>
          <w:color w:val="auto"/>
          <w:spacing w:val="-2"/>
          <w:sz w:val="24"/>
          <w:szCs w:val="24"/>
          <w:highlight w:val="none"/>
        </w:rPr>
        <w:t>。所谓“一定范围内</w:t>
      </w:r>
      <w:r>
        <w:rPr>
          <w:rFonts w:hint="eastAsia" w:ascii="宋体" w:hAnsi="宋体" w:eastAsia="宋体" w:cs="宋体"/>
          <w:color w:val="auto"/>
          <w:spacing w:val="-3"/>
          <w:sz w:val="24"/>
          <w:szCs w:val="24"/>
          <w:highlight w:val="none"/>
        </w:rPr>
        <w:t>的风险</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”是指合同约定的风险。</w:t>
      </w:r>
    </w:p>
    <w:p w14:paraId="2A4D7491">
      <w:pPr>
        <w:spacing w:before="152" w:line="309"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9.3  </w:t>
      </w:r>
      <w:r>
        <w:rPr>
          <w:rFonts w:hint="eastAsia" w:ascii="宋体" w:hAnsi="宋体" w:eastAsia="宋体" w:cs="宋体"/>
          <w:color w:val="auto"/>
          <w:spacing w:val="-2"/>
          <w:sz w:val="24"/>
          <w:szCs w:val="24"/>
          <w:highlight w:val="none"/>
        </w:rPr>
        <w:t>招标人及招标代理机构不集中组织现场踏勘，投标人需要了解现场情况的，</w:t>
      </w:r>
      <w:r>
        <w:rPr>
          <w:rFonts w:hint="eastAsia" w:ascii="宋体" w:hAnsi="宋体" w:eastAsia="宋体" w:cs="宋体"/>
          <w:color w:val="auto"/>
          <w:spacing w:val="-1"/>
          <w:sz w:val="24"/>
          <w:szCs w:val="24"/>
          <w:highlight w:val="none"/>
        </w:rPr>
        <w:t>可自行进行现场踏勘。各投标人应勘察施工现场及周围环</w:t>
      </w:r>
      <w:r>
        <w:rPr>
          <w:rFonts w:hint="eastAsia" w:ascii="宋体" w:hAnsi="宋体" w:eastAsia="宋体" w:cs="宋体"/>
          <w:color w:val="auto"/>
          <w:spacing w:val="-2"/>
          <w:sz w:val="24"/>
          <w:szCs w:val="24"/>
          <w:highlight w:val="none"/>
        </w:rPr>
        <w:t>境、地形、地貌、水文、交</w:t>
      </w:r>
      <w:r>
        <w:rPr>
          <w:rFonts w:hint="eastAsia" w:ascii="宋体" w:hAnsi="宋体" w:eastAsia="宋体" w:cs="宋体"/>
          <w:color w:val="auto"/>
          <w:spacing w:val="-1"/>
          <w:sz w:val="24"/>
          <w:szCs w:val="24"/>
          <w:highlight w:val="none"/>
        </w:rPr>
        <w:t>通等情况，以获得一切可能影响到投标的直接资料。投标人应</w:t>
      </w:r>
      <w:r>
        <w:rPr>
          <w:rFonts w:hint="eastAsia" w:ascii="宋体" w:hAnsi="宋体" w:eastAsia="宋体" w:cs="宋体"/>
          <w:color w:val="auto"/>
          <w:spacing w:val="-2"/>
          <w:sz w:val="24"/>
          <w:szCs w:val="24"/>
          <w:highlight w:val="none"/>
        </w:rPr>
        <w:t>针对现场情况编制施工</w:t>
      </w:r>
      <w:r>
        <w:rPr>
          <w:rFonts w:hint="eastAsia" w:ascii="宋体" w:hAnsi="宋体" w:eastAsia="宋体" w:cs="宋体"/>
          <w:color w:val="auto"/>
          <w:spacing w:val="-1"/>
          <w:sz w:val="24"/>
          <w:szCs w:val="24"/>
          <w:highlight w:val="none"/>
        </w:rPr>
        <w:t>组织设计，并在编制投标报价时考虑现场情况的影响。</w:t>
      </w:r>
    </w:p>
    <w:p w14:paraId="3CC853E1">
      <w:pPr>
        <w:spacing w:before="155" w:line="279" w:lineRule="auto"/>
        <w:ind w:left="10" w:right="150" w:firstLine="55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9.4  </w:t>
      </w:r>
      <w:r>
        <w:rPr>
          <w:rFonts w:hint="eastAsia" w:ascii="宋体" w:hAnsi="宋体" w:eastAsia="宋体" w:cs="宋体"/>
          <w:color w:val="auto"/>
          <w:spacing w:val="-2"/>
          <w:sz w:val="24"/>
          <w:szCs w:val="24"/>
          <w:highlight w:val="none"/>
        </w:rPr>
        <w:t>招标人向投标人提供的有关现场的数据和资料，是招标人现有的能被投标人</w:t>
      </w:r>
      <w:r>
        <w:rPr>
          <w:rFonts w:hint="eastAsia" w:ascii="宋体" w:hAnsi="宋体" w:eastAsia="宋体" w:cs="宋体"/>
          <w:color w:val="auto"/>
          <w:sz w:val="24"/>
          <w:szCs w:val="24"/>
          <w:highlight w:val="none"/>
        </w:rPr>
        <w:t>利用的资料，招标人对投标人做出的任何推论</w:t>
      </w:r>
      <w:r>
        <w:rPr>
          <w:rFonts w:hint="eastAsia" w:ascii="宋体" w:hAnsi="宋体" w:eastAsia="宋体" w:cs="宋体"/>
          <w:color w:val="auto"/>
          <w:spacing w:val="-1"/>
          <w:sz w:val="24"/>
          <w:szCs w:val="24"/>
          <w:highlight w:val="none"/>
        </w:rPr>
        <w:t>、理解和结论均不负责任。</w:t>
      </w:r>
    </w:p>
    <w:p w14:paraId="428C97DB">
      <w:pPr>
        <w:spacing w:before="154" w:line="299" w:lineRule="auto"/>
        <w:ind w:left="12" w:firstLine="55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9.5  </w:t>
      </w:r>
      <w:r>
        <w:rPr>
          <w:rFonts w:hint="eastAsia" w:ascii="宋体" w:hAnsi="宋体" w:eastAsia="宋体" w:cs="宋体"/>
          <w:color w:val="auto"/>
          <w:spacing w:val="-2"/>
          <w:sz w:val="24"/>
          <w:szCs w:val="24"/>
          <w:highlight w:val="none"/>
        </w:rPr>
        <w:t>投标人必须按照招标工程量清单及表格填报价格。项目编码、项目名称、项</w:t>
      </w:r>
      <w:r>
        <w:rPr>
          <w:rFonts w:hint="eastAsia" w:ascii="宋体" w:hAnsi="宋体" w:eastAsia="宋体" w:cs="宋体"/>
          <w:color w:val="auto"/>
          <w:spacing w:val="2"/>
          <w:sz w:val="24"/>
          <w:szCs w:val="24"/>
          <w:highlight w:val="none"/>
        </w:rPr>
        <w:t>目特征、计量单位、工程量必须与招标工程量清单一致。所有报价均以人</w:t>
      </w:r>
      <w:r>
        <w:rPr>
          <w:rFonts w:hint="eastAsia" w:ascii="宋体" w:hAnsi="宋体" w:eastAsia="宋体" w:cs="宋体"/>
          <w:color w:val="auto"/>
          <w:spacing w:val="1"/>
          <w:sz w:val="24"/>
          <w:szCs w:val="24"/>
          <w:highlight w:val="none"/>
        </w:rPr>
        <w:t>民币“元</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rPr>
        <w:t>为单位，并保留小数点后两位。</w:t>
      </w:r>
    </w:p>
    <w:p w14:paraId="2BD5CB95">
      <w:pPr>
        <w:spacing w:before="158" w:line="314" w:lineRule="auto"/>
        <w:ind w:left="9" w:right="150" w:firstLine="557"/>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9.6  </w:t>
      </w:r>
      <w:r>
        <w:rPr>
          <w:rFonts w:hint="eastAsia" w:ascii="宋体" w:hAnsi="宋体" w:eastAsia="宋体" w:cs="宋体"/>
          <w:color w:val="auto"/>
          <w:spacing w:val="-2"/>
          <w:sz w:val="24"/>
          <w:szCs w:val="24"/>
          <w:highlight w:val="none"/>
        </w:rPr>
        <w:t>投标人只允许有一个投标总价。投标总价必须同时用大、小写表示，大、小</w:t>
      </w:r>
      <w:r>
        <w:rPr>
          <w:rFonts w:hint="eastAsia" w:ascii="宋体" w:hAnsi="宋体" w:eastAsia="宋体" w:cs="宋体"/>
          <w:color w:val="auto"/>
          <w:spacing w:val="-1"/>
          <w:sz w:val="24"/>
          <w:szCs w:val="24"/>
          <w:highlight w:val="none"/>
        </w:rPr>
        <w:t>写报价应保持一致，若不一致，以大写报价为准。招标工程量</w:t>
      </w:r>
      <w:r>
        <w:rPr>
          <w:rFonts w:hint="eastAsia" w:ascii="宋体" w:hAnsi="宋体" w:eastAsia="宋体" w:cs="宋体"/>
          <w:color w:val="auto"/>
          <w:spacing w:val="-2"/>
          <w:sz w:val="24"/>
          <w:szCs w:val="24"/>
          <w:highlight w:val="none"/>
        </w:rPr>
        <w:t>清单与计价表中列明的</w:t>
      </w:r>
      <w:r>
        <w:rPr>
          <w:rFonts w:hint="eastAsia" w:ascii="宋体" w:hAnsi="宋体" w:eastAsia="宋体" w:cs="宋体"/>
          <w:color w:val="auto"/>
          <w:spacing w:val="-1"/>
          <w:sz w:val="24"/>
          <w:szCs w:val="24"/>
          <w:highlight w:val="none"/>
        </w:rPr>
        <w:t>所有需要填写单价和合价的项目，投标人均应填写且只允许有</w:t>
      </w:r>
      <w:r>
        <w:rPr>
          <w:rFonts w:hint="eastAsia" w:ascii="宋体" w:hAnsi="宋体" w:eastAsia="宋体" w:cs="宋体"/>
          <w:color w:val="auto"/>
          <w:spacing w:val="-2"/>
          <w:sz w:val="24"/>
          <w:szCs w:val="24"/>
          <w:highlight w:val="none"/>
        </w:rPr>
        <w:t>一个报价。未填写单价</w:t>
      </w:r>
      <w:r>
        <w:rPr>
          <w:rFonts w:hint="eastAsia" w:ascii="宋体" w:hAnsi="宋体" w:eastAsia="宋体" w:cs="宋体"/>
          <w:color w:val="auto"/>
          <w:spacing w:val="-1"/>
          <w:sz w:val="24"/>
          <w:szCs w:val="24"/>
          <w:highlight w:val="none"/>
        </w:rPr>
        <w:t>和合价的项目，视为此项费用已包含在已标价工程量清单其他</w:t>
      </w:r>
      <w:r>
        <w:rPr>
          <w:rFonts w:hint="eastAsia" w:ascii="宋体" w:hAnsi="宋体" w:eastAsia="宋体" w:cs="宋体"/>
          <w:color w:val="auto"/>
          <w:spacing w:val="-2"/>
          <w:sz w:val="24"/>
          <w:szCs w:val="24"/>
          <w:highlight w:val="none"/>
        </w:rPr>
        <w:t>项目的单价和合价中，</w:t>
      </w:r>
      <w:r>
        <w:rPr>
          <w:rFonts w:hint="eastAsia" w:ascii="宋体" w:hAnsi="宋体" w:eastAsia="宋体" w:cs="宋体"/>
          <w:color w:val="auto"/>
          <w:spacing w:val="-1"/>
          <w:sz w:val="24"/>
          <w:szCs w:val="24"/>
          <w:highlight w:val="none"/>
        </w:rPr>
        <w:t>竣工结算时不得重新组价和调整。</w:t>
      </w:r>
    </w:p>
    <w:p w14:paraId="029B3C3E">
      <w:pPr>
        <w:spacing w:before="152" w:line="309" w:lineRule="auto"/>
        <w:ind w:left="7" w:right="120" w:firstLine="480"/>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z w:val="24"/>
          <w:szCs w:val="24"/>
          <w:highlight w:val="none"/>
        </w:rPr>
        <w:t xml:space="preserve">9.7  </w:t>
      </w:r>
      <w:r>
        <w:rPr>
          <w:rFonts w:hint="eastAsia" w:ascii="宋体" w:hAnsi="宋体" w:eastAsia="宋体" w:cs="宋体"/>
          <w:color w:val="auto"/>
          <w:sz w:val="24"/>
          <w:szCs w:val="24"/>
          <w:highlight w:val="none"/>
        </w:rPr>
        <w:t>投标人的投标总价不得高于</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color w:val="auto"/>
          <w:sz w:val="24"/>
          <w:szCs w:val="24"/>
          <w:highlight w:val="none"/>
        </w:rPr>
        <w:t>，也不得低于工程成本。投标人对</w:t>
      </w:r>
      <w:r>
        <w:rPr>
          <w:rFonts w:hint="eastAsia" w:ascii="宋体" w:hAnsi="宋体" w:eastAsia="宋体" w:cs="宋体"/>
          <w:color w:val="auto"/>
          <w:spacing w:val="-1"/>
          <w:sz w:val="24"/>
          <w:szCs w:val="24"/>
          <w:highlight w:val="none"/>
        </w:rPr>
        <w:t>投标总价的所有优惠（降价、让利等</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1"/>
          <w:sz w:val="24"/>
          <w:szCs w:val="24"/>
          <w:highlight w:val="none"/>
        </w:rPr>
        <w:t>均应当反映在具体清单项目或其综合</w:t>
      </w:r>
      <w:r>
        <w:rPr>
          <w:rFonts w:hint="eastAsia" w:ascii="宋体" w:hAnsi="宋体" w:eastAsia="宋体" w:cs="宋体"/>
          <w:color w:val="auto"/>
          <w:spacing w:val="-2"/>
          <w:sz w:val="24"/>
          <w:szCs w:val="24"/>
          <w:highlight w:val="none"/>
        </w:rPr>
        <w:t>单价的</w:t>
      </w:r>
      <w:r>
        <w:rPr>
          <w:rFonts w:hint="eastAsia" w:ascii="宋体" w:hAnsi="宋体" w:eastAsia="宋体" w:cs="宋体"/>
          <w:color w:val="auto"/>
          <w:spacing w:val="1"/>
          <w:sz w:val="24"/>
          <w:szCs w:val="24"/>
          <w:highlight w:val="none"/>
        </w:rPr>
        <w:t>报价上。</w:t>
      </w:r>
      <w:r>
        <w:rPr>
          <w:rFonts w:hint="eastAsia" w:ascii="宋体" w:hAnsi="宋体" w:eastAsia="宋体" w:cs="宋体"/>
          <w:b/>
          <w:bCs/>
          <w:color w:val="auto"/>
          <w:spacing w:val="1"/>
          <w:sz w:val="24"/>
          <w:szCs w:val="24"/>
          <w:highlight w:val="none"/>
        </w:rPr>
        <w:t>如果投标人的投标总价下浮率高于</w:t>
      </w:r>
      <w:r>
        <w:rPr>
          <w:rFonts w:hint="eastAsia" w:ascii="宋体" w:hAnsi="宋体" w:eastAsia="宋体" w:cs="宋体"/>
          <w:color w:val="auto"/>
          <w:spacing w:val="-40"/>
          <w:sz w:val="24"/>
          <w:szCs w:val="24"/>
          <w:highlight w:val="none"/>
        </w:rPr>
        <w:t xml:space="preserve"> </w:t>
      </w:r>
      <w:r>
        <w:rPr>
          <w:rFonts w:hint="eastAsia" w:ascii="宋体" w:hAnsi="宋体" w:eastAsia="宋体" w:cs="宋体"/>
          <w:b/>
          <w:bCs/>
          <w:color w:val="auto"/>
          <w:spacing w:val="1"/>
          <w:sz w:val="24"/>
          <w:szCs w:val="24"/>
          <w:highlight w:val="none"/>
        </w:rPr>
        <w:t>15%时，投标人必须在投标文件中专项</w:t>
      </w:r>
      <w:r>
        <w:rPr>
          <w:rFonts w:hint="eastAsia" w:ascii="宋体" w:hAnsi="宋体" w:eastAsia="宋体" w:cs="宋体"/>
          <w:b/>
          <w:bCs/>
          <w:color w:val="auto"/>
          <w:spacing w:val="-3"/>
          <w:sz w:val="24"/>
          <w:szCs w:val="24"/>
          <w:highlight w:val="none"/>
        </w:rPr>
        <w:t>作出详细合理的书面说明并提供以往类似工程详细成本分析报告供评标委员会审查。</w:t>
      </w:r>
    </w:p>
    <w:p w14:paraId="0A95A81C">
      <w:pPr>
        <w:outlineLvl w:val="9"/>
        <w:rPr>
          <w:rFonts w:hint="eastAsia" w:ascii="宋体" w:hAnsi="宋体" w:eastAsia="宋体" w:cs="宋体"/>
          <w:color w:val="auto"/>
          <w:highlight w:val="none"/>
          <w:lang w:eastAsia="zh-CN"/>
        </w:rPr>
      </w:pPr>
      <w:r>
        <w:rPr>
          <w:rFonts w:hint="eastAsia" w:ascii="宋体" w:hAnsi="宋体" w:eastAsia="宋体" w:cs="宋体"/>
          <w:b/>
          <w:bCs/>
          <w:color w:val="auto"/>
          <w:spacing w:val="-3"/>
          <w:sz w:val="24"/>
          <w:szCs w:val="24"/>
          <w:highlight w:val="none"/>
          <w:lang w:eastAsia="zh-CN"/>
        </w:rPr>
        <w:t>投标总价下浮率=（1-投标总价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最高投标限价）</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eastAsia="zh-CN"/>
        </w:rPr>
        <w:t>100%</w:t>
      </w:r>
    </w:p>
    <w:p w14:paraId="5E9F36E8">
      <w:pPr>
        <w:spacing w:before="146" w:line="325" w:lineRule="auto"/>
        <w:ind w:left="29" w:right="153" w:firstLine="458"/>
        <w:rPr>
          <w:rFonts w:hint="eastAsia" w:ascii="宋体" w:hAnsi="宋体" w:eastAsia="宋体" w:cs="宋体"/>
          <w:b/>
          <w:bCs/>
          <w:color w:val="auto"/>
          <w:highlight w:val="none"/>
        </w:rPr>
      </w:pPr>
      <w:r>
        <w:rPr>
          <w:rFonts w:hint="eastAsia" w:ascii="宋体" w:hAnsi="宋体" w:eastAsia="宋体" w:cs="宋体"/>
          <w:b/>
          <w:bCs/>
          <w:color w:val="auto"/>
          <w:sz w:val="24"/>
          <w:szCs w:val="24"/>
          <w:highlight w:val="none"/>
        </w:rPr>
        <w:t>9.8  投标人的安全生产措施费报价必须达到或超过</w:t>
      </w:r>
      <w:r>
        <w:rPr>
          <w:rFonts w:hint="eastAsia" w:ascii="宋体" w:hAnsi="宋体" w:eastAsia="宋体" w:cs="宋体"/>
          <w:b/>
          <w:bCs/>
          <w:color w:val="auto"/>
          <w:sz w:val="24"/>
          <w:szCs w:val="24"/>
          <w:highlight w:val="none"/>
          <w:lang w:val="en-US" w:eastAsia="zh-CN"/>
        </w:rPr>
        <w:t>最高投标限价</w:t>
      </w:r>
      <w:r>
        <w:rPr>
          <w:rFonts w:hint="eastAsia" w:ascii="宋体" w:hAnsi="宋体" w:eastAsia="宋体" w:cs="宋体"/>
          <w:b/>
          <w:bCs/>
          <w:color w:val="auto"/>
          <w:sz w:val="24"/>
          <w:szCs w:val="24"/>
          <w:highlight w:val="none"/>
        </w:rPr>
        <w:t>中</w:t>
      </w:r>
      <w:r>
        <w:rPr>
          <w:rFonts w:hint="eastAsia" w:ascii="宋体" w:hAnsi="宋体" w:eastAsia="宋体" w:cs="宋体"/>
          <w:b/>
          <w:bCs/>
          <w:color w:val="auto"/>
          <w:spacing w:val="-1"/>
          <w:sz w:val="24"/>
          <w:szCs w:val="24"/>
          <w:highlight w:val="none"/>
        </w:rPr>
        <w:t>提供</w:t>
      </w:r>
      <w:r>
        <w:rPr>
          <w:rFonts w:hint="eastAsia" w:ascii="宋体" w:hAnsi="宋体" w:eastAsia="宋体" w:cs="宋体"/>
          <w:b/>
          <w:bCs/>
          <w:color w:val="auto"/>
          <w:spacing w:val="-3"/>
          <w:sz w:val="24"/>
          <w:szCs w:val="24"/>
          <w:highlight w:val="none"/>
        </w:rPr>
        <w:t>的安全生产措施费。</w:t>
      </w:r>
    </w:p>
    <w:p w14:paraId="5C6ABF7B">
      <w:pPr>
        <w:spacing w:before="78" w:line="309" w:lineRule="auto"/>
        <w:ind w:right="99"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9.9  </w:t>
      </w:r>
      <w:r>
        <w:rPr>
          <w:rFonts w:hint="eastAsia" w:ascii="宋体" w:hAnsi="宋体" w:eastAsia="宋体" w:cs="宋体"/>
          <w:color w:val="auto"/>
          <w:sz w:val="24"/>
          <w:szCs w:val="24"/>
          <w:highlight w:val="none"/>
        </w:rPr>
        <w:t>投标人必须按照招标工程量清单中提供的暂列金额和暂估价统一报价。投标</w:t>
      </w:r>
      <w:r>
        <w:rPr>
          <w:rFonts w:hint="eastAsia" w:ascii="宋体" w:hAnsi="宋体" w:eastAsia="宋体" w:cs="宋体"/>
          <w:color w:val="auto"/>
          <w:spacing w:val="-1"/>
          <w:sz w:val="24"/>
          <w:szCs w:val="24"/>
          <w:highlight w:val="none"/>
        </w:rPr>
        <w:t>人应充分考虑暂估价项目（或暂列金额项目）的管理和协调所发</w:t>
      </w:r>
      <w:r>
        <w:rPr>
          <w:rFonts w:hint="eastAsia" w:ascii="宋体" w:hAnsi="宋体" w:eastAsia="宋体" w:cs="宋体"/>
          <w:color w:val="auto"/>
          <w:spacing w:val="-2"/>
          <w:sz w:val="24"/>
          <w:szCs w:val="24"/>
          <w:highlight w:val="none"/>
        </w:rPr>
        <w:t>生的费用，并将其纳</w:t>
      </w:r>
      <w:r>
        <w:rPr>
          <w:rFonts w:hint="eastAsia" w:ascii="宋体" w:hAnsi="宋体" w:eastAsia="宋体" w:cs="宋体"/>
          <w:color w:val="auto"/>
          <w:spacing w:val="-1"/>
          <w:sz w:val="24"/>
          <w:szCs w:val="24"/>
          <w:highlight w:val="none"/>
        </w:rPr>
        <w:t>入已标价工程量清单中的适当项目。招标人视该项管理和协调所</w:t>
      </w:r>
      <w:r>
        <w:rPr>
          <w:rFonts w:hint="eastAsia" w:ascii="宋体" w:hAnsi="宋体" w:eastAsia="宋体" w:cs="宋体"/>
          <w:color w:val="auto"/>
          <w:spacing w:val="-2"/>
          <w:sz w:val="24"/>
          <w:szCs w:val="24"/>
          <w:highlight w:val="none"/>
        </w:rPr>
        <w:t>发生的费用已包含在</w:t>
      </w:r>
      <w:r>
        <w:rPr>
          <w:rFonts w:hint="eastAsia" w:ascii="宋体" w:hAnsi="宋体" w:eastAsia="宋体" w:cs="宋体"/>
          <w:color w:val="auto"/>
          <w:spacing w:val="-1"/>
          <w:sz w:val="24"/>
          <w:szCs w:val="24"/>
          <w:highlight w:val="none"/>
        </w:rPr>
        <w:t>其它有价款的竞争性报价内，不再另行支付。</w:t>
      </w:r>
    </w:p>
    <w:p w14:paraId="4574DACF">
      <w:pPr>
        <w:pStyle w:val="5"/>
        <w:spacing w:line="253" w:lineRule="auto"/>
        <w:ind w:firstLine="422" w:firstLineChars="200"/>
        <w:rPr>
          <w:rFonts w:hint="eastAsia" w:ascii="宋体" w:hAnsi="宋体" w:eastAsia="宋体" w:cs="宋体"/>
          <w:snapToGrid w:val="0"/>
          <w:color w:val="auto"/>
          <w:sz w:val="24"/>
          <w:szCs w:val="24"/>
          <w:highlight w:val="none"/>
          <w:lang w:val="en-US" w:eastAsia="en-US" w:bidi="ar-SA"/>
        </w:rPr>
      </w:pPr>
      <w:r>
        <w:rPr>
          <w:rFonts w:hint="eastAsia" w:ascii="宋体" w:hAnsi="宋体" w:eastAsia="宋体" w:cs="宋体"/>
          <w:b/>
          <w:bCs/>
          <w:color w:val="auto"/>
          <w:highlight w:val="none"/>
        </w:rPr>
        <w:t xml:space="preserve">9.10 </w:t>
      </w:r>
      <w:r>
        <w:rPr>
          <w:rFonts w:hint="eastAsia" w:ascii="宋体" w:hAnsi="宋体" w:eastAsia="宋体" w:cs="宋体"/>
          <w:snapToGrid w:val="0"/>
          <w:color w:val="auto"/>
          <w:sz w:val="24"/>
          <w:szCs w:val="24"/>
          <w:highlight w:val="none"/>
          <w:lang w:val="en-US" w:eastAsia="en-US" w:bidi="ar-SA"/>
        </w:rPr>
        <w:t>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20F7818E">
      <w:pPr>
        <w:spacing w:before="78" w:line="220" w:lineRule="auto"/>
        <w:ind w:left="496"/>
        <w:outlineLvl w:val="2"/>
        <w:rPr>
          <w:rFonts w:hint="eastAsia" w:ascii="宋体" w:hAnsi="宋体" w:eastAsia="宋体" w:cs="宋体"/>
          <w:color w:val="auto"/>
          <w:sz w:val="24"/>
          <w:szCs w:val="24"/>
          <w:highlight w:val="none"/>
        </w:rPr>
      </w:pPr>
      <w:bookmarkStart w:id="42" w:name="_Toc23711"/>
      <w:bookmarkStart w:id="43" w:name="_Toc16322"/>
      <w:r>
        <w:rPr>
          <w:rFonts w:hint="eastAsia" w:ascii="宋体" w:hAnsi="宋体" w:eastAsia="宋体" w:cs="宋体"/>
          <w:b/>
          <w:bCs/>
          <w:color w:val="auto"/>
          <w:spacing w:val="-6"/>
          <w:sz w:val="24"/>
          <w:szCs w:val="24"/>
          <w:highlight w:val="none"/>
        </w:rPr>
        <w:t>10</w:t>
      </w:r>
      <w:r>
        <w:rPr>
          <w:rFonts w:hint="eastAsia" w:ascii="宋体" w:hAnsi="宋体" w:eastAsia="宋体" w:cs="宋体"/>
          <w:b/>
          <w:bCs/>
          <w:color w:val="auto"/>
          <w:spacing w:val="-21"/>
          <w:sz w:val="24"/>
          <w:szCs w:val="24"/>
          <w:highlight w:val="none"/>
        </w:rPr>
        <w:t xml:space="preserve"> </w:t>
      </w:r>
      <w:r>
        <w:rPr>
          <w:rFonts w:hint="eastAsia" w:ascii="宋体" w:hAnsi="宋体" w:eastAsia="宋体" w:cs="宋体"/>
          <w:b/>
          <w:bCs/>
          <w:color w:val="auto"/>
          <w:spacing w:val="-6"/>
          <w:sz w:val="24"/>
          <w:szCs w:val="24"/>
          <w:highlight w:val="none"/>
        </w:rPr>
        <w:t>．投标文件的编制要求</w:t>
      </w:r>
      <w:bookmarkEnd w:id="42"/>
      <w:bookmarkEnd w:id="43"/>
    </w:p>
    <w:p w14:paraId="4C719819">
      <w:pPr>
        <w:spacing w:before="152" w:line="222" w:lineRule="auto"/>
        <w:ind w:left="496"/>
        <w:outlineLvl w:val="3"/>
        <w:rPr>
          <w:rFonts w:hint="eastAsia" w:ascii="宋体" w:hAnsi="宋体" w:eastAsia="宋体" w:cs="宋体"/>
          <w:color w:val="auto"/>
          <w:sz w:val="24"/>
          <w:szCs w:val="24"/>
          <w:highlight w:val="none"/>
        </w:rPr>
      </w:pPr>
      <w:bookmarkStart w:id="44" w:name="_Toc20590"/>
      <w:bookmarkStart w:id="45" w:name="_Toc22937"/>
      <w:r>
        <w:rPr>
          <w:rFonts w:hint="eastAsia" w:ascii="宋体" w:hAnsi="宋体" w:eastAsia="宋体" w:cs="宋体"/>
          <w:b/>
          <w:bCs/>
          <w:color w:val="auto"/>
          <w:spacing w:val="-4"/>
          <w:sz w:val="24"/>
          <w:szCs w:val="24"/>
          <w:highlight w:val="none"/>
        </w:rPr>
        <w:t>10.1</w:t>
      </w:r>
      <w:r>
        <w:rPr>
          <w:rFonts w:hint="eastAsia" w:ascii="宋体" w:hAnsi="宋体" w:eastAsia="宋体" w:cs="宋体"/>
          <w:b/>
          <w:bCs/>
          <w:color w:val="auto"/>
          <w:spacing w:val="7"/>
          <w:sz w:val="24"/>
          <w:szCs w:val="24"/>
          <w:highlight w:val="none"/>
        </w:rPr>
        <w:t xml:space="preserve">  </w:t>
      </w:r>
      <w:r>
        <w:rPr>
          <w:rFonts w:hint="eastAsia" w:ascii="宋体" w:hAnsi="宋体" w:eastAsia="宋体" w:cs="宋体"/>
          <w:color w:val="auto"/>
          <w:spacing w:val="-4"/>
          <w:sz w:val="24"/>
          <w:szCs w:val="24"/>
          <w:highlight w:val="none"/>
        </w:rPr>
        <w:t>一般要求</w:t>
      </w:r>
      <w:bookmarkEnd w:id="44"/>
      <w:bookmarkEnd w:id="45"/>
    </w:p>
    <w:p w14:paraId="27321D71">
      <w:pPr>
        <w:spacing w:before="118" w:line="295" w:lineRule="auto"/>
        <w:ind w:left="11" w:right="99"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投标文件应按第六章投标文件格式规定的内容，投标人提交的投标文件应当使</w:t>
      </w:r>
      <w:r>
        <w:rPr>
          <w:rFonts w:hint="eastAsia" w:ascii="宋体" w:hAnsi="宋体" w:eastAsia="宋体" w:cs="宋体"/>
          <w:color w:val="auto"/>
          <w:spacing w:val="-1"/>
          <w:sz w:val="24"/>
          <w:szCs w:val="24"/>
          <w:highlight w:val="none"/>
        </w:rPr>
        <w:t>用招标文件所提供的投标文件全部格式。</w:t>
      </w:r>
    </w:p>
    <w:p w14:paraId="3DD2CA9E">
      <w:pPr>
        <w:spacing w:before="68" w:line="299" w:lineRule="auto"/>
        <w:ind w:left="11" w:right="99" w:firstLine="563"/>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10.1.1  </w:t>
      </w:r>
      <w:r>
        <w:rPr>
          <w:rFonts w:hint="eastAsia" w:ascii="宋体" w:hAnsi="宋体" w:eastAsia="宋体" w:cs="宋体"/>
          <w:color w:val="auto"/>
          <w:spacing w:val="-3"/>
          <w:sz w:val="24"/>
          <w:szCs w:val="24"/>
          <w:highlight w:val="none"/>
        </w:rPr>
        <w:t>投标人必须响应招标文件，并在充分理解招</w:t>
      </w:r>
      <w:r>
        <w:rPr>
          <w:rFonts w:hint="eastAsia" w:ascii="宋体" w:hAnsi="宋体" w:eastAsia="宋体" w:cs="宋体"/>
          <w:color w:val="auto"/>
          <w:spacing w:val="-4"/>
          <w:sz w:val="24"/>
          <w:szCs w:val="24"/>
          <w:highlight w:val="none"/>
        </w:rPr>
        <w:t>标人提供的全部文件、设计图</w:t>
      </w:r>
      <w:r>
        <w:rPr>
          <w:rFonts w:hint="eastAsia" w:ascii="宋体" w:hAnsi="宋体" w:eastAsia="宋体" w:cs="宋体"/>
          <w:color w:val="auto"/>
          <w:spacing w:val="-1"/>
          <w:sz w:val="24"/>
          <w:szCs w:val="24"/>
          <w:highlight w:val="none"/>
        </w:rPr>
        <w:t>纸、资料及现场条件的基础上编制投标文件。因投标文件</w:t>
      </w:r>
      <w:r>
        <w:rPr>
          <w:rFonts w:hint="eastAsia" w:ascii="宋体" w:hAnsi="宋体" w:eastAsia="宋体" w:cs="宋体"/>
          <w:color w:val="auto"/>
          <w:spacing w:val="-2"/>
          <w:sz w:val="24"/>
          <w:szCs w:val="24"/>
          <w:highlight w:val="none"/>
        </w:rPr>
        <w:t>不符合招标文件的要求而造</w:t>
      </w:r>
      <w:r>
        <w:rPr>
          <w:rFonts w:hint="eastAsia" w:ascii="宋体" w:hAnsi="宋体" w:eastAsia="宋体" w:cs="宋体"/>
          <w:color w:val="auto"/>
          <w:spacing w:val="-1"/>
          <w:sz w:val="24"/>
          <w:szCs w:val="24"/>
          <w:highlight w:val="none"/>
        </w:rPr>
        <w:t>成的损失和后果，由投标人自行承担。</w:t>
      </w:r>
    </w:p>
    <w:p w14:paraId="057155C1">
      <w:pPr>
        <w:spacing w:before="123" w:line="290" w:lineRule="auto"/>
        <w:ind w:left="8" w:firstLine="566"/>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10.1.2  投标文件包括商务标书、经济标书、施工组织设计和定标文件四个分册，</w:t>
      </w:r>
      <w:r>
        <w:rPr>
          <w:rFonts w:hint="eastAsia" w:ascii="宋体" w:hAnsi="宋体" w:eastAsia="宋体" w:cs="宋体"/>
          <w:color w:val="auto"/>
          <w:spacing w:val="-3"/>
          <w:sz w:val="24"/>
          <w:szCs w:val="24"/>
          <w:highlight w:val="none"/>
        </w:rPr>
        <w:t>投标文件全部采用电子文档，投标文件所附</w:t>
      </w:r>
      <w:r>
        <w:rPr>
          <w:rFonts w:hint="eastAsia" w:ascii="宋体" w:hAnsi="宋体" w:eastAsia="宋体" w:cs="宋体"/>
          <w:color w:val="auto"/>
          <w:spacing w:val="-4"/>
          <w:sz w:val="24"/>
          <w:szCs w:val="24"/>
          <w:highlight w:val="none"/>
        </w:rPr>
        <w:t>证书证件均为原件扫描件，并</w:t>
      </w:r>
      <w:r>
        <w:rPr>
          <w:rFonts w:hint="eastAsia" w:ascii="宋体" w:hAnsi="宋体" w:eastAsia="宋体" w:cs="宋体"/>
          <w:color w:val="auto"/>
          <w:spacing w:val="-1"/>
          <w:sz w:val="24"/>
          <w:szCs w:val="24"/>
          <w:highlight w:val="none"/>
        </w:rPr>
        <w:t>采用单位数字证书，按招标文件要求在相应位置加盖电子印章。</w:t>
      </w:r>
      <w:r>
        <w:rPr>
          <w:rFonts w:hint="eastAsia" w:ascii="宋体" w:hAnsi="宋体" w:eastAsia="宋体" w:cs="宋体"/>
          <w:color w:val="auto"/>
          <w:spacing w:val="-2"/>
          <w:sz w:val="24"/>
          <w:szCs w:val="24"/>
          <w:highlight w:val="none"/>
        </w:rPr>
        <w:t>投标文件中需个人签</w:t>
      </w:r>
      <w:r>
        <w:rPr>
          <w:rFonts w:hint="eastAsia" w:ascii="宋体" w:hAnsi="宋体" w:eastAsia="宋体" w:cs="宋体"/>
          <w:color w:val="auto"/>
          <w:spacing w:val="-1"/>
          <w:sz w:val="24"/>
          <w:szCs w:val="24"/>
          <w:highlight w:val="none"/>
        </w:rPr>
        <w:t>字或盖章的，应加盖个人电子印章或在线下完成后扫描上传。按</w:t>
      </w:r>
      <w:r>
        <w:rPr>
          <w:rFonts w:hint="eastAsia" w:ascii="宋体" w:hAnsi="宋体" w:eastAsia="宋体" w:cs="宋体"/>
          <w:color w:val="auto"/>
          <w:spacing w:val="-2"/>
          <w:sz w:val="24"/>
          <w:szCs w:val="24"/>
          <w:highlight w:val="none"/>
        </w:rPr>
        <w:t>照交易平台关于全流</w:t>
      </w:r>
      <w:r>
        <w:rPr>
          <w:rFonts w:hint="eastAsia" w:ascii="宋体" w:hAnsi="宋体" w:eastAsia="宋体" w:cs="宋体"/>
          <w:color w:val="auto"/>
          <w:spacing w:val="-7"/>
          <w:sz w:val="24"/>
          <w:szCs w:val="24"/>
          <w:highlight w:val="none"/>
        </w:rPr>
        <w:t>程电子化项目的相关指南进行操作。详见：全国公共资源</w:t>
      </w:r>
      <w:r>
        <w:rPr>
          <w:rFonts w:hint="eastAsia" w:ascii="宋体" w:hAnsi="宋体" w:eastAsia="宋体" w:cs="宋体"/>
          <w:color w:val="auto"/>
          <w:spacing w:val="-8"/>
          <w:sz w:val="24"/>
          <w:szCs w:val="24"/>
          <w:highlight w:val="none"/>
        </w:rPr>
        <w:t>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8"/>
          <w:sz w:val="24"/>
          <w:szCs w:val="24"/>
          <w:highlight w:val="none"/>
        </w:rPr>
        <w:t>·韶关市）</w:t>
      </w:r>
      <w:r>
        <w:rPr>
          <w:rFonts w:hint="eastAsia" w:ascii="宋体" w:hAnsi="宋体" w:eastAsia="宋体" w:cs="宋体"/>
          <w:color w:val="auto"/>
          <w:spacing w:val="-2"/>
          <w:sz w:val="24"/>
          <w:szCs w:val="24"/>
          <w:highlight w:val="none"/>
        </w:rPr>
        <w:t>交易指引。</w:t>
      </w:r>
    </w:p>
    <w:p w14:paraId="13A74F35">
      <w:pPr>
        <w:spacing w:before="1" w:line="219" w:lineRule="auto"/>
        <w:ind w:left="57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10.1.3  </w:t>
      </w:r>
      <w:r>
        <w:rPr>
          <w:rFonts w:hint="eastAsia" w:ascii="宋体" w:hAnsi="宋体" w:eastAsia="宋体" w:cs="宋体"/>
          <w:color w:val="auto"/>
          <w:spacing w:val="-1"/>
          <w:sz w:val="24"/>
          <w:szCs w:val="24"/>
          <w:highlight w:val="none"/>
        </w:rPr>
        <w:t>投标文件需按以下要求签字、盖章：电子投标文件：</w:t>
      </w:r>
    </w:p>
    <w:p w14:paraId="2DBC6B6B">
      <w:pPr>
        <w:spacing w:before="111" w:line="279" w:lineRule="auto"/>
        <w:ind w:right="133" w:firstLine="579"/>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w:t>
      </w:r>
      <w:r>
        <w:rPr>
          <w:rFonts w:hint="eastAsia" w:ascii="宋体" w:hAnsi="宋体" w:eastAsia="宋体" w:cs="宋体"/>
          <w:color w:val="auto"/>
          <w:spacing w:val="-3"/>
          <w:sz w:val="24"/>
          <w:szCs w:val="24"/>
          <w:highlight w:val="none"/>
        </w:rPr>
        <w:t>内容中凡注明“签字</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3"/>
          <w:sz w:val="24"/>
          <w:szCs w:val="24"/>
          <w:highlight w:val="none"/>
        </w:rPr>
        <w:t>”处由要求的人员签字或电子</w:t>
      </w:r>
      <w:r>
        <w:rPr>
          <w:rFonts w:hint="eastAsia" w:ascii="宋体" w:hAnsi="宋体" w:eastAsia="宋体" w:cs="宋体"/>
          <w:color w:val="auto"/>
          <w:spacing w:val="-2"/>
          <w:sz w:val="24"/>
          <w:szCs w:val="24"/>
          <w:highlight w:val="none"/>
        </w:rPr>
        <w:t>签章；凡注明“签字或盖章</w:t>
      </w:r>
      <w:r>
        <w:rPr>
          <w:rFonts w:hint="eastAsia" w:ascii="宋体" w:hAnsi="宋体" w:eastAsia="宋体" w:cs="宋体"/>
          <w:color w:val="auto"/>
          <w:spacing w:val="-87"/>
          <w:sz w:val="24"/>
          <w:szCs w:val="24"/>
          <w:highlight w:val="none"/>
        </w:rPr>
        <w:t xml:space="preserve"> </w:t>
      </w:r>
      <w:r>
        <w:rPr>
          <w:rFonts w:hint="eastAsia" w:ascii="宋体" w:hAnsi="宋体" w:eastAsia="宋体" w:cs="宋体"/>
          <w:color w:val="auto"/>
          <w:spacing w:val="-2"/>
          <w:sz w:val="24"/>
          <w:szCs w:val="24"/>
          <w:highlight w:val="none"/>
        </w:rPr>
        <w:t>”处由要求的人员签字或盖其私章（</w:t>
      </w:r>
      <w:r>
        <w:rPr>
          <w:rFonts w:hint="eastAsia" w:ascii="宋体" w:hAnsi="宋体" w:eastAsia="宋体" w:cs="宋体"/>
          <w:color w:val="auto"/>
          <w:spacing w:val="-2"/>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rPr>
        <w:t>凡注明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“签字并盖执业印章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”处由要求的人员签字并盖其执业印</w:t>
      </w:r>
      <w:r>
        <w:rPr>
          <w:rFonts w:hint="eastAsia" w:ascii="宋体" w:hAnsi="宋体" w:eastAsia="宋体" w:cs="宋体"/>
          <w:color w:val="auto"/>
          <w:spacing w:val="-2"/>
          <w:sz w:val="24"/>
          <w:szCs w:val="24"/>
          <w:highlight w:val="none"/>
        </w:rPr>
        <w:t>章。</w:t>
      </w:r>
    </w:p>
    <w:p w14:paraId="2324B4CD">
      <w:pPr>
        <w:spacing w:before="112" w:line="264" w:lineRule="auto"/>
        <w:ind w:left="13" w:right="133" w:firstLine="565"/>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10.1.3.2</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投标文件封面、组成内容中凡要求录入投标人名称且注明“盖单</w:t>
      </w:r>
      <w:r>
        <w:rPr>
          <w:rFonts w:hint="eastAsia" w:ascii="宋体" w:hAnsi="宋体" w:eastAsia="宋体" w:cs="宋体"/>
          <w:color w:val="auto"/>
          <w:spacing w:val="-3"/>
          <w:sz w:val="24"/>
          <w:szCs w:val="24"/>
          <w:highlight w:val="none"/>
        </w:rPr>
        <w:t>位章</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3"/>
          <w:sz w:val="24"/>
          <w:szCs w:val="24"/>
          <w:highlight w:val="none"/>
        </w:rPr>
        <w:t>”处盖单位法人公章（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w:t>
      </w:r>
    </w:p>
    <w:p w14:paraId="05343DCE">
      <w:pPr>
        <w:spacing w:before="146" w:line="279" w:lineRule="auto"/>
        <w:ind w:left="16" w:right="135" w:firstLine="562"/>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"10.1.3.3"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10.1.3.3</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投标文件的签字均为签字人本人亲笔署名或签章</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2"/>
          <w:sz w:val="24"/>
          <w:szCs w:val="24"/>
          <w:highlight w:val="none"/>
        </w:rPr>
        <w:t>电子印章</w:t>
      </w:r>
      <w:r>
        <w:rPr>
          <w:rFonts w:hint="eastAsia" w:ascii="宋体" w:hAnsi="宋体" w:eastAsia="宋体" w:cs="宋体"/>
          <w:color w:val="auto"/>
          <w:spacing w:val="-14"/>
          <w:sz w:val="24"/>
          <w:szCs w:val="24"/>
          <w:highlight w:val="none"/>
        </w:rPr>
        <w:t>），</w:t>
      </w:r>
      <w:r>
        <w:rPr>
          <w:rFonts w:hint="eastAsia" w:ascii="宋体" w:hAnsi="宋体" w:eastAsia="宋体" w:cs="宋体"/>
          <w:color w:val="auto"/>
          <w:spacing w:val="-2"/>
          <w:sz w:val="24"/>
          <w:szCs w:val="24"/>
          <w:highlight w:val="none"/>
        </w:rPr>
        <w:t>其余部</w:t>
      </w:r>
      <w:r>
        <w:rPr>
          <w:rFonts w:hint="eastAsia" w:ascii="宋体" w:hAnsi="宋体" w:eastAsia="宋体" w:cs="宋体"/>
          <w:color w:val="auto"/>
          <w:spacing w:val="-1"/>
          <w:sz w:val="24"/>
          <w:szCs w:val="24"/>
          <w:highlight w:val="none"/>
        </w:rPr>
        <w:t>分的复印件无须另行签字、盖章。</w:t>
      </w:r>
    </w:p>
    <w:p w14:paraId="0328EA8C">
      <w:pPr>
        <w:spacing w:before="155" w:line="219" w:lineRule="auto"/>
        <w:ind w:left="0" w:leftChars="0" w:firstLine="474" w:firstLineChars="200"/>
        <w:outlineLvl w:val="3"/>
        <w:rPr>
          <w:rFonts w:hint="eastAsia" w:ascii="宋体" w:hAnsi="宋体" w:eastAsia="宋体" w:cs="宋体"/>
          <w:b w:val="0"/>
          <w:bCs w:val="0"/>
          <w:color w:val="auto"/>
          <w:spacing w:val="-2"/>
          <w:sz w:val="24"/>
          <w:szCs w:val="24"/>
          <w:highlight w:val="none"/>
        </w:rPr>
      </w:pPr>
      <w:bookmarkStart w:id="46" w:name="_Toc21271"/>
      <w:bookmarkStart w:id="47" w:name="_Toc20223"/>
      <w:r>
        <w:rPr>
          <w:rFonts w:hint="eastAsia" w:ascii="宋体" w:hAnsi="宋体" w:eastAsia="宋体" w:cs="宋体"/>
          <w:b/>
          <w:bCs/>
          <w:color w:val="auto"/>
          <w:spacing w:val="-2"/>
          <w:sz w:val="24"/>
          <w:szCs w:val="24"/>
          <w:highlight w:val="none"/>
        </w:rPr>
        <w:t xml:space="preserve">10.1.3.4 </w:t>
      </w:r>
      <w:r>
        <w:rPr>
          <w:rFonts w:hint="eastAsia" w:ascii="宋体" w:hAnsi="宋体" w:eastAsia="宋体" w:cs="宋体"/>
          <w:color w:val="auto"/>
          <w:spacing w:val="-3"/>
          <w:sz w:val="24"/>
          <w:szCs w:val="24"/>
          <w:highlight w:val="none"/>
        </w:rPr>
        <w:t>联合体投标的，除《联合体协议书》外，由联合体牵头人按以上要求签亲笔署名或签章（</w:t>
      </w:r>
      <w:r>
        <w:rPr>
          <w:rFonts w:hint="eastAsia" w:ascii="宋体" w:hAnsi="宋体" w:eastAsia="宋体" w:cs="宋体"/>
          <w:color w:val="auto"/>
          <w:spacing w:val="-3"/>
          <w:sz w:val="24"/>
          <w:szCs w:val="24"/>
          <w:highlight w:val="none"/>
          <w:lang w:val="en-US" w:eastAsia="zh-CN"/>
        </w:rPr>
        <w:t>含</w:t>
      </w:r>
      <w:r>
        <w:rPr>
          <w:rFonts w:hint="eastAsia" w:ascii="宋体" w:hAnsi="宋体" w:eastAsia="宋体" w:cs="宋体"/>
          <w:color w:val="auto"/>
          <w:spacing w:val="-3"/>
          <w:sz w:val="24"/>
          <w:szCs w:val="24"/>
          <w:highlight w:val="none"/>
        </w:rPr>
        <w:t>电子印章）即可。</w:t>
      </w:r>
    </w:p>
    <w:p w14:paraId="77217396">
      <w:pPr>
        <w:spacing w:before="155" w:line="219" w:lineRule="auto"/>
        <w:ind w:left="500"/>
        <w:outlineLvl w:val="3"/>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10.2  商务标书的编制要求</w:t>
      </w:r>
      <w:bookmarkEnd w:id="46"/>
      <w:bookmarkEnd w:id="47"/>
    </w:p>
    <w:p w14:paraId="3F39F9CA">
      <w:pPr>
        <w:spacing w:before="157" w:line="219" w:lineRule="auto"/>
        <w:ind w:left="581"/>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10.2.1 </w:t>
      </w:r>
      <w:r>
        <w:rPr>
          <w:rFonts w:hint="eastAsia" w:ascii="宋体" w:hAnsi="宋体" w:eastAsia="宋体" w:cs="宋体"/>
          <w:color w:val="auto"/>
          <w:spacing w:val="-1"/>
          <w:sz w:val="24"/>
          <w:szCs w:val="24"/>
          <w:highlight w:val="none"/>
        </w:rPr>
        <w:t>商务标书包括但不限于以下内容：</w:t>
      </w:r>
    </w:p>
    <w:p w14:paraId="5C1D757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2F006AC4">
      <w:pPr>
        <w:spacing w:before="153" w:line="222"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05BF4253">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（3）《投标函》（格式二</w:t>
      </w:r>
      <w:r>
        <w:rPr>
          <w:rFonts w:hint="eastAsia" w:ascii="宋体" w:hAnsi="宋体" w:eastAsia="宋体" w:cs="宋体"/>
          <w:color w:val="auto"/>
          <w:spacing w:val="1"/>
          <w:sz w:val="24"/>
          <w:szCs w:val="24"/>
          <w:highlight w:val="none"/>
        </w:rPr>
        <w:t>）；</w:t>
      </w:r>
    </w:p>
    <w:p w14:paraId="008F2B70">
      <w:pPr>
        <w:spacing w:before="153"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（4）《各项承诺一览表》（格式三</w:t>
      </w:r>
      <w:r>
        <w:rPr>
          <w:rFonts w:hint="eastAsia" w:ascii="宋体" w:hAnsi="宋体" w:eastAsia="宋体" w:cs="宋体"/>
          <w:color w:val="auto"/>
          <w:spacing w:val="5"/>
          <w:sz w:val="24"/>
          <w:szCs w:val="24"/>
          <w:highlight w:val="none"/>
        </w:rPr>
        <w:t>）；</w:t>
      </w:r>
    </w:p>
    <w:p w14:paraId="4C11F4DE">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（5）《授权委托书》（格式四</w:t>
      </w:r>
      <w:r>
        <w:rPr>
          <w:rFonts w:hint="eastAsia" w:ascii="宋体" w:hAnsi="宋体" w:eastAsia="宋体" w:cs="宋体"/>
          <w:color w:val="auto"/>
          <w:spacing w:val="3"/>
          <w:sz w:val="24"/>
          <w:szCs w:val="24"/>
          <w:highlight w:val="none"/>
        </w:rPr>
        <w:t>）；</w:t>
      </w:r>
    </w:p>
    <w:p w14:paraId="3AA824F5">
      <w:pPr>
        <w:spacing w:before="156"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（6）《法定代表人身份证明》（格式五</w:t>
      </w:r>
      <w:r>
        <w:rPr>
          <w:rFonts w:hint="eastAsia" w:ascii="宋体" w:hAnsi="宋体" w:eastAsia="宋体" w:cs="宋体"/>
          <w:color w:val="auto"/>
          <w:spacing w:val="7"/>
          <w:sz w:val="24"/>
          <w:szCs w:val="24"/>
          <w:highlight w:val="none"/>
        </w:rPr>
        <w:t>）；</w:t>
      </w:r>
    </w:p>
    <w:p w14:paraId="1349ECBD">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（7）《联合体协议书》（格式六）及所附资料；</w:t>
      </w:r>
    </w:p>
    <w:p w14:paraId="21D31AE5">
      <w:pPr>
        <w:spacing w:before="153" w:line="309" w:lineRule="auto"/>
        <w:ind w:left="13" w:right="133"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（8）投标保证缴纳证明（投标人采用投标保证金的，附建</w:t>
      </w:r>
      <w:r>
        <w:rPr>
          <w:rFonts w:hint="eastAsia" w:ascii="宋体" w:hAnsi="宋体" w:eastAsia="宋体" w:cs="宋体"/>
          <w:color w:val="auto"/>
          <w:spacing w:val="1"/>
          <w:sz w:val="24"/>
          <w:szCs w:val="24"/>
          <w:highlight w:val="none"/>
        </w:rPr>
        <w:t>设工程交易系统《缴</w:t>
      </w:r>
      <w:r>
        <w:rPr>
          <w:rFonts w:hint="eastAsia" w:ascii="宋体" w:hAnsi="宋体" w:eastAsia="宋体" w:cs="宋体"/>
          <w:color w:val="auto"/>
          <w:spacing w:val="-1"/>
          <w:sz w:val="24"/>
          <w:szCs w:val="24"/>
          <w:highlight w:val="none"/>
        </w:rPr>
        <w:t>纳投标保证金通知书》页面截图和银行转账单彩色扫描件；采</w:t>
      </w:r>
      <w:r>
        <w:rPr>
          <w:rFonts w:hint="eastAsia" w:ascii="宋体" w:hAnsi="宋体" w:eastAsia="宋体" w:cs="宋体"/>
          <w:color w:val="auto"/>
          <w:spacing w:val="-2"/>
          <w:sz w:val="24"/>
          <w:szCs w:val="24"/>
          <w:highlight w:val="none"/>
        </w:rPr>
        <w:t>用投标保证担保的，附银行保函彩色扫描件；采用投标保证保险的，附电子保单和</w:t>
      </w:r>
      <w:r>
        <w:rPr>
          <w:rFonts w:hint="eastAsia" w:ascii="宋体" w:hAnsi="宋体" w:eastAsia="宋体" w:cs="宋体"/>
          <w:b/>
          <w:bCs/>
          <w:color w:val="auto"/>
          <w:spacing w:val="-2"/>
          <w:sz w:val="24"/>
          <w:szCs w:val="24"/>
          <w:highlight w:val="none"/>
        </w:rPr>
        <w:t>《韶关市公共资源交易一</w:t>
      </w:r>
      <w:r>
        <w:rPr>
          <w:rFonts w:hint="eastAsia" w:ascii="宋体" w:hAnsi="宋体" w:eastAsia="宋体" w:cs="宋体"/>
          <w:b/>
          <w:bCs/>
          <w:color w:val="auto"/>
          <w:spacing w:val="-3"/>
          <w:sz w:val="24"/>
          <w:szCs w:val="24"/>
          <w:highlight w:val="none"/>
        </w:rPr>
        <w:t>体化平台保证金缴纳信息》页面截图</w:t>
      </w:r>
      <w:r>
        <w:rPr>
          <w:rFonts w:hint="eastAsia" w:ascii="宋体" w:hAnsi="宋体" w:eastAsia="宋体" w:cs="宋体"/>
          <w:color w:val="auto"/>
          <w:spacing w:val="4"/>
          <w:sz w:val="24"/>
          <w:szCs w:val="24"/>
          <w:highlight w:val="none"/>
        </w:rPr>
        <w:t>）；</w:t>
      </w:r>
    </w:p>
    <w:p w14:paraId="1F2864F5">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（9）《投标人基本情况表》（格式七）及所附资料；</w:t>
      </w:r>
    </w:p>
    <w:p w14:paraId="64BC752D">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（10）《项目经理简历表》（格式八）及所附资料；</w:t>
      </w:r>
    </w:p>
    <w:p w14:paraId="10819BE7">
      <w:pPr>
        <w:spacing w:before="154" w:line="220"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（11）《项目经理任职声明》（格式九</w:t>
      </w:r>
      <w:r>
        <w:rPr>
          <w:rFonts w:hint="eastAsia" w:ascii="宋体" w:hAnsi="宋体" w:eastAsia="宋体" w:cs="宋体"/>
          <w:color w:val="auto"/>
          <w:spacing w:val="7"/>
          <w:sz w:val="24"/>
          <w:szCs w:val="24"/>
          <w:highlight w:val="none"/>
        </w:rPr>
        <w:t>）；</w:t>
      </w:r>
    </w:p>
    <w:p w14:paraId="0891306A">
      <w:pPr>
        <w:spacing w:before="156"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（12）《项目技术负责人简历表》（格式十）及所附资料；</w:t>
      </w:r>
    </w:p>
    <w:p w14:paraId="60800BB4">
      <w:pPr>
        <w:spacing w:before="154"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（13）《项</w:t>
      </w:r>
      <w:bookmarkStart w:id="48" w:name="OLE_LINK7"/>
      <w:r>
        <w:rPr>
          <w:rFonts w:hint="eastAsia" w:ascii="宋体" w:hAnsi="宋体" w:eastAsia="宋体" w:cs="宋体"/>
          <w:color w:val="auto"/>
          <w:spacing w:val="-1"/>
          <w:sz w:val="24"/>
          <w:szCs w:val="24"/>
          <w:highlight w:val="none"/>
        </w:rPr>
        <w:t>目管理机构组成表》（格式十一）及</w:t>
      </w:r>
      <w:bookmarkEnd w:id="48"/>
      <w:r>
        <w:rPr>
          <w:rFonts w:hint="eastAsia" w:ascii="宋体" w:hAnsi="宋体" w:eastAsia="宋体" w:cs="宋体"/>
          <w:color w:val="auto"/>
          <w:spacing w:val="-1"/>
          <w:sz w:val="24"/>
          <w:szCs w:val="24"/>
          <w:highlight w:val="none"/>
        </w:rPr>
        <w:t>所附资料；</w:t>
      </w:r>
    </w:p>
    <w:p w14:paraId="7B74DB0B">
      <w:pPr>
        <w:spacing w:before="155" w:line="219" w:lineRule="auto"/>
        <w:ind w:left="505"/>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（14）本节第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4"/>
          <w:sz w:val="24"/>
          <w:szCs w:val="24"/>
          <w:highlight w:val="none"/>
        </w:rPr>
        <w:t>15.5.1</w:t>
      </w:r>
      <w:r>
        <w:rPr>
          <w:rFonts w:hint="eastAsia" w:ascii="宋体" w:hAnsi="宋体" w:eastAsia="宋体" w:cs="宋体"/>
          <w:color w:val="auto"/>
          <w:spacing w:val="-4"/>
          <w:sz w:val="24"/>
          <w:szCs w:val="24"/>
          <w:highlight w:val="none"/>
        </w:rPr>
        <w:t>目“评标方法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”要求提供的</w:t>
      </w:r>
      <w:r>
        <w:rPr>
          <w:rFonts w:hint="eastAsia" w:ascii="宋体" w:hAnsi="宋体" w:eastAsia="宋体" w:cs="宋体"/>
          <w:color w:val="auto"/>
          <w:spacing w:val="-5"/>
          <w:sz w:val="24"/>
          <w:szCs w:val="24"/>
          <w:highlight w:val="none"/>
        </w:rPr>
        <w:t>评审资料；</w:t>
      </w:r>
    </w:p>
    <w:p w14:paraId="4D717B1B">
      <w:pPr>
        <w:spacing w:before="78" w:line="299" w:lineRule="auto"/>
        <w:ind w:left="8" w:right="61" w:firstLine="49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（15）投标人认为有必要补充的其他资料。（例如投标人已经工商变更，但其企</w:t>
      </w:r>
      <w:r>
        <w:rPr>
          <w:rFonts w:hint="eastAsia" w:ascii="宋体" w:hAnsi="宋体" w:eastAsia="宋体" w:cs="宋体"/>
          <w:color w:val="auto"/>
          <w:spacing w:val="-1"/>
          <w:sz w:val="24"/>
          <w:szCs w:val="24"/>
          <w:highlight w:val="none"/>
        </w:rPr>
        <w:t>业资质证书、安全生产许可证或其员工执业资格注册证书上的企</w:t>
      </w:r>
      <w:r>
        <w:rPr>
          <w:rFonts w:hint="eastAsia" w:ascii="宋体" w:hAnsi="宋体" w:eastAsia="宋体" w:cs="宋体"/>
          <w:color w:val="auto"/>
          <w:spacing w:val="-2"/>
          <w:sz w:val="24"/>
          <w:szCs w:val="24"/>
          <w:highlight w:val="none"/>
        </w:rPr>
        <w:t>业名称未能在投标期</w:t>
      </w:r>
      <w:r>
        <w:rPr>
          <w:rFonts w:hint="eastAsia" w:ascii="宋体" w:hAnsi="宋体" w:eastAsia="宋体" w:cs="宋体"/>
          <w:color w:val="auto"/>
          <w:spacing w:val="-1"/>
          <w:sz w:val="24"/>
          <w:szCs w:val="24"/>
          <w:highlight w:val="none"/>
        </w:rPr>
        <w:t>间完成变更的书面说明和佐证材料等）</w:t>
      </w:r>
    </w:p>
    <w:p w14:paraId="535D0001">
      <w:pPr>
        <w:spacing w:before="155" w:line="262" w:lineRule="auto"/>
        <w:ind w:left="9" w:right="61" w:firstLine="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10.2.2  </w:t>
      </w:r>
      <w:r>
        <w:rPr>
          <w:rFonts w:hint="eastAsia" w:ascii="宋体" w:hAnsi="宋体" w:eastAsia="宋体" w:cs="宋体"/>
          <w:color w:val="auto"/>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z w:val="24"/>
          <w:szCs w:val="24"/>
          <w:highlight w:val="none"/>
        </w:rPr>
        <w:t>10.2.1</w:t>
      </w:r>
      <w:r>
        <w:rPr>
          <w:rFonts w:hint="eastAsia" w:ascii="宋体" w:hAnsi="宋体" w:eastAsia="宋体" w:cs="宋体"/>
          <w:color w:val="auto"/>
          <w:sz w:val="24"/>
          <w:szCs w:val="24"/>
          <w:highlight w:val="none"/>
        </w:rPr>
        <w:t>目中所列出的商务标书组成内容中，第（</w:t>
      </w:r>
      <w:r>
        <w:rPr>
          <w:rFonts w:hint="eastAsia" w:ascii="宋体" w:hAnsi="宋体" w:eastAsia="宋体" w:cs="宋体"/>
          <w:color w:val="auto"/>
          <w:spacing w:val="-1"/>
          <w:sz w:val="24"/>
          <w:szCs w:val="24"/>
          <w:highlight w:val="none"/>
        </w:rPr>
        <w:t>1）至第（13）项</w:t>
      </w:r>
      <w:r>
        <w:rPr>
          <w:rFonts w:hint="eastAsia" w:ascii="宋体" w:hAnsi="宋体" w:eastAsia="宋体" w:cs="宋体"/>
          <w:color w:val="auto"/>
          <w:sz w:val="24"/>
          <w:szCs w:val="24"/>
          <w:highlight w:val="none"/>
        </w:rPr>
        <w:t>所有投标人均应提供，</w:t>
      </w:r>
      <w:r>
        <w:rPr>
          <w:rFonts w:hint="eastAsia" w:ascii="宋体" w:hAnsi="宋体" w:eastAsia="宋体" w:cs="宋体"/>
          <w:b/>
          <w:bCs/>
          <w:color w:val="auto"/>
          <w:sz w:val="24"/>
          <w:szCs w:val="24"/>
          <w:highlight w:val="none"/>
        </w:rPr>
        <w:t>但非联合体投标的，</w:t>
      </w:r>
      <w:r>
        <w:rPr>
          <w:rFonts w:hint="eastAsia" w:ascii="宋体" w:hAnsi="宋体" w:eastAsia="宋体" w:cs="宋体"/>
          <w:b/>
          <w:bCs/>
          <w:color w:val="auto"/>
          <w:spacing w:val="-1"/>
          <w:sz w:val="24"/>
          <w:szCs w:val="24"/>
          <w:highlight w:val="none"/>
        </w:rPr>
        <w:t>无需提供第（7）项内容。</w:t>
      </w:r>
    </w:p>
    <w:p w14:paraId="2E952296">
      <w:pPr>
        <w:spacing w:before="199" w:line="279" w:lineRule="auto"/>
        <w:ind w:right="61"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10.2.3 </w:t>
      </w:r>
      <w:r>
        <w:rPr>
          <w:rFonts w:hint="eastAsia" w:ascii="宋体" w:hAnsi="宋体" w:eastAsia="宋体" w:cs="宋体"/>
          <w:color w:val="auto"/>
          <w:spacing w:val="-8"/>
          <w:sz w:val="24"/>
          <w:szCs w:val="24"/>
          <w:highlight w:val="none"/>
        </w:rPr>
        <w:t>商务标书的组成内容按本节第 10.2.1 目规定的顺序整理、编排后，逐页（页</w:t>
      </w:r>
      <w:r>
        <w:rPr>
          <w:rFonts w:hint="eastAsia" w:ascii="宋体" w:hAnsi="宋体" w:eastAsia="宋体" w:cs="宋体"/>
          <w:color w:val="auto"/>
          <w:spacing w:val="-1"/>
          <w:sz w:val="24"/>
          <w:szCs w:val="24"/>
          <w:highlight w:val="none"/>
        </w:rPr>
        <w:t>码起始从封面开始）连续标记页码。</w:t>
      </w:r>
    </w:p>
    <w:p w14:paraId="217F5B26">
      <w:pPr>
        <w:pStyle w:val="5"/>
        <w:spacing w:line="257" w:lineRule="auto"/>
        <w:rPr>
          <w:rFonts w:hint="eastAsia" w:ascii="宋体" w:hAnsi="宋体" w:eastAsia="宋体" w:cs="宋体"/>
          <w:color w:val="auto"/>
          <w:highlight w:val="none"/>
        </w:rPr>
      </w:pPr>
    </w:p>
    <w:p w14:paraId="69818CE4">
      <w:pPr>
        <w:spacing w:before="78" w:line="219" w:lineRule="auto"/>
        <w:ind w:left="496"/>
        <w:outlineLvl w:val="3"/>
        <w:rPr>
          <w:rFonts w:hint="eastAsia" w:ascii="宋体" w:hAnsi="宋体" w:eastAsia="宋体" w:cs="宋体"/>
          <w:b/>
          <w:bCs/>
          <w:color w:val="auto"/>
          <w:sz w:val="24"/>
          <w:szCs w:val="24"/>
          <w:highlight w:val="none"/>
        </w:rPr>
      </w:pPr>
      <w:bookmarkStart w:id="49" w:name="_Toc29370"/>
      <w:bookmarkStart w:id="50" w:name="_Toc10602"/>
      <w:r>
        <w:rPr>
          <w:rFonts w:hint="eastAsia" w:ascii="宋体" w:hAnsi="宋体" w:eastAsia="宋体" w:cs="宋体"/>
          <w:b/>
          <w:bCs/>
          <w:color w:val="auto"/>
          <w:spacing w:val="-2"/>
          <w:sz w:val="24"/>
          <w:szCs w:val="24"/>
          <w:highlight w:val="none"/>
        </w:rPr>
        <w:t>10.3  经济标书的编制要求</w:t>
      </w:r>
      <w:bookmarkEnd w:id="49"/>
      <w:bookmarkEnd w:id="50"/>
    </w:p>
    <w:p w14:paraId="60C387BC">
      <w:pPr>
        <w:spacing w:before="154"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10.3.1  </w:t>
      </w:r>
      <w:r>
        <w:rPr>
          <w:rFonts w:hint="eastAsia" w:ascii="宋体" w:hAnsi="宋体" w:eastAsia="宋体" w:cs="宋体"/>
          <w:color w:val="auto"/>
          <w:spacing w:val="-1"/>
          <w:sz w:val="24"/>
          <w:szCs w:val="24"/>
          <w:highlight w:val="none"/>
        </w:rPr>
        <w:t>经济标书包括以下内容：</w:t>
      </w:r>
    </w:p>
    <w:p w14:paraId="268DB103">
      <w:pPr>
        <w:spacing w:before="156"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0F8FF75">
      <w:pPr>
        <w:spacing w:before="153"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4A81E499">
      <w:pPr>
        <w:spacing w:before="150"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（3）《投标总价》（即表</w:t>
      </w:r>
      <w:r>
        <w:rPr>
          <w:rFonts w:hint="eastAsia" w:ascii="宋体" w:hAnsi="宋体" w:eastAsia="宋体" w:cs="宋体"/>
          <w:color w:val="auto"/>
          <w:spacing w:val="-3"/>
          <w:sz w:val="24"/>
          <w:szCs w:val="24"/>
          <w:highlight w:val="none"/>
          <w:lang w:val="en-US" w:eastAsia="zh-CN"/>
        </w:rPr>
        <w:t>B.3.1</w:t>
      </w:r>
      <w:r>
        <w:rPr>
          <w:rFonts w:hint="eastAsia" w:ascii="宋体" w:hAnsi="宋体" w:eastAsia="宋体" w:cs="宋体"/>
          <w:color w:val="auto"/>
          <w:spacing w:val="-3"/>
          <w:sz w:val="24"/>
          <w:szCs w:val="24"/>
          <w:highlight w:val="none"/>
        </w:rPr>
        <w:t>）；</w:t>
      </w:r>
    </w:p>
    <w:p w14:paraId="47AF82C9">
      <w:pPr>
        <w:spacing w:before="157" w:line="219" w:lineRule="auto"/>
        <w:ind w:left="4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说明：《投标总价》的格式按照《建设工程工程量</w:t>
      </w:r>
      <w:r>
        <w:rPr>
          <w:rFonts w:hint="eastAsia" w:ascii="宋体" w:hAnsi="宋体" w:eastAsia="宋体" w:cs="宋体"/>
          <w:color w:val="auto"/>
          <w:spacing w:val="-1"/>
          <w:sz w:val="24"/>
          <w:szCs w:val="24"/>
          <w:highlight w:val="none"/>
        </w:rPr>
        <w:t>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w:t>
      </w:r>
    </w:p>
    <w:p w14:paraId="00EB23A8">
      <w:pPr>
        <w:spacing w:before="155" w:line="220" w:lineRule="auto"/>
        <w:ind w:left="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）执行，并应满足以下要求：</w:t>
      </w:r>
    </w:p>
    <w:p w14:paraId="606CB525">
      <w:pPr>
        <w:spacing w:before="150" w:line="309" w:lineRule="auto"/>
        <w:ind w:left="8"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a</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color w:val="auto"/>
          <w:spacing w:val="-2"/>
          <w:sz w:val="24"/>
          <w:szCs w:val="24"/>
          <w:highlight w:val="none"/>
        </w:rPr>
        <w:t>．《投标总价扉页》（即表</w:t>
      </w:r>
      <w:r>
        <w:rPr>
          <w:rFonts w:hint="eastAsia" w:ascii="宋体" w:hAnsi="宋体" w:eastAsia="宋体" w:cs="宋体"/>
          <w:color w:val="auto"/>
          <w:spacing w:val="-2"/>
          <w:sz w:val="24"/>
          <w:szCs w:val="24"/>
          <w:highlight w:val="none"/>
          <w:lang w:val="en-US" w:eastAsia="zh-CN"/>
        </w:rPr>
        <w:t>C.3.1</w:t>
      </w:r>
      <w:r>
        <w:rPr>
          <w:rFonts w:hint="eastAsia" w:ascii="宋体" w:hAnsi="宋体" w:eastAsia="宋体" w:cs="宋体"/>
          <w:color w:val="auto"/>
          <w:spacing w:val="-2"/>
          <w:sz w:val="24"/>
          <w:szCs w:val="24"/>
          <w:highlight w:val="none"/>
        </w:rPr>
        <w:t>）后应附编制人的造价工程师注册证书彩色扫描件（须扫描至变更注册栏，</w:t>
      </w:r>
      <w:r>
        <w:rPr>
          <w:rFonts w:hint="eastAsia" w:ascii="宋体" w:hAnsi="宋体" w:eastAsia="宋体" w:cs="宋体"/>
          <w:b/>
          <w:bCs/>
          <w:color w:val="auto"/>
          <w:spacing w:val="-2"/>
          <w:sz w:val="24"/>
          <w:szCs w:val="24"/>
          <w:highlight w:val="none"/>
        </w:rPr>
        <w:t>一级造价师或二级造价师均可提供电子证书</w:t>
      </w:r>
      <w:r>
        <w:rPr>
          <w:rFonts w:hint="eastAsia" w:ascii="宋体" w:hAnsi="宋体" w:eastAsia="宋体" w:cs="宋体"/>
          <w:color w:val="auto"/>
          <w:spacing w:val="-2"/>
          <w:sz w:val="24"/>
          <w:szCs w:val="24"/>
          <w:highlight w:val="none"/>
        </w:rPr>
        <w:t>）；投标人委托造价咨询单位编制《投标总价》的，在该扉页“投标人 ”栏目加盖造价</w:t>
      </w:r>
      <w:r>
        <w:rPr>
          <w:rFonts w:hint="eastAsia" w:ascii="宋体" w:hAnsi="宋体" w:eastAsia="宋体" w:cs="宋体"/>
          <w:color w:val="auto"/>
          <w:spacing w:val="-7"/>
          <w:sz w:val="24"/>
          <w:szCs w:val="24"/>
          <w:highlight w:val="none"/>
        </w:rPr>
        <w:t>咨询人公章，</w:t>
      </w:r>
      <w:r>
        <w:rPr>
          <w:rFonts w:hint="eastAsia" w:ascii="宋体" w:hAnsi="宋体" w:eastAsia="宋体" w:cs="宋体"/>
          <w:color w:val="auto"/>
          <w:spacing w:val="-1"/>
          <w:sz w:val="24"/>
          <w:szCs w:val="24"/>
          <w:highlight w:val="none"/>
        </w:rPr>
        <w:t>并在该扉页后附造价咨询人的营业执照副本彩色扫描件。</w:t>
      </w:r>
    </w:p>
    <w:p w14:paraId="5E79751C">
      <w:pPr>
        <w:spacing w:before="119" w:line="314" w:lineRule="auto"/>
        <w:ind w:left="10" w:right="6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b. </w:t>
      </w:r>
      <w:r>
        <w:rPr>
          <w:rFonts w:hint="eastAsia" w:ascii="宋体" w:hAnsi="宋体" w:eastAsia="宋体" w:cs="宋体"/>
          <w:b w:val="0"/>
          <w:bCs w:val="0"/>
          <w:color w:val="auto"/>
          <w:spacing w:val="2"/>
          <w:sz w:val="24"/>
          <w:szCs w:val="24"/>
          <w:highlight w:val="none"/>
        </w:rPr>
        <w:t xml:space="preserve"> 《</w:t>
      </w:r>
      <w:r>
        <w:rPr>
          <w:rFonts w:hint="eastAsia" w:ascii="宋体" w:hAnsi="宋体" w:eastAsia="宋体" w:cs="宋体"/>
          <w:b w:val="0"/>
          <w:bCs w:val="0"/>
          <w:color w:val="auto"/>
          <w:spacing w:val="2"/>
          <w:sz w:val="24"/>
          <w:szCs w:val="24"/>
          <w:highlight w:val="none"/>
          <w:lang w:val="en-US" w:eastAsia="zh-CN"/>
        </w:rPr>
        <w:t>投标报价填报</w:t>
      </w:r>
      <w:r>
        <w:rPr>
          <w:rFonts w:hint="eastAsia" w:ascii="宋体" w:hAnsi="宋体" w:eastAsia="宋体" w:cs="宋体"/>
          <w:b w:val="0"/>
          <w:bCs w:val="0"/>
          <w:color w:val="auto"/>
          <w:spacing w:val="2"/>
          <w:sz w:val="24"/>
          <w:szCs w:val="24"/>
          <w:highlight w:val="none"/>
        </w:rPr>
        <w:t>说明》（即表</w:t>
      </w:r>
      <w:r>
        <w:rPr>
          <w:rFonts w:hint="eastAsia" w:ascii="宋体" w:hAnsi="宋体" w:eastAsia="宋体" w:cs="宋体"/>
          <w:b w:val="0"/>
          <w:bCs w:val="0"/>
          <w:color w:val="auto"/>
          <w:spacing w:val="2"/>
          <w:sz w:val="24"/>
          <w:szCs w:val="24"/>
          <w:highlight w:val="none"/>
          <w:lang w:val="en-US" w:eastAsia="zh-CN"/>
        </w:rPr>
        <w:t>D.2.1</w:t>
      </w:r>
      <w:r>
        <w:rPr>
          <w:rFonts w:hint="eastAsia" w:ascii="宋体" w:hAnsi="宋体" w:eastAsia="宋体" w:cs="宋体"/>
          <w:b w:val="0"/>
          <w:bCs w:val="0"/>
          <w:color w:val="auto"/>
          <w:spacing w:val="2"/>
          <w:sz w:val="24"/>
          <w:szCs w:val="24"/>
          <w:highlight w:val="none"/>
        </w:rPr>
        <w:t>）中的填写内容除按照《建设工程工程量清单计价标准》（GB/T50500—2024）</w:t>
      </w:r>
      <w:r>
        <w:rPr>
          <w:rFonts w:hint="eastAsia" w:ascii="宋体" w:hAnsi="宋体" w:eastAsia="宋体" w:cs="宋体"/>
          <w:b w:val="0"/>
          <w:bCs w:val="0"/>
          <w:color w:val="auto"/>
          <w:spacing w:val="2"/>
          <w:sz w:val="24"/>
          <w:szCs w:val="24"/>
          <w:highlight w:val="none"/>
          <w:lang w:val="en-US" w:eastAsia="zh-CN"/>
        </w:rPr>
        <w:t>附录D工程计价说明D.2.1款</w:t>
      </w:r>
      <w:r>
        <w:rPr>
          <w:rFonts w:hint="eastAsia" w:ascii="宋体" w:hAnsi="宋体" w:eastAsia="宋体" w:cs="宋体"/>
          <w:b w:val="0"/>
          <w:bCs w:val="0"/>
          <w:color w:val="auto"/>
          <w:spacing w:val="2"/>
          <w:sz w:val="24"/>
          <w:szCs w:val="24"/>
          <w:highlight w:val="none"/>
        </w:rPr>
        <w:t>执行外，尚应就造价软件的名称、版本、加密锁编号作出专项说明。</w:t>
      </w:r>
    </w:p>
    <w:p w14:paraId="4401C419">
      <w:pPr>
        <w:spacing w:before="99" w:line="280" w:lineRule="auto"/>
        <w:ind w:left="10" w:right="63"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10.3.2  </w:t>
      </w:r>
      <w:r>
        <w:rPr>
          <w:rFonts w:hint="eastAsia" w:ascii="宋体" w:hAnsi="宋体" w:eastAsia="宋体" w:cs="宋体"/>
          <w:color w:val="auto"/>
          <w:spacing w:val="-3"/>
          <w:sz w:val="24"/>
          <w:szCs w:val="24"/>
          <w:highlight w:val="none"/>
        </w:rPr>
        <w:t>本节第</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pacing w:val="-3"/>
          <w:sz w:val="24"/>
          <w:szCs w:val="24"/>
          <w:highlight w:val="none"/>
        </w:rPr>
        <w:t>10.3.1</w:t>
      </w:r>
      <w:r>
        <w:rPr>
          <w:rFonts w:hint="eastAsia" w:ascii="宋体" w:hAnsi="宋体" w:eastAsia="宋体" w:cs="宋体"/>
          <w:color w:val="auto"/>
          <w:spacing w:val="-3"/>
          <w:sz w:val="24"/>
          <w:szCs w:val="24"/>
          <w:highlight w:val="none"/>
        </w:rPr>
        <w:t>目中所列出的经济标书组成内容中，第（1）至第（3）项所</w:t>
      </w:r>
      <w:r>
        <w:rPr>
          <w:rFonts w:hint="eastAsia" w:ascii="宋体" w:hAnsi="宋体" w:eastAsia="宋体" w:cs="宋体"/>
          <w:color w:val="auto"/>
          <w:spacing w:val="-2"/>
          <w:sz w:val="24"/>
          <w:szCs w:val="24"/>
          <w:highlight w:val="none"/>
        </w:rPr>
        <w:t>有投标人均应提供。</w:t>
      </w:r>
    </w:p>
    <w:p w14:paraId="1CC63C36">
      <w:pPr>
        <w:spacing w:before="155" w:line="279" w:lineRule="auto"/>
        <w:ind w:left="8" w:right="61"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0"/>
          <w:sz w:val="24"/>
          <w:szCs w:val="24"/>
          <w:highlight w:val="none"/>
        </w:rPr>
        <w:t>10.3.3</w:t>
      </w:r>
      <w:r>
        <w:rPr>
          <w:rFonts w:hint="eastAsia" w:ascii="宋体" w:hAnsi="宋体" w:eastAsia="宋体" w:cs="宋体"/>
          <w:b/>
          <w:bCs/>
          <w:color w:val="auto"/>
          <w:spacing w:val="12"/>
          <w:sz w:val="24"/>
          <w:szCs w:val="24"/>
          <w:highlight w:val="none"/>
        </w:rPr>
        <w:t xml:space="preserve"> </w:t>
      </w:r>
      <w:r>
        <w:rPr>
          <w:rFonts w:hint="eastAsia" w:ascii="宋体" w:hAnsi="宋体" w:eastAsia="宋体" w:cs="宋体"/>
          <w:color w:val="auto"/>
          <w:spacing w:val="-10"/>
          <w:sz w:val="24"/>
          <w:szCs w:val="24"/>
          <w:highlight w:val="none"/>
        </w:rPr>
        <w:t>经济标书的组成内容按本节第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w:t>
      </w:r>
      <w:r>
        <w:rPr>
          <w:rFonts w:hint="eastAsia" w:ascii="宋体" w:hAnsi="宋体" w:eastAsia="宋体" w:cs="宋体"/>
          <w:color w:val="auto"/>
          <w:spacing w:val="-11"/>
          <w:sz w:val="24"/>
          <w:szCs w:val="24"/>
          <w:highlight w:val="none"/>
        </w:rPr>
        <w:t>.3.1 目规定的顺序整理、编排后，逐页（页</w:t>
      </w:r>
      <w:r>
        <w:rPr>
          <w:rFonts w:hint="eastAsia" w:ascii="宋体" w:hAnsi="宋体" w:eastAsia="宋体" w:cs="宋体"/>
          <w:color w:val="auto"/>
          <w:spacing w:val="-1"/>
          <w:sz w:val="24"/>
          <w:szCs w:val="24"/>
          <w:highlight w:val="none"/>
        </w:rPr>
        <w:t>码起始从封面开始）连续标记页码。</w:t>
      </w:r>
    </w:p>
    <w:p w14:paraId="0B1B2F50">
      <w:pPr>
        <w:spacing w:before="82" w:line="213" w:lineRule="auto"/>
        <w:ind w:left="496"/>
        <w:outlineLvl w:val="3"/>
        <w:rPr>
          <w:rFonts w:hint="eastAsia" w:ascii="宋体" w:hAnsi="宋体" w:eastAsia="宋体" w:cs="宋体"/>
          <w:b/>
          <w:bCs/>
          <w:color w:val="auto"/>
          <w:sz w:val="25"/>
          <w:szCs w:val="25"/>
          <w:highlight w:val="none"/>
        </w:rPr>
      </w:pPr>
      <w:r>
        <w:rPr>
          <w:rFonts w:hint="eastAsia" w:ascii="宋体" w:hAnsi="宋体" w:eastAsia="宋体" w:cs="宋体"/>
          <w:b/>
          <w:bCs/>
          <w:color w:val="auto"/>
          <w:spacing w:val="-3"/>
          <w:sz w:val="24"/>
          <w:szCs w:val="24"/>
          <w:highlight w:val="none"/>
        </w:rPr>
        <w:t>10.4  施工组织设计的编制要求</w:t>
      </w:r>
    </w:p>
    <w:p w14:paraId="17BD1E03">
      <w:pPr>
        <w:spacing w:before="151"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10.4.1 </w:t>
      </w:r>
      <w:r>
        <w:rPr>
          <w:rFonts w:hint="eastAsia" w:ascii="宋体" w:hAnsi="宋体" w:eastAsia="宋体" w:cs="宋体"/>
          <w:color w:val="auto"/>
          <w:spacing w:val="-1"/>
          <w:sz w:val="24"/>
          <w:szCs w:val="24"/>
          <w:highlight w:val="none"/>
        </w:rPr>
        <w:t>施工组织设计的编制依据包括且不限于：</w:t>
      </w:r>
    </w:p>
    <w:p w14:paraId="689C3E79">
      <w:pPr>
        <w:spacing w:before="156"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（1）招标文件及其答疑（或修改）公告；</w:t>
      </w:r>
    </w:p>
    <w:p w14:paraId="2DC47AC1">
      <w:pPr>
        <w:spacing w:before="155" w:line="221"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（2）施工图及相关资料；</w:t>
      </w:r>
    </w:p>
    <w:p w14:paraId="3D59EE93">
      <w:pPr>
        <w:spacing w:before="152"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（3）施工现场情况、工程特点；</w:t>
      </w:r>
    </w:p>
    <w:p w14:paraId="1648F126">
      <w:pPr>
        <w:spacing w:before="78"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（4）相关法律、法规、规定；</w:t>
      </w:r>
    </w:p>
    <w:p w14:paraId="2A7FD145">
      <w:pPr>
        <w:spacing w:before="153" w:line="299" w:lineRule="auto"/>
        <w:ind w:left="10" w:right="21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（5）国家、广东省、韶关市关于施工现场管理、施工工艺</w:t>
      </w:r>
      <w:r>
        <w:rPr>
          <w:rFonts w:hint="eastAsia" w:ascii="宋体" w:hAnsi="宋体" w:eastAsia="宋体" w:cs="宋体"/>
          <w:color w:val="auto"/>
          <w:spacing w:val="1"/>
          <w:sz w:val="24"/>
          <w:szCs w:val="24"/>
          <w:highlight w:val="none"/>
        </w:rPr>
        <w:t>、绿色施工、安全防</w:t>
      </w:r>
      <w:r>
        <w:rPr>
          <w:rFonts w:hint="eastAsia" w:ascii="宋体" w:hAnsi="宋体" w:eastAsia="宋体" w:cs="宋体"/>
          <w:color w:val="auto"/>
          <w:spacing w:val="-1"/>
          <w:sz w:val="24"/>
          <w:szCs w:val="24"/>
          <w:highlight w:val="none"/>
        </w:rPr>
        <w:t>护、文明施工、环境保护等方面的标准、规范、技术资料。</w:t>
      </w:r>
      <w:r>
        <w:rPr>
          <w:rFonts w:hint="eastAsia" w:ascii="宋体" w:hAnsi="宋体" w:eastAsia="宋体" w:cs="宋体"/>
          <w:color w:val="auto"/>
          <w:spacing w:val="-2"/>
          <w:sz w:val="24"/>
          <w:szCs w:val="24"/>
          <w:highlight w:val="none"/>
        </w:rPr>
        <w:t>如《广东省住房和城乡建</w:t>
      </w:r>
      <w:r>
        <w:rPr>
          <w:rFonts w:hint="eastAsia" w:ascii="宋体" w:hAnsi="宋体" w:eastAsia="宋体" w:cs="宋体"/>
          <w:color w:val="auto"/>
          <w:sz w:val="24"/>
          <w:szCs w:val="24"/>
          <w:highlight w:val="none"/>
        </w:rPr>
        <w:t>设厅绿色施工导则》《广东省建设工程施工扬尘污染防</w:t>
      </w:r>
      <w:r>
        <w:rPr>
          <w:rFonts w:hint="eastAsia" w:ascii="宋体" w:hAnsi="宋体" w:eastAsia="宋体" w:cs="宋体"/>
          <w:color w:val="auto"/>
          <w:spacing w:val="-1"/>
          <w:sz w:val="24"/>
          <w:szCs w:val="24"/>
          <w:highlight w:val="none"/>
        </w:rPr>
        <w:t>治管理办法（试行）》等；</w:t>
      </w:r>
    </w:p>
    <w:p w14:paraId="0414405A">
      <w:pPr>
        <w:spacing w:before="155"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（6）企业内部标准、工法。</w:t>
      </w:r>
    </w:p>
    <w:p w14:paraId="04BCFA9F">
      <w:pPr>
        <w:spacing w:before="15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10.4.2 </w:t>
      </w:r>
      <w:r>
        <w:rPr>
          <w:rFonts w:hint="eastAsia" w:ascii="宋体" w:hAnsi="宋体" w:eastAsia="宋体" w:cs="宋体"/>
          <w:color w:val="auto"/>
          <w:spacing w:val="-1"/>
          <w:sz w:val="24"/>
          <w:szCs w:val="24"/>
          <w:highlight w:val="none"/>
        </w:rPr>
        <w:t>施工组织设计包括但不限于以下内容：</w:t>
      </w:r>
    </w:p>
    <w:p w14:paraId="76C10851">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（1）封面（格式一</w:t>
      </w:r>
      <w:r>
        <w:rPr>
          <w:rFonts w:hint="eastAsia" w:ascii="宋体" w:hAnsi="宋体" w:eastAsia="宋体" w:cs="宋体"/>
          <w:color w:val="auto"/>
          <w:spacing w:val="2"/>
          <w:sz w:val="24"/>
          <w:szCs w:val="24"/>
          <w:highlight w:val="none"/>
        </w:rPr>
        <w:t>）；</w:t>
      </w:r>
    </w:p>
    <w:p w14:paraId="0A01C952">
      <w:pPr>
        <w:spacing w:before="156" w:line="222"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（2）</w:t>
      </w:r>
      <w:r>
        <w:rPr>
          <w:rFonts w:hint="eastAsia" w:ascii="宋体" w:hAnsi="宋体" w:eastAsia="宋体" w:cs="宋体"/>
          <w:color w:val="auto"/>
          <w:spacing w:val="-64"/>
          <w:sz w:val="24"/>
          <w:szCs w:val="24"/>
          <w:highlight w:val="none"/>
        </w:rPr>
        <w:t xml:space="preserve"> </w:t>
      </w:r>
      <w:r>
        <w:rPr>
          <w:rFonts w:hint="eastAsia" w:ascii="宋体" w:hAnsi="宋体" w:eastAsia="宋体" w:cs="宋体"/>
          <w:color w:val="auto"/>
          <w:spacing w:val="-13"/>
          <w:sz w:val="24"/>
          <w:szCs w:val="24"/>
          <w:highlight w:val="none"/>
        </w:rPr>
        <w:t>目录；</w:t>
      </w:r>
    </w:p>
    <w:p w14:paraId="1106CEB1">
      <w:pPr>
        <w:spacing w:before="150"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（3）总体概述（包括施工程序总体设想及施工段划分等内容</w:t>
      </w:r>
      <w:r>
        <w:rPr>
          <w:rFonts w:hint="eastAsia" w:ascii="宋体" w:hAnsi="宋体" w:eastAsia="宋体" w:cs="宋体"/>
          <w:color w:val="auto"/>
          <w:spacing w:val="2"/>
          <w:sz w:val="24"/>
          <w:szCs w:val="24"/>
          <w:highlight w:val="none"/>
        </w:rPr>
        <w:t>）；</w:t>
      </w:r>
    </w:p>
    <w:p w14:paraId="6F074A0D">
      <w:pPr>
        <w:spacing w:before="154" w:line="299" w:lineRule="auto"/>
        <w:ind w:left="9" w:right="21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（4）施工总进度计划及保证措施（包括进度管理目标；以</w:t>
      </w:r>
      <w:r>
        <w:rPr>
          <w:rFonts w:hint="eastAsia" w:ascii="宋体" w:hAnsi="宋体" w:eastAsia="宋体" w:cs="宋体"/>
          <w:color w:val="auto"/>
          <w:spacing w:val="1"/>
          <w:sz w:val="24"/>
          <w:szCs w:val="24"/>
          <w:highlight w:val="none"/>
        </w:rPr>
        <w:t>横道图或标明关键线</w:t>
      </w:r>
      <w:r>
        <w:rPr>
          <w:rFonts w:hint="eastAsia" w:ascii="宋体" w:hAnsi="宋体" w:eastAsia="宋体" w:cs="宋体"/>
          <w:color w:val="auto"/>
          <w:spacing w:val="-1"/>
          <w:sz w:val="24"/>
          <w:szCs w:val="24"/>
          <w:highlight w:val="none"/>
        </w:rPr>
        <w:t>路的网络进度计划；保障进度计划需要的人、材、机需求计划</w:t>
      </w:r>
      <w:r>
        <w:rPr>
          <w:rFonts w:hint="eastAsia" w:ascii="宋体" w:hAnsi="宋体" w:eastAsia="宋体" w:cs="宋体"/>
          <w:color w:val="auto"/>
          <w:spacing w:val="-2"/>
          <w:sz w:val="24"/>
          <w:szCs w:val="24"/>
          <w:highlight w:val="none"/>
        </w:rPr>
        <w:t>及保证措施；违约责任承诺等内容</w:t>
      </w:r>
      <w:r>
        <w:rPr>
          <w:rFonts w:hint="eastAsia" w:ascii="宋体" w:hAnsi="宋体" w:eastAsia="宋体" w:cs="宋体"/>
          <w:color w:val="auto"/>
          <w:sz w:val="24"/>
          <w:szCs w:val="24"/>
          <w:highlight w:val="none"/>
        </w:rPr>
        <w:t>）；</w:t>
      </w:r>
    </w:p>
    <w:p w14:paraId="41E9AB7A">
      <w:pPr>
        <w:spacing w:before="153" w:line="220"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（5）质量保证措施（包括质量管理目标；相应保证措施；违约责任承诺</w:t>
      </w:r>
      <w:r>
        <w:rPr>
          <w:rFonts w:hint="eastAsia" w:ascii="宋体" w:hAnsi="宋体" w:eastAsia="宋体" w:cs="宋体"/>
          <w:color w:val="auto"/>
          <w:spacing w:val="-6"/>
          <w:sz w:val="24"/>
          <w:szCs w:val="24"/>
          <w:highlight w:val="none"/>
        </w:rPr>
        <w:t>等内容</w:t>
      </w:r>
      <w:r>
        <w:rPr>
          <w:rFonts w:hint="eastAsia" w:ascii="宋体" w:hAnsi="宋体" w:eastAsia="宋体" w:cs="宋体"/>
          <w:color w:val="auto"/>
          <w:spacing w:val="-62"/>
          <w:w w:val="97"/>
          <w:sz w:val="24"/>
          <w:szCs w:val="24"/>
          <w:highlight w:val="none"/>
        </w:rPr>
        <w:t>）；</w:t>
      </w:r>
    </w:p>
    <w:p w14:paraId="2F149866">
      <w:pPr>
        <w:spacing w:before="156" w:line="279" w:lineRule="auto"/>
        <w:ind w:left="11" w:right="21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（6）施工技术措施（包括关键施工技术、工艺及工程项目</w:t>
      </w:r>
      <w:r>
        <w:rPr>
          <w:rFonts w:hint="eastAsia" w:ascii="宋体" w:hAnsi="宋体" w:eastAsia="宋体" w:cs="宋体"/>
          <w:color w:val="auto"/>
          <w:spacing w:val="1"/>
          <w:sz w:val="24"/>
          <w:szCs w:val="24"/>
          <w:highlight w:val="none"/>
        </w:rPr>
        <w:t>实施的重点、难点分</w:t>
      </w:r>
      <w:r>
        <w:rPr>
          <w:rFonts w:hint="eastAsia" w:ascii="宋体" w:hAnsi="宋体" w:eastAsia="宋体" w:cs="宋体"/>
          <w:color w:val="auto"/>
          <w:spacing w:val="-1"/>
          <w:sz w:val="24"/>
          <w:szCs w:val="24"/>
          <w:highlight w:val="none"/>
        </w:rPr>
        <w:t>析和解决方案；新技术应用与承诺等内容</w:t>
      </w:r>
      <w:r>
        <w:rPr>
          <w:rFonts w:hint="eastAsia" w:ascii="宋体" w:hAnsi="宋体" w:eastAsia="宋体" w:cs="宋体"/>
          <w:color w:val="auto"/>
          <w:spacing w:val="2"/>
          <w:sz w:val="24"/>
          <w:szCs w:val="24"/>
          <w:highlight w:val="none"/>
        </w:rPr>
        <w:t>）；</w:t>
      </w:r>
    </w:p>
    <w:p w14:paraId="63CBA42D">
      <w:pPr>
        <w:spacing w:before="118" w:line="297" w:lineRule="auto"/>
        <w:ind w:left="11" w:right="31" w:firstLine="489"/>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（7）绿色施工、安全防护、文明施工措施计划(应对建设单位组织的勘察设计等单位在施工招标文件中列出的危大工程清单(详见格式十三)进行投标文件回应，如有)</w:t>
      </w:r>
      <w:r>
        <w:rPr>
          <w:rFonts w:hint="eastAsia" w:ascii="宋体" w:hAnsi="宋体" w:eastAsia="宋体" w:cs="宋体"/>
          <w:color w:val="auto"/>
          <w:spacing w:val="-3"/>
          <w:sz w:val="24"/>
          <w:szCs w:val="24"/>
          <w:highlight w:val="none"/>
        </w:rPr>
        <w:t>；</w:t>
      </w:r>
    </w:p>
    <w:p w14:paraId="5A9ADDC5">
      <w:pPr>
        <w:spacing w:before="118" w:line="297" w:lineRule="auto"/>
        <w:ind w:left="11" w:right="31"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（8）施工现场总平面布置（</w:t>
      </w:r>
      <w:bookmarkStart w:id="51" w:name="OLE_LINK8"/>
      <w:r>
        <w:rPr>
          <w:rFonts w:hint="eastAsia" w:ascii="宋体" w:hAnsi="宋体" w:eastAsia="宋体" w:cs="宋体"/>
          <w:color w:val="auto"/>
          <w:spacing w:val="2"/>
          <w:sz w:val="24"/>
          <w:szCs w:val="24"/>
          <w:highlight w:val="none"/>
        </w:rPr>
        <w:t>投标人应递交一份施工现场总</w:t>
      </w:r>
      <w:r>
        <w:rPr>
          <w:rFonts w:hint="eastAsia" w:ascii="宋体" w:hAnsi="宋体" w:eastAsia="宋体" w:cs="宋体"/>
          <w:color w:val="auto"/>
          <w:spacing w:val="1"/>
          <w:sz w:val="24"/>
          <w:szCs w:val="24"/>
          <w:highlight w:val="none"/>
        </w:rPr>
        <w:t>平面布置图，绘出现</w:t>
      </w:r>
      <w:r>
        <w:rPr>
          <w:rFonts w:hint="eastAsia" w:ascii="宋体" w:hAnsi="宋体" w:eastAsia="宋体" w:cs="宋体"/>
          <w:color w:val="auto"/>
          <w:spacing w:val="-1"/>
          <w:sz w:val="24"/>
          <w:szCs w:val="24"/>
          <w:highlight w:val="none"/>
        </w:rPr>
        <w:t>场临时设施布置图表并附文字说明，说明临时设施、加工车间、</w:t>
      </w:r>
      <w:r>
        <w:rPr>
          <w:rFonts w:hint="eastAsia" w:ascii="宋体" w:hAnsi="宋体" w:eastAsia="宋体" w:cs="宋体"/>
          <w:color w:val="auto"/>
          <w:spacing w:val="-2"/>
          <w:sz w:val="24"/>
          <w:szCs w:val="24"/>
          <w:highlight w:val="none"/>
        </w:rPr>
        <w:t>现场办公、设备及仓</w:t>
      </w:r>
      <w:r>
        <w:rPr>
          <w:rFonts w:hint="eastAsia" w:ascii="宋体" w:hAnsi="宋体" w:eastAsia="宋体" w:cs="宋体"/>
          <w:color w:val="auto"/>
          <w:spacing w:val="-1"/>
          <w:sz w:val="24"/>
          <w:szCs w:val="24"/>
          <w:highlight w:val="none"/>
        </w:rPr>
        <w:t>储、供电、供水、卫生、生活、道路、消防等设施的情况和布置</w:t>
      </w:r>
      <w:bookmarkEnd w:id="51"/>
      <w:r>
        <w:rPr>
          <w:rFonts w:hint="eastAsia" w:ascii="宋体" w:hAnsi="宋体" w:eastAsia="宋体" w:cs="宋体"/>
          <w:color w:val="auto"/>
          <w:spacing w:val="9"/>
          <w:sz w:val="24"/>
          <w:szCs w:val="24"/>
          <w:highlight w:val="none"/>
        </w:rPr>
        <w:t>）；</w:t>
      </w:r>
    </w:p>
    <w:p w14:paraId="78B5436D">
      <w:pPr>
        <w:spacing w:before="155" w:line="219" w:lineRule="auto"/>
        <w:ind w:left="501"/>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（9）项目管理机构。</w:t>
      </w:r>
    </w:p>
    <w:p w14:paraId="00699F00">
      <w:pPr>
        <w:spacing w:before="154" w:line="280" w:lineRule="auto"/>
        <w:ind w:right="211" w:firstLine="47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（10）投标人认为有必要补充的其他内容（例如对总包管理的认识以及对专业分</w:t>
      </w:r>
      <w:r>
        <w:rPr>
          <w:rFonts w:hint="eastAsia" w:ascii="宋体" w:hAnsi="宋体" w:eastAsia="宋体" w:cs="宋体"/>
          <w:color w:val="auto"/>
          <w:spacing w:val="-1"/>
          <w:sz w:val="24"/>
          <w:szCs w:val="24"/>
          <w:highlight w:val="none"/>
        </w:rPr>
        <w:t>包工程的管理、协调、配合、服务方案）。</w:t>
      </w:r>
    </w:p>
    <w:p w14:paraId="62A7E1B8">
      <w:pPr>
        <w:spacing w:before="152" w:line="279" w:lineRule="auto"/>
        <w:ind w:right="196" w:firstLine="474"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10.4.3  </w:t>
      </w:r>
      <w:r>
        <w:rPr>
          <w:rFonts w:hint="eastAsia" w:ascii="宋体" w:hAnsi="宋体" w:eastAsia="宋体" w:cs="宋体"/>
          <w:color w:val="auto"/>
          <w:spacing w:val="-2"/>
          <w:sz w:val="24"/>
          <w:szCs w:val="24"/>
          <w:highlight w:val="none"/>
        </w:rPr>
        <w:t>本节第</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2"/>
          <w:sz w:val="24"/>
          <w:szCs w:val="24"/>
          <w:highlight w:val="none"/>
        </w:rPr>
        <w:t>10.4.2</w:t>
      </w:r>
      <w:r>
        <w:rPr>
          <w:rFonts w:hint="eastAsia" w:ascii="宋体" w:hAnsi="宋体" w:eastAsia="宋体" w:cs="宋体"/>
          <w:color w:val="auto"/>
          <w:spacing w:val="-2"/>
          <w:sz w:val="24"/>
          <w:szCs w:val="24"/>
          <w:highlight w:val="none"/>
        </w:rPr>
        <w:t>目中所列出</w:t>
      </w:r>
      <w:r>
        <w:rPr>
          <w:rFonts w:hint="eastAsia" w:ascii="宋体" w:hAnsi="宋体" w:eastAsia="宋体" w:cs="宋体"/>
          <w:color w:val="auto"/>
          <w:spacing w:val="-3"/>
          <w:sz w:val="24"/>
          <w:szCs w:val="24"/>
          <w:highlight w:val="none"/>
        </w:rPr>
        <w:t>的施工组织设计组成内容中，第（1）至第（</w:t>
      </w:r>
      <w:r>
        <w:rPr>
          <w:rFonts w:hint="eastAsia" w:ascii="宋体" w:hAnsi="宋体" w:eastAsia="宋体" w:cs="宋体"/>
          <w:color w:val="auto"/>
          <w:spacing w:val="-3"/>
          <w:sz w:val="24"/>
          <w:szCs w:val="24"/>
          <w:highlight w:val="none"/>
          <w:lang w:val="en-US" w:eastAsia="zh-CN"/>
        </w:rPr>
        <w:t>9</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
          <w:sz w:val="24"/>
          <w:szCs w:val="24"/>
          <w:highlight w:val="none"/>
        </w:rPr>
        <w:t>项所有投标人均应提供。</w:t>
      </w:r>
    </w:p>
    <w:p w14:paraId="75D954DF">
      <w:pPr>
        <w:spacing w:before="157" w:line="279" w:lineRule="auto"/>
        <w:ind w:right="211" w:firstLine="462" w:firstLineChars="200"/>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5"/>
          <w:sz w:val="24"/>
          <w:szCs w:val="24"/>
          <w:highlight w:val="none"/>
        </w:rPr>
        <w:t xml:space="preserve">10.4.4 </w:t>
      </w:r>
      <w:r>
        <w:rPr>
          <w:rFonts w:hint="eastAsia" w:ascii="宋体" w:hAnsi="宋体" w:eastAsia="宋体" w:cs="宋体"/>
          <w:color w:val="auto"/>
          <w:spacing w:val="-5"/>
          <w:sz w:val="24"/>
          <w:szCs w:val="24"/>
          <w:highlight w:val="none"/>
        </w:rPr>
        <w:t>施工组织设计的组成内容按本节第</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5"/>
          <w:sz w:val="24"/>
          <w:szCs w:val="24"/>
          <w:highlight w:val="none"/>
        </w:rPr>
        <w:t>10.4.2 目规定的顺序整理、编排后，逐</w:t>
      </w:r>
      <w:r>
        <w:rPr>
          <w:rFonts w:hint="eastAsia" w:ascii="宋体" w:hAnsi="宋体" w:eastAsia="宋体" w:cs="宋体"/>
          <w:color w:val="auto"/>
          <w:spacing w:val="-1"/>
          <w:sz w:val="24"/>
          <w:szCs w:val="24"/>
          <w:highlight w:val="none"/>
        </w:rPr>
        <w:t>页（页码起始从封面开始）连续标记页码。</w:t>
      </w:r>
    </w:p>
    <w:p w14:paraId="006B850B">
      <w:pPr>
        <w:ind w:firstLine="472"/>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b/>
          <w:bCs/>
          <w:color w:val="auto"/>
          <w:spacing w:val="-1"/>
          <w:sz w:val="24"/>
          <w:szCs w:val="24"/>
          <w:highlight w:val="none"/>
        </w:rPr>
        <w:t>10.4.5</w:t>
      </w:r>
      <w:bookmarkStart w:id="52" w:name="OLE_LINK9"/>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施工组织设计的正文不得超过</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u w:val="single"/>
          <w:lang w:val="en-US" w:eastAsia="zh-CN"/>
        </w:rPr>
        <w:t>150</w:t>
      </w:r>
      <w:r>
        <w:rPr>
          <w:rFonts w:hint="eastAsia" w:ascii="宋体" w:hAnsi="宋体" w:eastAsia="宋体" w:cs="宋体"/>
          <w:color w:val="auto"/>
          <w:spacing w:val="-1"/>
          <w:sz w:val="24"/>
          <w:szCs w:val="24"/>
          <w:highlight w:val="none"/>
          <w:u w:val="single"/>
        </w:rPr>
        <w:t xml:space="preserve"> </w:t>
      </w:r>
      <w:r>
        <w:rPr>
          <w:rFonts w:hint="eastAsia" w:ascii="宋体" w:hAnsi="宋体" w:eastAsia="宋体" w:cs="宋体"/>
          <w:color w:val="auto"/>
          <w:spacing w:val="-1"/>
          <w:sz w:val="24"/>
          <w:szCs w:val="24"/>
          <w:highlight w:val="none"/>
        </w:rPr>
        <w:t>页</w:t>
      </w:r>
      <w:r>
        <w:rPr>
          <w:rFonts w:hint="eastAsia" w:ascii="宋体" w:hAnsi="宋体" w:eastAsia="宋体" w:cs="宋体"/>
          <w:color w:val="auto"/>
          <w:spacing w:val="-1"/>
          <w:sz w:val="24"/>
          <w:szCs w:val="24"/>
          <w:highlight w:val="none"/>
          <w:lang w:eastAsia="zh-CN"/>
        </w:rPr>
        <w:t>。</w:t>
      </w:r>
      <w:bookmarkEnd w:id="52"/>
      <w:bookmarkStart w:id="53" w:name="bookmark121"/>
      <w:bookmarkEnd w:id="53"/>
    </w:p>
    <w:p w14:paraId="24AF6BAC">
      <w:pPr>
        <w:keepNext w:val="0"/>
        <w:keepLines w:val="0"/>
        <w:pageBreakBefore w:val="0"/>
        <w:widowControl w:val="0"/>
        <w:kinsoku/>
        <w:wordWrap w:val="0"/>
        <w:overflowPunct/>
        <w:topLinePunct w:val="0"/>
        <w:autoSpaceDE/>
        <w:autoSpaceDN/>
        <w:bidi w:val="0"/>
        <w:adjustRightInd/>
        <w:snapToGrid/>
        <w:spacing w:line="400" w:lineRule="exact"/>
        <w:ind w:firstLine="482" w:firstLineChars="200"/>
        <w:textAlignment w:val="baseline"/>
        <w:rPr>
          <w:rFonts w:hint="eastAsia" w:ascii="宋体" w:hAnsi="宋体" w:eastAsia="宋体" w:cs="宋体"/>
          <w:b/>
          <w:bCs/>
          <w:snapToGrid w:val="0"/>
          <w:color w:val="auto"/>
          <w:kern w:val="0"/>
          <w:sz w:val="24"/>
          <w:szCs w:val="24"/>
          <w:highlight w:val="none"/>
          <w:lang w:val="en-US" w:eastAsia="zh-CN"/>
        </w:rPr>
      </w:pPr>
      <w:bookmarkStart w:id="54" w:name="_Toc20579"/>
      <w:r>
        <w:rPr>
          <w:rFonts w:hint="eastAsia" w:ascii="宋体" w:hAnsi="宋体" w:eastAsia="宋体" w:cs="宋体"/>
          <w:b/>
          <w:bCs/>
          <w:snapToGrid w:val="0"/>
          <w:color w:val="auto"/>
          <w:kern w:val="0"/>
          <w:sz w:val="24"/>
          <w:szCs w:val="24"/>
          <w:highlight w:val="none"/>
          <w:lang w:val="en-US" w:eastAsia="zh-CN"/>
        </w:rPr>
        <w:t>10.5定标文件的编制要求：</w:t>
      </w:r>
    </w:p>
    <w:p w14:paraId="39D86431">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 xml:space="preserve">.1 </w:t>
      </w:r>
      <w:r>
        <w:rPr>
          <w:rFonts w:hint="eastAsia" w:ascii="宋体" w:hAnsi="宋体" w:eastAsia="宋体" w:cs="宋体"/>
          <w:snapToGrid w:val="0"/>
          <w:color w:val="auto"/>
          <w:kern w:val="0"/>
          <w:sz w:val="24"/>
          <w:szCs w:val="24"/>
          <w:highlight w:val="none"/>
          <w:lang w:val="en-US" w:eastAsia="zh-CN"/>
        </w:rPr>
        <w:t>定标文件</w:t>
      </w:r>
      <w:r>
        <w:rPr>
          <w:rFonts w:hint="eastAsia" w:ascii="宋体" w:hAnsi="宋体" w:eastAsia="宋体" w:cs="宋体"/>
          <w:snapToGrid w:val="0"/>
          <w:color w:val="auto"/>
          <w:kern w:val="0"/>
          <w:sz w:val="24"/>
          <w:szCs w:val="24"/>
          <w:highlight w:val="none"/>
        </w:rPr>
        <w:t>包括以下内容：</w:t>
      </w:r>
    </w:p>
    <w:p w14:paraId="588B086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default" w:ascii="宋体" w:hAnsi="宋体" w:eastAsia="宋体" w:cs="宋体"/>
          <w:snapToGrid w:val="0"/>
          <w:color w:val="auto"/>
          <w:kern w:val="0"/>
          <w:sz w:val="24"/>
          <w:szCs w:val="24"/>
          <w:highlight w:val="none"/>
          <w:lang w:val="en-US"/>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 封面（格式一）</w:t>
      </w:r>
    </w:p>
    <w:p w14:paraId="06AC0FE8">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 定标因素评审资料（格式十七）</w:t>
      </w:r>
    </w:p>
    <w:p w14:paraId="747B148E">
      <w:pPr>
        <w:keepNext w:val="0"/>
        <w:keepLines w:val="0"/>
        <w:pageBreakBefore w:val="0"/>
        <w:widowControl w:val="0"/>
        <w:kinsoku/>
        <w:wordWrap w:val="0"/>
        <w:overflowPunct/>
        <w:topLinePunct w:val="0"/>
        <w:autoSpaceDE/>
        <w:autoSpaceDN/>
        <w:bidi w:val="0"/>
        <w:adjustRightInd/>
        <w:snapToGrid/>
        <w:spacing w:line="40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 xml:space="preserve"> 本节第1</w:t>
      </w:r>
      <w:r>
        <w:rPr>
          <w:rFonts w:hint="eastAsia" w:ascii="宋体" w:hAnsi="宋体" w:eastAsia="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目中所列出的组成内容中，第（1）项所有投标人均应提供。</w:t>
      </w:r>
    </w:p>
    <w:bookmarkEnd w:id="54"/>
    <w:p w14:paraId="38C8B072">
      <w:pPr>
        <w:spacing w:before="78" w:line="221" w:lineRule="auto"/>
        <w:ind w:left="496"/>
        <w:outlineLvl w:val="2"/>
        <w:rPr>
          <w:rFonts w:hint="eastAsia" w:ascii="宋体" w:hAnsi="宋体" w:eastAsia="宋体" w:cs="宋体"/>
          <w:color w:val="auto"/>
          <w:sz w:val="24"/>
          <w:szCs w:val="24"/>
          <w:highlight w:val="none"/>
        </w:rPr>
      </w:pPr>
      <w:bookmarkStart w:id="55" w:name="_Toc10599"/>
      <w:bookmarkStart w:id="56" w:name="_Toc21936"/>
      <w:r>
        <w:rPr>
          <w:rFonts w:hint="eastAsia" w:ascii="宋体" w:hAnsi="宋体" w:eastAsia="宋体" w:cs="宋体"/>
          <w:b/>
          <w:bCs/>
          <w:color w:val="auto"/>
          <w:spacing w:val="-9"/>
          <w:sz w:val="24"/>
          <w:szCs w:val="24"/>
          <w:highlight w:val="none"/>
        </w:rPr>
        <w:t>11.</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pacing w:val="-9"/>
          <w:sz w:val="24"/>
          <w:szCs w:val="24"/>
          <w:highlight w:val="none"/>
        </w:rPr>
        <w:t>电子投标：</w:t>
      </w:r>
      <w:bookmarkEnd w:id="55"/>
      <w:bookmarkEnd w:id="56"/>
    </w:p>
    <w:p w14:paraId="72CD6A5B">
      <w:pPr>
        <w:spacing w:before="112" w:line="295" w:lineRule="auto"/>
        <w:ind w:left="10" w:firstLine="485"/>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11.1  </w:t>
      </w:r>
      <w:r>
        <w:rPr>
          <w:rFonts w:hint="eastAsia" w:ascii="宋体" w:hAnsi="宋体" w:eastAsia="宋体" w:cs="宋体"/>
          <w:color w:val="auto"/>
          <w:spacing w:val="-3"/>
          <w:sz w:val="24"/>
          <w:szCs w:val="24"/>
          <w:highlight w:val="none"/>
        </w:rPr>
        <w:t>在建设工程交易系统上传加盖了电子印章的投标文件、录入相关信息及标书</w:t>
      </w:r>
      <w:r>
        <w:rPr>
          <w:rFonts w:hint="eastAsia" w:ascii="宋体" w:hAnsi="宋体" w:eastAsia="宋体" w:cs="宋体"/>
          <w:color w:val="auto"/>
          <w:spacing w:val="2"/>
          <w:sz w:val="24"/>
          <w:szCs w:val="24"/>
          <w:highlight w:val="none"/>
        </w:rPr>
        <w:t>页码信息</w:t>
      </w:r>
      <w:r>
        <w:rPr>
          <w:rFonts w:hint="eastAsia" w:ascii="宋体" w:hAnsi="宋体" w:eastAsia="宋体" w:cs="宋体"/>
          <w:color w:val="auto"/>
          <w:spacing w:val="-25"/>
          <w:sz w:val="24"/>
          <w:szCs w:val="24"/>
          <w:highlight w:val="none"/>
        </w:rPr>
        <w:t>，（</w:t>
      </w:r>
      <w:r>
        <w:rPr>
          <w:rFonts w:hint="eastAsia" w:ascii="宋体" w:hAnsi="宋体" w:eastAsia="宋体" w:cs="宋体"/>
          <w:color w:val="auto"/>
          <w:spacing w:val="2"/>
          <w:sz w:val="24"/>
          <w:szCs w:val="24"/>
          <w:highlight w:val="none"/>
        </w:rPr>
        <w:t>页码起始从封面开始）并提交投标标书。提交标书为已加密投标文件。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具体操作参照《韶关市公共资源建设工程交易系统-投标人操</w:t>
      </w:r>
      <w:r>
        <w:rPr>
          <w:rFonts w:hint="eastAsia" w:ascii="宋体" w:hAnsi="宋体" w:eastAsia="宋体" w:cs="宋体"/>
          <w:color w:val="auto"/>
          <w:spacing w:val="-3"/>
          <w:sz w:val="24"/>
          <w:szCs w:val="24"/>
          <w:highlight w:val="none"/>
        </w:rPr>
        <w:t>作指南（电子评标）》。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本项目评标采用全流程电子化进行招标投标（投标人应根据</w:t>
      </w:r>
      <w:r>
        <w:rPr>
          <w:rFonts w:hint="eastAsia" w:ascii="宋体" w:hAnsi="宋体" w:eastAsia="宋体" w:cs="宋体"/>
          <w:color w:val="auto"/>
          <w:spacing w:val="-2"/>
          <w:sz w:val="24"/>
          <w:szCs w:val="24"/>
          <w:highlight w:val="none"/>
        </w:rPr>
        <w:t>韶关市公共资源建设工程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交易系统进行编辑投标相关内容、按招标文件电子投标要求</w:t>
      </w:r>
      <w:r>
        <w:rPr>
          <w:rFonts w:hint="eastAsia" w:ascii="宋体" w:hAnsi="宋体" w:eastAsia="宋体" w:cs="宋体"/>
          <w:color w:val="auto"/>
          <w:spacing w:val="-2"/>
          <w:sz w:val="24"/>
          <w:szCs w:val="24"/>
          <w:highlight w:val="none"/>
        </w:rPr>
        <w:t>上传已加盖电子印章投标</w:t>
      </w:r>
      <w:r>
        <w:rPr>
          <w:rFonts w:hint="eastAsia" w:ascii="宋体" w:hAnsi="宋体" w:eastAsia="宋体" w:cs="宋体"/>
          <w:color w:val="auto"/>
          <w:spacing w:val="-1"/>
          <w:sz w:val="24"/>
          <w:szCs w:val="24"/>
          <w:highlight w:val="none"/>
        </w:rPr>
        <w:t>文件，否则将自行承担不利后果）。投标文件完成上传后，投标人应</w:t>
      </w:r>
      <w:r>
        <w:rPr>
          <w:rFonts w:hint="eastAsia" w:ascii="宋体" w:hAnsi="宋体" w:eastAsia="宋体" w:cs="宋体"/>
          <w:color w:val="auto"/>
          <w:spacing w:val="-2"/>
          <w:sz w:val="24"/>
          <w:szCs w:val="24"/>
          <w:highlight w:val="none"/>
        </w:rPr>
        <w:t>使用 CA 数字证</w:t>
      </w:r>
      <w:r>
        <w:rPr>
          <w:rFonts w:hint="eastAsia" w:ascii="宋体" w:hAnsi="宋体" w:eastAsia="宋体" w:cs="宋体"/>
          <w:color w:val="auto"/>
          <w:spacing w:val="-1"/>
          <w:sz w:val="24"/>
          <w:szCs w:val="24"/>
          <w:highlight w:val="none"/>
        </w:rPr>
        <w:t>书对投标文件进行文件加密，形成加密的投标文件并提交标书。</w:t>
      </w:r>
    </w:p>
    <w:p w14:paraId="77028D55">
      <w:pPr>
        <w:spacing w:before="115" w:line="286" w:lineRule="auto"/>
        <w:ind w:left="10" w:right="81" w:firstLine="485"/>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11.2</w:t>
      </w:r>
      <w:r>
        <w:rPr>
          <w:rFonts w:hint="eastAsia" w:ascii="宋体" w:hAnsi="宋体" w:eastAsia="宋体" w:cs="宋体"/>
          <w:b/>
          <w:bCs/>
          <w:color w:val="auto"/>
          <w:spacing w:val="19"/>
          <w:sz w:val="24"/>
          <w:szCs w:val="24"/>
          <w:highlight w:val="none"/>
        </w:rPr>
        <w:t xml:space="preserve">  </w:t>
      </w:r>
      <w:r>
        <w:rPr>
          <w:rFonts w:hint="eastAsia" w:ascii="宋体" w:hAnsi="宋体" w:eastAsia="宋体" w:cs="宋体"/>
          <w:color w:val="auto"/>
          <w:spacing w:val="-4"/>
          <w:sz w:val="24"/>
          <w:szCs w:val="24"/>
          <w:highlight w:val="none"/>
        </w:rPr>
        <w:t>电子投标文件的修改、撤回：在提交投标文件截止时间前，投标人可</w:t>
      </w:r>
      <w:r>
        <w:rPr>
          <w:rFonts w:hint="eastAsia" w:ascii="宋体" w:hAnsi="宋体" w:eastAsia="宋体" w:cs="宋体"/>
          <w:color w:val="auto"/>
          <w:spacing w:val="-5"/>
          <w:sz w:val="24"/>
          <w:szCs w:val="24"/>
          <w:highlight w:val="none"/>
        </w:rPr>
        <w:t>以修改</w:t>
      </w:r>
      <w:r>
        <w:rPr>
          <w:rFonts w:hint="eastAsia" w:ascii="宋体" w:hAnsi="宋体" w:eastAsia="宋体" w:cs="宋体"/>
          <w:color w:val="auto"/>
          <w:spacing w:val="-1"/>
          <w:sz w:val="24"/>
          <w:szCs w:val="24"/>
          <w:highlight w:val="none"/>
        </w:rPr>
        <w:t>或撤回未解密的电子投标文件，并于提交投标文件截止时间</w:t>
      </w:r>
      <w:r>
        <w:rPr>
          <w:rFonts w:hint="eastAsia" w:ascii="宋体" w:hAnsi="宋体" w:eastAsia="宋体" w:cs="宋体"/>
          <w:color w:val="auto"/>
          <w:spacing w:val="-2"/>
          <w:sz w:val="24"/>
          <w:szCs w:val="24"/>
          <w:highlight w:val="none"/>
        </w:rPr>
        <w:t>前将重新上传修改后的电</w:t>
      </w:r>
      <w:r>
        <w:rPr>
          <w:rFonts w:hint="eastAsia" w:ascii="宋体" w:hAnsi="宋体" w:eastAsia="宋体" w:cs="宋体"/>
          <w:color w:val="auto"/>
          <w:spacing w:val="-1"/>
          <w:sz w:val="24"/>
          <w:szCs w:val="24"/>
          <w:highlight w:val="none"/>
        </w:rPr>
        <w:t>子投标文件至系统，到达投标文件提交截止时间后投标人不</w:t>
      </w:r>
      <w:r>
        <w:rPr>
          <w:rFonts w:hint="eastAsia" w:ascii="宋体" w:hAnsi="宋体" w:eastAsia="宋体" w:cs="宋体"/>
          <w:color w:val="auto"/>
          <w:spacing w:val="-2"/>
          <w:sz w:val="24"/>
          <w:szCs w:val="24"/>
          <w:highlight w:val="none"/>
        </w:rPr>
        <w:t>得撤回、补充、修改和更换投标文件。</w:t>
      </w:r>
    </w:p>
    <w:p w14:paraId="7B99AE63">
      <w:pPr>
        <w:numPr>
          <w:ilvl w:val="0"/>
          <w:numId w:val="0"/>
        </w:numPr>
        <w:spacing w:before="78" w:line="220" w:lineRule="auto"/>
        <w:ind w:firstLine="446" w:firstLineChars="200"/>
        <w:outlineLvl w:val="2"/>
        <w:rPr>
          <w:rFonts w:hint="eastAsia" w:ascii="宋体" w:hAnsi="宋体" w:eastAsia="宋体" w:cs="宋体"/>
          <w:b/>
          <w:bCs/>
          <w:color w:val="auto"/>
          <w:spacing w:val="-4"/>
          <w:sz w:val="24"/>
          <w:szCs w:val="24"/>
          <w:highlight w:val="none"/>
        </w:rPr>
      </w:pPr>
      <w:bookmarkStart w:id="57" w:name="_Toc5126"/>
      <w:r>
        <w:rPr>
          <w:rFonts w:hint="eastAsia" w:ascii="宋体" w:hAnsi="宋体" w:eastAsia="宋体" w:cs="宋体"/>
          <w:b/>
          <w:bCs/>
          <w:color w:val="auto"/>
          <w:spacing w:val="-9"/>
          <w:sz w:val="24"/>
          <w:szCs w:val="24"/>
          <w:highlight w:val="none"/>
          <w:lang w:val="en-US" w:eastAsia="zh-CN"/>
        </w:rPr>
        <w:t>12.</w:t>
      </w:r>
      <w:r>
        <w:rPr>
          <w:rFonts w:hint="eastAsia" w:ascii="宋体" w:hAnsi="宋体" w:eastAsia="宋体" w:cs="宋体"/>
          <w:b/>
          <w:bCs/>
          <w:color w:val="auto"/>
          <w:spacing w:val="22"/>
          <w:w w:val="101"/>
          <w:sz w:val="24"/>
          <w:szCs w:val="24"/>
          <w:highlight w:val="none"/>
        </w:rPr>
        <w:t xml:space="preserve"> </w:t>
      </w:r>
      <w:bookmarkStart w:id="58" w:name="_Toc29834"/>
      <w:r>
        <w:rPr>
          <w:rFonts w:hint="eastAsia" w:ascii="宋体" w:hAnsi="宋体" w:eastAsia="宋体" w:cs="宋体"/>
          <w:b/>
          <w:bCs/>
          <w:color w:val="auto"/>
          <w:spacing w:val="-4"/>
          <w:sz w:val="24"/>
          <w:szCs w:val="24"/>
          <w:highlight w:val="none"/>
        </w:rPr>
        <w:t>电子投标及投标解密失败及突发情况的补救方案</w:t>
      </w:r>
      <w:bookmarkEnd w:id="57"/>
      <w:bookmarkEnd w:id="58"/>
    </w:p>
    <w:p w14:paraId="31E42F74">
      <w:pPr>
        <w:keepNext w:val="0"/>
        <w:keepLines w:val="0"/>
        <w:pageBreakBefore w:val="0"/>
        <w:widowControl/>
        <w:kinsoku w:val="0"/>
        <w:wordWrap/>
        <w:overflowPunct/>
        <w:topLinePunct w:val="0"/>
        <w:autoSpaceDE w:val="0"/>
        <w:autoSpaceDN w:val="0"/>
        <w:bidi w:val="0"/>
        <w:adjustRightInd w:val="0"/>
        <w:snapToGrid w:val="0"/>
        <w:spacing w:before="78" w:line="360" w:lineRule="auto"/>
        <w:ind w:firstLine="47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12.1 </w:t>
      </w:r>
      <w:r>
        <w:rPr>
          <w:rFonts w:hint="eastAsia" w:ascii="宋体" w:hAnsi="宋体" w:eastAsia="宋体" w:cs="宋体"/>
          <w:color w:val="auto"/>
          <w:spacing w:val="-1"/>
          <w:sz w:val="24"/>
          <w:szCs w:val="24"/>
          <w:highlight w:val="none"/>
        </w:rPr>
        <w:t>按照交易平台关于全流程电子化项目的相</w:t>
      </w:r>
      <w:r>
        <w:rPr>
          <w:rFonts w:hint="eastAsia" w:ascii="宋体" w:hAnsi="宋体" w:eastAsia="宋体" w:cs="宋体"/>
          <w:color w:val="auto"/>
          <w:spacing w:val="-2"/>
          <w:sz w:val="24"/>
          <w:szCs w:val="24"/>
          <w:highlight w:val="none"/>
        </w:rPr>
        <w:t>关指南进行操作。详见：全国公共</w:t>
      </w:r>
      <w:r>
        <w:rPr>
          <w:rFonts w:hint="eastAsia" w:ascii="宋体" w:hAnsi="宋体" w:eastAsia="宋体" w:cs="宋体"/>
          <w:color w:val="auto"/>
          <w:spacing w:val="-1"/>
          <w:sz w:val="24"/>
          <w:szCs w:val="24"/>
          <w:highlight w:val="none"/>
        </w:rPr>
        <w:t>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·韶关市</w:t>
      </w:r>
      <w:r>
        <w:rPr>
          <w:rFonts w:hint="eastAsia" w:ascii="宋体" w:hAnsi="宋体" w:eastAsia="宋体" w:cs="宋体"/>
          <w:color w:val="auto"/>
          <w:spacing w:val="-26"/>
          <w:sz w:val="24"/>
          <w:szCs w:val="24"/>
          <w:highlight w:val="none"/>
        </w:rPr>
        <w:t>）（</w:t>
      </w:r>
      <w:r>
        <w:rPr>
          <w:rFonts w:hint="eastAsia" w:ascii="宋体" w:hAnsi="宋体" w:eastAsia="宋体" w:cs="宋体"/>
          <w:color w:val="auto"/>
          <w:spacing w:val="-1"/>
          <w:sz w:val="24"/>
          <w:szCs w:val="24"/>
          <w:highlight w:val="none"/>
        </w:rPr>
        <w:t>https://y</w:t>
      </w:r>
      <w:r>
        <w:rPr>
          <w:rFonts w:hint="eastAsia" w:ascii="宋体" w:hAnsi="宋体" w:eastAsia="宋体" w:cs="宋体"/>
          <w:color w:val="auto"/>
          <w:spacing w:val="-2"/>
          <w:sz w:val="24"/>
          <w:szCs w:val="24"/>
          <w:highlight w:val="none"/>
        </w:rPr>
        <w:t>gp.gdzwfw.gov.cn/ggzy-portal/#/44</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0200/index）服务指南栏目发布的最新版操作指引。</w:t>
      </w:r>
    </w:p>
    <w:p w14:paraId="1227283F">
      <w:pPr>
        <w:spacing w:before="113"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12.2  </w:t>
      </w:r>
      <w:r>
        <w:rPr>
          <w:rFonts w:hint="eastAsia" w:ascii="宋体" w:hAnsi="宋体" w:eastAsia="宋体" w:cs="宋体"/>
          <w:color w:val="auto"/>
          <w:spacing w:val="-2"/>
          <w:sz w:val="24"/>
          <w:szCs w:val="24"/>
          <w:highlight w:val="none"/>
        </w:rPr>
        <w:t>补救方案：</w:t>
      </w:r>
    </w:p>
    <w:p w14:paraId="3DE0A96F">
      <w:pPr>
        <w:spacing w:before="115"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12.2.1  </w:t>
      </w:r>
      <w:r>
        <w:rPr>
          <w:rFonts w:hint="eastAsia" w:ascii="宋体" w:hAnsi="宋体" w:eastAsia="宋体" w:cs="宋体"/>
          <w:color w:val="auto"/>
          <w:spacing w:val="-1"/>
          <w:sz w:val="24"/>
          <w:szCs w:val="24"/>
          <w:highlight w:val="none"/>
        </w:rPr>
        <w:t>投标文件解密失败的补救方案：</w:t>
      </w:r>
    </w:p>
    <w:p w14:paraId="05D31897">
      <w:pPr>
        <w:spacing w:before="115" w:line="298" w:lineRule="auto"/>
        <w:ind w:right="81" w:firstLine="48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在规定时间内，因投标人之外原因(指网络瘫痪、服务器损坏、交易系统故障短期无法恢复)等导致的电子投标文件解密失败，在开标现场解密环节由代理授权后，</w:t>
      </w:r>
      <w:r>
        <w:rPr>
          <w:rFonts w:hint="eastAsia" w:ascii="宋体" w:hAnsi="宋体" w:eastAsia="宋体" w:cs="宋体"/>
          <w:color w:val="auto"/>
          <w:spacing w:val="1"/>
          <w:sz w:val="24"/>
          <w:szCs w:val="24"/>
          <w:highlight w:val="none"/>
        </w:rPr>
        <w:t>解密失败投标人可在建设工程交易系统在规定时间（代理机构授权后</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1"/>
          <w:sz w:val="24"/>
          <w:szCs w:val="24"/>
          <w:highlight w:val="none"/>
        </w:rPr>
        <w:t>30</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1"/>
          <w:sz w:val="24"/>
          <w:szCs w:val="24"/>
          <w:highlight w:val="none"/>
        </w:rPr>
        <w:t>分钟内）内</w:t>
      </w:r>
      <w:bookmarkStart w:id="59" w:name="bookmark122"/>
      <w:bookmarkEnd w:id="59"/>
      <w:r>
        <w:rPr>
          <w:rFonts w:hint="eastAsia" w:ascii="宋体" w:hAnsi="宋体" w:eastAsia="宋体" w:cs="宋体"/>
          <w:color w:val="auto"/>
          <w:spacing w:val="-1"/>
          <w:sz w:val="24"/>
          <w:szCs w:val="24"/>
          <w:highlight w:val="none"/>
        </w:rPr>
        <w:t>重新提交投标文件继续开标程序。</w:t>
      </w:r>
    </w:p>
    <w:p w14:paraId="688697B7">
      <w:pPr>
        <w:spacing w:before="114"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12.2.2  </w:t>
      </w:r>
      <w:r>
        <w:rPr>
          <w:rFonts w:hint="eastAsia" w:ascii="宋体" w:hAnsi="宋体" w:eastAsia="宋体" w:cs="宋体"/>
          <w:color w:val="auto"/>
          <w:spacing w:val="-1"/>
          <w:sz w:val="24"/>
          <w:szCs w:val="24"/>
          <w:highlight w:val="none"/>
        </w:rPr>
        <w:t>评标时突发情况的补救方案</w:t>
      </w:r>
    </w:p>
    <w:p w14:paraId="67C0AA88">
      <w:pPr>
        <w:spacing w:before="114" w:line="303" w:lineRule="auto"/>
        <w:ind w:right="81" w:firstLine="476"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在评标过程中，因主场或副场网络故障、电子设备或者</w:t>
      </w:r>
      <w:r>
        <w:rPr>
          <w:rFonts w:hint="eastAsia" w:ascii="宋体" w:hAnsi="宋体" w:eastAsia="宋体" w:cs="宋体"/>
          <w:color w:val="auto"/>
          <w:spacing w:val="-2"/>
          <w:sz w:val="24"/>
          <w:szCs w:val="24"/>
          <w:highlight w:val="none"/>
        </w:rPr>
        <w:t>评标系统故障，以及其他</w:t>
      </w:r>
      <w:r>
        <w:rPr>
          <w:rFonts w:hint="eastAsia" w:ascii="宋体" w:hAnsi="宋体" w:eastAsia="宋体" w:cs="宋体"/>
          <w:color w:val="auto"/>
          <w:spacing w:val="-3"/>
          <w:sz w:val="24"/>
          <w:szCs w:val="24"/>
          <w:highlight w:val="none"/>
        </w:rPr>
        <w:t>原因导致无法继续进行评标时，在</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小时以内解除故障的可继续评标，超过</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3"/>
          <w:sz w:val="24"/>
          <w:szCs w:val="24"/>
          <w:highlight w:val="none"/>
        </w:rPr>
        <w:t>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3"/>
          <w:sz w:val="24"/>
          <w:szCs w:val="24"/>
          <w:highlight w:val="none"/>
        </w:rPr>
        <w:t>小时无</w:t>
      </w:r>
      <w:r>
        <w:rPr>
          <w:rFonts w:hint="eastAsia" w:ascii="宋体" w:hAnsi="宋体" w:eastAsia="宋体" w:cs="宋体"/>
          <w:color w:val="auto"/>
          <w:spacing w:val="-1"/>
          <w:sz w:val="24"/>
          <w:szCs w:val="24"/>
          <w:highlight w:val="none"/>
        </w:rPr>
        <w:t>法解除故障的，由招标人确定是否进行评标。如延期评标，</w:t>
      </w:r>
      <w:r>
        <w:rPr>
          <w:rFonts w:hint="eastAsia" w:ascii="宋体" w:hAnsi="宋体" w:eastAsia="宋体" w:cs="宋体"/>
          <w:color w:val="auto"/>
          <w:spacing w:val="-2"/>
          <w:sz w:val="24"/>
          <w:szCs w:val="24"/>
          <w:highlight w:val="none"/>
        </w:rPr>
        <w:t>招标人及参与评标活动的</w:t>
      </w:r>
      <w:r>
        <w:rPr>
          <w:rFonts w:hint="eastAsia" w:ascii="宋体" w:hAnsi="宋体" w:eastAsia="宋体" w:cs="宋体"/>
          <w:color w:val="auto"/>
          <w:spacing w:val="-1"/>
          <w:sz w:val="24"/>
          <w:szCs w:val="24"/>
          <w:highlight w:val="none"/>
        </w:rPr>
        <w:t>各方主体及其有关工作人员应当配合主场、副场做好招投标</w:t>
      </w:r>
      <w:r>
        <w:rPr>
          <w:rFonts w:hint="eastAsia" w:ascii="宋体" w:hAnsi="宋体" w:eastAsia="宋体" w:cs="宋体"/>
          <w:color w:val="auto"/>
          <w:spacing w:val="-2"/>
          <w:sz w:val="24"/>
          <w:szCs w:val="24"/>
          <w:highlight w:val="none"/>
        </w:rPr>
        <w:t>资料的封存和保密工作，</w:t>
      </w:r>
      <w:r>
        <w:rPr>
          <w:rFonts w:hint="eastAsia" w:ascii="宋体" w:hAnsi="宋体" w:eastAsia="宋体" w:cs="宋体"/>
          <w:color w:val="auto"/>
          <w:spacing w:val="-1"/>
          <w:sz w:val="24"/>
          <w:szCs w:val="24"/>
          <w:highlight w:val="none"/>
        </w:rPr>
        <w:t>另行组建评标委员会重新评标。原评标委员会成员应当对评</w:t>
      </w:r>
      <w:r>
        <w:rPr>
          <w:rFonts w:hint="eastAsia" w:ascii="宋体" w:hAnsi="宋体" w:eastAsia="宋体" w:cs="宋体"/>
          <w:color w:val="auto"/>
          <w:spacing w:val="-2"/>
          <w:sz w:val="24"/>
          <w:szCs w:val="24"/>
          <w:highlight w:val="none"/>
        </w:rPr>
        <w:t>标情况保密，不得对外透</w:t>
      </w:r>
      <w:r>
        <w:rPr>
          <w:rFonts w:hint="eastAsia" w:ascii="宋体" w:hAnsi="宋体" w:eastAsia="宋体" w:cs="宋体"/>
          <w:color w:val="auto"/>
          <w:spacing w:val="-1"/>
          <w:sz w:val="24"/>
          <w:szCs w:val="24"/>
          <w:highlight w:val="none"/>
        </w:rPr>
        <w:t>露与评标有关的任何信息与情况。</w:t>
      </w:r>
    </w:p>
    <w:p w14:paraId="4CA581B7">
      <w:pPr>
        <w:spacing w:before="69" w:line="324" w:lineRule="auto"/>
        <w:ind w:left="11" w:right="81" w:firstLine="484"/>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12.2.3  </w:t>
      </w:r>
      <w:r>
        <w:rPr>
          <w:rFonts w:hint="eastAsia" w:ascii="宋体" w:hAnsi="宋体" w:eastAsia="宋体" w:cs="宋体"/>
          <w:color w:val="auto"/>
          <w:spacing w:val="-1"/>
          <w:sz w:val="24"/>
          <w:szCs w:val="24"/>
          <w:highlight w:val="none"/>
        </w:rPr>
        <w:t>除发生上述情况外，开标评标均以投标人（联合体投标的，由联合体牵头人）通过交易平台网上递交的电子投标文件为准。</w:t>
      </w:r>
    </w:p>
    <w:p w14:paraId="0D4B1117">
      <w:pPr>
        <w:spacing w:before="78" w:line="220" w:lineRule="auto"/>
        <w:ind w:left="496"/>
        <w:outlineLvl w:val="2"/>
        <w:rPr>
          <w:rFonts w:hint="eastAsia" w:ascii="宋体" w:hAnsi="宋体" w:eastAsia="宋体" w:cs="宋体"/>
          <w:color w:val="auto"/>
          <w:sz w:val="24"/>
          <w:szCs w:val="24"/>
          <w:highlight w:val="none"/>
        </w:rPr>
      </w:pPr>
      <w:bookmarkStart w:id="60" w:name="_Toc3957"/>
      <w:bookmarkStart w:id="61" w:name="_Toc27195"/>
      <w:r>
        <w:rPr>
          <w:rFonts w:hint="eastAsia" w:ascii="宋体" w:hAnsi="宋体" w:eastAsia="宋体" w:cs="宋体"/>
          <w:b/>
          <w:bCs/>
          <w:color w:val="auto"/>
          <w:spacing w:val="-7"/>
          <w:sz w:val="24"/>
          <w:szCs w:val="24"/>
          <w:highlight w:val="none"/>
        </w:rPr>
        <w:t>13</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7"/>
          <w:sz w:val="24"/>
          <w:szCs w:val="24"/>
          <w:highlight w:val="none"/>
        </w:rPr>
        <w:t>．投标文件的提交</w:t>
      </w:r>
      <w:bookmarkEnd w:id="60"/>
      <w:bookmarkEnd w:id="61"/>
    </w:p>
    <w:p w14:paraId="6AC9D5AE">
      <w:pPr>
        <w:spacing w:before="123" w:line="278" w:lineRule="auto"/>
        <w:ind w:left="13" w:right="81" w:firstLine="482"/>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 xml:space="preserve">13.1  </w:t>
      </w:r>
      <w:r>
        <w:rPr>
          <w:rFonts w:hint="eastAsia" w:ascii="宋体" w:hAnsi="宋体" w:eastAsia="宋体" w:cs="宋体"/>
          <w:color w:val="auto"/>
          <w:spacing w:val="-11"/>
          <w:sz w:val="24"/>
          <w:szCs w:val="24"/>
          <w:highlight w:val="none"/>
        </w:rPr>
        <w:t>在投标文件提交截止时间前，投标人通过全国公共资源交易平台（</w:t>
      </w:r>
      <w:r>
        <w:rPr>
          <w:rFonts w:hint="eastAsia" w:ascii="宋体" w:hAnsi="宋体" w:eastAsia="宋体" w:cs="宋体"/>
          <w:color w:val="auto"/>
          <w:spacing w:val="-12"/>
          <w:sz w:val="24"/>
          <w:szCs w:val="24"/>
          <w:highlight w:val="none"/>
        </w:rPr>
        <w:t>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2"/>
          <w:sz w:val="24"/>
          <w:szCs w:val="24"/>
          <w:highlight w:val="none"/>
        </w:rPr>
        <w:t>·韶</w:t>
      </w:r>
      <w:r>
        <w:rPr>
          <w:rFonts w:hint="eastAsia" w:ascii="宋体" w:hAnsi="宋体" w:eastAsia="宋体" w:cs="宋体"/>
          <w:color w:val="auto"/>
          <w:spacing w:val="-1"/>
          <w:sz w:val="24"/>
          <w:szCs w:val="24"/>
          <w:highlight w:val="none"/>
        </w:rPr>
        <w:t>关市）提交已加密投标文件。逾期提交的电子投标文</w:t>
      </w:r>
      <w:r>
        <w:rPr>
          <w:rFonts w:hint="eastAsia" w:ascii="宋体" w:hAnsi="宋体" w:eastAsia="宋体" w:cs="宋体"/>
          <w:color w:val="auto"/>
          <w:spacing w:val="-2"/>
          <w:sz w:val="24"/>
          <w:szCs w:val="24"/>
          <w:highlight w:val="none"/>
        </w:rPr>
        <w:t>件，全国公共资源交易平台（广</w:t>
      </w:r>
      <w:r>
        <w:rPr>
          <w:rFonts w:hint="eastAsia" w:ascii="宋体" w:hAnsi="宋体" w:eastAsia="宋体" w:cs="宋体"/>
          <w:color w:val="auto"/>
          <w:spacing w:val="-9"/>
          <w:sz w:val="24"/>
          <w:szCs w:val="24"/>
          <w:highlight w:val="none"/>
        </w:rPr>
        <w:t>东省</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9"/>
          <w:sz w:val="24"/>
          <w:szCs w:val="24"/>
          <w:highlight w:val="none"/>
        </w:rPr>
        <w:t>·韶关市）将予以拒收。</w:t>
      </w:r>
    </w:p>
    <w:p w14:paraId="77138C74">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13.2  </w:t>
      </w:r>
      <w:r>
        <w:rPr>
          <w:rFonts w:hint="eastAsia" w:ascii="宋体" w:hAnsi="宋体" w:eastAsia="宋体" w:cs="宋体"/>
          <w:color w:val="auto"/>
          <w:spacing w:val="2"/>
          <w:sz w:val="24"/>
          <w:szCs w:val="24"/>
          <w:highlight w:val="none"/>
        </w:rPr>
        <w:t>提交时间和地点：见本章第二节“重要事项时间地点一览表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p>
    <w:p w14:paraId="3DA66111">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13.3  </w:t>
      </w:r>
      <w:r>
        <w:rPr>
          <w:rFonts w:hint="eastAsia" w:ascii="宋体" w:hAnsi="宋体" w:eastAsia="宋体" w:cs="宋体"/>
          <w:color w:val="auto"/>
          <w:spacing w:val="-1"/>
          <w:sz w:val="24"/>
          <w:szCs w:val="24"/>
          <w:highlight w:val="none"/>
        </w:rPr>
        <w:t>递交时间和地点：投标人如有招标</w:t>
      </w:r>
      <w:r>
        <w:rPr>
          <w:rFonts w:hint="eastAsia" w:ascii="宋体" w:hAnsi="宋体" w:eastAsia="宋体" w:cs="宋体"/>
          <w:color w:val="auto"/>
          <w:spacing w:val="-2"/>
          <w:sz w:val="24"/>
          <w:szCs w:val="24"/>
          <w:highlight w:val="none"/>
        </w:rPr>
        <w:t>文件要求提交的用于评审的证书、证件、证明原件（附一式两份清单</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由投标人法定代表人或其委托代理人在指定的时间和</w:t>
      </w:r>
      <w:r>
        <w:rPr>
          <w:rFonts w:hint="eastAsia" w:ascii="宋体" w:hAnsi="宋体" w:eastAsia="宋体" w:cs="宋体"/>
          <w:color w:val="auto"/>
          <w:spacing w:val="-1"/>
          <w:sz w:val="24"/>
          <w:szCs w:val="24"/>
          <w:highlight w:val="none"/>
        </w:rPr>
        <w:t>地点递交（见“重要事项时间地点一览表</w:t>
      </w:r>
      <w:r>
        <w:rPr>
          <w:rFonts w:hint="eastAsia" w:ascii="宋体" w:hAnsi="宋体" w:eastAsia="宋体" w:cs="宋体"/>
          <w:color w:val="auto"/>
          <w:spacing w:val="-77"/>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w:t>
      </w:r>
    </w:p>
    <w:p w14:paraId="4E749B93">
      <w:pPr>
        <w:spacing w:before="112" w:line="219" w:lineRule="auto"/>
        <w:ind w:firstLine="478"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13.4  </w:t>
      </w:r>
      <w:r>
        <w:rPr>
          <w:rFonts w:hint="eastAsia" w:ascii="宋体" w:hAnsi="宋体" w:eastAsia="宋体" w:cs="宋体"/>
          <w:color w:val="auto"/>
          <w:spacing w:val="-1"/>
          <w:sz w:val="24"/>
          <w:szCs w:val="24"/>
          <w:highlight w:val="none"/>
        </w:rPr>
        <w:t>代理机构对因不可抗力事件造成的投</w:t>
      </w:r>
      <w:r>
        <w:rPr>
          <w:rFonts w:hint="eastAsia" w:ascii="宋体" w:hAnsi="宋体" w:eastAsia="宋体" w:cs="宋体"/>
          <w:color w:val="auto"/>
          <w:spacing w:val="-2"/>
          <w:sz w:val="24"/>
          <w:szCs w:val="24"/>
          <w:highlight w:val="none"/>
        </w:rPr>
        <w:t>标文件的损坏、丢失的，不承担责任。</w:t>
      </w:r>
    </w:p>
    <w:p w14:paraId="0953908A">
      <w:pPr>
        <w:spacing w:before="116" w:line="220"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13.5</w:t>
      </w:r>
      <w:r>
        <w:rPr>
          <w:rFonts w:hint="eastAsia" w:ascii="宋体" w:hAnsi="宋体" w:eastAsia="宋体" w:cs="宋体"/>
          <w:b/>
          <w:bCs/>
          <w:color w:val="auto"/>
          <w:spacing w:val="15"/>
          <w:sz w:val="24"/>
          <w:szCs w:val="24"/>
          <w:highlight w:val="none"/>
        </w:rPr>
        <w:t xml:space="preserve">  </w:t>
      </w:r>
      <w:r>
        <w:rPr>
          <w:rFonts w:hint="eastAsia" w:ascii="宋体" w:hAnsi="宋体" w:eastAsia="宋体" w:cs="宋体"/>
          <w:color w:val="auto"/>
          <w:spacing w:val="-1"/>
          <w:sz w:val="24"/>
          <w:szCs w:val="24"/>
          <w:highlight w:val="none"/>
        </w:rPr>
        <w:t>出现下述情形之一，属于未成功提</w:t>
      </w:r>
      <w:r>
        <w:rPr>
          <w:rFonts w:hint="eastAsia" w:ascii="宋体" w:hAnsi="宋体" w:eastAsia="宋体" w:cs="宋体"/>
          <w:color w:val="auto"/>
          <w:spacing w:val="-2"/>
          <w:sz w:val="24"/>
          <w:szCs w:val="24"/>
          <w:highlight w:val="none"/>
        </w:rPr>
        <w:t>交投标文件，按无效投标处理：</w:t>
      </w:r>
    </w:p>
    <w:p w14:paraId="4C1A04F2">
      <w:pPr>
        <w:spacing w:before="115" w:line="219"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（1）至提交投标文件截止时，投标文件未完整上传及提交标书；</w:t>
      </w:r>
    </w:p>
    <w:p w14:paraId="136EA809">
      <w:pPr>
        <w:spacing w:before="114"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（2）解密失败且在规定时间内未重新提交投标文件的；</w:t>
      </w:r>
    </w:p>
    <w:p w14:paraId="0AFE6670">
      <w:pPr>
        <w:spacing w:before="115" w:line="220" w:lineRule="auto"/>
        <w:ind w:left="74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（3）投标文件损坏或格式不正确的；</w:t>
      </w:r>
    </w:p>
    <w:p w14:paraId="664AC496">
      <w:pPr>
        <w:spacing w:before="115"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13.6  </w:t>
      </w:r>
      <w:r>
        <w:rPr>
          <w:rFonts w:hint="eastAsia" w:ascii="宋体" w:hAnsi="宋体" w:eastAsia="宋体" w:cs="宋体"/>
          <w:color w:val="auto"/>
          <w:spacing w:val="-1"/>
          <w:sz w:val="24"/>
          <w:szCs w:val="24"/>
          <w:highlight w:val="none"/>
        </w:rPr>
        <w:t>联合体投标的，由联合体牵头人按以上要求递交相关资料。</w:t>
      </w:r>
    </w:p>
    <w:p w14:paraId="1F03B17B">
      <w:pPr>
        <w:spacing w:before="113" w:line="279" w:lineRule="auto"/>
        <w:ind w:left="9" w:right="24" w:firstLine="486"/>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2"/>
          <w:sz w:val="24"/>
          <w:szCs w:val="24"/>
          <w:highlight w:val="none"/>
        </w:rPr>
        <w:t xml:space="preserve">13.7  </w:t>
      </w:r>
      <w:r>
        <w:rPr>
          <w:rFonts w:hint="eastAsia" w:ascii="宋体" w:hAnsi="宋体" w:eastAsia="宋体" w:cs="宋体"/>
          <w:color w:val="auto"/>
          <w:spacing w:val="-2"/>
          <w:sz w:val="24"/>
          <w:szCs w:val="24"/>
          <w:highlight w:val="none"/>
        </w:rPr>
        <w:t>招标人或其授权的招标代理机构核对、接收投标人递交的投标相关资料后，</w:t>
      </w:r>
      <w:r>
        <w:rPr>
          <w:rFonts w:hint="eastAsia" w:ascii="宋体" w:hAnsi="宋体" w:eastAsia="宋体" w:cs="宋体"/>
          <w:color w:val="auto"/>
          <w:spacing w:val="-1"/>
          <w:sz w:val="24"/>
          <w:szCs w:val="24"/>
          <w:highlight w:val="none"/>
        </w:rPr>
        <w:t>应向投标人出具标明签收</w:t>
      </w:r>
      <w:r>
        <w:rPr>
          <w:rFonts w:hint="eastAsia" w:ascii="宋体" w:hAnsi="宋体" w:eastAsia="宋体" w:cs="宋体"/>
          <w:color w:val="auto"/>
          <w:spacing w:val="-2"/>
          <w:sz w:val="24"/>
          <w:szCs w:val="24"/>
          <w:highlight w:val="none"/>
        </w:rPr>
        <w:t>人和签收时间的凭证，并妥善保管。</w:t>
      </w:r>
    </w:p>
    <w:p w14:paraId="448545F1">
      <w:pPr>
        <w:spacing w:before="113" w:line="279" w:lineRule="auto"/>
        <w:ind w:left="9" w:right="24" w:firstLine="48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13.8 </w:t>
      </w:r>
      <w:r>
        <w:rPr>
          <w:rFonts w:hint="eastAsia" w:ascii="宋体" w:hAnsi="宋体" w:eastAsia="宋体" w:cs="宋体"/>
          <w:color w:val="auto"/>
          <w:spacing w:val="-2"/>
          <w:sz w:val="24"/>
          <w:szCs w:val="24"/>
          <w:highlight w:val="none"/>
        </w:rPr>
        <w:t xml:space="preserve"> 本次招标投标有效期为</w:t>
      </w:r>
      <w:r>
        <w:rPr>
          <w:rFonts w:hint="eastAsia" w:ascii="宋体" w:hAnsi="宋体" w:eastAsia="宋体" w:cs="宋体"/>
          <w:color w:val="auto"/>
          <w:spacing w:val="-2"/>
          <w:sz w:val="24"/>
          <w:szCs w:val="24"/>
          <w:highlight w:val="none"/>
          <w:u w:val="single"/>
          <w:lang w:eastAsia="zh-CN"/>
        </w:rPr>
        <w:t>90</w:t>
      </w:r>
      <w:r>
        <w:rPr>
          <w:rFonts w:hint="eastAsia" w:ascii="宋体" w:hAnsi="宋体" w:eastAsia="宋体" w:cs="宋体"/>
          <w:color w:val="auto"/>
          <w:spacing w:val="-2"/>
          <w:sz w:val="24"/>
          <w:szCs w:val="24"/>
          <w:highlight w:val="none"/>
        </w:rPr>
        <w:t>个日历天，投标有效期从提交投标文件的截止之日起计算。在此期间，投标人不得撤销或修改其</w:t>
      </w:r>
      <w:r>
        <w:rPr>
          <w:rFonts w:hint="eastAsia" w:ascii="宋体" w:hAnsi="宋体" w:eastAsia="宋体" w:cs="宋体"/>
          <w:color w:val="auto"/>
          <w:spacing w:val="-7"/>
          <w:sz w:val="24"/>
          <w:szCs w:val="24"/>
          <w:highlight w:val="none"/>
        </w:rPr>
        <w:t>投标文件，否则其投标保证不予退还。</w:t>
      </w:r>
    </w:p>
    <w:p w14:paraId="5EEAEF00">
      <w:pPr>
        <w:spacing w:before="145" w:line="221" w:lineRule="auto"/>
        <w:ind w:left="496"/>
        <w:outlineLvl w:val="2"/>
        <w:rPr>
          <w:rFonts w:hint="eastAsia" w:ascii="宋体" w:hAnsi="宋体" w:eastAsia="宋体" w:cs="宋体"/>
          <w:color w:val="auto"/>
          <w:sz w:val="24"/>
          <w:szCs w:val="24"/>
          <w:highlight w:val="none"/>
        </w:rPr>
      </w:pPr>
      <w:bookmarkStart w:id="62" w:name="_Toc22047"/>
      <w:bookmarkStart w:id="63" w:name="_Toc8365"/>
      <w:r>
        <w:rPr>
          <w:rFonts w:hint="eastAsia" w:ascii="宋体" w:hAnsi="宋体" w:eastAsia="宋体" w:cs="宋体"/>
          <w:b/>
          <w:bCs/>
          <w:color w:val="auto"/>
          <w:spacing w:val="-11"/>
          <w:sz w:val="24"/>
          <w:szCs w:val="24"/>
          <w:highlight w:val="none"/>
        </w:rPr>
        <w:t>14</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．开标</w:t>
      </w:r>
      <w:bookmarkEnd w:id="62"/>
      <w:bookmarkEnd w:id="63"/>
    </w:p>
    <w:p w14:paraId="0B0B4CC1">
      <w:pPr>
        <w:spacing w:before="155" w:line="329" w:lineRule="auto"/>
        <w:ind w:left="10" w:right="81" w:firstLine="48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14.1  </w:t>
      </w:r>
      <w:r>
        <w:rPr>
          <w:rFonts w:hint="eastAsia" w:ascii="宋体" w:hAnsi="宋体" w:eastAsia="宋体" w:cs="宋体"/>
          <w:color w:val="auto"/>
          <w:spacing w:val="-3"/>
          <w:sz w:val="24"/>
          <w:szCs w:val="24"/>
          <w:highlight w:val="none"/>
        </w:rPr>
        <w:t>招标人邀请所有正确获取招标文件、电子投标、缴纳投标保证的投标人参加</w:t>
      </w:r>
      <w:r>
        <w:rPr>
          <w:rFonts w:hint="eastAsia" w:ascii="宋体" w:hAnsi="宋体" w:eastAsia="宋体" w:cs="宋体"/>
          <w:color w:val="auto"/>
          <w:spacing w:val="-1"/>
          <w:sz w:val="24"/>
          <w:szCs w:val="24"/>
          <w:highlight w:val="none"/>
        </w:rPr>
        <w:t>开标，投标人可自主决定是否参加。投标人可登陆交易平台</w:t>
      </w:r>
      <w:r>
        <w:rPr>
          <w:rFonts w:hint="eastAsia" w:ascii="宋体" w:hAnsi="宋体" w:eastAsia="宋体" w:cs="宋体"/>
          <w:color w:val="auto"/>
          <w:spacing w:val="-2"/>
          <w:sz w:val="24"/>
          <w:szCs w:val="24"/>
          <w:highlight w:val="none"/>
        </w:rPr>
        <w:t>观看开标实况、提出异议</w:t>
      </w:r>
      <w:r>
        <w:rPr>
          <w:rFonts w:hint="eastAsia" w:ascii="宋体" w:hAnsi="宋体" w:eastAsia="宋体" w:cs="宋体"/>
          <w:color w:val="auto"/>
          <w:spacing w:val="-1"/>
          <w:sz w:val="24"/>
          <w:szCs w:val="24"/>
          <w:highlight w:val="none"/>
        </w:rPr>
        <w:t>或进行澄清、确认等操作（具体按招标文件和系统操作手册</w:t>
      </w:r>
      <w:r>
        <w:rPr>
          <w:rFonts w:hint="eastAsia" w:ascii="宋体" w:hAnsi="宋体" w:eastAsia="宋体" w:cs="宋体"/>
          <w:color w:val="auto"/>
          <w:spacing w:val="-2"/>
          <w:sz w:val="24"/>
          <w:szCs w:val="24"/>
          <w:highlight w:val="none"/>
        </w:rPr>
        <w:t>为准）。投标人不参加开</w:t>
      </w:r>
      <w:bookmarkStart w:id="64" w:name="bookmark123"/>
      <w:bookmarkEnd w:id="64"/>
      <w:r>
        <w:rPr>
          <w:rFonts w:hint="eastAsia" w:ascii="宋体" w:hAnsi="宋体" w:eastAsia="宋体" w:cs="宋体"/>
          <w:color w:val="auto"/>
          <w:sz w:val="24"/>
          <w:szCs w:val="24"/>
          <w:highlight w:val="none"/>
        </w:rPr>
        <w:t>标的，视其默认开标结果，以及放弃在开标期间见证、</w:t>
      </w:r>
      <w:r>
        <w:rPr>
          <w:rFonts w:hint="eastAsia" w:ascii="宋体" w:hAnsi="宋体" w:eastAsia="宋体" w:cs="宋体"/>
          <w:color w:val="auto"/>
          <w:spacing w:val="-1"/>
          <w:sz w:val="24"/>
          <w:szCs w:val="24"/>
          <w:highlight w:val="none"/>
        </w:rPr>
        <w:t>监督、投诉、申辩的权利。</w:t>
      </w:r>
    </w:p>
    <w:p w14:paraId="3406F8BE">
      <w:pPr>
        <w:spacing w:before="156"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14.1.1  </w:t>
      </w:r>
      <w:r>
        <w:rPr>
          <w:rFonts w:hint="eastAsia" w:ascii="宋体" w:hAnsi="宋体" w:eastAsia="宋体" w:cs="宋体"/>
          <w:color w:val="auto"/>
          <w:sz w:val="24"/>
          <w:szCs w:val="24"/>
          <w:highlight w:val="none"/>
        </w:rPr>
        <w:t>开标时间和地点：见本章第</w:t>
      </w:r>
      <w:r>
        <w:rPr>
          <w:rFonts w:hint="eastAsia" w:ascii="宋体" w:hAnsi="宋体" w:eastAsia="宋体" w:cs="宋体"/>
          <w:color w:val="auto"/>
          <w:spacing w:val="-1"/>
          <w:sz w:val="24"/>
          <w:szCs w:val="24"/>
          <w:highlight w:val="none"/>
        </w:rPr>
        <w:t>二节“重要事项时间地点一览表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w:t>
      </w:r>
    </w:p>
    <w:p w14:paraId="350BB8FC">
      <w:pPr>
        <w:keepNext w:val="0"/>
        <w:keepLines w:val="0"/>
        <w:pageBreakBefore w:val="0"/>
        <w:widowControl/>
        <w:kinsoku w:val="0"/>
        <w:wordWrap w:val="0"/>
        <w:overflowPunct/>
        <w:topLinePunct w:val="0"/>
        <w:autoSpaceDE w:val="0"/>
        <w:autoSpaceDN w:val="0"/>
        <w:bidi w:val="0"/>
        <w:adjustRightInd w:val="0"/>
        <w:snapToGrid w:val="0"/>
        <w:spacing w:before="153" w:line="320" w:lineRule="auto"/>
        <w:ind w:left="11" w:firstLine="488"/>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 xml:space="preserve">14.1.2 </w:t>
      </w:r>
      <w:r>
        <w:rPr>
          <w:rFonts w:hint="eastAsia" w:ascii="宋体" w:hAnsi="宋体" w:eastAsia="宋体" w:cs="宋体"/>
          <w:color w:val="auto"/>
          <w:spacing w:val="-7"/>
          <w:sz w:val="24"/>
          <w:szCs w:val="24"/>
          <w:highlight w:val="none"/>
        </w:rPr>
        <w:t>开标前</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7"/>
          <w:sz w:val="24"/>
          <w:szCs w:val="24"/>
          <w:highlight w:val="none"/>
        </w:rPr>
        <w:t>24</w:t>
      </w:r>
      <w:r>
        <w:rPr>
          <w:rFonts w:hint="eastAsia" w:ascii="宋体" w:hAnsi="宋体" w:eastAsia="宋体" w:cs="宋体"/>
          <w:color w:val="auto"/>
          <w:spacing w:val="-44"/>
          <w:sz w:val="24"/>
          <w:szCs w:val="24"/>
          <w:highlight w:val="none"/>
        </w:rPr>
        <w:t xml:space="preserve"> </w:t>
      </w:r>
      <w:r>
        <w:rPr>
          <w:rFonts w:hint="eastAsia" w:ascii="宋体" w:hAnsi="宋体" w:eastAsia="宋体" w:cs="宋体"/>
          <w:color w:val="auto"/>
          <w:spacing w:val="-7"/>
          <w:sz w:val="24"/>
          <w:szCs w:val="24"/>
          <w:highlight w:val="none"/>
        </w:rPr>
        <w:t>小时，若建设工程交易系统显示缴</w:t>
      </w:r>
      <w:r>
        <w:rPr>
          <w:rFonts w:hint="eastAsia" w:ascii="宋体" w:hAnsi="宋体" w:eastAsia="宋体" w:cs="宋体"/>
          <w:color w:val="auto"/>
          <w:spacing w:val="-8"/>
          <w:sz w:val="24"/>
          <w:szCs w:val="24"/>
          <w:highlight w:val="none"/>
        </w:rPr>
        <w:t>纳投标保证（包括投标保证金、</w:t>
      </w:r>
      <w:r>
        <w:rPr>
          <w:rFonts w:hint="eastAsia" w:ascii="宋体" w:hAnsi="宋体" w:eastAsia="宋体" w:cs="宋体"/>
          <w:color w:val="auto"/>
          <w:spacing w:val="-2"/>
          <w:sz w:val="24"/>
          <w:szCs w:val="24"/>
          <w:highlight w:val="none"/>
        </w:rPr>
        <w:t>投标保证担保、投标保证保险）的投标人数量不足</w:t>
      </w:r>
      <w:r>
        <w:rPr>
          <w:rFonts w:hint="eastAsia" w:ascii="宋体" w:hAnsi="宋体" w:eastAsia="宋体" w:cs="宋体"/>
          <w:color w:val="auto"/>
          <w:spacing w:val="-42"/>
          <w:sz w:val="24"/>
          <w:szCs w:val="24"/>
          <w:highlight w:val="none"/>
        </w:rPr>
        <w:t xml:space="preserve"> </w:t>
      </w: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个时，招标人将取消原定于次日</w:t>
      </w:r>
      <w:r>
        <w:rPr>
          <w:rFonts w:hint="eastAsia" w:ascii="宋体" w:hAnsi="宋体" w:eastAsia="宋体" w:cs="宋体"/>
          <w:color w:val="auto"/>
          <w:spacing w:val="-1"/>
          <w:sz w:val="24"/>
          <w:szCs w:val="24"/>
          <w:highlight w:val="none"/>
        </w:rPr>
        <w:t>召开的开标活动。投标人可在投标保证缴纳截止时间（见本章</w:t>
      </w:r>
      <w:r>
        <w:rPr>
          <w:rFonts w:hint="eastAsia" w:ascii="宋体" w:hAnsi="宋体" w:eastAsia="宋体" w:cs="宋体"/>
          <w:color w:val="auto"/>
          <w:spacing w:val="-2"/>
          <w:sz w:val="24"/>
          <w:szCs w:val="24"/>
          <w:highlight w:val="none"/>
        </w:rPr>
        <w:t>第二节“重要事项时间</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地点一览表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”）至电子投标截止时间（见本章第二节“重要事项时间地点一览</w:t>
      </w:r>
      <w:r>
        <w:rPr>
          <w:rFonts w:hint="eastAsia" w:ascii="宋体" w:hAnsi="宋体" w:eastAsia="宋体" w:cs="宋体"/>
          <w:color w:val="auto"/>
          <w:spacing w:val="-2"/>
          <w:sz w:val="24"/>
          <w:szCs w:val="24"/>
          <w:highlight w:val="none"/>
        </w:rPr>
        <w:t>表</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期间登录全国公共资源交易平台（广东省</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22"/>
          <w:sz w:val="24"/>
          <w:szCs w:val="24"/>
          <w:highlight w:val="none"/>
        </w:rPr>
        <w:t>）（</w:t>
      </w:r>
      <w:r>
        <w:rPr>
          <w:rFonts w:hint="eastAsia" w:ascii="宋体" w:hAnsi="宋体" w:eastAsia="宋体" w:cs="宋体"/>
          <w:color w:val="auto"/>
          <w:spacing w:val="-2"/>
          <w:sz w:val="24"/>
          <w:szCs w:val="24"/>
          <w:highlight w:val="none"/>
        </w:rPr>
        <w:t>https://ygp.gdzwfw.gov.cn/</w:t>
      </w:r>
      <w:r>
        <w:rPr>
          <w:rFonts w:hint="eastAsia" w:ascii="宋体" w:hAnsi="宋体" w:eastAsia="宋体" w:cs="宋体"/>
          <w:color w:val="auto"/>
          <w:sz w:val="24"/>
          <w:szCs w:val="24"/>
          <w:highlight w:val="none"/>
        </w:rPr>
        <w:t xml:space="preserve"> ggzy-portal/#/440200/index）查询是否发布了取</w:t>
      </w:r>
      <w:r>
        <w:rPr>
          <w:rFonts w:hint="eastAsia" w:ascii="宋体" w:hAnsi="宋体" w:eastAsia="宋体" w:cs="宋体"/>
          <w:color w:val="auto"/>
          <w:spacing w:val="-1"/>
          <w:sz w:val="24"/>
          <w:szCs w:val="24"/>
          <w:highlight w:val="none"/>
        </w:rPr>
        <w:t>消开标活动的相关信息。</w:t>
      </w:r>
    </w:p>
    <w:p w14:paraId="4F0435AE">
      <w:pPr>
        <w:spacing w:before="159" w:line="319" w:lineRule="auto"/>
        <w:ind w:left="10" w:right="80" w:firstLine="49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14.1.3</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本项目实行全流程电子化招标投标，投标人在交易平台按要求上传加盖电</w:t>
      </w:r>
      <w:r>
        <w:rPr>
          <w:rFonts w:hint="eastAsia" w:ascii="宋体" w:hAnsi="宋体" w:eastAsia="宋体" w:cs="宋体"/>
          <w:color w:val="auto"/>
          <w:spacing w:val="-1"/>
          <w:sz w:val="24"/>
          <w:szCs w:val="24"/>
          <w:highlight w:val="none"/>
        </w:rPr>
        <w:t>子印章并经加密的电子投标文件，并在交易平台录入准确的</w:t>
      </w:r>
      <w:r>
        <w:rPr>
          <w:rFonts w:hint="eastAsia" w:ascii="宋体" w:hAnsi="宋体" w:eastAsia="宋体" w:cs="宋体"/>
          <w:color w:val="auto"/>
          <w:spacing w:val="-2"/>
          <w:sz w:val="24"/>
          <w:szCs w:val="24"/>
          <w:highlight w:val="none"/>
        </w:rPr>
        <w:t>页码信息即可完成在线投</w:t>
      </w:r>
      <w:r>
        <w:rPr>
          <w:rFonts w:hint="eastAsia" w:ascii="宋体" w:hAnsi="宋体" w:eastAsia="宋体" w:cs="宋体"/>
          <w:color w:val="auto"/>
          <w:spacing w:val="-1"/>
          <w:sz w:val="24"/>
          <w:szCs w:val="24"/>
          <w:highlight w:val="none"/>
        </w:rPr>
        <w:t>标</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由于投标人原因导致未按投标截至时限上传完整投标文</w:t>
      </w:r>
      <w:r>
        <w:rPr>
          <w:rFonts w:hint="eastAsia" w:ascii="宋体" w:hAnsi="宋体" w:eastAsia="宋体" w:cs="宋体"/>
          <w:color w:val="auto"/>
          <w:spacing w:val="-2"/>
          <w:sz w:val="24"/>
          <w:szCs w:val="24"/>
          <w:highlight w:val="none"/>
        </w:rPr>
        <w:t>件、在交易平台中上传的</w:t>
      </w:r>
      <w:r>
        <w:rPr>
          <w:rFonts w:hint="eastAsia" w:ascii="宋体" w:hAnsi="宋体" w:eastAsia="宋体" w:cs="宋体"/>
          <w:color w:val="auto"/>
          <w:spacing w:val="-1"/>
          <w:sz w:val="24"/>
          <w:szCs w:val="24"/>
          <w:highlight w:val="none"/>
        </w:rPr>
        <w:t>投标文件无法解密、投标文件损坏或格式不正确、投标文件</w:t>
      </w:r>
      <w:r>
        <w:rPr>
          <w:rFonts w:hint="eastAsia" w:ascii="宋体" w:hAnsi="宋体" w:eastAsia="宋体" w:cs="宋体"/>
          <w:color w:val="auto"/>
          <w:spacing w:val="-2"/>
          <w:sz w:val="24"/>
          <w:szCs w:val="24"/>
          <w:highlight w:val="none"/>
        </w:rPr>
        <w:t>未按招标文件要求加盖电</w:t>
      </w:r>
      <w:r>
        <w:rPr>
          <w:rFonts w:hint="eastAsia" w:ascii="宋体" w:hAnsi="宋体" w:eastAsia="宋体" w:cs="宋体"/>
          <w:color w:val="auto"/>
          <w:spacing w:val="-1"/>
          <w:sz w:val="24"/>
          <w:szCs w:val="24"/>
          <w:highlight w:val="none"/>
        </w:rPr>
        <w:t>子印章或电子印章不完整、电子投标文件解密失败且未按要</w:t>
      </w:r>
      <w:r>
        <w:rPr>
          <w:rFonts w:hint="eastAsia" w:ascii="宋体" w:hAnsi="宋体" w:eastAsia="宋体" w:cs="宋体"/>
          <w:color w:val="auto"/>
          <w:spacing w:val="-2"/>
          <w:sz w:val="24"/>
          <w:szCs w:val="24"/>
          <w:highlight w:val="none"/>
        </w:rPr>
        <w:t>求上传备用投标文件等情</w:t>
      </w:r>
      <w:r>
        <w:rPr>
          <w:rFonts w:hint="eastAsia" w:ascii="宋体" w:hAnsi="宋体" w:eastAsia="宋体" w:cs="宋体"/>
          <w:color w:val="auto"/>
          <w:spacing w:val="-1"/>
          <w:sz w:val="24"/>
          <w:szCs w:val="24"/>
          <w:highlight w:val="none"/>
        </w:rPr>
        <w:t>形导致投标无效的，由投标人自行负责。</w:t>
      </w:r>
    </w:p>
    <w:p w14:paraId="01A13E25">
      <w:pPr>
        <w:spacing w:before="152" w:line="221"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14.2  </w:t>
      </w:r>
      <w:r>
        <w:rPr>
          <w:rFonts w:hint="eastAsia" w:ascii="宋体" w:hAnsi="宋体" w:eastAsia="宋体" w:cs="宋体"/>
          <w:color w:val="auto"/>
          <w:spacing w:val="-2"/>
          <w:sz w:val="24"/>
          <w:szCs w:val="24"/>
          <w:highlight w:val="none"/>
        </w:rPr>
        <w:t>开标程序</w:t>
      </w:r>
    </w:p>
    <w:p w14:paraId="3F266000">
      <w:pPr>
        <w:spacing w:before="42" w:line="219" w:lineRule="auto"/>
        <w:ind w:left="501"/>
        <w:outlineLvl w:val="9"/>
        <w:rPr>
          <w:rFonts w:hint="eastAsia" w:ascii="宋体" w:hAnsi="宋体" w:eastAsia="宋体" w:cs="宋体"/>
          <w:color w:val="auto"/>
          <w:sz w:val="24"/>
          <w:szCs w:val="24"/>
          <w:highlight w:val="none"/>
        </w:rPr>
      </w:pPr>
      <w:bookmarkStart w:id="65" w:name="_Toc10685"/>
      <w:bookmarkStart w:id="66" w:name="_Toc15587"/>
      <w:bookmarkStart w:id="67" w:name="_Toc8314"/>
      <w:bookmarkStart w:id="68" w:name="_Toc10291"/>
      <w:r>
        <w:rPr>
          <w:rFonts w:hint="eastAsia" w:ascii="宋体" w:hAnsi="宋体" w:eastAsia="宋体" w:cs="宋体"/>
          <w:color w:val="auto"/>
          <w:spacing w:val="-1"/>
          <w:sz w:val="24"/>
          <w:szCs w:val="24"/>
          <w:highlight w:val="none"/>
        </w:rPr>
        <w:t>（1）主持人（招标人代表或招标人授权的招标代理机构人员）宣读开标纪律。</w:t>
      </w:r>
      <w:bookmarkEnd w:id="65"/>
      <w:bookmarkEnd w:id="66"/>
      <w:bookmarkEnd w:id="67"/>
      <w:bookmarkEnd w:id="68"/>
    </w:p>
    <w:p w14:paraId="3C99B892">
      <w:pPr>
        <w:spacing w:before="181" w:line="219" w:lineRule="auto"/>
        <w:ind w:left="501"/>
        <w:outlineLvl w:val="9"/>
        <w:rPr>
          <w:rFonts w:hint="eastAsia" w:ascii="宋体" w:hAnsi="宋体" w:eastAsia="宋体" w:cs="宋体"/>
          <w:color w:val="auto"/>
          <w:sz w:val="24"/>
          <w:szCs w:val="24"/>
          <w:highlight w:val="none"/>
        </w:rPr>
      </w:pPr>
      <w:bookmarkStart w:id="69" w:name="_Toc20238"/>
      <w:bookmarkStart w:id="70" w:name="_Toc16292"/>
      <w:bookmarkStart w:id="71" w:name="_Toc2011"/>
      <w:bookmarkStart w:id="72" w:name="_Toc30853"/>
      <w:r>
        <w:rPr>
          <w:rFonts w:hint="eastAsia" w:ascii="宋体" w:hAnsi="宋体" w:eastAsia="宋体" w:cs="宋体"/>
          <w:color w:val="auto"/>
          <w:spacing w:val="-1"/>
          <w:sz w:val="24"/>
          <w:szCs w:val="24"/>
          <w:highlight w:val="none"/>
        </w:rPr>
        <w:t>（2）主持人宣布唱标人、记录人、见证人、监督人等有关人员姓名。</w:t>
      </w:r>
      <w:bookmarkEnd w:id="69"/>
      <w:bookmarkEnd w:id="70"/>
      <w:bookmarkEnd w:id="71"/>
      <w:bookmarkEnd w:id="72"/>
    </w:p>
    <w:p w14:paraId="19271947">
      <w:pPr>
        <w:spacing w:before="183" w:line="219" w:lineRule="auto"/>
        <w:ind w:left="501"/>
        <w:outlineLvl w:val="9"/>
        <w:rPr>
          <w:rFonts w:hint="eastAsia" w:ascii="宋体" w:hAnsi="宋体" w:eastAsia="宋体" w:cs="宋体"/>
          <w:color w:val="auto"/>
          <w:sz w:val="24"/>
          <w:szCs w:val="24"/>
          <w:highlight w:val="none"/>
          <w:lang w:eastAsia="zh-CN"/>
        </w:rPr>
      </w:pPr>
      <w:bookmarkStart w:id="73" w:name="_Toc1974"/>
      <w:bookmarkStart w:id="74" w:name="_Toc26494"/>
      <w:bookmarkStart w:id="75" w:name="_Toc31716"/>
      <w:bookmarkStart w:id="76" w:name="_Toc17462"/>
      <w:r>
        <w:rPr>
          <w:rFonts w:hint="eastAsia" w:ascii="宋体" w:hAnsi="宋体" w:eastAsia="宋体" w:cs="宋体"/>
          <w:color w:val="auto"/>
          <w:spacing w:val="-1"/>
          <w:sz w:val="24"/>
          <w:szCs w:val="24"/>
          <w:highlight w:val="none"/>
        </w:rPr>
        <w:t>（3）唱标人公布在投标截止时间前进行投标文件的投标人数量和名称</w:t>
      </w:r>
      <w:bookmarkEnd w:id="73"/>
      <w:bookmarkEnd w:id="74"/>
      <w:bookmarkEnd w:id="75"/>
      <w:bookmarkEnd w:id="76"/>
      <w:r>
        <w:rPr>
          <w:rFonts w:hint="eastAsia" w:ascii="宋体" w:hAnsi="宋体" w:eastAsia="宋体" w:cs="宋体"/>
          <w:color w:val="auto"/>
          <w:spacing w:val="-1"/>
          <w:sz w:val="24"/>
          <w:szCs w:val="24"/>
          <w:highlight w:val="none"/>
          <w:lang w:eastAsia="zh-CN"/>
        </w:rPr>
        <w:t>。</w:t>
      </w:r>
    </w:p>
    <w:p w14:paraId="4C6D83AB">
      <w:pPr>
        <w:spacing w:before="181" w:line="219" w:lineRule="auto"/>
        <w:ind w:left="501"/>
        <w:outlineLvl w:val="9"/>
        <w:rPr>
          <w:rFonts w:hint="eastAsia" w:ascii="宋体" w:hAnsi="宋体" w:eastAsia="宋体" w:cs="宋体"/>
          <w:color w:val="auto"/>
          <w:sz w:val="24"/>
          <w:szCs w:val="24"/>
          <w:highlight w:val="none"/>
        </w:rPr>
      </w:pPr>
      <w:bookmarkStart w:id="77" w:name="_Toc27967"/>
      <w:bookmarkStart w:id="78" w:name="_Toc20559"/>
      <w:bookmarkStart w:id="79" w:name="_Toc15860"/>
      <w:bookmarkStart w:id="80" w:name="_Toc8179"/>
      <w:r>
        <w:rPr>
          <w:rFonts w:hint="eastAsia" w:ascii="宋体" w:hAnsi="宋体" w:eastAsia="宋体" w:cs="宋体"/>
          <w:color w:val="auto"/>
          <w:spacing w:val="2"/>
          <w:sz w:val="24"/>
          <w:szCs w:val="24"/>
          <w:highlight w:val="none"/>
        </w:rPr>
        <w:t>（4）招标代理机构在交易场所工作人员的见证下会同交易场所工作人员对投标人的</w:t>
      </w:r>
      <w:r>
        <w:rPr>
          <w:rFonts w:hint="eastAsia" w:ascii="宋体" w:hAnsi="宋体" w:eastAsia="宋体" w:cs="宋体"/>
          <w:color w:val="auto"/>
          <w:spacing w:val="1"/>
          <w:sz w:val="24"/>
          <w:szCs w:val="24"/>
          <w:highlight w:val="none"/>
        </w:rPr>
        <w:t>电子投标信息进行解密</w:t>
      </w:r>
      <w:bookmarkEnd w:id="77"/>
      <w:bookmarkEnd w:id="78"/>
      <w:bookmarkEnd w:id="79"/>
      <w:bookmarkEnd w:id="80"/>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建设工程交易系统自动生成《投标保证缴纳情况表》和《开标一览表》。</w:t>
      </w:r>
    </w:p>
    <w:p w14:paraId="0A1A93F2">
      <w:pPr>
        <w:spacing w:before="182" w:line="360" w:lineRule="auto"/>
        <w:ind w:firstLine="466" w:firstLineChars="200"/>
        <w:outlineLvl w:val="9"/>
        <w:rPr>
          <w:rFonts w:hint="eastAsia" w:ascii="宋体" w:hAnsi="宋体" w:eastAsia="宋体" w:cs="宋体"/>
          <w:color w:val="auto"/>
          <w:sz w:val="24"/>
          <w:szCs w:val="24"/>
          <w:highlight w:val="none"/>
        </w:rPr>
      </w:pPr>
      <w:bookmarkStart w:id="81" w:name="_Toc28812"/>
      <w:bookmarkStart w:id="82" w:name="_Toc28266"/>
      <w:bookmarkStart w:id="83" w:name="_Toc2199"/>
      <w:bookmarkStart w:id="84" w:name="_Toc26216"/>
      <w:r>
        <w:rPr>
          <w:rFonts w:hint="eastAsia" w:ascii="宋体" w:hAnsi="宋体" w:eastAsia="宋体" w:cs="宋体"/>
          <w:b/>
          <w:bCs/>
          <w:color w:val="auto"/>
          <w:spacing w:val="-4"/>
          <w:sz w:val="24"/>
          <w:szCs w:val="24"/>
          <w:highlight w:val="none"/>
        </w:rPr>
        <w:t>温馨提示：因本项目实行全流程电子化招标投标，投标人无须进行现场签到，可</w:t>
      </w:r>
      <w:bookmarkEnd w:id="81"/>
      <w:bookmarkEnd w:id="82"/>
      <w:bookmarkEnd w:id="83"/>
      <w:r>
        <w:rPr>
          <w:rFonts w:hint="eastAsia" w:ascii="宋体" w:hAnsi="宋体" w:eastAsia="宋体" w:cs="宋体"/>
          <w:b/>
          <w:bCs/>
          <w:color w:val="auto"/>
          <w:spacing w:val="-4"/>
          <w:sz w:val="24"/>
          <w:szCs w:val="24"/>
          <w:highlight w:val="none"/>
        </w:rPr>
        <w:t>登录交易平台观看开标实况、提出异议或进行澄清、确认等操作，对开标事项的异议</w:t>
      </w:r>
      <w:r>
        <w:rPr>
          <w:rFonts w:hint="eastAsia" w:ascii="宋体" w:hAnsi="宋体" w:eastAsia="宋体" w:cs="宋体"/>
          <w:b/>
          <w:bCs/>
          <w:color w:val="auto"/>
          <w:spacing w:val="-2"/>
          <w:sz w:val="24"/>
          <w:szCs w:val="24"/>
          <w:highlight w:val="none"/>
        </w:rPr>
        <w:t>未在开标期间提出的，招标</w:t>
      </w:r>
      <w:r>
        <w:rPr>
          <w:rFonts w:hint="eastAsia" w:ascii="宋体" w:hAnsi="宋体" w:eastAsia="宋体" w:cs="宋体"/>
          <w:b/>
          <w:bCs/>
          <w:color w:val="auto"/>
          <w:spacing w:val="-2"/>
          <w:sz w:val="24"/>
          <w:szCs w:val="24"/>
          <w:highlight w:val="none"/>
          <w:lang w:eastAsia="zh-CN"/>
        </w:rPr>
        <w:t>人不</w:t>
      </w:r>
      <w:r>
        <w:rPr>
          <w:rFonts w:hint="eastAsia" w:ascii="宋体" w:hAnsi="宋体" w:eastAsia="宋体" w:cs="宋体"/>
          <w:b/>
          <w:bCs/>
          <w:color w:val="auto"/>
          <w:spacing w:val="-2"/>
          <w:sz w:val="24"/>
          <w:szCs w:val="24"/>
          <w:highlight w:val="none"/>
        </w:rPr>
        <w:t>予受理。具体按招标文件和系统操作手册为</w:t>
      </w:r>
      <w:r>
        <w:rPr>
          <w:rFonts w:hint="eastAsia" w:ascii="宋体" w:hAnsi="宋体" w:eastAsia="宋体" w:cs="宋体"/>
          <w:b/>
          <w:bCs/>
          <w:color w:val="auto"/>
          <w:spacing w:val="-3"/>
          <w:sz w:val="24"/>
          <w:szCs w:val="24"/>
          <w:highlight w:val="none"/>
        </w:rPr>
        <w:t>准。</w:t>
      </w:r>
      <w:bookmarkEnd w:id="84"/>
    </w:p>
    <w:p w14:paraId="230C0802">
      <w:pPr>
        <w:spacing w:before="143" w:line="299" w:lineRule="auto"/>
        <w:ind w:left="11" w:right="80"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14.3  </w:t>
      </w:r>
      <w:r>
        <w:rPr>
          <w:rFonts w:hint="eastAsia" w:ascii="宋体" w:hAnsi="宋体" w:eastAsia="宋体" w:cs="宋体"/>
          <w:color w:val="auto"/>
          <w:spacing w:val="-3"/>
          <w:sz w:val="24"/>
          <w:szCs w:val="24"/>
          <w:highlight w:val="none"/>
        </w:rPr>
        <w:t>投标人对开标相关事项（如开标程序等）有异议的，必须在开标期间和开标</w:t>
      </w:r>
      <w:r>
        <w:rPr>
          <w:rFonts w:hint="eastAsia" w:ascii="宋体" w:hAnsi="宋体" w:eastAsia="宋体" w:cs="宋体"/>
          <w:color w:val="auto"/>
          <w:spacing w:val="-1"/>
          <w:sz w:val="24"/>
          <w:szCs w:val="24"/>
          <w:highlight w:val="none"/>
        </w:rPr>
        <w:t>现场提出，招标人或其授权的招标代理机构应当场作出答</w:t>
      </w:r>
      <w:r>
        <w:rPr>
          <w:rFonts w:hint="eastAsia" w:ascii="宋体" w:hAnsi="宋体" w:eastAsia="宋体" w:cs="宋体"/>
          <w:color w:val="auto"/>
          <w:spacing w:val="-2"/>
          <w:sz w:val="24"/>
          <w:szCs w:val="24"/>
          <w:highlight w:val="none"/>
        </w:rPr>
        <w:t>复，并记录在案。对开标事</w:t>
      </w:r>
      <w:r>
        <w:rPr>
          <w:rFonts w:hint="eastAsia" w:ascii="宋体" w:hAnsi="宋体" w:eastAsia="宋体" w:cs="宋体"/>
          <w:color w:val="auto"/>
          <w:spacing w:val="-1"/>
          <w:sz w:val="24"/>
          <w:szCs w:val="24"/>
          <w:highlight w:val="none"/>
        </w:rPr>
        <w:t>项的异议未在开标期间和开标现场提出的，招标人不予受理。</w:t>
      </w:r>
    </w:p>
    <w:p w14:paraId="3F93A9EF">
      <w:pPr>
        <w:spacing w:before="155" w:line="279" w:lineRule="auto"/>
        <w:ind w:left="8" w:right="82" w:firstLine="48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 xml:space="preserve">14.4 </w:t>
      </w:r>
      <w:r>
        <w:rPr>
          <w:rFonts w:hint="eastAsia" w:ascii="宋体" w:hAnsi="宋体" w:eastAsia="宋体" w:cs="宋体"/>
          <w:color w:val="auto"/>
          <w:spacing w:val="-1"/>
          <w:sz w:val="24"/>
          <w:szCs w:val="24"/>
          <w:highlight w:val="none"/>
        </w:rPr>
        <w:t>招标代理机构将资料原件（如有）</w:t>
      </w:r>
      <w:r>
        <w:rPr>
          <w:rFonts w:hint="eastAsia" w:ascii="宋体" w:hAnsi="宋体" w:eastAsia="宋体" w:cs="宋体"/>
          <w:color w:val="auto"/>
          <w:spacing w:val="-2"/>
          <w:sz w:val="24"/>
          <w:szCs w:val="24"/>
          <w:highlight w:val="none"/>
        </w:rPr>
        <w:t>、《开标一览表》以及其他有关资料移交评标委员会。</w:t>
      </w:r>
    </w:p>
    <w:p w14:paraId="59A5BE61">
      <w:pPr>
        <w:spacing w:before="78" w:line="221" w:lineRule="auto"/>
        <w:ind w:left="496"/>
        <w:outlineLvl w:val="2"/>
        <w:rPr>
          <w:rFonts w:hint="eastAsia" w:ascii="宋体" w:hAnsi="宋体" w:eastAsia="宋体" w:cs="宋体"/>
          <w:color w:val="auto"/>
          <w:highlight w:val="none"/>
        </w:rPr>
      </w:pPr>
      <w:bookmarkStart w:id="85" w:name="_Toc961"/>
      <w:bookmarkStart w:id="86" w:name="_Toc554"/>
      <w:r>
        <w:rPr>
          <w:rFonts w:hint="eastAsia" w:ascii="宋体" w:hAnsi="宋体" w:eastAsia="宋体" w:cs="宋体"/>
          <w:b/>
          <w:bCs/>
          <w:color w:val="auto"/>
          <w:spacing w:val="-11"/>
          <w:sz w:val="24"/>
          <w:szCs w:val="24"/>
          <w:highlight w:val="none"/>
        </w:rPr>
        <w:t>15</w:t>
      </w:r>
      <w:r>
        <w:rPr>
          <w:rFonts w:hint="eastAsia" w:ascii="宋体" w:hAnsi="宋体" w:eastAsia="宋体" w:cs="宋体"/>
          <w:b/>
          <w:bCs/>
          <w:color w:val="auto"/>
          <w:spacing w:val="-28"/>
          <w:sz w:val="24"/>
          <w:szCs w:val="24"/>
          <w:highlight w:val="none"/>
        </w:rPr>
        <w:t xml:space="preserve"> </w:t>
      </w:r>
      <w:r>
        <w:rPr>
          <w:rFonts w:hint="eastAsia" w:ascii="宋体" w:hAnsi="宋体" w:eastAsia="宋体" w:cs="宋体"/>
          <w:b/>
          <w:bCs/>
          <w:color w:val="auto"/>
          <w:spacing w:val="-11"/>
          <w:sz w:val="24"/>
          <w:szCs w:val="24"/>
          <w:highlight w:val="none"/>
        </w:rPr>
        <w:t>．评标</w:t>
      </w:r>
      <w:bookmarkEnd w:id="85"/>
      <w:bookmarkEnd w:id="86"/>
    </w:p>
    <w:p w14:paraId="56C52FCC">
      <w:pPr>
        <w:keepNext w:val="0"/>
        <w:keepLines w:val="0"/>
        <w:pageBreakBefore w:val="0"/>
        <w:widowControl w:val="0"/>
        <w:kinsoku/>
        <w:wordWrap w:val="0"/>
        <w:overflowPunct/>
        <w:topLinePunct w:val="0"/>
        <w:autoSpaceDE w:val="0"/>
        <w:autoSpaceDN w:val="0"/>
        <w:bidi w:val="0"/>
        <w:adjustRightInd/>
        <w:snapToGrid/>
        <w:spacing w:before="0" w:beforeLines="50" w:line="360" w:lineRule="auto"/>
        <w:ind w:firstLine="480" w:firstLineChars="200"/>
        <w:textAlignment w:val="baseline"/>
        <w:rPr>
          <w:rFonts w:hint="eastAsia" w:ascii="宋体" w:hAnsi="宋体" w:eastAsia="宋体" w:cs="宋体"/>
          <w:snapToGrid w:val="0"/>
          <w:color w:val="auto"/>
          <w:kern w:val="0"/>
          <w:sz w:val="24"/>
          <w:szCs w:val="24"/>
          <w:highlight w:val="none"/>
        </w:rPr>
      </w:pPr>
      <w:bookmarkStart w:id="87" w:name="bookmark124"/>
      <w:bookmarkEnd w:id="87"/>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评标分为初步评审和详细评审两个阶段，由评标委员会在有关部门的监督下，严格按照本招标文件指定的评标方法，对投标人的投标文件进行审查、评审。评标委员会完成评标后，评标委员会按照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排序），并向招标人提交由全体评标委员会成员签字的评标报告。</w:t>
      </w:r>
    </w:p>
    <w:p w14:paraId="3F658121">
      <w:pPr>
        <w:spacing w:before="38" w:line="219" w:lineRule="auto"/>
        <w:ind w:left="49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15.1  </w:t>
      </w:r>
      <w:r>
        <w:rPr>
          <w:rFonts w:hint="eastAsia" w:ascii="宋体" w:hAnsi="宋体" w:eastAsia="宋体" w:cs="宋体"/>
          <w:color w:val="auto"/>
          <w:spacing w:val="-2"/>
          <w:sz w:val="24"/>
          <w:szCs w:val="24"/>
          <w:highlight w:val="none"/>
        </w:rPr>
        <w:t>评标委员会</w:t>
      </w:r>
    </w:p>
    <w:p w14:paraId="4D20598C">
      <w:pPr>
        <w:wordWrap w:val="0"/>
        <w:adjustRightInd w:val="0"/>
        <w:snapToGrid w:val="0"/>
        <w:spacing w:line="360" w:lineRule="auto"/>
        <w:ind w:firstLine="478"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1"/>
          <w:sz w:val="24"/>
          <w:szCs w:val="24"/>
          <w:highlight w:val="none"/>
        </w:rPr>
        <w:t xml:space="preserve">15.1.1 </w:t>
      </w:r>
      <w:r>
        <w:rPr>
          <w:rFonts w:hint="eastAsia" w:ascii="宋体" w:hAnsi="宋体" w:eastAsia="宋体" w:cs="宋体"/>
          <w:color w:val="auto"/>
          <w:sz w:val="24"/>
          <w:szCs w:val="24"/>
          <w:highlight w:val="none"/>
        </w:rPr>
        <w:t>评标委员会由</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人组成，其中招标人代表</w:t>
      </w:r>
      <w:r>
        <w:rPr>
          <w:rFonts w:hint="eastAsia" w:ascii="宋体" w:hAnsi="宋体" w:eastAsia="宋体" w:cs="宋体"/>
          <w:color w:val="auto"/>
          <w:sz w:val="24"/>
          <w:szCs w:val="24"/>
          <w:highlight w:val="none"/>
          <w:u w:val="single"/>
        </w:rPr>
        <w:t xml:space="preserve"> 0 </w:t>
      </w:r>
      <w:r>
        <w:rPr>
          <w:rFonts w:hint="eastAsia" w:ascii="宋体" w:hAnsi="宋体" w:eastAsia="宋体" w:cs="宋体"/>
          <w:color w:val="auto"/>
          <w:sz w:val="24"/>
          <w:szCs w:val="24"/>
          <w:highlight w:val="none"/>
        </w:rPr>
        <w:t>人，专家</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人。专家从</w:t>
      </w:r>
      <w:r>
        <w:rPr>
          <w:rFonts w:hint="eastAsia" w:ascii="宋体" w:hAnsi="宋体" w:eastAsia="宋体" w:cs="宋体"/>
          <w:color w:val="auto"/>
          <w:sz w:val="24"/>
          <w:szCs w:val="24"/>
          <w:highlight w:val="none"/>
          <w:u w:val="single"/>
        </w:rPr>
        <w:t>广东省综合评标评审专家库</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韶关区域</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rPr>
        <w:t>中随机抽取，其中技术类专家</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人，经济类专家</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人。</w:t>
      </w:r>
      <w:r>
        <w:rPr>
          <w:rFonts w:hint="eastAsia" w:ascii="宋体" w:hAnsi="宋体" w:eastAsia="宋体" w:cs="宋体"/>
          <w:color w:val="auto"/>
          <w:spacing w:val="-1"/>
          <w:sz w:val="24"/>
          <w:szCs w:val="24"/>
          <w:highlight w:val="none"/>
        </w:rPr>
        <w:t>评标委员会设负责人，由评标委员会成员推举产生</w:t>
      </w:r>
      <w:r>
        <w:rPr>
          <w:rFonts w:hint="eastAsia" w:ascii="宋体" w:hAnsi="宋体" w:eastAsia="宋体" w:cs="宋体"/>
          <w:color w:val="auto"/>
          <w:spacing w:val="-2"/>
          <w:sz w:val="24"/>
          <w:szCs w:val="24"/>
          <w:highlight w:val="none"/>
        </w:rPr>
        <w:t>。评标委员会负责人与评</w:t>
      </w:r>
      <w:r>
        <w:rPr>
          <w:rFonts w:hint="eastAsia" w:ascii="宋体" w:hAnsi="宋体" w:eastAsia="宋体" w:cs="宋体"/>
          <w:color w:val="auto"/>
          <w:spacing w:val="-1"/>
          <w:sz w:val="24"/>
          <w:szCs w:val="24"/>
          <w:highlight w:val="none"/>
        </w:rPr>
        <w:t>标委员会的其他成员有同等的表决权。</w:t>
      </w:r>
    </w:p>
    <w:p w14:paraId="7A55258E">
      <w:pPr>
        <w:wordWrap w:val="0"/>
        <w:adjustRightInd w:val="0"/>
        <w:snapToGrid w:val="0"/>
        <w:spacing w:line="360" w:lineRule="auto"/>
        <w:ind w:firstLine="474" w:firstLineChars="200"/>
        <w:rPr>
          <w:rFonts w:hint="eastAsia" w:ascii="宋体" w:hAnsi="宋体" w:eastAsia="宋体" w:cs="宋体"/>
          <w:snapToGrid w:val="0"/>
          <w:color w:val="auto"/>
          <w:kern w:val="0"/>
          <w:sz w:val="24"/>
          <w:highlight w:val="none"/>
        </w:rPr>
      </w:pPr>
      <w:r>
        <w:rPr>
          <w:rFonts w:hint="eastAsia" w:ascii="宋体" w:hAnsi="宋体" w:eastAsia="宋体" w:cs="宋体"/>
          <w:b/>
          <w:bCs/>
          <w:color w:val="auto"/>
          <w:spacing w:val="-2"/>
          <w:sz w:val="24"/>
          <w:szCs w:val="24"/>
          <w:highlight w:val="none"/>
        </w:rPr>
        <w:t>15.1.2</w:t>
      </w:r>
      <w:r>
        <w:rPr>
          <w:rFonts w:hint="eastAsia" w:ascii="宋体" w:hAnsi="宋体" w:eastAsia="宋体" w:cs="宋体"/>
          <w:snapToGrid w:val="0"/>
          <w:color w:val="auto"/>
          <w:kern w:val="0"/>
          <w:sz w:val="24"/>
          <w:highlight w:val="none"/>
        </w:rPr>
        <w:t xml:space="preserve"> </w:t>
      </w:r>
      <w:r>
        <w:rPr>
          <w:rFonts w:hint="eastAsia" w:ascii="宋体" w:hAnsi="宋体" w:eastAsia="宋体" w:cs="宋体"/>
          <w:snapToGrid w:val="0"/>
          <w:color w:val="auto"/>
          <w:kern w:val="0"/>
          <w:sz w:val="24"/>
          <w:highlight w:val="none"/>
          <w:lang w:eastAsia="zh-CN"/>
        </w:rPr>
        <w:t>评标专家</w:t>
      </w:r>
      <w:r>
        <w:rPr>
          <w:rFonts w:hint="eastAsia" w:ascii="宋体" w:hAnsi="宋体" w:eastAsia="宋体" w:cs="宋体"/>
          <w:snapToGrid w:val="0"/>
          <w:color w:val="auto"/>
          <w:kern w:val="0"/>
          <w:sz w:val="24"/>
          <w:highlight w:val="none"/>
        </w:rPr>
        <w:t>应按时参加评标活动，自觉遵守工作纪律和服从现场管理</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采用远程异地评标方式评标的</w:t>
      </w:r>
      <w:r>
        <w:rPr>
          <w:rFonts w:hint="eastAsia" w:ascii="宋体" w:hAnsi="宋体" w:eastAsia="宋体" w:cs="宋体"/>
          <w:snapToGrid w:val="0"/>
          <w:color w:val="auto"/>
          <w:kern w:val="0"/>
          <w:sz w:val="24"/>
          <w:highlight w:val="none"/>
          <w:lang w:eastAsia="zh-CN"/>
        </w:rPr>
        <w:t>，</w:t>
      </w:r>
      <w:r>
        <w:rPr>
          <w:rFonts w:hint="eastAsia" w:ascii="宋体" w:hAnsi="宋体" w:eastAsia="宋体" w:cs="宋体"/>
          <w:snapToGrid w:val="0"/>
          <w:color w:val="auto"/>
          <w:kern w:val="0"/>
          <w:sz w:val="24"/>
          <w:highlight w:val="none"/>
        </w:rPr>
        <w:t>主场、副场各自负责本场所</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成员身份核验和签到工作，统一保管其通讯工具，指引评标专家至远程异地评标室，并为其提供技术协助和服务。在评标过程中如遇评标专家对投标文件存在疑问或意见分歧的，应由</w:t>
      </w:r>
      <w:r>
        <w:rPr>
          <w:rFonts w:hint="eastAsia" w:ascii="宋体" w:hAnsi="宋体" w:eastAsia="宋体" w:cs="宋体"/>
          <w:snapToGrid w:val="0"/>
          <w:color w:val="auto"/>
          <w:kern w:val="0"/>
          <w:sz w:val="24"/>
          <w:highlight w:val="none"/>
          <w:lang w:eastAsia="zh-CN"/>
        </w:rPr>
        <w:t>评标委员会</w:t>
      </w:r>
      <w:r>
        <w:rPr>
          <w:rFonts w:hint="eastAsia" w:ascii="宋体" w:hAnsi="宋体" w:eastAsia="宋体" w:cs="宋体"/>
          <w:snapToGrid w:val="0"/>
          <w:color w:val="auto"/>
          <w:kern w:val="0"/>
          <w:sz w:val="24"/>
          <w:highlight w:val="none"/>
        </w:rPr>
        <w:t>成员推举产生</w:t>
      </w:r>
      <w:r>
        <w:rPr>
          <w:rFonts w:hint="eastAsia" w:ascii="宋体" w:hAnsi="宋体" w:eastAsia="宋体" w:cs="宋体"/>
          <w:snapToGrid w:val="0"/>
          <w:color w:val="auto"/>
          <w:kern w:val="0"/>
          <w:sz w:val="24"/>
          <w:highlight w:val="none"/>
          <w:lang w:eastAsia="zh-CN"/>
        </w:rPr>
        <w:t>的评标委员会组长</w:t>
      </w:r>
      <w:r>
        <w:rPr>
          <w:rFonts w:hint="eastAsia" w:ascii="宋体" w:hAnsi="宋体" w:eastAsia="宋体" w:cs="宋体"/>
          <w:snapToGrid w:val="0"/>
          <w:color w:val="auto"/>
          <w:kern w:val="0"/>
          <w:sz w:val="24"/>
          <w:highlight w:val="none"/>
        </w:rPr>
        <w:t>组织</w:t>
      </w:r>
      <w:r>
        <w:rPr>
          <w:rFonts w:hint="eastAsia" w:ascii="宋体" w:hAnsi="宋体" w:eastAsia="宋体" w:cs="宋体"/>
          <w:snapToGrid w:val="0"/>
          <w:color w:val="auto"/>
          <w:kern w:val="0"/>
          <w:sz w:val="24"/>
          <w:highlight w:val="none"/>
          <w:lang w:eastAsia="zh-CN"/>
        </w:rPr>
        <w:t>各</w:t>
      </w:r>
      <w:r>
        <w:rPr>
          <w:rFonts w:hint="eastAsia" w:ascii="宋体" w:hAnsi="宋体" w:eastAsia="宋体" w:cs="宋体"/>
          <w:snapToGrid w:val="0"/>
          <w:color w:val="auto"/>
          <w:kern w:val="0"/>
          <w:sz w:val="24"/>
          <w:highlight w:val="none"/>
        </w:rPr>
        <w:t>成员协商讨论。在评标过程中需要进行讨论或者通过实名投票方式表决意见的，应当通过视频会议系统进行，并做好相关记录。</w:t>
      </w:r>
    </w:p>
    <w:p w14:paraId="4E37D436">
      <w:pPr>
        <w:keepNext w:val="0"/>
        <w:keepLines w:val="0"/>
        <w:pageBreakBefore w:val="0"/>
        <w:shd w:val="clear" w:color="auto" w:fill="auto"/>
        <w:kinsoku/>
        <w:wordWrap/>
        <w:overflowPunct/>
        <w:topLinePunct w:val="0"/>
        <w:bidi w:val="0"/>
        <w:adjustRightInd/>
        <w:snapToGrid/>
        <w:spacing w:line="360" w:lineRule="auto"/>
        <w:ind w:left="0" w:leftChars="0" w:firstLine="474"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bCs/>
          <w:color w:val="auto"/>
          <w:sz w:val="24"/>
          <w:highlight w:val="none"/>
          <w:lang w:val="en-US" w:eastAsia="zh-CN"/>
        </w:rPr>
        <w:t>15.1.3</w:t>
      </w:r>
      <w:r>
        <w:rPr>
          <w:rFonts w:hint="eastAsia" w:ascii="宋体" w:hAnsi="宋体" w:eastAsia="宋体" w:cs="宋体"/>
          <w:color w:val="auto"/>
          <w:sz w:val="24"/>
          <w:highlight w:val="none"/>
          <w:lang w:eastAsia="zh-CN"/>
        </w:rPr>
        <w:t>评标委员会应</w:t>
      </w:r>
      <w:r>
        <w:rPr>
          <w:rFonts w:hint="eastAsia" w:ascii="宋体" w:hAnsi="宋体" w:eastAsia="宋体" w:cs="宋体"/>
          <w:color w:val="auto"/>
          <w:sz w:val="24"/>
          <w:highlight w:val="none"/>
        </w:rPr>
        <w:t>严格按照招标文件的评标办法规定的评标程序、评标标准和方法进行评标，招标文件没有规定的评标标准和方法不得作为评标的依据。</w:t>
      </w:r>
      <w:r>
        <w:rPr>
          <w:rFonts w:hint="eastAsia" w:ascii="宋体" w:hAnsi="宋体" w:eastAsia="宋体" w:cs="宋体"/>
          <w:color w:val="auto"/>
          <w:sz w:val="24"/>
          <w:highlight w:val="none"/>
          <w:lang w:eastAsia="zh-CN"/>
        </w:rPr>
        <w:t>并且</w:t>
      </w:r>
      <w:r>
        <w:rPr>
          <w:rFonts w:hint="eastAsia" w:ascii="宋体" w:hAnsi="宋体" w:eastAsia="宋体" w:cs="宋体"/>
          <w:color w:val="auto"/>
          <w:sz w:val="24"/>
          <w:highlight w:val="none"/>
        </w:rPr>
        <w:t>自觉接受有关行政部门监督，协助配合有关异议和投诉处理。采用远程异地评标方式评标的</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主场、副场评标专家在评标过程中具有同等权利和义务</w:t>
      </w:r>
    </w:p>
    <w:p w14:paraId="4AC55AA3">
      <w:pPr>
        <w:keepNext w:val="0"/>
        <w:keepLines w:val="0"/>
        <w:pageBreakBefore w:val="0"/>
        <w:shd w:val="clear" w:color="auto" w:fill="auto"/>
        <w:kinsoku/>
        <w:wordWrap/>
        <w:overflowPunct/>
        <w:topLinePunct w:val="0"/>
        <w:bidi w:val="0"/>
        <w:adjustRightInd/>
        <w:snapToGrid/>
        <w:spacing w:line="360" w:lineRule="auto"/>
        <w:ind w:left="0" w:leftChars="0" w:firstLine="482"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15.1.4</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应切实履行评标职责，对同一个问题不一致的，按程序要求记录。</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实行少数服从多数的原则，以记名投票方式表决，评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结果经</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全体成员过半数通过有效。</w:t>
      </w:r>
    </w:p>
    <w:p w14:paraId="3E5FD587">
      <w:pPr>
        <w:wordWrap w:val="0"/>
        <w:adjustRightInd w:val="0"/>
        <w:snapToGrid w:val="0"/>
        <w:spacing w:line="360" w:lineRule="auto"/>
        <w:ind w:firstLine="560"/>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15.1.5</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成员应当独立、客观、公正地对投标文件提出评审意见，对评审结果签字确认，并对所提出的评审意见承担个人责任。禁止</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成员将个人意见强加给他人，影响正常评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秩序和妨碍评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结论的公正性。对评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结果有不同意见的</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成员应当以书面形式说明其不同意见和理由，</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应当注明该不同意见。</w:t>
      </w:r>
      <w:r>
        <w:rPr>
          <w:rFonts w:hint="eastAsia" w:ascii="宋体" w:hAnsi="宋体" w:eastAsia="宋体" w:cs="宋体"/>
          <w:color w:val="auto"/>
          <w:sz w:val="24"/>
          <w:highlight w:val="none"/>
          <w:lang w:eastAsia="zh-CN"/>
        </w:rPr>
        <w:t>评标委员会</w:t>
      </w:r>
      <w:r>
        <w:rPr>
          <w:rFonts w:hint="eastAsia" w:ascii="宋体" w:hAnsi="宋体" w:eastAsia="宋体" w:cs="宋体"/>
          <w:color w:val="auto"/>
          <w:sz w:val="24"/>
          <w:highlight w:val="none"/>
        </w:rPr>
        <w:t>成员拒绝在</w:t>
      </w:r>
      <w:r>
        <w:rPr>
          <w:rFonts w:hint="eastAsia" w:ascii="宋体" w:hAnsi="宋体" w:eastAsia="宋体" w:cs="宋体"/>
          <w:color w:val="auto"/>
          <w:sz w:val="24"/>
          <w:highlight w:val="none"/>
          <w:lang w:eastAsia="zh-CN"/>
        </w:rPr>
        <w:t>资格后审报告（</w:t>
      </w:r>
      <w:r>
        <w:rPr>
          <w:rFonts w:hint="eastAsia" w:ascii="宋体" w:hAnsi="宋体" w:eastAsia="宋体" w:cs="宋体"/>
          <w:color w:val="auto"/>
          <w:sz w:val="24"/>
          <w:highlight w:val="none"/>
        </w:rPr>
        <w:t>评标报告</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上签字又不书面说明其不同意见和理由的，视为同意评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结果。</w:t>
      </w:r>
    </w:p>
    <w:p w14:paraId="735AE7C4">
      <w:pPr>
        <w:wordWrap w:val="0"/>
        <w:adjustRightInd w:val="0"/>
        <w:snapToGrid w:val="0"/>
        <w:spacing w:line="360" w:lineRule="auto"/>
        <w:ind w:firstLine="560"/>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15.2</w:t>
      </w:r>
      <w:r>
        <w:rPr>
          <w:rFonts w:hint="eastAsia" w:ascii="宋体" w:hAnsi="宋体" w:eastAsia="宋体" w:cs="宋体"/>
          <w:b/>
          <w:color w:val="auto"/>
          <w:sz w:val="24"/>
          <w:highlight w:val="none"/>
        </w:rPr>
        <w:t>评标过程的回避</w:t>
      </w:r>
    </w:p>
    <w:p w14:paraId="43C213A6">
      <w:pPr>
        <w:spacing w:before="32" w:line="280" w:lineRule="auto"/>
        <w:ind w:left="13" w:right="7" w:firstLine="56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15.2.1</w:t>
      </w:r>
      <w:r>
        <w:rPr>
          <w:rFonts w:hint="eastAsia" w:ascii="宋体" w:hAnsi="宋体" w:eastAsia="宋体" w:cs="宋体"/>
          <w:color w:val="auto"/>
          <w:spacing w:val="-2"/>
          <w:sz w:val="24"/>
          <w:szCs w:val="24"/>
          <w:highlight w:val="none"/>
        </w:rPr>
        <w:t>评标委员会应认真、公正、诚实、廉洁地履行职责。有下列情形之一的，不得担任评标委员会成员：</w:t>
      </w:r>
    </w:p>
    <w:p w14:paraId="2DA95EDB">
      <w:pPr>
        <w:spacing w:before="154"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（1）投标人或投标人主要负责人的近亲属；</w:t>
      </w:r>
    </w:p>
    <w:p w14:paraId="2649253E">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（2）项目主管部门或者行政监督部门的人员；</w:t>
      </w:r>
    </w:p>
    <w:p w14:paraId="40156D8D">
      <w:pPr>
        <w:spacing w:before="155" w:line="221" w:lineRule="auto"/>
        <w:ind w:left="58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（3）与投标人有经济利益关系，可能影响对投标公正评审的；</w:t>
      </w:r>
    </w:p>
    <w:p w14:paraId="6C5C96B2">
      <w:pPr>
        <w:spacing w:before="153" w:line="279" w:lineRule="auto"/>
        <w:ind w:left="8" w:right="65" w:firstLine="57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（4）曾因在招标、评标以及其他与招标投标有关活动中从事违法行为而受过行政处罚或刑事处罚的。</w:t>
      </w:r>
    </w:p>
    <w:p w14:paraId="39BF5806">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15.2.2</w:t>
      </w:r>
      <w:r>
        <w:rPr>
          <w:rFonts w:hint="eastAsia" w:ascii="宋体" w:hAnsi="宋体" w:eastAsia="宋体" w:cs="宋体"/>
          <w:b w:val="0"/>
          <w:bCs w:val="0"/>
          <w:color w:val="auto"/>
          <w:sz w:val="24"/>
          <w:highlight w:val="none"/>
          <w:lang w:eastAsia="zh-CN"/>
        </w:rPr>
        <w:t>评标委员会</w:t>
      </w:r>
      <w:r>
        <w:rPr>
          <w:rFonts w:hint="eastAsia" w:ascii="宋体" w:hAnsi="宋体" w:eastAsia="宋体" w:cs="宋体"/>
          <w:color w:val="auto"/>
          <w:sz w:val="24"/>
          <w:highlight w:val="none"/>
        </w:rPr>
        <w:t>专家不主动提出回避的，一经发现，应立即终止其评标活动，已完成评标活动的，其评标结果无效。</w:t>
      </w:r>
    </w:p>
    <w:p w14:paraId="56AD1F2C">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b/>
          <w:color w:val="auto"/>
          <w:sz w:val="24"/>
          <w:highlight w:val="none"/>
        </w:rPr>
      </w:pPr>
      <w:r>
        <w:rPr>
          <w:rFonts w:hint="eastAsia" w:ascii="宋体" w:hAnsi="宋体" w:cs="宋体"/>
          <w:b/>
          <w:bCs/>
          <w:snapToGrid w:val="0"/>
          <w:color w:val="auto"/>
          <w:kern w:val="0"/>
          <w:sz w:val="24"/>
          <w:highlight w:val="none"/>
          <w:lang w:val="en-US" w:eastAsia="zh-CN"/>
        </w:rPr>
        <w:t>15.3</w:t>
      </w:r>
      <w:r>
        <w:rPr>
          <w:rFonts w:hint="eastAsia" w:ascii="宋体" w:hAnsi="宋体" w:cs="宋体"/>
          <w:snapToGrid w:val="0"/>
          <w:color w:val="auto"/>
          <w:kern w:val="0"/>
          <w:sz w:val="24"/>
          <w:highlight w:val="none"/>
        </w:rPr>
        <w:t xml:space="preserve"> </w:t>
      </w:r>
      <w:r>
        <w:rPr>
          <w:rFonts w:hint="eastAsia" w:ascii="宋体" w:hAnsi="宋体" w:eastAsia="宋体" w:cs="宋体"/>
          <w:b/>
          <w:color w:val="auto"/>
          <w:sz w:val="24"/>
          <w:highlight w:val="none"/>
        </w:rPr>
        <w:t>评标过程的保密</w:t>
      </w:r>
    </w:p>
    <w:p w14:paraId="0DAD6E60">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15.3.1</w:t>
      </w:r>
      <w:r>
        <w:rPr>
          <w:rFonts w:hint="eastAsia" w:ascii="宋体" w:hAnsi="宋体" w:eastAsia="宋体" w:cs="宋体"/>
          <w:color w:val="auto"/>
          <w:kern w:val="0"/>
          <w:sz w:val="24"/>
          <w:highlight w:val="none"/>
        </w:rPr>
        <w:t xml:space="preserve"> 开标后，直至授予中标人合同为止，凡属于对投标人文件的审查、澄清、评价和比较有关的资料及与中标候选人的推荐情况，与评标有关的其他任何情况均应严格保密。</w:t>
      </w:r>
    </w:p>
    <w:p w14:paraId="25CD2F3E">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15.3.2</w:t>
      </w:r>
      <w:r>
        <w:rPr>
          <w:rFonts w:hint="eastAsia" w:ascii="宋体" w:hAnsi="宋体" w:eastAsia="宋体" w:cs="宋体"/>
          <w:color w:val="auto"/>
          <w:kern w:val="0"/>
          <w:sz w:val="24"/>
          <w:highlight w:val="none"/>
        </w:rPr>
        <w:t xml:space="preserve"> 在投标文件的评审和比较、中标候选人推荐以及授予合同的过程中，投标人向招标人和评标委员会施加影响的任何行为，都将会导致其投标被拒绝。</w:t>
      </w:r>
    </w:p>
    <w:p w14:paraId="4CFA9F5F">
      <w:pPr>
        <w:keepNext w:val="0"/>
        <w:keepLines w:val="0"/>
        <w:pageBreakBefore w:val="0"/>
        <w:shd w:val="clear" w:color="auto" w:fill="auto"/>
        <w:kinsoku/>
        <w:wordWrap/>
        <w:overflowPunct/>
        <w:topLinePunct w:val="0"/>
        <w:bidi w:val="0"/>
        <w:adjustRightInd/>
        <w:snapToGrid/>
        <w:spacing w:line="360" w:lineRule="auto"/>
        <w:ind w:left="0" w:leftChars="0" w:firstLine="480" w:firstLineChars="200"/>
        <w:jc w:val="both"/>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15.3.3</w:t>
      </w:r>
      <w:r>
        <w:rPr>
          <w:rFonts w:hint="eastAsia" w:ascii="宋体" w:hAnsi="宋体" w:eastAsia="宋体" w:cs="宋体"/>
          <w:color w:val="auto"/>
          <w:kern w:val="0"/>
          <w:sz w:val="24"/>
          <w:highlight w:val="none"/>
        </w:rPr>
        <w:t>中标人确定后，招标人不对未中标人就评标过程以及未能中标原因作出任何解释。未中标人不得向评标委员会组成人员或其他有关人员索问评标过程的情况和材料。</w:t>
      </w:r>
    </w:p>
    <w:p w14:paraId="1423E687">
      <w:pPr>
        <w:spacing w:before="154" w:line="360" w:lineRule="auto"/>
        <w:ind w:left="8" w:right="65" w:firstLine="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lang w:val="en-US" w:eastAsia="zh-CN"/>
        </w:rPr>
        <w:t>15.3.4</w:t>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评标全过程实行封闭式管理，在中标结果公</w:t>
      </w:r>
      <w:r>
        <w:rPr>
          <w:rFonts w:hint="eastAsia" w:ascii="宋体" w:hAnsi="宋体" w:eastAsia="宋体" w:cs="宋体"/>
          <w:color w:val="auto"/>
          <w:spacing w:val="-2"/>
          <w:sz w:val="24"/>
          <w:szCs w:val="24"/>
          <w:highlight w:val="none"/>
        </w:rPr>
        <w:t>布前，禁止评标委员会成员以</w:t>
      </w:r>
      <w:r>
        <w:rPr>
          <w:rFonts w:hint="eastAsia" w:ascii="宋体" w:hAnsi="宋体" w:eastAsia="宋体" w:cs="宋体"/>
          <w:color w:val="auto"/>
          <w:spacing w:val="-1"/>
          <w:sz w:val="24"/>
          <w:szCs w:val="24"/>
          <w:highlight w:val="none"/>
        </w:rPr>
        <w:t>任何方式私下接触投标人。</w:t>
      </w:r>
    </w:p>
    <w:p w14:paraId="13B4CC66">
      <w:pPr>
        <w:spacing w:before="157" w:line="360" w:lineRule="auto"/>
        <w:ind w:left="11" w:right="65" w:firstLine="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15.</w:t>
      </w:r>
      <w:r>
        <w:rPr>
          <w:rFonts w:hint="eastAsia" w:ascii="宋体" w:hAnsi="宋体" w:eastAsia="宋体" w:cs="宋体"/>
          <w:b/>
          <w:bCs/>
          <w:color w:val="auto"/>
          <w:spacing w:val="-1"/>
          <w:sz w:val="24"/>
          <w:szCs w:val="24"/>
          <w:highlight w:val="none"/>
          <w:lang w:val="en-US" w:eastAsia="zh-CN"/>
        </w:rPr>
        <w:t>3.5</w:t>
      </w:r>
      <w:r>
        <w:rPr>
          <w:rFonts w:hint="eastAsia" w:ascii="宋体" w:hAnsi="宋体" w:eastAsia="宋体" w:cs="宋体"/>
          <w:color w:val="auto"/>
          <w:spacing w:val="-1"/>
          <w:sz w:val="24"/>
          <w:szCs w:val="24"/>
          <w:highlight w:val="none"/>
        </w:rPr>
        <w:t>在评标过程中，评标委员会可以书面形式要</w:t>
      </w:r>
      <w:r>
        <w:rPr>
          <w:rFonts w:hint="eastAsia" w:ascii="宋体" w:hAnsi="宋体" w:eastAsia="宋体" w:cs="宋体"/>
          <w:color w:val="auto"/>
          <w:spacing w:val="-2"/>
          <w:sz w:val="24"/>
          <w:szCs w:val="24"/>
          <w:highlight w:val="none"/>
        </w:rPr>
        <w:t>求投标人对所提交的投标文件</w:t>
      </w:r>
      <w:r>
        <w:rPr>
          <w:rFonts w:hint="eastAsia" w:ascii="宋体" w:hAnsi="宋体" w:eastAsia="宋体" w:cs="宋体"/>
          <w:color w:val="auto"/>
          <w:spacing w:val="-1"/>
          <w:sz w:val="24"/>
          <w:szCs w:val="24"/>
          <w:highlight w:val="none"/>
        </w:rPr>
        <w:t>中不明确的内容进行书面澄清或说明，但不接受投标人主</w:t>
      </w:r>
      <w:r>
        <w:rPr>
          <w:rFonts w:hint="eastAsia" w:ascii="宋体" w:hAnsi="宋体" w:eastAsia="宋体" w:cs="宋体"/>
          <w:color w:val="auto"/>
          <w:spacing w:val="-2"/>
          <w:sz w:val="24"/>
          <w:szCs w:val="24"/>
          <w:highlight w:val="none"/>
        </w:rPr>
        <w:t>动提出的澄清或说明。投标</w:t>
      </w:r>
      <w:r>
        <w:rPr>
          <w:rFonts w:hint="eastAsia" w:ascii="宋体" w:hAnsi="宋体" w:eastAsia="宋体" w:cs="宋体"/>
          <w:color w:val="auto"/>
          <w:spacing w:val="-1"/>
          <w:sz w:val="24"/>
          <w:szCs w:val="24"/>
          <w:highlight w:val="none"/>
        </w:rPr>
        <w:t>人的书面澄清或说明不得改变投标文件的实质性内容，并</w:t>
      </w:r>
      <w:r>
        <w:rPr>
          <w:rFonts w:hint="eastAsia" w:ascii="宋体" w:hAnsi="宋体" w:eastAsia="宋体" w:cs="宋体"/>
          <w:color w:val="auto"/>
          <w:spacing w:val="-2"/>
          <w:sz w:val="24"/>
          <w:szCs w:val="24"/>
          <w:highlight w:val="none"/>
        </w:rPr>
        <w:t>作为投标文件的组成部分。</w:t>
      </w:r>
    </w:p>
    <w:p w14:paraId="2B900928">
      <w:pPr>
        <w:spacing w:before="156" w:line="360" w:lineRule="auto"/>
        <w:ind w:left="8" w:right="65" w:firstLine="56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3.6</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在任何评标环节中，当评标委员会就某</w:t>
      </w:r>
      <w:r>
        <w:rPr>
          <w:rFonts w:hint="eastAsia" w:ascii="宋体" w:hAnsi="宋体" w:eastAsia="宋体" w:cs="宋体"/>
          <w:color w:val="auto"/>
          <w:spacing w:val="-4"/>
          <w:sz w:val="24"/>
          <w:szCs w:val="24"/>
          <w:highlight w:val="none"/>
        </w:rPr>
        <w:t>项定性的评审结论不统一、需要做</w:t>
      </w:r>
      <w:r>
        <w:rPr>
          <w:rFonts w:hint="eastAsia" w:ascii="宋体" w:hAnsi="宋体" w:eastAsia="宋体" w:cs="宋体"/>
          <w:color w:val="auto"/>
          <w:spacing w:val="-1"/>
          <w:sz w:val="24"/>
          <w:szCs w:val="24"/>
          <w:highlight w:val="none"/>
        </w:rPr>
        <w:t>出表决时，由评标委员会全体成员按照少数服从多数的原则，以</w:t>
      </w:r>
      <w:r>
        <w:rPr>
          <w:rFonts w:hint="eastAsia" w:ascii="宋体" w:hAnsi="宋体" w:eastAsia="宋体" w:cs="宋体"/>
          <w:color w:val="auto"/>
          <w:spacing w:val="-2"/>
          <w:sz w:val="24"/>
          <w:szCs w:val="24"/>
          <w:highlight w:val="none"/>
        </w:rPr>
        <w:t>记名投票方式表决。</w:t>
      </w:r>
      <w:r>
        <w:rPr>
          <w:rFonts w:hint="eastAsia" w:ascii="宋体" w:hAnsi="宋体" w:eastAsia="宋体" w:cs="宋体"/>
          <w:color w:val="auto"/>
          <w:spacing w:val="-1"/>
          <w:sz w:val="24"/>
          <w:szCs w:val="24"/>
          <w:highlight w:val="none"/>
        </w:rPr>
        <w:t>评标委员会全体成员应共同遵守和执行表决结果，严禁评标委员</w:t>
      </w:r>
      <w:r>
        <w:rPr>
          <w:rFonts w:hint="eastAsia" w:ascii="宋体" w:hAnsi="宋体" w:eastAsia="宋体" w:cs="宋体"/>
          <w:color w:val="auto"/>
          <w:spacing w:val="-2"/>
          <w:sz w:val="24"/>
          <w:szCs w:val="24"/>
          <w:highlight w:val="none"/>
        </w:rPr>
        <w:t>会任何成员将个人意</w:t>
      </w:r>
      <w:r>
        <w:rPr>
          <w:rFonts w:hint="eastAsia" w:ascii="宋体" w:hAnsi="宋体" w:eastAsia="宋体" w:cs="宋体"/>
          <w:color w:val="auto"/>
          <w:spacing w:val="-1"/>
          <w:sz w:val="24"/>
          <w:szCs w:val="24"/>
          <w:highlight w:val="none"/>
        </w:rPr>
        <w:t>见强加给他人、影响评标正常秩序和妨碍评审结论的公正性。</w:t>
      </w:r>
    </w:p>
    <w:p w14:paraId="628412ED">
      <w:pPr>
        <w:spacing w:before="79" w:line="221" w:lineRule="auto"/>
        <w:ind w:left="577"/>
        <w:rPr>
          <w:rFonts w:hint="eastAsia" w:ascii="宋体" w:hAnsi="宋体" w:eastAsia="宋体" w:cs="宋体"/>
          <w:color w:val="auto"/>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3</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评标方法</w:t>
      </w:r>
    </w:p>
    <w:p w14:paraId="75DB58B2">
      <w:pPr>
        <w:spacing w:before="78" w:line="326" w:lineRule="auto"/>
        <w:ind w:left="231" w:right="181" w:firstLine="560"/>
        <w:rPr>
          <w:rFonts w:hint="eastAsia" w:ascii="宋体" w:hAnsi="宋体" w:eastAsia="宋体" w:cs="宋体"/>
          <w:color w:val="auto"/>
          <w:highlight w:val="none"/>
        </w:rPr>
      </w:pPr>
      <w:bookmarkStart w:id="88" w:name="bookmark125"/>
      <w:bookmarkEnd w:id="88"/>
      <w:r>
        <w:rPr>
          <w:rFonts w:hint="eastAsia" w:ascii="宋体" w:hAnsi="宋体" w:eastAsia="宋体" w:cs="宋体"/>
          <w:color w:val="auto"/>
          <w:spacing w:val="-4"/>
          <w:sz w:val="24"/>
          <w:szCs w:val="24"/>
          <w:highlight w:val="none"/>
        </w:rPr>
        <w:t>根据有关法律、法规的相关规定，结合本招标项目资金来源和规模特点，本次招</w:t>
      </w:r>
      <w:r>
        <w:rPr>
          <w:rFonts w:hint="eastAsia" w:ascii="宋体" w:hAnsi="宋体" w:eastAsia="宋体" w:cs="宋体"/>
          <w:color w:val="auto"/>
          <w:spacing w:val="-1"/>
          <w:sz w:val="24"/>
          <w:szCs w:val="24"/>
          <w:highlight w:val="none"/>
        </w:rPr>
        <w:t>标采用</w:t>
      </w:r>
      <w:r>
        <w:rPr>
          <w:rFonts w:hint="eastAsia" w:ascii="宋体" w:hAnsi="宋体" w:eastAsia="宋体" w:cs="宋体"/>
          <w:b/>
          <w:bCs/>
          <w:color w:val="auto"/>
          <w:spacing w:val="-4"/>
          <w:sz w:val="24"/>
          <w:szCs w:val="24"/>
          <w:highlight w:val="none"/>
          <w:u w:val="single"/>
          <w:lang w:eastAsia="zh-CN"/>
        </w:rPr>
        <w:t xml:space="preserve"> 综合评</w:t>
      </w:r>
      <w:r>
        <w:rPr>
          <w:rFonts w:hint="eastAsia" w:ascii="宋体" w:hAnsi="宋体" w:eastAsia="宋体" w:cs="宋体"/>
          <w:b/>
          <w:bCs/>
          <w:color w:val="auto"/>
          <w:spacing w:val="-4"/>
          <w:sz w:val="24"/>
          <w:szCs w:val="24"/>
          <w:highlight w:val="none"/>
          <w:u w:val="single"/>
          <w:lang w:val="en-US" w:eastAsia="zh-CN"/>
        </w:rPr>
        <w:t>估</w:t>
      </w:r>
      <w:r>
        <w:rPr>
          <w:rFonts w:hint="eastAsia" w:ascii="宋体" w:hAnsi="宋体" w:eastAsia="宋体" w:cs="宋体"/>
          <w:b/>
          <w:bCs/>
          <w:color w:val="auto"/>
          <w:spacing w:val="-4"/>
          <w:sz w:val="24"/>
          <w:szCs w:val="24"/>
          <w:highlight w:val="none"/>
          <w:u w:val="single"/>
          <w:lang w:eastAsia="zh-CN"/>
        </w:rPr>
        <w:t>法</w:t>
      </w:r>
      <w:r>
        <w:rPr>
          <w:rFonts w:hint="eastAsia" w:ascii="宋体" w:hAnsi="宋体" w:eastAsia="宋体" w:cs="宋体"/>
          <w:b/>
          <w:bCs/>
          <w:color w:val="auto"/>
          <w:spacing w:val="-4"/>
          <w:sz w:val="24"/>
          <w:szCs w:val="24"/>
          <w:highlight w:val="none"/>
          <w:u w:val="single"/>
        </w:rPr>
        <w:t xml:space="preserve"> </w:t>
      </w:r>
      <w:r>
        <w:rPr>
          <w:rFonts w:hint="eastAsia" w:ascii="宋体" w:hAnsi="宋体" w:eastAsia="宋体" w:cs="宋体"/>
          <w:color w:val="auto"/>
          <w:spacing w:val="-1"/>
          <w:sz w:val="24"/>
          <w:szCs w:val="24"/>
          <w:highlight w:val="none"/>
        </w:rPr>
        <w:t>进行评标。</w:t>
      </w:r>
    </w:p>
    <w:p w14:paraId="4278404C">
      <w:pPr>
        <w:spacing w:before="154" w:line="269" w:lineRule="auto"/>
        <w:ind w:left="220" w:right="33" w:firstLine="496"/>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4</w:t>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评审范围：评标委员会应对所有投标人的投标文件进行评审。</w:t>
      </w:r>
    </w:p>
    <w:p w14:paraId="46E173E1">
      <w:pPr>
        <w:spacing w:before="153" w:line="220" w:lineRule="auto"/>
        <w:ind w:left="71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初步评审阶段</w:t>
      </w:r>
    </w:p>
    <w:p w14:paraId="59A05B8B">
      <w:pPr>
        <w:spacing w:before="153" w:line="220" w:lineRule="auto"/>
        <w:ind w:left="70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初步评审阶段分为资格评审、形式评审和响应性评审三个环节。</w:t>
      </w:r>
    </w:p>
    <w:p w14:paraId="238061EC">
      <w:pPr>
        <w:spacing w:before="155" w:line="279" w:lineRule="auto"/>
        <w:ind w:left="719" w:right="6303" w:hanging="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.1</w:t>
      </w:r>
      <w:r>
        <w:rPr>
          <w:rFonts w:hint="eastAsia" w:ascii="宋体" w:hAnsi="宋体" w:eastAsia="宋体" w:cs="宋体"/>
          <w:b/>
          <w:bCs/>
          <w:color w:val="auto"/>
          <w:spacing w:val="9"/>
          <w:sz w:val="24"/>
          <w:szCs w:val="24"/>
          <w:highlight w:val="none"/>
        </w:rPr>
        <w:t xml:space="preserve"> </w:t>
      </w:r>
      <w:r>
        <w:rPr>
          <w:rFonts w:hint="eastAsia" w:ascii="宋体" w:hAnsi="宋体" w:eastAsia="宋体" w:cs="宋体"/>
          <w:color w:val="auto"/>
          <w:spacing w:val="-2"/>
          <w:sz w:val="24"/>
          <w:szCs w:val="24"/>
          <w:highlight w:val="none"/>
        </w:rPr>
        <w:t xml:space="preserve"> 资格评审环</w:t>
      </w:r>
      <w:r>
        <w:rPr>
          <w:rFonts w:hint="eastAsia" w:ascii="宋体" w:hAnsi="宋体" w:eastAsia="宋体" w:cs="宋体"/>
          <w:color w:val="auto"/>
          <w:spacing w:val="-3"/>
          <w:sz w:val="24"/>
          <w:szCs w:val="24"/>
          <w:highlight w:val="none"/>
        </w:rPr>
        <w:t>节</w:t>
      </w:r>
      <w:r>
        <w:rPr>
          <w:rFonts w:hint="eastAsia" w:ascii="宋体" w:hAnsi="宋体" w:eastAsia="宋体" w:cs="宋体"/>
          <w:color w:val="auto"/>
          <w:spacing w:val="1"/>
          <w:sz w:val="24"/>
          <w:szCs w:val="24"/>
          <w:highlight w:val="none"/>
        </w:rPr>
        <w:t xml:space="preserve"> </w:t>
      </w:r>
    </w:p>
    <w:p w14:paraId="02C4BFC7">
      <w:pPr>
        <w:spacing w:before="155" w:line="279" w:lineRule="auto"/>
        <w:ind w:left="719" w:right="6303" w:hanging="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资格评审事项包括：</w:t>
      </w:r>
    </w:p>
    <w:p w14:paraId="09F27C25">
      <w:pPr>
        <w:keepNext w:val="0"/>
        <w:keepLines w:val="0"/>
        <w:pageBreakBefore w:val="0"/>
        <w:widowControl/>
        <w:kinsoku w:val="0"/>
        <w:wordWrap/>
        <w:overflowPunct/>
        <w:topLinePunct w:val="0"/>
        <w:autoSpaceDE w:val="0"/>
        <w:autoSpaceDN w:val="0"/>
        <w:bidi w:val="0"/>
        <w:adjustRightInd w:val="0"/>
        <w:snapToGrid w:val="0"/>
        <w:spacing w:line="360" w:lineRule="auto"/>
        <w:ind w:left="232" w:firstLine="488"/>
        <w:textAlignment w:val="baseline"/>
        <w:rPr>
          <w:rFonts w:hint="eastAsia" w:asciiTheme="minorEastAsia" w:hAnsiTheme="minorEastAsia" w:eastAsiaTheme="minorEastAsia" w:cstheme="minorEastAsia"/>
          <w:color w:val="auto"/>
          <w:spacing w:val="-4"/>
          <w:sz w:val="24"/>
          <w:szCs w:val="24"/>
          <w:highlight w:val="none"/>
        </w:rPr>
      </w:pPr>
      <w:bookmarkStart w:id="89" w:name="_Toc22778"/>
      <w:r>
        <w:rPr>
          <w:rFonts w:hint="eastAsia" w:asciiTheme="minorEastAsia" w:hAnsiTheme="minorEastAsia" w:eastAsiaTheme="minorEastAsia" w:cstheme="minorEastAsia"/>
          <w:color w:val="auto"/>
          <w:spacing w:val="-4"/>
          <w:sz w:val="24"/>
          <w:szCs w:val="24"/>
          <w:highlight w:val="none"/>
        </w:rPr>
        <w:t>（1）投标人是否符合本章第三节第2.4条“禁止投标条款”规定。</w:t>
      </w:r>
    </w:p>
    <w:p w14:paraId="6344994B">
      <w:pPr>
        <w:keepNext w:val="0"/>
        <w:keepLines w:val="0"/>
        <w:pageBreakBefore w:val="0"/>
        <w:widowControl/>
        <w:kinsoku w:val="0"/>
        <w:overflowPunct/>
        <w:topLinePunct w:val="0"/>
        <w:autoSpaceDE w:val="0"/>
        <w:autoSpaceDN w:val="0"/>
        <w:bidi w:val="0"/>
        <w:adjustRightInd w:val="0"/>
        <w:snapToGrid w:val="0"/>
        <w:spacing w:line="360" w:lineRule="auto"/>
        <w:ind w:left="72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（2）投标人名称是否与营业执照、资质证书、安全生产许可证一致。</w:t>
      </w:r>
    </w:p>
    <w:p w14:paraId="5C702244">
      <w:pPr>
        <w:keepNext w:val="0"/>
        <w:keepLines w:val="0"/>
        <w:pageBreakBefore w:val="0"/>
        <w:widowControl/>
        <w:kinsoku w:val="0"/>
        <w:wordWrap w:val="0"/>
        <w:overflowPunct/>
        <w:topLinePunct w:val="0"/>
        <w:autoSpaceDE w:val="0"/>
        <w:autoSpaceDN w:val="0"/>
        <w:bidi w:val="0"/>
        <w:adjustRightInd w:val="0"/>
        <w:snapToGrid w:val="0"/>
        <w:spacing w:line="360" w:lineRule="auto"/>
        <w:ind w:left="232" w:right="96" w:firstLine="488"/>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（3）投标人的资质是否符合招标文件规定；其营业执照、资质证书、安全生产许可证是否合法、有效、准确</w:t>
      </w:r>
      <w:r>
        <w:rPr>
          <w:rFonts w:hint="eastAsia" w:asciiTheme="minorEastAsia" w:hAnsiTheme="minorEastAsia" w:eastAsiaTheme="minorEastAsia" w:cstheme="minorEastAsia"/>
          <w:color w:val="auto"/>
          <w:spacing w:val="-1"/>
          <w:position w:val="3"/>
          <w:sz w:val="24"/>
          <w:szCs w:val="24"/>
          <w:highlight w:val="none"/>
        </w:rPr>
        <w:t>。</w:t>
      </w:r>
    </w:p>
    <w:p w14:paraId="1552FA5F">
      <w:pPr>
        <w:keepNext w:val="0"/>
        <w:keepLines w:val="0"/>
        <w:pageBreakBefore w:val="0"/>
        <w:widowControl/>
        <w:kinsoku w:val="0"/>
        <w:overflowPunct/>
        <w:topLinePunct w:val="0"/>
        <w:autoSpaceDE w:val="0"/>
        <w:autoSpaceDN w:val="0"/>
        <w:bidi w:val="0"/>
        <w:adjustRightInd w:val="0"/>
        <w:snapToGrid w:val="0"/>
        <w:spacing w:line="360" w:lineRule="auto"/>
        <w:ind w:left="501"/>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（4）《项目经理简历表》中拟派项目经理是否与《开标一览表》一致。</w:t>
      </w:r>
    </w:p>
    <w:p w14:paraId="013A9DD7">
      <w:pPr>
        <w:keepNext w:val="0"/>
        <w:keepLines w:val="0"/>
        <w:pageBreakBefore w:val="0"/>
        <w:widowControl/>
        <w:kinsoku w:val="0"/>
        <w:overflowPunct/>
        <w:topLinePunct w:val="0"/>
        <w:autoSpaceDE w:val="0"/>
        <w:autoSpaceDN w:val="0"/>
        <w:bidi w:val="0"/>
        <w:adjustRightInd w:val="0"/>
        <w:snapToGrid w:val="0"/>
        <w:spacing w:line="360" w:lineRule="auto"/>
        <w:ind w:left="11" w:firstLine="489"/>
        <w:textAlignment w:val="baseline"/>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2"/>
          <w:sz w:val="24"/>
          <w:szCs w:val="24"/>
          <w:highlight w:val="none"/>
        </w:rPr>
        <w:t>（5）拟派项目经理、项目技术负责人、专职安全员的条件</w:t>
      </w:r>
      <w:r>
        <w:rPr>
          <w:rFonts w:hint="eastAsia" w:asciiTheme="minorEastAsia" w:hAnsiTheme="minorEastAsia" w:eastAsiaTheme="minorEastAsia" w:cstheme="minorEastAsia"/>
          <w:color w:val="auto"/>
          <w:spacing w:val="1"/>
          <w:sz w:val="24"/>
          <w:szCs w:val="24"/>
          <w:highlight w:val="none"/>
        </w:rPr>
        <w:t>是否符合招标文件规</w:t>
      </w:r>
      <w:r>
        <w:rPr>
          <w:rFonts w:hint="eastAsia" w:asciiTheme="minorEastAsia" w:hAnsiTheme="minorEastAsia" w:eastAsiaTheme="minorEastAsia" w:cstheme="minorEastAsia"/>
          <w:color w:val="auto"/>
          <w:spacing w:val="-1"/>
          <w:sz w:val="24"/>
          <w:szCs w:val="24"/>
          <w:highlight w:val="none"/>
        </w:rPr>
        <w:t>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14:paraId="72979839">
      <w:pPr>
        <w:keepNext w:val="0"/>
        <w:keepLines w:val="0"/>
        <w:pageBreakBefore w:val="0"/>
        <w:widowControl/>
        <w:kinsoku w:val="0"/>
        <w:overflowPunct/>
        <w:topLinePunct w:val="0"/>
        <w:autoSpaceDE w:val="0"/>
        <w:autoSpaceDN w:val="0"/>
        <w:bidi w:val="0"/>
        <w:adjustRightInd w:val="0"/>
        <w:snapToGrid w:val="0"/>
        <w:spacing w:line="360" w:lineRule="auto"/>
        <w:ind w:left="8" w:right="2" w:firstLine="492"/>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val="en-US" w:eastAsia="zh-CN"/>
        </w:rPr>
        <w:t>6</w:t>
      </w:r>
      <w:r>
        <w:rPr>
          <w:rFonts w:hint="eastAsia" w:asciiTheme="minorEastAsia" w:hAnsiTheme="minorEastAsia" w:eastAsiaTheme="minorEastAsia" w:cstheme="minorEastAsia"/>
          <w:color w:val="auto"/>
          <w:spacing w:val="2"/>
          <w:sz w:val="24"/>
          <w:szCs w:val="24"/>
          <w:highlight w:val="none"/>
        </w:rPr>
        <w:t>）投标人</w:t>
      </w:r>
      <w:r>
        <w:rPr>
          <w:rFonts w:hint="eastAsia" w:asciiTheme="minorEastAsia" w:hAnsiTheme="minorEastAsia" w:eastAsiaTheme="minorEastAsia" w:cstheme="minorEastAsia"/>
          <w:color w:val="auto"/>
          <w:spacing w:val="2"/>
          <w:sz w:val="24"/>
          <w:szCs w:val="24"/>
          <w:highlight w:val="none"/>
          <w:lang w:val="en-US" w:eastAsia="zh-CN"/>
        </w:rPr>
        <w:t>（包括组成联合体的所有成员单位）</w:t>
      </w:r>
      <w:r>
        <w:rPr>
          <w:rFonts w:hint="eastAsia" w:asciiTheme="minorEastAsia" w:hAnsiTheme="minorEastAsia" w:eastAsiaTheme="minorEastAsia" w:cstheme="minorEastAsia"/>
          <w:color w:val="auto"/>
          <w:spacing w:val="2"/>
          <w:sz w:val="24"/>
          <w:szCs w:val="24"/>
          <w:highlight w:val="none"/>
        </w:rPr>
        <w:t>为外省建筑企业的，是否按规定在“进粤</w:t>
      </w:r>
      <w:r>
        <w:rPr>
          <w:rFonts w:hint="eastAsia" w:asciiTheme="minorEastAsia" w:hAnsiTheme="minorEastAsia" w:eastAsiaTheme="minorEastAsia" w:cstheme="minorEastAsia"/>
          <w:color w:val="auto"/>
          <w:spacing w:val="1"/>
          <w:sz w:val="24"/>
          <w:szCs w:val="24"/>
          <w:highlight w:val="none"/>
        </w:rPr>
        <w:t>企业和人员诚信信息登记</w:t>
      </w:r>
      <w:r>
        <w:rPr>
          <w:rFonts w:hint="eastAsia" w:asciiTheme="minorEastAsia" w:hAnsiTheme="minorEastAsia" w:eastAsiaTheme="minorEastAsia" w:cstheme="minorEastAsia"/>
          <w:color w:val="auto"/>
          <w:spacing w:val="-2"/>
          <w:sz w:val="24"/>
          <w:szCs w:val="24"/>
          <w:highlight w:val="none"/>
        </w:rPr>
        <w:t>平台</w:t>
      </w:r>
      <w:r>
        <w:rPr>
          <w:rFonts w:hint="eastAsia" w:asciiTheme="minorEastAsia" w:hAnsiTheme="minorEastAsia" w:eastAsiaTheme="minorEastAsia" w:cstheme="minorEastAsia"/>
          <w:color w:val="auto"/>
          <w:spacing w:val="-76"/>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”录入企业及其拟派人员有关信息并通过数据规范检查。</w:t>
      </w:r>
    </w:p>
    <w:p w14:paraId="1BCD9BCC">
      <w:pPr>
        <w:spacing w:before="15" w:line="360" w:lineRule="auto"/>
        <w:ind w:right="2" w:firstLine="474"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.2 </w:t>
      </w:r>
      <w:r>
        <w:rPr>
          <w:rFonts w:hint="eastAsia" w:ascii="宋体" w:hAnsi="宋体" w:eastAsia="宋体" w:cs="宋体"/>
          <w:color w:val="auto"/>
          <w:spacing w:val="1"/>
          <w:sz w:val="24"/>
          <w:szCs w:val="24"/>
          <w:highlight w:val="none"/>
        </w:rPr>
        <w:t xml:space="preserve"> 形式评审环节</w:t>
      </w:r>
    </w:p>
    <w:p w14:paraId="301F2EB2">
      <w:pPr>
        <w:spacing w:before="15" w:line="360" w:lineRule="auto"/>
        <w:ind w:right="2" w:firstLine="484" w:firstLineChars="200"/>
        <w:jc w:val="both"/>
        <w:outlineLvl w:val="9"/>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rPr>
        <w:t>形式评审事</w:t>
      </w:r>
      <w:r>
        <w:rPr>
          <w:rFonts w:hint="eastAsia" w:ascii="宋体" w:hAnsi="宋体" w:eastAsia="宋体" w:cs="宋体"/>
          <w:color w:val="auto"/>
          <w:spacing w:val="1"/>
          <w:sz w:val="24"/>
          <w:szCs w:val="24"/>
          <w:highlight w:val="none"/>
          <w:lang w:eastAsia="zh-CN"/>
        </w:rPr>
        <w:t>项包括</w:t>
      </w:r>
      <w:bookmarkEnd w:id="89"/>
    </w:p>
    <w:p w14:paraId="007FD8E0">
      <w:pPr>
        <w:spacing w:before="40" w:line="360" w:lineRule="auto"/>
        <w:ind w:left="501"/>
        <w:outlineLvl w:val="9"/>
        <w:rPr>
          <w:rFonts w:hint="eastAsia" w:ascii="宋体" w:hAnsi="宋体" w:eastAsia="宋体" w:cs="宋体"/>
          <w:color w:val="auto"/>
          <w:sz w:val="24"/>
          <w:szCs w:val="24"/>
          <w:highlight w:val="none"/>
        </w:rPr>
      </w:pPr>
      <w:bookmarkStart w:id="90" w:name="_Toc4914"/>
      <w:bookmarkStart w:id="91" w:name="_Toc13304"/>
      <w:bookmarkStart w:id="92" w:name="_Toc20481"/>
      <w:bookmarkStart w:id="93" w:name="_Toc23632"/>
      <w:r>
        <w:rPr>
          <w:rFonts w:hint="eastAsia" w:ascii="宋体" w:hAnsi="宋体" w:eastAsia="宋体" w:cs="宋体"/>
          <w:color w:val="auto"/>
          <w:spacing w:val="-1"/>
          <w:sz w:val="24"/>
          <w:szCs w:val="24"/>
          <w:highlight w:val="none"/>
        </w:rPr>
        <w:t>（1）各分册是否按招标文件规定加盖电子印章。</w:t>
      </w:r>
      <w:bookmarkEnd w:id="90"/>
      <w:bookmarkEnd w:id="91"/>
      <w:bookmarkEnd w:id="92"/>
      <w:bookmarkEnd w:id="93"/>
    </w:p>
    <w:p w14:paraId="4E7DC2D0">
      <w:pPr>
        <w:spacing w:before="15" w:line="360" w:lineRule="auto"/>
        <w:ind w:firstLine="464" w:firstLineChars="200"/>
        <w:outlineLvl w:val="9"/>
        <w:rPr>
          <w:rFonts w:hint="eastAsia" w:ascii="宋体" w:hAnsi="宋体" w:eastAsia="宋体" w:cs="宋体"/>
          <w:color w:val="auto"/>
          <w:spacing w:val="-1"/>
          <w:sz w:val="24"/>
          <w:szCs w:val="24"/>
          <w:highlight w:val="none"/>
          <w:lang w:eastAsia="zh-CN"/>
        </w:rPr>
      </w:pPr>
      <w:bookmarkStart w:id="94" w:name="_Toc27432"/>
      <w:bookmarkStart w:id="95" w:name="_Toc10806"/>
      <w:bookmarkStart w:id="96" w:name="_Toc28409"/>
      <w:bookmarkStart w:id="97" w:name="_Toc12756"/>
      <w:r>
        <w:rPr>
          <w:rFonts w:hint="eastAsia" w:ascii="宋体" w:hAnsi="宋体" w:eastAsia="宋体" w:cs="宋体"/>
          <w:color w:val="auto"/>
          <w:spacing w:val="-4"/>
          <w:sz w:val="24"/>
          <w:szCs w:val="24"/>
          <w:highlight w:val="none"/>
        </w:rPr>
        <w:t>（2）本节第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10.2.2 目、第</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4"/>
          <w:sz w:val="24"/>
          <w:szCs w:val="24"/>
          <w:highlight w:val="none"/>
        </w:rPr>
        <w:t>10.3.2 目、第</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10.4.</w:t>
      </w:r>
      <w:r>
        <w:rPr>
          <w:rFonts w:hint="eastAsia" w:ascii="宋体" w:hAnsi="宋体" w:eastAsia="宋体" w:cs="宋体"/>
          <w:color w:val="auto"/>
          <w:spacing w:val="-4"/>
          <w:sz w:val="24"/>
          <w:szCs w:val="24"/>
          <w:highlight w:val="none"/>
          <w:lang w:val="en-US" w:eastAsia="zh-CN"/>
        </w:rPr>
        <w:t>3</w:t>
      </w:r>
      <w:r>
        <w:rPr>
          <w:rFonts w:hint="eastAsia" w:ascii="宋体" w:hAnsi="宋体" w:eastAsia="宋体" w:cs="宋体"/>
          <w:color w:val="auto"/>
          <w:spacing w:val="-4"/>
          <w:sz w:val="24"/>
          <w:szCs w:val="24"/>
          <w:highlight w:val="none"/>
        </w:rPr>
        <w:t>目中规定</w:t>
      </w:r>
      <w:r>
        <w:rPr>
          <w:rFonts w:hint="eastAsia" w:ascii="宋体" w:hAnsi="宋体" w:eastAsia="宋体" w:cs="宋体"/>
          <w:color w:val="auto"/>
          <w:spacing w:val="-5"/>
          <w:sz w:val="24"/>
          <w:szCs w:val="24"/>
          <w:highlight w:val="none"/>
        </w:rPr>
        <w:t>的“所有投标人均应提</w:t>
      </w:r>
      <w:bookmarkEnd w:id="94"/>
      <w:bookmarkEnd w:id="95"/>
      <w:bookmarkEnd w:id="96"/>
      <w:r>
        <w:rPr>
          <w:rFonts w:hint="eastAsia" w:ascii="宋体" w:hAnsi="宋体" w:eastAsia="宋体" w:cs="宋体"/>
          <w:color w:val="auto"/>
          <w:spacing w:val="-1"/>
          <w:sz w:val="24"/>
          <w:szCs w:val="24"/>
          <w:highlight w:val="none"/>
        </w:rPr>
        <w:t>供</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”的组成内容（包括该组成内容的所附资料）是否完整、齐全</w:t>
      </w:r>
      <w:bookmarkEnd w:id="97"/>
      <w:r>
        <w:rPr>
          <w:rFonts w:hint="eastAsia" w:ascii="宋体" w:hAnsi="宋体" w:eastAsia="宋体" w:cs="宋体"/>
          <w:color w:val="auto"/>
          <w:spacing w:val="-1"/>
          <w:sz w:val="24"/>
          <w:szCs w:val="24"/>
          <w:highlight w:val="none"/>
          <w:lang w:eastAsia="zh-CN"/>
        </w:rPr>
        <w:t>。</w:t>
      </w:r>
    </w:p>
    <w:p w14:paraId="3D386574">
      <w:pPr>
        <w:spacing w:before="15" w:line="360" w:lineRule="auto"/>
        <w:ind w:right="2" w:firstLine="474" w:firstLineChars="200"/>
        <w:jc w:val="both"/>
        <w:outlineLvl w:val="9"/>
        <w:rPr>
          <w:rFonts w:hint="eastAsia" w:ascii="宋体" w:hAnsi="宋体" w:eastAsia="宋体" w:cs="宋体"/>
          <w:color w:val="auto"/>
          <w:spacing w:val="2"/>
          <w:sz w:val="24"/>
          <w:szCs w:val="24"/>
          <w:highlight w:val="none"/>
        </w:rPr>
      </w:pPr>
      <w:bookmarkStart w:id="98" w:name="_Toc22642"/>
      <w:bookmarkStart w:id="99" w:name="_Toc14202"/>
      <w:bookmarkStart w:id="100" w:name="_Toc22562"/>
      <w:bookmarkStart w:id="101" w:name="_Toc16645"/>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 xml:space="preserve">.3  </w:t>
      </w:r>
      <w:r>
        <w:rPr>
          <w:rFonts w:hint="eastAsia" w:ascii="宋体" w:hAnsi="宋体" w:eastAsia="宋体" w:cs="宋体"/>
          <w:color w:val="auto"/>
          <w:spacing w:val="2"/>
          <w:sz w:val="24"/>
          <w:szCs w:val="24"/>
          <w:highlight w:val="none"/>
        </w:rPr>
        <w:t xml:space="preserve">响应性评审环节 </w:t>
      </w:r>
    </w:p>
    <w:p w14:paraId="7757D3BF">
      <w:pPr>
        <w:spacing w:before="15" w:line="360" w:lineRule="auto"/>
        <w:ind w:right="2" w:firstLine="488" w:firstLineChars="200"/>
        <w:jc w:val="both"/>
        <w:outlineLvl w:val="9"/>
        <w:rPr>
          <w:rFonts w:hint="eastAsia" w:ascii="宋体" w:hAnsi="宋体" w:eastAsia="宋体" w:cs="宋体"/>
          <w:color w:val="auto"/>
          <w:spacing w:val="1"/>
          <w:sz w:val="24"/>
          <w:szCs w:val="24"/>
          <w:highlight w:val="none"/>
        </w:rPr>
      </w:pPr>
      <w:r>
        <w:rPr>
          <w:rFonts w:hint="eastAsia" w:ascii="宋体" w:hAnsi="宋体" w:eastAsia="宋体" w:cs="宋体"/>
          <w:color w:val="auto"/>
          <w:spacing w:val="2"/>
          <w:sz w:val="24"/>
          <w:szCs w:val="24"/>
          <w:highlight w:val="none"/>
        </w:rPr>
        <w:t>响应性评项包括：</w:t>
      </w:r>
      <w:bookmarkEnd w:id="98"/>
      <w:bookmarkEnd w:id="99"/>
      <w:bookmarkEnd w:id="100"/>
      <w:bookmarkEnd w:id="101"/>
    </w:p>
    <w:p w14:paraId="533C330C">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（1）投标有效期、质量标准、工期等是否响应招标文件实</w:t>
      </w:r>
      <w:r>
        <w:rPr>
          <w:rFonts w:hint="eastAsia" w:ascii="宋体" w:hAnsi="宋体" w:eastAsia="宋体" w:cs="宋体"/>
          <w:color w:val="auto"/>
          <w:spacing w:val="1"/>
          <w:sz w:val="24"/>
          <w:szCs w:val="24"/>
          <w:highlight w:val="none"/>
        </w:rPr>
        <w:t>质性要求；是否擅自</w:t>
      </w:r>
      <w:r>
        <w:rPr>
          <w:rFonts w:hint="eastAsia" w:ascii="宋体" w:hAnsi="宋体" w:eastAsia="宋体" w:cs="宋体"/>
          <w:color w:val="auto"/>
          <w:spacing w:val="-1"/>
          <w:sz w:val="24"/>
          <w:szCs w:val="24"/>
          <w:highlight w:val="none"/>
        </w:rPr>
        <w:t>修改、遗漏《投标函》《各项承诺一览表》的实质性内容。</w:t>
      </w:r>
    </w:p>
    <w:p w14:paraId="0D517F12">
      <w:pPr>
        <w:keepNext w:val="0"/>
        <w:keepLines w:val="0"/>
        <w:pageBreakBefore w:val="0"/>
        <w:widowControl/>
        <w:kinsoku w:val="0"/>
        <w:wordWrap/>
        <w:overflowPunct/>
        <w:topLinePunct w:val="0"/>
        <w:autoSpaceDE w:val="0"/>
        <w:autoSpaceDN w:val="0"/>
        <w:bidi w:val="0"/>
        <w:adjustRightInd w:val="0"/>
        <w:snapToGrid w:val="0"/>
        <w:spacing w:line="360"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（2）编制《投标总价》的造价工程师，其注册证书是否合法、有效。</w:t>
      </w:r>
    </w:p>
    <w:p w14:paraId="4ACD1433">
      <w:pPr>
        <w:keepNext w:val="0"/>
        <w:keepLines w:val="0"/>
        <w:pageBreakBefore w:val="0"/>
        <w:widowControl/>
        <w:kinsoku w:val="0"/>
        <w:wordWrap/>
        <w:overflowPunct/>
        <w:topLinePunct w:val="0"/>
        <w:autoSpaceDE w:val="0"/>
        <w:autoSpaceDN w:val="0"/>
        <w:bidi w:val="0"/>
        <w:adjustRightInd w:val="0"/>
        <w:snapToGrid w:val="0"/>
        <w:spacing w:line="360" w:lineRule="auto"/>
        <w:ind w:left="23" w:right="0" w:firstLine="482"/>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rPr>
        <w:t>（3）投标人委托造价咨询单位编制《投标总价》的，是否在《投标总价扉页》“投标人</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”栏目加盖造价咨询人公章；是否提供</w:t>
      </w:r>
      <w:r>
        <w:rPr>
          <w:rFonts w:hint="eastAsia" w:ascii="宋体" w:hAnsi="宋体" w:eastAsia="宋体" w:cs="宋体"/>
          <w:color w:val="auto"/>
          <w:sz w:val="24"/>
          <w:szCs w:val="24"/>
          <w:highlight w:val="none"/>
        </w:rPr>
        <w:t>造价咨询人的营业执照</w:t>
      </w:r>
      <w:r>
        <w:rPr>
          <w:rFonts w:hint="eastAsia" w:ascii="宋体" w:hAnsi="宋体" w:eastAsia="宋体" w:cs="宋体"/>
          <w:color w:val="auto"/>
          <w:spacing w:val="-2"/>
          <w:sz w:val="24"/>
          <w:szCs w:val="24"/>
          <w:highlight w:val="none"/>
        </w:rPr>
        <w:t>副本彩色扫描件</w:t>
      </w:r>
      <w:r>
        <w:rPr>
          <w:rFonts w:hint="eastAsia" w:ascii="宋体" w:hAnsi="宋体" w:eastAsia="宋体" w:cs="宋体"/>
          <w:color w:val="auto"/>
          <w:spacing w:val="-2"/>
          <w:sz w:val="24"/>
          <w:szCs w:val="24"/>
          <w:highlight w:val="none"/>
          <w:lang w:eastAsia="zh-CN"/>
        </w:rPr>
        <w:t>。</w:t>
      </w:r>
    </w:p>
    <w:p w14:paraId="028B5C07">
      <w:pPr>
        <w:keepNext w:val="0"/>
        <w:keepLines w:val="0"/>
        <w:pageBreakBefore w:val="0"/>
        <w:widowControl/>
        <w:kinsoku w:val="0"/>
        <w:wordWrap/>
        <w:overflowPunct/>
        <w:topLinePunct w:val="0"/>
        <w:autoSpaceDE w:val="0"/>
        <w:autoSpaceDN w:val="0"/>
        <w:bidi w:val="0"/>
        <w:adjustRightInd w:val="0"/>
        <w:snapToGrid w:val="0"/>
        <w:spacing w:line="360" w:lineRule="auto"/>
        <w:ind w:left="11" w:firstLine="49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（4）投标总价是否唯一；投标总价是否超出</w:t>
      </w:r>
      <w:r>
        <w:rPr>
          <w:rFonts w:hint="eastAsia" w:ascii="宋体" w:hAnsi="宋体" w:eastAsia="宋体" w:cs="宋体"/>
          <w:b/>
          <w:bCs/>
          <w:color w:val="auto"/>
          <w:spacing w:val="1"/>
          <w:sz w:val="24"/>
          <w:szCs w:val="24"/>
          <w:highlight w:val="none"/>
          <w:lang w:val="en-US" w:eastAsia="zh-CN"/>
        </w:rPr>
        <w:t>最高投标限价</w:t>
      </w:r>
      <w:r>
        <w:rPr>
          <w:rFonts w:hint="eastAsia" w:ascii="宋体" w:hAnsi="宋体" w:eastAsia="宋体" w:cs="宋体"/>
          <w:color w:val="auto"/>
          <w:spacing w:val="1"/>
          <w:sz w:val="24"/>
          <w:szCs w:val="24"/>
          <w:highlight w:val="none"/>
        </w:rPr>
        <w:t>；</w:t>
      </w:r>
      <w:r>
        <w:rPr>
          <w:rFonts w:hint="eastAsia" w:ascii="宋体" w:hAnsi="宋体" w:eastAsia="宋体" w:cs="宋体"/>
          <w:b/>
          <w:bCs/>
          <w:color w:val="auto"/>
          <w:spacing w:val="1"/>
          <w:sz w:val="24"/>
          <w:szCs w:val="24"/>
          <w:highlight w:val="none"/>
        </w:rPr>
        <w:t>安全生产措施费</w:t>
      </w:r>
      <w:r>
        <w:rPr>
          <w:rFonts w:hint="eastAsia" w:ascii="宋体" w:hAnsi="宋体" w:eastAsia="宋体" w:cs="宋体"/>
          <w:color w:val="auto"/>
          <w:spacing w:val="-1"/>
          <w:sz w:val="24"/>
          <w:szCs w:val="24"/>
          <w:highlight w:val="none"/>
        </w:rPr>
        <w:t>是否达到最低要求；暂列金额、暂估价是否按照招标工</w:t>
      </w:r>
      <w:r>
        <w:rPr>
          <w:rFonts w:hint="eastAsia" w:ascii="宋体" w:hAnsi="宋体" w:eastAsia="宋体" w:cs="宋体"/>
          <w:color w:val="auto"/>
          <w:spacing w:val="-2"/>
          <w:sz w:val="24"/>
          <w:szCs w:val="24"/>
          <w:highlight w:val="none"/>
        </w:rPr>
        <w:t>程量清单统一报价；投</w:t>
      </w:r>
      <w:r>
        <w:rPr>
          <w:rFonts w:hint="eastAsia" w:ascii="宋体" w:hAnsi="宋体" w:eastAsia="宋体" w:cs="宋体"/>
          <w:color w:val="auto"/>
          <w:spacing w:val="-1"/>
          <w:sz w:val="24"/>
          <w:szCs w:val="24"/>
          <w:highlight w:val="none"/>
        </w:rPr>
        <w:t>标人是否以低于成本的价格竞标。</w:t>
      </w:r>
    </w:p>
    <w:p w14:paraId="17DB6A5B">
      <w:pPr>
        <w:spacing w:before="38" w:line="360" w:lineRule="auto"/>
        <w:ind w:right="2" w:firstLine="474" w:firstLineChars="200"/>
        <w:jc w:val="both"/>
        <w:rPr>
          <w:rFonts w:hint="eastAsia" w:ascii="宋体" w:hAnsi="宋体" w:eastAsia="宋体" w:cs="宋体"/>
          <w:color w:val="auto"/>
          <w:position w:val="-8"/>
          <w:sz w:val="24"/>
          <w:szCs w:val="24"/>
          <w:highlight w:val="none"/>
        </w:rPr>
      </w:pPr>
      <w:r>
        <w:rPr>
          <w:rFonts w:hint="eastAsia" w:ascii="宋体" w:hAnsi="宋体" w:eastAsia="宋体" w:cs="宋体"/>
          <w:b/>
          <w:bCs/>
          <w:color w:val="auto"/>
          <w:spacing w:val="-2"/>
          <w:sz w:val="24"/>
          <w:szCs w:val="24"/>
          <w:highlight w:val="none"/>
        </w:rPr>
        <w:t>注：如果某投标人的投标总价下浮率超过</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2"/>
          <w:sz w:val="24"/>
          <w:szCs w:val="24"/>
          <w:highlight w:val="none"/>
        </w:rPr>
        <w:t>15%</w:t>
      </w:r>
      <w:r>
        <w:rPr>
          <w:rFonts w:hint="eastAsia" w:ascii="宋体" w:hAnsi="宋体" w:eastAsia="宋体" w:cs="宋体"/>
          <w:b/>
          <w:bCs/>
          <w:color w:val="auto"/>
          <w:spacing w:val="-32"/>
          <w:sz w:val="24"/>
          <w:szCs w:val="24"/>
          <w:highlight w:val="none"/>
        </w:rPr>
        <w:t xml:space="preserve"> </w:t>
      </w:r>
      <w:r>
        <w:rPr>
          <w:rFonts w:hint="eastAsia" w:ascii="宋体" w:hAnsi="宋体" w:eastAsia="宋体" w:cs="宋体"/>
          <w:b/>
          <w:bCs/>
          <w:color w:val="auto"/>
          <w:spacing w:val="-2"/>
          <w:sz w:val="24"/>
          <w:szCs w:val="24"/>
          <w:highlight w:val="none"/>
        </w:rPr>
        <w:t>，又未提供</w:t>
      </w:r>
      <w:r>
        <w:rPr>
          <w:rFonts w:hint="eastAsia" w:ascii="宋体" w:hAnsi="宋体" w:eastAsia="宋体" w:cs="宋体"/>
          <w:b/>
          <w:bCs/>
          <w:color w:val="auto"/>
          <w:spacing w:val="-3"/>
          <w:sz w:val="24"/>
          <w:szCs w:val="24"/>
          <w:highlight w:val="none"/>
        </w:rPr>
        <w:t>相应书面说明和佐证</w:t>
      </w:r>
      <w:bookmarkStart w:id="102" w:name="bookmark127"/>
      <w:bookmarkEnd w:id="102"/>
      <w:r>
        <w:rPr>
          <w:rFonts w:hint="eastAsia" w:ascii="宋体" w:hAnsi="宋体" w:eastAsia="宋体" w:cs="宋体"/>
          <w:b/>
          <w:bCs/>
          <w:color w:val="auto"/>
          <w:spacing w:val="-4"/>
          <w:sz w:val="24"/>
          <w:szCs w:val="24"/>
          <w:highlight w:val="none"/>
        </w:rPr>
        <w:t>材料或提供的书面说明和佐证材料不能令人信服的，评标委员会应认定其以低于成本</w:t>
      </w:r>
      <w:r>
        <w:rPr>
          <w:rFonts w:hint="eastAsia" w:ascii="宋体" w:hAnsi="宋体" w:eastAsia="宋体" w:cs="宋体"/>
          <w:b/>
          <w:bCs/>
          <w:color w:val="auto"/>
          <w:spacing w:val="-9"/>
          <w:sz w:val="24"/>
          <w:szCs w:val="24"/>
          <w:highlight w:val="none"/>
        </w:rPr>
        <w:t>的价格竞标，并否决其投标。评</w:t>
      </w:r>
      <w:r>
        <w:rPr>
          <w:rFonts w:hint="eastAsia" w:ascii="宋体" w:hAnsi="宋体" w:eastAsia="宋体" w:cs="宋体"/>
          <w:b/>
          <w:bCs/>
          <w:color w:val="auto"/>
          <w:spacing w:val="-4"/>
          <w:sz w:val="24"/>
          <w:szCs w:val="24"/>
          <w:highlight w:val="none"/>
        </w:rPr>
        <w:t>标委员会接受该投标人的投标总价而未否决其投标的， 应在评标报告中说明判断理由。投标总价下浮率＝（1－投标总价÷</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）×100% 。</w:t>
      </w:r>
    </w:p>
    <w:p w14:paraId="143F3655">
      <w:pPr>
        <w:spacing w:before="157" w:line="360" w:lineRule="auto"/>
        <w:ind w:left="11" w:right="114" w:firstLine="505" w:firstLineChars="20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（5）施工组织设计的质量、进度保障措施是否符合国</w:t>
      </w:r>
      <w:r>
        <w:rPr>
          <w:rFonts w:hint="eastAsia" w:ascii="宋体" w:hAnsi="宋体" w:eastAsia="宋体" w:cs="宋体"/>
          <w:color w:val="auto"/>
          <w:sz w:val="24"/>
          <w:szCs w:val="24"/>
          <w:highlight w:val="none"/>
        </w:rPr>
        <w:t>家和省市现行有关规</w:t>
      </w:r>
      <w:r>
        <w:rPr>
          <w:rFonts w:hint="eastAsia" w:ascii="宋体" w:hAnsi="宋体" w:eastAsia="宋体" w:cs="宋体"/>
          <w:color w:val="auto"/>
          <w:spacing w:val="-1"/>
          <w:sz w:val="24"/>
          <w:szCs w:val="24"/>
          <w:highlight w:val="none"/>
        </w:rPr>
        <w:t>范、规定、标准，是否能实现工程质量、进度管理目标。</w:t>
      </w:r>
    </w:p>
    <w:p w14:paraId="679B8419">
      <w:pPr>
        <w:spacing w:before="82" w:line="211" w:lineRule="auto"/>
        <w:ind w:left="580"/>
        <w:outlineLvl w:val="9"/>
        <w:rPr>
          <w:rFonts w:hint="eastAsia" w:ascii="宋体" w:hAnsi="宋体" w:eastAsia="宋体" w:cs="宋体"/>
          <w:color w:val="auto"/>
          <w:sz w:val="25"/>
          <w:szCs w:val="25"/>
          <w:highlight w:val="none"/>
        </w:rPr>
      </w:pPr>
      <w:bookmarkStart w:id="103" w:name="_Toc19814"/>
      <w:bookmarkStart w:id="104" w:name="_Toc18204"/>
      <w:bookmarkStart w:id="105" w:name="_Toc15367"/>
      <w:bookmarkStart w:id="106" w:name="_Toc32114"/>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5</w:t>
      </w:r>
      <w:r>
        <w:rPr>
          <w:rFonts w:hint="eastAsia" w:ascii="宋体" w:hAnsi="宋体" w:eastAsia="宋体" w:cs="宋体"/>
          <w:b/>
          <w:bCs/>
          <w:color w:val="auto"/>
          <w:spacing w:val="-3"/>
          <w:sz w:val="24"/>
          <w:szCs w:val="24"/>
          <w:highlight w:val="none"/>
        </w:rPr>
        <w:t xml:space="preserve">.4  </w:t>
      </w:r>
      <w:r>
        <w:rPr>
          <w:rFonts w:hint="eastAsia" w:ascii="宋体" w:hAnsi="宋体" w:eastAsia="宋体" w:cs="宋体"/>
          <w:color w:val="auto"/>
          <w:spacing w:val="-3"/>
          <w:sz w:val="24"/>
          <w:szCs w:val="24"/>
          <w:highlight w:val="none"/>
        </w:rPr>
        <w:t>否决投标说明</w:t>
      </w:r>
      <w:bookmarkEnd w:id="103"/>
      <w:bookmarkEnd w:id="104"/>
      <w:bookmarkEnd w:id="105"/>
      <w:bookmarkEnd w:id="106"/>
    </w:p>
    <w:p w14:paraId="7073C8F6">
      <w:pPr>
        <w:spacing w:before="152" w:line="333" w:lineRule="auto"/>
        <w:ind w:left="11" w:right="175" w:firstLine="561"/>
        <w:rPr>
          <w:rFonts w:hint="eastAsia" w:ascii="宋体" w:hAnsi="宋体" w:eastAsia="宋体" w:cs="宋体"/>
          <w:color w:val="auto"/>
          <w:highlight w:val="none"/>
        </w:rPr>
      </w:pPr>
      <w:r>
        <w:rPr>
          <w:rFonts w:hint="eastAsia" w:ascii="宋体" w:hAnsi="宋体" w:eastAsia="宋体" w:cs="宋体"/>
          <w:color w:val="auto"/>
          <w:spacing w:val="-5"/>
          <w:sz w:val="24"/>
          <w:szCs w:val="24"/>
          <w:highlight w:val="none"/>
        </w:rPr>
        <w:t>初步评审阶段各个环节否决投标的全部条件，在本章第四节“否决投标条件</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b/>
          <w:bCs/>
          <w:color w:val="auto"/>
          <w:sz w:val="24"/>
          <w:szCs w:val="24"/>
          <w:highlight w:val="none"/>
        </w:rPr>
        <w:t>1</w:t>
      </w:r>
      <w:r>
        <w:rPr>
          <w:rFonts w:hint="eastAsia" w:ascii="宋体" w:hAnsi="宋体" w:eastAsia="宋体" w:cs="宋体"/>
          <w:color w:val="auto"/>
          <w:sz w:val="24"/>
          <w:szCs w:val="24"/>
          <w:highlight w:val="none"/>
        </w:rPr>
        <w:t>条至第</w:t>
      </w:r>
      <w:r>
        <w:rPr>
          <w:rFonts w:hint="eastAsia" w:ascii="宋体" w:hAnsi="宋体" w:eastAsia="宋体" w:cs="宋体"/>
          <w:color w:val="auto"/>
          <w:spacing w:val="-46"/>
          <w:sz w:val="24"/>
          <w:szCs w:val="24"/>
          <w:highlight w:val="none"/>
        </w:rPr>
        <w:t xml:space="preserve"> </w:t>
      </w:r>
      <w:r>
        <w:rPr>
          <w:rFonts w:hint="eastAsia" w:ascii="宋体" w:hAnsi="宋体" w:eastAsia="宋体" w:cs="宋体"/>
          <w:b/>
          <w:bCs/>
          <w:color w:val="auto"/>
          <w:sz w:val="24"/>
          <w:szCs w:val="24"/>
          <w:highlight w:val="none"/>
        </w:rPr>
        <w:t>4</w:t>
      </w:r>
      <w:r>
        <w:rPr>
          <w:rFonts w:hint="eastAsia" w:ascii="宋体" w:hAnsi="宋体" w:eastAsia="宋体" w:cs="宋体"/>
          <w:color w:val="auto"/>
          <w:sz w:val="24"/>
          <w:szCs w:val="24"/>
          <w:highlight w:val="none"/>
        </w:rPr>
        <w:t>条中集中列示。投标人有其中所列任何一种情形的，由评标委员会否决其</w:t>
      </w:r>
      <w:r>
        <w:rPr>
          <w:rFonts w:hint="eastAsia" w:ascii="宋体" w:hAnsi="宋体" w:eastAsia="宋体" w:cs="宋体"/>
          <w:color w:val="auto"/>
          <w:spacing w:val="-1"/>
          <w:sz w:val="24"/>
          <w:szCs w:val="24"/>
          <w:highlight w:val="none"/>
        </w:rPr>
        <w:t>投标。在初步评审阶段任何环节被否决的投标人，不进入下一环</w:t>
      </w:r>
      <w:r>
        <w:rPr>
          <w:rFonts w:hint="eastAsia" w:ascii="宋体" w:hAnsi="宋体" w:eastAsia="宋体" w:cs="宋体"/>
          <w:color w:val="auto"/>
          <w:spacing w:val="-2"/>
          <w:sz w:val="24"/>
          <w:szCs w:val="24"/>
          <w:highlight w:val="none"/>
        </w:rPr>
        <w:t>节（或阶段）评审。</w:t>
      </w:r>
      <w:r>
        <w:rPr>
          <w:rFonts w:hint="eastAsia" w:ascii="宋体" w:hAnsi="宋体" w:eastAsia="宋体" w:cs="宋体"/>
          <w:color w:val="auto"/>
          <w:spacing w:val="-1"/>
          <w:sz w:val="24"/>
          <w:szCs w:val="24"/>
          <w:highlight w:val="none"/>
        </w:rPr>
        <w:t>在初步评审阶段任何环节。</w:t>
      </w:r>
      <w:r>
        <w:rPr>
          <w:rFonts w:hint="eastAsia" w:ascii="宋体" w:hAnsi="宋体" w:eastAsia="宋体" w:cs="宋体"/>
          <w:color w:val="auto"/>
          <w:sz w:val="24"/>
          <w:szCs w:val="24"/>
          <w:highlight w:val="none"/>
        </w:rPr>
        <w:t>评标委员会经评审，认为所有投标都不符合招标文件要求的，可否决所有投标，项目的所有投标被否决的，招标人应依法重新组织招标。</w:t>
      </w:r>
    </w:p>
    <w:p w14:paraId="7FC0CEA6">
      <w:pPr>
        <w:spacing w:before="78" w:line="221" w:lineRule="auto"/>
        <w:ind w:left="577"/>
        <w:rPr>
          <w:rFonts w:hint="eastAsia" w:ascii="宋体" w:hAnsi="宋体" w:eastAsia="宋体" w:cs="宋体"/>
          <w:color w:val="auto"/>
          <w:sz w:val="24"/>
          <w:szCs w:val="24"/>
          <w:highlight w:val="none"/>
        </w:rPr>
      </w:pPr>
      <w:r>
        <w:rPr>
          <w:rFonts w:hint="eastAsia" w:ascii="宋体" w:hAnsi="宋体" w:eastAsia="宋体" w:cs="宋体"/>
          <w:color w:val="auto"/>
          <w:highlight w:val="none"/>
        </w:rPr>
        <w:drawing>
          <wp:anchor distT="0" distB="0" distL="114300" distR="114300" simplePos="0" relativeHeight="251661312" behindDoc="1" locked="0" layoutInCell="1" allowOverlap="1">
            <wp:simplePos x="0" y="0"/>
            <wp:positionH relativeFrom="column">
              <wp:posOffset>4789170</wp:posOffset>
            </wp:positionH>
            <wp:positionV relativeFrom="paragraph">
              <wp:posOffset>236220</wp:posOffset>
            </wp:positionV>
            <wp:extent cx="6350" cy="279400"/>
            <wp:effectExtent l="0" t="0" r="0" b="0"/>
            <wp:wrapNone/>
            <wp:docPr id="31" name="IM 46"/>
            <wp:cNvGraphicFramePr/>
            <a:graphic xmlns:a="http://schemas.openxmlformats.org/drawingml/2006/main">
              <a:graphicData uri="http://schemas.openxmlformats.org/drawingml/2006/picture">
                <pic:pic xmlns:pic="http://schemas.openxmlformats.org/drawingml/2006/picture">
                  <pic:nvPicPr>
                    <pic:cNvPr id="31" name="IM 46"/>
                    <pic:cNvPicPr/>
                  </pic:nvPicPr>
                  <pic:blipFill>
                    <a:blip r:embed="rId27"/>
                    <a:stretch>
                      <a:fillRect/>
                    </a:stretch>
                  </pic:blipFill>
                  <pic:spPr>
                    <a:xfrm>
                      <a:off x="0" y="0"/>
                      <a:ext cx="6350" cy="279400"/>
                    </a:xfrm>
                    <a:prstGeom prst="rect">
                      <a:avLst/>
                    </a:prstGeom>
                    <a:noFill/>
                    <a:ln>
                      <a:noFill/>
                    </a:ln>
                  </pic:spPr>
                </pic:pic>
              </a:graphicData>
            </a:graphic>
          </wp:anchor>
        </w:drawing>
      </w:r>
      <w:bookmarkStart w:id="107" w:name="bookmark128"/>
      <w:bookmarkEnd w:id="107"/>
      <w:r>
        <w:rPr>
          <w:rFonts w:hint="eastAsia" w:ascii="宋体" w:hAnsi="宋体" w:eastAsia="宋体" w:cs="宋体"/>
          <w:b/>
          <w:bCs/>
          <w:color w:val="auto"/>
          <w:spacing w:val="-2"/>
          <w:sz w:val="24"/>
          <w:szCs w:val="24"/>
          <w:highlight w:val="none"/>
        </w:rPr>
        <w:t>1</w:t>
      </w:r>
      <w:r>
        <w:rPr>
          <w:rFonts w:hint="eastAsia" w:ascii="宋体" w:hAnsi="宋体" w:eastAsia="宋体" w:cs="宋体"/>
          <w:b/>
          <w:bCs/>
          <w:color w:val="auto"/>
          <w:spacing w:val="-2"/>
          <w:sz w:val="24"/>
          <w:szCs w:val="24"/>
          <w:highlight w:val="none"/>
          <w:lang w:val="en-US" w:eastAsia="zh-CN"/>
        </w:rPr>
        <w:t>5</w:t>
      </w:r>
      <w:r>
        <w:rPr>
          <w:rFonts w:hint="eastAsia" w:ascii="宋体" w:hAnsi="宋体" w:eastAsia="宋体" w:cs="宋体"/>
          <w:b/>
          <w:bCs/>
          <w:color w:val="auto"/>
          <w:spacing w:val="-2"/>
          <w:sz w:val="24"/>
          <w:szCs w:val="24"/>
          <w:highlight w:val="none"/>
        </w:rPr>
        <w:t>.</w:t>
      </w:r>
      <w:r>
        <w:rPr>
          <w:rFonts w:hint="eastAsia" w:ascii="宋体" w:hAnsi="宋体" w:eastAsia="宋体" w:cs="宋体"/>
          <w:b/>
          <w:bCs/>
          <w:color w:val="auto"/>
          <w:spacing w:val="-2"/>
          <w:sz w:val="24"/>
          <w:szCs w:val="24"/>
          <w:highlight w:val="none"/>
          <w:lang w:val="en-US" w:eastAsia="zh-CN"/>
        </w:rPr>
        <w:t>6</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color w:val="auto"/>
          <w:spacing w:val="-2"/>
          <w:sz w:val="24"/>
          <w:szCs w:val="24"/>
          <w:highlight w:val="none"/>
        </w:rPr>
        <w:t>详细评审阶段</w:t>
      </w:r>
    </w:p>
    <w:p w14:paraId="6B0132D7">
      <w:pPr>
        <w:spacing w:before="81" w:line="211" w:lineRule="auto"/>
        <w:ind w:left="498"/>
        <w:outlineLvl w:val="9"/>
        <w:rPr>
          <w:rFonts w:hint="eastAsia" w:ascii="宋体" w:hAnsi="宋体" w:eastAsia="宋体" w:cs="宋体"/>
          <w:color w:val="auto"/>
          <w:sz w:val="25"/>
          <w:szCs w:val="25"/>
          <w:highlight w:val="none"/>
        </w:rPr>
      </w:pPr>
      <w:bookmarkStart w:id="108" w:name="_Toc10503"/>
      <w:bookmarkStart w:id="109" w:name="_Toc28572"/>
      <w:bookmarkStart w:id="110" w:name="_Toc14991"/>
      <w:bookmarkStart w:id="111" w:name="_Toc4119"/>
      <w:r>
        <w:rPr>
          <w:rFonts w:hint="eastAsia" w:ascii="宋体" w:hAnsi="宋体" w:eastAsia="宋体" w:cs="宋体"/>
          <w:b/>
          <w:bCs/>
          <w:color w:val="auto"/>
          <w:spacing w:val="-3"/>
          <w:sz w:val="24"/>
          <w:szCs w:val="24"/>
          <w:highlight w:val="none"/>
          <w:lang w:val="en-US" w:eastAsia="zh-CN"/>
        </w:rPr>
        <w:t>15</w:t>
      </w:r>
      <w:r>
        <w:rPr>
          <w:rFonts w:hint="eastAsia" w:ascii="宋体" w:hAnsi="宋体" w:eastAsia="宋体" w:cs="宋体"/>
          <w:b/>
          <w:bCs/>
          <w:color w:val="auto"/>
          <w:spacing w:val="-3"/>
          <w:sz w:val="24"/>
          <w:szCs w:val="24"/>
          <w:highlight w:val="none"/>
        </w:rPr>
        <w:t>.</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.1  </w:t>
      </w:r>
      <w:r>
        <w:rPr>
          <w:rFonts w:hint="eastAsia" w:ascii="宋体" w:hAnsi="宋体" w:eastAsia="宋体" w:cs="宋体"/>
          <w:color w:val="auto"/>
          <w:spacing w:val="-3"/>
          <w:sz w:val="24"/>
          <w:szCs w:val="24"/>
          <w:highlight w:val="none"/>
        </w:rPr>
        <w:t>“综合评估法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”评审程序</w:t>
      </w:r>
      <w:bookmarkEnd w:id="108"/>
      <w:bookmarkEnd w:id="109"/>
      <w:bookmarkEnd w:id="110"/>
      <w:bookmarkEnd w:id="111"/>
    </w:p>
    <w:p w14:paraId="52475F7B">
      <w:pPr>
        <w:spacing w:before="152" w:line="329" w:lineRule="auto"/>
        <w:ind w:left="14" w:right="81" w:firstLine="47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评审内容分为商务技术和投标报价两大部分。其中，商</w:t>
      </w:r>
      <w:r>
        <w:rPr>
          <w:rFonts w:hint="eastAsia" w:ascii="宋体" w:hAnsi="宋体" w:eastAsia="宋体" w:cs="宋体"/>
          <w:color w:val="auto"/>
          <w:spacing w:val="-2"/>
          <w:sz w:val="24"/>
          <w:szCs w:val="24"/>
          <w:highlight w:val="none"/>
        </w:rPr>
        <w:t>务技术合计满分</w:t>
      </w:r>
      <w:r>
        <w:rPr>
          <w:rFonts w:hint="eastAsia" w:ascii="宋体" w:hAnsi="宋体" w:eastAsia="宋体" w:cs="宋体"/>
          <w:color w:val="auto"/>
          <w:spacing w:val="-2"/>
          <w:sz w:val="24"/>
          <w:szCs w:val="24"/>
          <w:highlight w:val="none"/>
          <w:lang w:eastAsia="zh-CN"/>
        </w:rPr>
        <w:t>100</w:t>
      </w:r>
      <w:r>
        <w:rPr>
          <w:rFonts w:hint="eastAsia" w:ascii="宋体" w:hAnsi="宋体" w:eastAsia="宋体" w:cs="宋体"/>
          <w:color w:val="auto"/>
          <w:spacing w:val="-2"/>
          <w:sz w:val="24"/>
          <w:szCs w:val="24"/>
          <w:highlight w:val="none"/>
        </w:rPr>
        <w:t>分，权重</w:t>
      </w:r>
      <w:r>
        <w:rPr>
          <w:rFonts w:hint="eastAsia" w:ascii="宋体" w:hAnsi="宋体" w:eastAsia="宋体" w:cs="宋体"/>
          <w:color w:val="auto"/>
          <w:spacing w:val="-3"/>
          <w:sz w:val="24"/>
          <w:szCs w:val="24"/>
          <w:highlight w:val="none"/>
        </w:rPr>
        <w:t>为</w:t>
      </w:r>
      <w:r>
        <w:rPr>
          <w:rFonts w:hint="eastAsia" w:ascii="宋体" w:hAnsi="宋体" w:eastAsia="宋体" w:cs="宋体"/>
          <w:color w:val="auto"/>
          <w:spacing w:val="-3"/>
          <w:sz w:val="24"/>
          <w:szCs w:val="24"/>
          <w:highlight w:val="none"/>
          <w:lang w:eastAsia="zh-CN"/>
        </w:rPr>
        <w:t>40</w:t>
      </w:r>
      <w:r>
        <w:rPr>
          <w:rFonts w:hint="eastAsia" w:ascii="宋体" w:hAnsi="宋体" w:eastAsia="宋体" w:cs="宋体"/>
          <w:color w:val="auto"/>
          <w:spacing w:val="-3"/>
          <w:sz w:val="24"/>
          <w:szCs w:val="24"/>
          <w:highlight w:val="none"/>
        </w:rPr>
        <w:t>%；投标报价满分</w:t>
      </w:r>
      <w:r>
        <w:rPr>
          <w:rFonts w:hint="eastAsia" w:ascii="宋体" w:hAnsi="宋体" w:eastAsia="宋体" w:cs="宋体"/>
          <w:color w:val="auto"/>
          <w:spacing w:val="-30"/>
          <w:sz w:val="24"/>
          <w:szCs w:val="24"/>
          <w:highlight w:val="none"/>
        </w:rPr>
        <w:t xml:space="preserve"> </w:t>
      </w:r>
      <w:r>
        <w:rPr>
          <w:rFonts w:hint="eastAsia" w:ascii="宋体" w:hAnsi="宋体" w:eastAsia="宋体" w:cs="宋体"/>
          <w:color w:val="auto"/>
          <w:spacing w:val="-3"/>
          <w:sz w:val="24"/>
          <w:szCs w:val="24"/>
          <w:highlight w:val="none"/>
        </w:rPr>
        <w:t>100 分，权重为</w:t>
      </w:r>
      <w:r>
        <w:rPr>
          <w:rFonts w:hint="eastAsia" w:ascii="宋体" w:hAnsi="宋体" w:eastAsia="宋体" w:cs="宋体"/>
          <w:color w:val="auto"/>
          <w:spacing w:val="-3"/>
          <w:sz w:val="24"/>
          <w:szCs w:val="24"/>
          <w:highlight w:val="none"/>
          <w:lang w:eastAsia="zh-CN"/>
        </w:rPr>
        <w:t>60</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。两大部分权重之和应为</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3"/>
          <w:sz w:val="24"/>
          <w:szCs w:val="24"/>
          <w:highlight w:val="none"/>
        </w:rPr>
        <w:t>100%。</w:t>
      </w:r>
    </w:p>
    <w:p w14:paraId="3464EFC3">
      <w:pPr>
        <w:spacing w:before="153" w:line="324" w:lineRule="auto"/>
        <w:ind w:left="14"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除特别注明外，综合得分以及商务技术得分、投标报价得分的中间过程计算值和</w:t>
      </w:r>
      <w:r>
        <w:rPr>
          <w:rFonts w:hint="eastAsia" w:ascii="宋体" w:hAnsi="宋体" w:eastAsia="宋体" w:cs="宋体"/>
          <w:color w:val="auto"/>
          <w:spacing w:val="-4"/>
          <w:sz w:val="24"/>
          <w:szCs w:val="24"/>
          <w:highlight w:val="none"/>
        </w:rPr>
        <w:t>最终值，均按“</w:t>
      </w:r>
      <w:r>
        <w:rPr>
          <w:rFonts w:hint="eastAsia" w:ascii="宋体" w:hAnsi="宋体" w:eastAsia="宋体" w:cs="宋体"/>
          <w:color w:val="auto"/>
          <w:spacing w:val="-78"/>
          <w:sz w:val="24"/>
          <w:szCs w:val="24"/>
          <w:highlight w:val="none"/>
        </w:rPr>
        <w:t xml:space="preserve"> </w:t>
      </w:r>
      <w:r>
        <w:rPr>
          <w:rFonts w:hint="eastAsia" w:ascii="宋体" w:hAnsi="宋体" w:eastAsia="宋体" w:cs="宋体"/>
          <w:color w:val="auto"/>
          <w:spacing w:val="-4"/>
          <w:sz w:val="24"/>
          <w:szCs w:val="24"/>
          <w:highlight w:val="none"/>
        </w:rPr>
        <w:t>四舍五入</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”原则精确到两位小数。</w:t>
      </w:r>
    </w:p>
    <w:p w14:paraId="794BA0E0">
      <w:pPr>
        <w:spacing w:before="38" w:line="220" w:lineRule="auto"/>
        <w:ind w:left="503"/>
        <w:outlineLvl w:val="9"/>
        <w:rPr>
          <w:rFonts w:hint="eastAsia" w:ascii="宋体" w:hAnsi="宋体" w:eastAsia="宋体" w:cs="宋体"/>
          <w:color w:val="auto"/>
          <w:sz w:val="24"/>
          <w:szCs w:val="24"/>
          <w:highlight w:val="none"/>
        </w:rPr>
      </w:pPr>
      <w:bookmarkStart w:id="112" w:name="_Toc10398"/>
      <w:bookmarkStart w:id="113" w:name="_Toc22949"/>
      <w:bookmarkStart w:id="114" w:name="_Toc18029"/>
      <w:bookmarkStart w:id="115" w:name="_Toc17510"/>
      <w:r>
        <w:rPr>
          <w:rFonts w:hint="eastAsia" w:ascii="宋体" w:hAnsi="宋体" w:eastAsia="宋体" w:cs="宋体"/>
          <w:color w:val="auto"/>
          <w:spacing w:val="-3"/>
          <w:sz w:val="24"/>
          <w:szCs w:val="24"/>
          <w:highlight w:val="none"/>
        </w:rPr>
        <w:t>（1）商务技术得分</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M</w:t>
      </w:r>
      <w:bookmarkEnd w:id="112"/>
      <w:bookmarkEnd w:id="113"/>
      <w:bookmarkEnd w:id="114"/>
      <w:bookmarkEnd w:id="115"/>
    </w:p>
    <w:p w14:paraId="1E12203A">
      <w:pPr>
        <w:spacing w:before="153" w:line="279" w:lineRule="auto"/>
        <w:ind w:left="15" w:right="81"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color w:val="auto"/>
          <w:spacing w:val="1"/>
          <w:sz w:val="24"/>
          <w:szCs w:val="24"/>
          <w:highlight w:val="none"/>
        </w:rPr>
        <w:t>．评标委员会按照《综合评分表》商务部分指定的评分标准对各评分因素进行</w:t>
      </w:r>
      <w:r>
        <w:rPr>
          <w:rFonts w:hint="eastAsia" w:ascii="宋体" w:hAnsi="宋体" w:eastAsia="宋体" w:cs="宋体"/>
          <w:color w:val="auto"/>
          <w:spacing w:val="-1"/>
          <w:sz w:val="24"/>
          <w:szCs w:val="24"/>
          <w:highlight w:val="none"/>
        </w:rPr>
        <w:t>打分。各评分因素得分之和即为某投标人的商务得分</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
          <w:sz w:val="24"/>
          <w:szCs w:val="24"/>
          <w:highlight w:val="none"/>
        </w:rPr>
        <w:t>。</w:t>
      </w:r>
    </w:p>
    <w:p w14:paraId="2C906367">
      <w:pPr>
        <w:spacing w:before="154" w:line="299" w:lineRule="auto"/>
        <w:ind w:left="12" w:right="8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b</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
          <w:sz w:val="24"/>
          <w:szCs w:val="24"/>
          <w:highlight w:val="none"/>
        </w:rPr>
        <w:t>．评标委员会各成员独立按照《综合评分表》技术部分（施工组织设</w:t>
      </w:r>
      <w:r>
        <w:rPr>
          <w:rFonts w:hint="eastAsia" w:ascii="宋体" w:hAnsi="宋体" w:eastAsia="宋体" w:cs="宋体"/>
          <w:color w:val="auto"/>
          <w:sz w:val="24"/>
          <w:szCs w:val="24"/>
          <w:highlight w:val="none"/>
        </w:rPr>
        <w:t>计）指定</w:t>
      </w:r>
      <w:r>
        <w:rPr>
          <w:rFonts w:hint="eastAsia" w:ascii="宋体" w:hAnsi="宋体" w:eastAsia="宋体" w:cs="宋体"/>
          <w:color w:val="auto"/>
          <w:spacing w:val="-1"/>
          <w:sz w:val="24"/>
          <w:szCs w:val="24"/>
          <w:highlight w:val="none"/>
        </w:rPr>
        <w:t>的评分标准对各评分因素进行打分，累加后得出技术评分。</w:t>
      </w:r>
      <w:r>
        <w:rPr>
          <w:rFonts w:hint="eastAsia" w:ascii="宋体" w:hAnsi="宋体" w:eastAsia="宋体" w:cs="宋体"/>
          <w:color w:val="auto"/>
          <w:spacing w:val="-2"/>
          <w:sz w:val="24"/>
          <w:szCs w:val="24"/>
          <w:highlight w:val="none"/>
        </w:rPr>
        <w:t>将评标委员会所有成员的</w:t>
      </w:r>
      <w:r>
        <w:rPr>
          <w:rFonts w:hint="eastAsia" w:ascii="宋体" w:hAnsi="宋体" w:eastAsia="宋体" w:cs="宋体"/>
          <w:color w:val="auto"/>
          <w:sz w:val="24"/>
          <w:szCs w:val="24"/>
          <w:highlight w:val="none"/>
        </w:rPr>
        <w:t>技术评分去掉最高分和最低分后，取算术平均值，即</w:t>
      </w:r>
      <w:r>
        <w:rPr>
          <w:rFonts w:hint="eastAsia" w:ascii="宋体" w:hAnsi="宋体" w:eastAsia="宋体" w:cs="宋体"/>
          <w:color w:val="auto"/>
          <w:spacing w:val="-1"/>
          <w:sz w:val="24"/>
          <w:szCs w:val="24"/>
          <w:highlight w:val="none"/>
        </w:rPr>
        <w:t>为某投标人的技术得分</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1"/>
          <w:sz w:val="24"/>
          <w:szCs w:val="24"/>
          <w:highlight w:val="none"/>
        </w:rPr>
        <w:t>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
          <w:sz w:val="24"/>
          <w:szCs w:val="24"/>
          <w:highlight w:val="none"/>
        </w:rPr>
        <w:t>。</w:t>
      </w:r>
    </w:p>
    <w:p w14:paraId="520DD2F5">
      <w:pPr>
        <w:spacing w:before="155" w:line="231" w:lineRule="auto"/>
        <w:ind w:left="491"/>
        <w:rPr>
          <w:rFonts w:hint="eastAsia" w:ascii="宋体" w:hAnsi="宋体" w:eastAsia="宋体" w:cs="宋体"/>
          <w:color w:val="auto"/>
          <w:sz w:val="15"/>
          <w:szCs w:val="15"/>
          <w:highlight w:val="none"/>
        </w:rPr>
      </w:pPr>
      <w:r>
        <w:rPr>
          <w:rFonts w:hint="eastAsia" w:ascii="宋体" w:hAnsi="宋体" w:eastAsia="宋体" w:cs="宋体"/>
          <w:b/>
          <w:bCs/>
          <w:color w:val="auto"/>
          <w:spacing w:val="-12"/>
          <w:sz w:val="24"/>
          <w:szCs w:val="24"/>
          <w:highlight w:val="none"/>
        </w:rPr>
        <w:t>c</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12"/>
          <w:sz w:val="24"/>
          <w:szCs w:val="24"/>
          <w:highlight w:val="none"/>
        </w:rPr>
        <w:t>＝M</w:t>
      </w:r>
      <w:r>
        <w:rPr>
          <w:rFonts w:hint="eastAsia" w:ascii="宋体" w:hAnsi="宋体" w:eastAsia="宋体" w:cs="宋体"/>
          <w:color w:val="auto"/>
          <w:spacing w:val="-12"/>
          <w:position w:val="-1"/>
          <w:sz w:val="15"/>
          <w:szCs w:val="15"/>
          <w:highlight w:val="none"/>
        </w:rPr>
        <w:t>1</w:t>
      </w:r>
      <w:r>
        <w:rPr>
          <w:rFonts w:hint="eastAsia" w:ascii="宋体" w:hAnsi="宋体" w:eastAsia="宋体" w:cs="宋体"/>
          <w:color w:val="auto"/>
          <w:sz w:val="24"/>
          <w:szCs w:val="24"/>
          <w:highlight w:val="none"/>
        </w:rPr>
        <w:t>＋M</w:t>
      </w:r>
      <w:r>
        <w:rPr>
          <w:rFonts w:hint="eastAsia" w:ascii="宋体" w:hAnsi="宋体" w:eastAsia="宋体" w:cs="宋体"/>
          <w:color w:val="auto"/>
          <w:position w:val="-1"/>
          <w:sz w:val="15"/>
          <w:szCs w:val="15"/>
          <w:highlight w:val="none"/>
        </w:rPr>
        <w:t>2</w:t>
      </w:r>
    </w:p>
    <w:p w14:paraId="76688D82">
      <w:pPr>
        <w:spacing w:before="139" w:line="220" w:lineRule="auto"/>
        <w:ind w:left="49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12"/>
          <w:w w:val="101"/>
          <w:position w:val="-1"/>
          <w:sz w:val="15"/>
          <w:szCs w:val="15"/>
          <w:highlight w:val="none"/>
        </w:rPr>
        <w:t xml:space="preserve"> </w:t>
      </w:r>
      <w:r>
        <w:rPr>
          <w:rFonts w:hint="eastAsia" w:ascii="宋体" w:hAnsi="宋体" w:eastAsia="宋体" w:cs="宋体"/>
          <w:color w:val="auto"/>
          <w:spacing w:val="-1"/>
          <w:sz w:val="24"/>
          <w:szCs w:val="24"/>
          <w:highlight w:val="none"/>
        </w:rPr>
        <w:t>为某投标人的商务得分，M</w:t>
      </w:r>
      <w:r>
        <w:rPr>
          <w:rFonts w:hint="eastAsia" w:ascii="宋体" w:hAnsi="宋体" w:eastAsia="宋体" w:cs="宋体"/>
          <w:color w:val="auto"/>
          <w:spacing w:val="-1"/>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1"/>
          <w:sz w:val="24"/>
          <w:szCs w:val="24"/>
          <w:highlight w:val="none"/>
        </w:rPr>
        <w:t>为某投标人的</w:t>
      </w:r>
      <w:r>
        <w:rPr>
          <w:rFonts w:hint="eastAsia" w:ascii="宋体" w:hAnsi="宋体" w:eastAsia="宋体" w:cs="宋体"/>
          <w:color w:val="auto"/>
          <w:spacing w:val="-2"/>
          <w:sz w:val="24"/>
          <w:szCs w:val="24"/>
          <w:highlight w:val="none"/>
        </w:rPr>
        <w:t>技术得分。</w:t>
      </w:r>
    </w:p>
    <w:p w14:paraId="24BE1853">
      <w:pPr>
        <w:spacing w:before="153" w:line="219" w:lineRule="auto"/>
        <w:ind w:left="503"/>
        <w:outlineLvl w:val="9"/>
        <w:rPr>
          <w:rFonts w:hint="eastAsia" w:ascii="宋体" w:hAnsi="宋体" w:eastAsia="宋体" w:cs="宋体"/>
          <w:color w:val="auto"/>
          <w:sz w:val="24"/>
          <w:szCs w:val="24"/>
          <w:highlight w:val="none"/>
        </w:rPr>
      </w:pPr>
      <w:bookmarkStart w:id="116" w:name="_Toc14059"/>
      <w:bookmarkStart w:id="117" w:name="_Toc27609"/>
      <w:bookmarkStart w:id="118" w:name="_Toc3958"/>
      <w:bookmarkStart w:id="119" w:name="_Toc16136"/>
      <w:r>
        <w:rPr>
          <w:rFonts w:hint="eastAsia" w:ascii="宋体" w:hAnsi="宋体" w:eastAsia="宋体" w:cs="宋体"/>
          <w:color w:val="auto"/>
          <w:spacing w:val="-2"/>
          <w:sz w:val="24"/>
          <w:szCs w:val="24"/>
          <w:highlight w:val="none"/>
        </w:rPr>
        <w:t>（2）投标报价得分</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2"/>
          <w:sz w:val="24"/>
          <w:szCs w:val="24"/>
          <w:highlight w:val="none"/>
        </w:rPr>
        <w:t>N</w:t>
      </w:r>
      <w:bookmarkEnd w:id="116"/>
      <w:bookmarkEnd w:id="117"/>
      <w:bookmarkEnd w:id="118"/>
      <w:bookmarkEnd w:id="119"/>
    </w:p>
    <w:p w14:paraId="5F9BE99E">
      <w:pPr>
        <w:spacing w:before="157" w:line="219" w:lineRule="auto"/>
        <w:ind w:firstLine="470" w:firstLineChars="20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a</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color w:val="auto"/>
          <w:spacing w:val="-3"/>
          <w:sz w:val="24"/>
          <w:szCs w:val="24"/>
          <w:highlight w:val="none"/>
        </w:rPr>
        <w:t>．评标委员会按照《综合评分表》投标报价部分指定的方法计</w:t>
      </w:r>
      <w:r>
        <w:rPr>
          <w:rFonts w:hint="eastAsia" w:ascii="宋体" w:hAnsi="宋体" w:eastAsia="宋体" w:cs="宋体"/>
          <w:color w:val="auto"/>
          <w:spacing w:val="-4"/>
          <w:sz w:val="24"/>
          <w:szCs w:val="24"/>
          <w:highlight w:val="none"/>
        </w:rPr>
        <w:t>算评标基准价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pacing w:val="-4"/>
          <w:sz w:val="24"/>
          <w:szCs w:val="24"/>
          <w:highlight w:val="none"/>
        </w:rPr>
        <w:t>D。</w:t>
      </w:r>
    </w:p>
    <w:p w14:paraId="27C7C653">
      <w:pPr>
        <w:spacing w:before="155" w:line="299" w:lineRule="auto"/>
        <w:ind w:left="12" w:right="83"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b</w:t>
      </w:r>
      <w:r>
        <w:rPr>
          <w:rFonts w:hint="eastAsia" w:ascii="宋体" w:hAnsi="宋体" w:eastAsia="宋体" w:cs="宋体"/>
          <w:b/>
          <w:bCs/>
          <w:color w:val="auto"/>
          <w:spacing w:val="-20"/>
          <w:sz w:val="24"/>
          <w:szCs w:val="24"/>
          <w:highlight w:val="none"/>
        </w:rPr>
        <w:t xml:space="preserve"> </w:t>
      </w:r>
      <w:r>
        <w:rPr>
          <w:rFonts w:hint="eastAsia" w:ascii="宋体" w:hAnsi="宋体" w:eastAsia="宋体" w:cs="宋体"/>
          <w:color w:val="auto"/>
          <w:sz w:val="24"/>
          <w:szCs w:val="24"/>
          <w:highlight w:val="none"/>
        </w:rPr>
        <w:t>．采用内插法计算某投标人的投标报价得分</w:t>
      </w:r>
      <w:r>
        <w:rPr>
          <w:rFonts w:hint="eastAsia" w:ascii="宋体" w:hAnsi="宋体" w:eastAsia="宋体" w:cs="宋体"/>
          <w:color w:val="auto"/>
          <w:spacing w:val="-60"/>
          <w:sz w:val="24"/>
          <w:szCs w:val="24"/>
          <w:highlight w:val="none"/>
        </w:rPr>
        <w:t xml:space="preserve"> </w:t>
      </w:r>
      <w:r>
        <w:rPr>
          <w:rFonts w:hint="eastAsia" w:ascii="宋体" w:hAnsi="宋体" w:eastAsia="宋体" w:cs="宋体"/>
          <w:color w:val="auto"/>
          <w:sz w:val="24"/>
          <w:szCs w:val="24"/>
          <w:highlight w:val="none"/>
        </w:rPr>
        <w:t>N</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z w:val="24"/>
          <w:szCs w:val="24"/>
          <w:highlight w:val="none"/>
        </w:rPr>
        <w:t>，即当投标人的投标总价等于评</w:t>
      </w:r>
      <w:r>
        <w:rPr>
          <w:rFonts w:hint="eastAsia" w:ascii="宋体" w:hAnsi="宋体" w:eastAsia="宋体" w:cs="宋体"/>
          <w:color w:val="auto"/>
          <w:spacing w:val="-1"/>
          <w:sz w:val="24"/>
          <w:szCs w:val="24"/>
          <w:highlight w:val="none"/>
        </w:rPr>
        <w:t>标基准价时得</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100分，每高于评标基准价一个百分点扣</w:t>
      </w:r>
      <w:r>
        <w:rPr>
          <w:rFonts w:hint="eastAsia" w:ascii="宋体" w:hAnsi="宋体" w:eastAsia="宋体" w:cs="宋体"/>
          <w:color w:val="auto"/>
          <w:spacing w:val="-44"/>
          <w:sz w:val="24"/>
          <w:szCs w:val="24"/>
          <w:highlight w:val="none"/>
        </w:rPr>
        <w:t xml:space="preserve"> </w:t>
      </w:r>
      <w:r>
        <w:rPr>
          <w:rFonts w:hint="eastAsia" w:ascii="宋体" w:hAnsi="宋体" w:eastAsia="宋体" w:cs="宋体"/>
          <w:b/>
          <w:bCs/>
          <w:color w:val="auto"/>
          <w:spacing w:val="-1"/>
          <w:sz w:val="24"/>
          <w:szCs w:val="24"/>
          <w:highlight w:val="none"/>
        </w:rPr>
        <w:t xml:space="preserve">1分,  </w:t>
      </w:r>
      <w:r>
        <w:rPr>
          <w:rFonts w:hint="eastAsia" w:ascii="宋体" w:hAnsi="宋体" w:eastAsia="宋体" w:cs="宋体"/>
          <w:color w:val="auto"/>
          <w:spacing w:val="-2"/>
          <w:sz w:val="24"/>
          <w:szCs w:val="24"/>
          <w:highlight w:val="none"/>
        </w:rPr>
        <w:t>每低于评标基准价一个百分点扣</w:t>
      </w:r>
      <w:r>
        <w:rPr>
          <w:rFonts w:hint="eastAsia" w:ascii="宋体" w:hAnsi="宋体" w:eastAsia="宋体" w:cs="宋体"/>
          <w:color w:val="auto"/>
          <w:spacing w:val="-34"/>
          <w:sz w:val="24"/>
          <w:szCs w:val="24"/>
          <w:highlight w:val="none"/>
        </w:rPr>
        <w:t xml:space="preserve"> </w:t>
      </w:r>
      <w:r>
        <w:rPr>
          <w:rFonts w:hint="eastAsia" w:ascii="宋体" w:hAnsi="宋体" w:eastAsia="宋体" w:cs="宋体"/>
          <w:b/>
          <w:bCs/>
          <w:color w:val="auto"/>
          <w:spacing w:val="-2"/>
          <w:sz w:val="24"/>
          <w:szCs w:val="24"/>
          <w:highlight w:val="none"/>
        </w:rPr>
        <w:t>0.5 分</w:t>
      </w:r>
      <w:r>
        <w:rPr>
          <w:rFonts w:hint="eastAsia" w:ascii="宋体" w:hAnsi="宋体" w:eastAsia="宋体" w:cs="宋体"/>
          <w:color w:val="auto"/>
          <w:spacing w:val="-2"/>
          <w:sz w:val="24"/>
          <w:szCs w:val="24"/>
          <w:highlight w:val="none"/>
        </w:rPr>
        <w:t>，扣完为止。公式如下：</w:t>
      </w:r>
    </w:p>
    <w:p w14:paraId="4FAFC48E">
      <w:pPr>
        <w:spacing w:before="118" w:line="333" w:lineRule="exact"/>
        <w:ind w:left="2418"/>
        <w:rPr>
          <w:rFonts w:hint="eastAsia" w:ascii="宋体" w:hAnsi="宋体" w:eastAsia="宋体" w:cs="宋体"/>
          <w:color w:val="auto"/>
          <w:sz w:val="24"/>
          <w:szCs w:val="24"/>
          <w:highlight w:val="none"/>
        </w:rPr>
      </w:pPr>
      <w:r>
        <w:rPr>
          <w:rFonts w:hint="eastAsia" w:ascii="宋体" w:hAnsi="宋体" w:eastAsia="宋体" w:cs="宋体"/>
          <w:color w:val="auto"/>
          <w:spacing w:val="-6"/>
          <w:position w:val="3"/>
          <w:sz w:val="24"/>
          <w:szCs w:val="24"/>
          <w:highlight w:val="none"/>
        </w:rPr>
        <w:t>N</w:t>
      </w:r>
      <w:r>
        <w:rPr>
          <w:rFonts w:hint="eastAsia" w:ascii="宋体" w:hAnsi="宋体" w:eastAsia="宋体" w:cs="宋体"/>
          <w:color w:val="auto"/>
          <w:spacing w:val="-27"/>
          <w:position w:val="3"/>
          <w:sz w:val="24"/>
          <w:szCs w:val="24"/>
          <w:highlight w:val="none"/>
        </w:rPr>
        <w:t xml:space="preserve"> </w:t>
      </w:r>
      <w:r>
        <w:rPr>
          <w:rFonts w:hint="eastAsia" w:ascii="宋体" w:hAnsi="宋体" w:eastAsia="宋体" w:cs="宋体"/>
          <w:color w:val="auto"/>
          <w:spacing w:val="-6"/>
          <w:position w:val="3"/>
          <w:sz w:val="24"/>
          <w:szCs w:val="24"/>
          <w:highlight w:val="none"/>
        </w:rPr>
        <w:t>＝100</w:t>
      </w:r>
      <w:r>
        <w:rPr>
          <w:rFonts w:hint="eastAsia" w:ascii="宋体" w:hAnsi="宋体" w:eastAsia="宋体" w:cs="宋体"/>
          <w:color w:val="auto"/>
          <w:spacing w:val="-12"/>
          <w:position w:val="3"/>
          <w:sz w:val="24"/>
          <w:szCs w:val="24"/>
          <w:highlight w:val="none"/>
        </w:rPr>
        <w:t>－（</w:t>
      </w:r>
      <w:r>
        <w:rPr>
          <w:rFonts w:hint="eastAsia" w:ascii="宋体" w:hAnsi="宋体" w:eastAsia="宋体" w:cs="宋体"/>
          <w:color w:val="auto"/>
          <w:spacing w:val="-6"/>
          <w:position w:val="3"/>
          <w:sz w:val="24"/>
          <w:szCs w:val="24"/>
          <w:highlight w:val="none"/>
        </w:rPr>
        <w:t>|  Di－D</w:t>
      </w:r>
      <w:r>
        <w:rPr>
          <w:rFonts w:hint="eastAsia" w:ascii="宋体" w:hAnsi="宋体" w:eastAsia="宋体" w:cs="宋体"/>
          <w:color w:val="auto"/>
          <w:spacing w:val="9"/>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17"/>
          <w:position w:val="3"/>
          <w:sz w:val="24"/>
          <w:szCs w:val="24"/>
          <w:highlight w:val="none"/>
        </w:rPr>
        <w:t xml:space="preserve">  </w:t>
      </w:r>
      <w:r>
        <w:rPr>
          <w:rFonts w:hint="eastAsia" w:ascii="宋体" w:hAnsi="宋体" w:eastAsia="宋体" w:cs="宋体"/>
          <w:color w:val="auto"/>
          <w:spacing w:val="-6"/>
          <w:position w:val="3"/>
          <w:sz w:val="24"/>
          <w:szCs w:val="24"/>
          <w:highlight w:val="none"/>
        </w:rPr>
        <w:t>÷D）</w:t>
      </w:r>
      <w:r>
        <w:rPr>
          <w:rFonts w:hint="eastAsia" w:ascii="宋体" w:hAnsi="宋体" w:eastAsia="宋体" w:cs="宋体"/>
          <w:color w:val="auto"/>
          <w:spacing w:val="-75"/>
          <w:position w:val="3"/>
          <w:sz w:val="24"/>
          <w:szCs w:val="24"/>
          <w:highlight w:val="none"/>
        </w:rPr>
        <w:t xml:space="preserve"> </w:t>
      </w:r>
      <w:r>
        <w:rPr>
          <w:rFonts w:hint="eastAsia" w:ascii="宋体" w:hAnsi="宋体" w:eastAsia="宋体" w:cs="宋体"/>
          <w:color w:val="auto"/>
          <w:spacing w:val="-6"/>
          <w:position w:val="3"/>
          <w:sz w:val="24"/>
          <w:szCs w:val="24"/>
          <w:highlight w:val="none"/>
        </w:rPr>
        <w:t>×</w:t>
      </w:r>
      <w:r>
        <w:rPr>
          <w:rFonts w:hint="eastAsia" w:ascii="宋体" w:hAnsi="宋体" w:eastAsia="宋体" w:cs="宋体"/>
          <w:color w:val="auto"/>
          <w:spacing w:val="-92"/>
          <w:position w:val="3"/>
          <w:sz w:val="24"/>
          <w:szCs w:val="24"/>
          <w:highlight w:val="none"/>
        </w:rPr>
        <w:t xml:space="preserve"> </w:t>
      </w:r>
      <w:r>
        <w:rPr>
          <w:rFonts w:hint="eastAsia" w:ascii="宋体" w:hAnsi="宋体" w:eastAsia="宋体" w:cs="宋体"/>
          <w:color w:val="auto"/>
          <w:spacing w:val="-6"/>
          <w:position w:val="3"/>
          <w:sz w:val="24"/>
          <w:szCs w:val="24"/>
          <w:highlight w:val="none"/>
        </w:rPr>
        <w:t>100×E</w:t>
      </w:r>
    </w:p>
    <w:p w14:paraId="484CC48A">
      <w:pPr>
        <w:spacing w:before="106" w:line="316" w:lineRule="auto"/>
        <w:ind w:left="7" w:right="17" w:firstLine="489"/>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式中：D 为评标基准价；Di</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为某投标人的投标总价；E</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为扣分因子，当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9"/>
          <w:sz w:val="24"/>
          <w:szCs w:val="24"/>
          <w:highlight w:val="none"/>
        </w:rPr>
        <w:t>Di＞D</w:t>
      </w:r>
      <w:r>
        <w:rPr>
          <w:rFonts w:hint="eastAsia" w:ascii="宋体" w:hAnsi="宋体" w:eastAsia="宋体" w:cs="宋体"/>
          <w:color w:val="auto"/>
          <w:spacing w:val="22"/>
          <w:w w:val="101"/>
          <w:sz w:val="24"/>
          <w:szCs w:val="24"/>
          <w:highlight w:val="none"/>
        </w:rPr>
        <w:t xml:space="preserve"> </w:t>
      </w:r>
      <w:r>
        <w:rPr>
          <w:rFonts w:hint="eastAsia" w:ascii="宋体" w:hAnsi="宋体" w:eastAsia="宋体" w:cs="宋体"/>
          <w:color w:val="auto"/>
          <w:spacing w:val="-10"/>
          <w:sz w:val="24"/>
          <w:szCs w:val="24"/>
          <w:highlight w:val="none"/>
        </w:rPr>
        <w:t>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E</w:t>
      </w:r>
      <w:r>
        <w:rPr>
          <w:rFonts w:hint="eastAsia" w:ascii="宋体" w:hAnsi="宋体" w:eastAsia="宋体" w:cs="宋体"/>
          <w:color w:val="auto"/>
          <w:spacing w:val="-24"/>
          <w:sz w:val="24"/>
          <w:szCs w:val="24"/>
          <w:highlight w:val="none"/>
        </w:rPr>
        <w:t xml:space="preserve"> </w:t>
      </w:r>
      <w:r>
        <w:rPr>
          <w:rFonts w:hint="eastAsia" w:ascii="宋体" w:hAnsi="宋体" w:eastAsia="宋体" w:cs="宋体"/>
          <w:color w:val="auto"/>
          <w:spacing w:val="-8"/>
          <w:sz w:val="24"/>
          <w:szCs w:val="24"/>
          <w:highlight w:val="none"/>
        </w:rPr>
        <w:t>＝</w:t>
      </w:r>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30"/>
          <w:sz w:val="24"/>
          <w:szCs w:val="24"/>
          <w:highlight w:val="none"/>
        </w:rPr>
        <w:t xml:space="preserve"> </w:t>
      </w:r>
      <w:r>
        <w:rPr>
          <w:rFonts w:hint="eastAsia" w:ascii="宋体" w:hAnsi="宋体" w:eastAsia="宋体" w:cs="宋体"/>
          <w:b/>
          <w:bCs/>
          <w:color w:val="auto"/>
          <w:spacing w:val="-8"/>
          <w:sz w:val="24"/>
          <w:szCs w:val="24"/>
          <w:highlight w:val="none"/>
        </w:rPr>
        <w:t>；</w:t>
      </w:r>
      <w:r>
        <w:rPr>
          <w:rFonts w:hint="eastAsia" w:ascii="宋体" w:hAnsi="宋体" w:eastAsia="宋体" w:cs="宋体"/>
          <w:color w:val="auto"/>
          <w:spacing w:val="-8"/>
          <w:sz w:val="24"/>
          <w:szCs w:val="24"/>
          <w:highlight w:val="none"/>
        </w:rPr>
        <w:t>当</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8"/>
          <w:sz w:val="24"/>
          <w:szCs w:val="24"/>
          <w:highlight w:val="none"/>
        </w:rPr>
        <w:t>Di＜D</w:t>
      </w:r>
      <w:r>
        <w:rPr>
          <w:rFonts w:hint="eastAsia" w:ascii="宋体" w:hAnsi="宋体" w:eastAsia="宋体" w:cs="宋体"/>
          <w:color w:val="auto"/>
          <w:spacing w:val="20"/>
          <w:w w:val="101"/>
          <w:sz w:val="24"/>
          <w:szCs w:val="24"/>
          <w:highlight w:val="none"/>
        </w:rPr>
        <w:t xml:space="preserve"> </w:t>
      </w:r>
      <w:r>
        <w:rPr>
          <w:rFonts w:hint="eastAsia" w:ascii="宋体" w:hAnsi="宋体" w:eastAsia="宋体" w:cs="宋体"/>
          <w:color w:val="auto"/>
          <w:spacing w:val="-8"/>
          <w:sz w:val="24"/>
          <w:szCs w:val="24"/>
          <w:highlight w:val="none"/>
        </w:rPr>
        <w:t>时，E</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＝0.5。</w:t>
      </w:r>
    </w:p>
    <w:p w14:paraId="62416271">
      <w:pPr>
        <w:spacing w:before="95" w:line="220" w:lineRule="auto"/>
        <w:ind w:left="503"/>
        <w:outlineLvl w:val="9"/>
        <w:rPr>
          <w:rFonts w:hint="eastAsia" w:ascii="宋体" w:hAnsi="宋体" w:eastAsia="宋体" w:cs="宋体"/>
          <w:color w:val="auto"/>
          <w:sz w:val="24"/>
          <w:szCs w:val="24"/>
          <w:highlight w:val="none"/>
        </w:rPr>
      </w:pPr>
      <w:bookmarkStart w:id="120" w:name="_Toc576"/>
      <w:bookmarkStart w:id="121" w:name="_Toc7915"/>
      <w:bookmarkStart w:id="122" w:name="_Toc4990"/>
      <w:bookmarkStart w:id="123" w:name="_Toc3861"/>
      <w:r>
        <w:rPr>
          <w:rFonts w:hint="eastAsia" w:ascii="宋体" w:hAnsi="宋体" w:eastAsia="宋体" w:cs="宋体"/>
          <w:color w:val="auto"/>
          <w:spacing w:val="-3"/>
          <w:sz w:val="24"/>
          <w:szCs w:val="24"/>
          <w:highlight w:val="none"/>
        </w:rPr>
        <w:t>（3）综合得分</w:t>
      </w:r>
      <w:bookmarkEnd w:id="120"/>
      <w:bookmarkEnd w:id="121"/>
      <w:bookmarkEnd w:id="122"/>
      <w:bookmarkEnd w:id="123"/>
    </w:p>
    <w:p w14:paraId="16428BA2">
      <w:pPr>
        <w:spacing w:before="153" w:line="220" w:lineRule="auto"/>
        <w:ind w:left="49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综合得分换算为百分制，满分</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2"/>
          <w:sz w:val="24"/>
          <w:szCs w:val="24"/>
          <w:highlight w:val="none"/>
        </w:rPr>
        <w:t>100 分，公式如下：</w:t>
      </w:r>
    </w:p>
    <w:p w14:paraId="147A726B">
      <w:pPr>
        <w:spacing w:before="155" w:line="324" w:lineRule="auto"/>
        <w:ind w:left="496" w:right="532" w:hanging="33"/>
        <w:rPr>
          <w:rFonts w:hint="eastAsia" w:ascii="宋体" w:hAnsi="宋体" w:eastAsia="宋体" w:cs="宋体"/>
          <w:color w:val="auto"/>
          <w:spacing w:val="-1"/>
          <w:sz w:val="24"/>
          <w:szCs w:val="24"/>
          <w:highlight w:val="none"/>
        </w:rPr>
      </w:pPr>
      <w:r>
        <w:rPr>
          <w:rFonts w:hint="eastAsia" w:ascii="宋体" w:hAnsi="宋体" w:eastAsia="宋体" w:cs="宋体"/>
          <w:color w:val="auto"/>
          <w:sz w:val="24"/>
          <w:szCs w:val="24"/>
          <w:highlight w:val="none"/>
        </w:rPr>
        <w:t>综合得分＝M÷商务技术合计满分×100</w:t>
      </w:r>
      <w:r>
        <w:rPr>
          <w:rFonts w:hint="eastAsia" w:ascii="宋体" w:hAnsi="宋体" w:eastAsia="宋体" w:cs="宋体"/>
          <w:color w:val="auto"/>
          <w:spacing w:val="-1"/>
          <w:sz w:val="24"/>
          <w:szCs w:val="24"/>
          <w:highlight w:val="none"/>
        </w:rPr>
        <w:t>×商务技术权重＋N×投标报价权重</w:t>
      </w:r>
    </w:p>
    <w:p w14:paraId="07AC6F79">
      <w:pPr>
        <w:spacing w:before="155" w:line="324" w:lineRule="auto"/>
        <w:ind w:left="496" w:right="532" w:hanging="3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式中：M 为商务技术得分，N 为投标报价得分。</w:t>
      </w:r>
    </w:p>
    <w:p w14:paraId="00D9077E">
      <w:pPr>
        <w:spacing w:before="78" w:line="329" w:lineRule="auto"/>
        <w:ind w:left="276" w:right="263" w:hanging="1"/>
        <w:jc w:val="both"/>
        <w:rPr>
          <w:rFonts w:hint="eastAsia" w:ascii="宋体" w:hAnsi="宋体" w:eastAsia="宋体" w:cs="宋体"/>
          <w:b/>
          <w:bCs/>
          <w:color w:val="auto"/>
          <w:spacing w:val="2"/>
          <w:sz w:val="24"/>
          <w:szCs w:val="24"/>
          <w:highlight w:val="none"/>
        </w:rPr>
      </w:pPr>
      <w:bookmarkStart w:id="124" w:name="_Toc30671"/>
      <w:bookmarkStart w:id="125" w:name="_Toc32384"/>
      <w:bookmarkStart w:id="126" w:name="_Toc25214"/>
      <w:bookmarkStart w:id="127" w:name="_Toc2885"/>
      <w:r>
        <w:rPr>
          <w:rFonts w:hint="eastAsia" w:ascii="宋体" w:hAnsi="宋体" w:eastAsia="宋体" w:cs="宋体"/>
          <w:b/>
          <w:bCs/>
          <w:color w:val="auto"/>
          <w:spacing w:val="2"/>
          <w:sz w:val="24"/>
          <w:szCs w:val="24"/>
          <w:highlight w:val="none"/>
        </w:rPr>
        <w:t>（4）</w:t>
      </w:r>
      <w:bookmarkEnd w:id="124"/>
      <w:bookmarkEnd w:id="125"/>
      <w:bookmarkEnd w:id="126"/>
      <w:bookmarkEnd w:id="127"/>
      <w:r>
        <w:rPr>
          <w:rFonts w:hint="eastAsia" w:ascii="宋体" w:hAnsi="宋体" w:eastAsia="宋体" w:cs="宋体"/>
          <w:b/>
          <w:bCs/>
          <w:color w:val="auto"/>
          <w:spacing w:val="2"/>
          <w:sz w:val="24"/>
          <w:szCs w:val="24"/>
          <w:highlight w:val="none"/>
        </w:rPr>
        <w:t>评标委员会根据招标文件规定的评分细则，对招标文件中的各评审因素进行评审、比较、打分，将得分前5名不排序（按企业统一社会信用代码后4位</w:t>
      </w:r>
      <w:r>
        <w:rPr>
          <w:rFonts w:hint="eastAsia" w:ascii="宋体" w:hAnsi="宋体" w:eastAsia="宋体" w:cs="宋体"/>
          <w:b/>
          <w:bCs/>
          <w:color w:val="auto"/>
          <w:spacing w:val="2"/>
          <w:sz w:val="24"/>
          <w:szCs w:val="24"/>
          <w:highlight w:val="none"/>
          <w:lang w:val="en-US" w:eastAsia="zh-CN"/>
        </w:rPr>
        <w:t>由</w:t>
      </w:r>
      <w:r>
        <w:rPr>
          <w:rFonts w:hint="eastAsia" w:ascii="宋体" w:hAnsi="宋体" w:eastAsia="宋体" w:cs="宋体"/>
          <w:b/>
          <w:bCs/>
          <w:color w:val="auto"/>
          <w:spacing w:val="2"/>
          <w:sz w:val="24"/>
          <w:szCs w:val="24"/>
          <w:highlight w:val="none"/>
        </w:rPr>
        <w:t>大</w:t>
      </w:r>
      <w:r>
        <w:rPr>
          <w:rFonts w:hint="eastAsia" w:ascii="宋体" w:hAnsi="宋体" w:eastAsia="宋体" w:cs="宋体"/>
          <w:b/>
          <w:bCs/>
          <w:color w:val="auto"/>
          <w:spacing w:val="2"/>
          <w:sz w:val="24"/>
          <w:szCs w:val="24"/>
          <w:highlight w:val="none"/>
          <w:lang w:val="en-US" w:eastAsia="zh-CN"/>
        </w:rPr>
        <w:t>到</w:t>
      </w:r>
      <w:r>
        <w:rPr>
          <w:rFonts w:hint="eastAsia" w:ascii="宋体" w:hAnsi="宋体" w:eastAsia="宋体" w:cs="宋体"/>
          <w:b/>
          <w:bCs/>
          <w:color w:val="auto"/>
          <w:spacing w:val="2"/>
          <w:sz w:val="24"/>
          <w:szCs w:val="24"/>
          <w:highlight w:val="none"/>
        </w:rPr>
        <w:t>小排位）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797C2B9A">
      <w:pPr>
        <w:spacing w:before="78" w:line="329" w:lineRule="auto"/>
        <w:ind w:right="263" w:firstLine="490"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28661E98">
      <w:pPr>
        <w:pStyle w:val="5"/>
        <w:spacing w:line="304"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08A4A270">
      <w:pPr>
        <w:pStyle w:val="5"/>
        <w:spacing w:line="304"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注:编写评标报告时，定标候选人不排序，按企业统一社会信用代码后4位大小排位，如统一社会信</w:t>
      </w:r>
    </w:p>
    <w:p w14:paraId="386B6E39">
      <w:pPr>
        <w:pStyle w:val="5"/>
        <w:spacing w:line="304" w:lineRule="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用代码后4位出现字母情况的，字母以“0”进行代替大小排位，如出现后4位大小一致的，则随机排位。</w:t>
      </w:r>
    </w:p>
    <w:p w14:paraId="3683E1C2">
      <w:pPr>
        <w:rPr>
          <w:rFonts w:hint="eastAsia"/>
          <w:color w:val="auto"/>
          <w:highlight w:val="none"/>
        </w:rPr>
      </w:pPr>
    </w:p>
    <w:p w14:paraId="6115BA02">
      <w:pPr>
        <w:pStyle w:val="8"/>
        <w:rPr>
          <w:rFonts w:hint="eastAsia"/>
          <w:color w:val="auto"/>
          <w:highlight w:val="none"/>
        </w:rPr>
      </w:pPr>
    </w:p>
    <w:p w14:paraId="790AA009">
      <w:pPr>
        <w:pStyle w:val="8"/>
        <w:rPr>
          <w:rFonts w:hint="eastAsia"/>
          <w:color w:val="auto"/>
          <w:highlight w:val="none"/>
        </w:rPr>
      </w:pPr>
    </w:p>
    <w:p w14:paraId="546BA234">
      <w:pPr>
        <w:pStyle w:val="8"/>
        <w:rPr>
          <w:rFonts w:hint="eastAsia"/>
          <w:color w:val="auto"/>
          <w:highlight w:val="none"/>
        </w:rPr>
      </w:pPr>
    </w:p>
    <w:p w14:paraId="2A8AE9B9">
      <w:pPr>
        <w:spacing w:before="98" w:line="221" w:lineRule="auto"/>
        <w:outlineLvl w:val="9"/>
        <w:rPr>
          <w:rFonts w:hint="eastAsia" w:ascii="宋体" w:hAnsi="宋体" w:eastAsia="宋体" w:cs="宋体"/>
          <w:b/>
          <w:bCs/>
          <w:color w:val="auto"/>
          <w:spacing w:val="-6"/>
          <w:sz w:val="30"/>
          <w:szCs w:val="30"/>
          <w:highlight w:val="none"/>
        </w:rPr>
      </w:pPr>
      <w:bookmarkStart w:id="128" w:name="_Toc17375"/>
      <w:bookmarkStart w:id="129" w:name="_Toc16801"/>
      <w:bookmarkStart w:id="130" w:name="_Toc3020"/>
    </w:p>
    <w:p w14:paraId="30902EB8">
      <w:pPr>
        <w:pStyle w:val="4"/>
        <w:rPr>
          <w:rFonts w:hint="eastAsia" w:ascii="宋体" w:hAnsi="宋体" w:eastAsia="宋体" w:cs="宋体"/>
          <w:b/>
          <w:bCs/>
          <w:color w:val="auto"/>
          <w:spacing w:val="-6"/>
          <w:sz w:val="30"/>
          <w:szCs w:val="30"/>
          <w:highlight w:val="none"/>
        </w:rPr>
      </w:pPr>
    </w:p>
    <w:p w14:paraId="1E480F20">
      <w:pPr>
        <w:pStyle w:val="4"/>
        <w:rPr>
          <w:rFonts w:hint="eastAsia" w:ascii="宋体" w:hAnsi="宋体" w:eastAsia="宋体" w:cs="宋体"/>
          <w:b/>
          <w:bCs/>
          <w:color w:val="auto"/>
          <w:spacing w:val="-6"/>
          <w:sz w:val="30"/>
          <w:szCs w:val="30"/>
          <w:highlight w:val="none"/>
        </w:rPr>
      </w:pPr>
    </w:p>
    <w:p w14:paraId="70B76E4D">
      <w:pPr>
        <w:pStyle w:val="4"/>
        <w:rPr>
          <w:rFonts w:hint="eastAsia" w:ascii="宋体" w:hAnsi="宋体" w:eastAsia="宋体" w:cs="宋体"/>
          <w:b/>
          <w:bCs/>
          <w:color w:val="auto"/>
          <w:spacing w:val="-6"/>
          <w:sz w:val="30"/>
          <w:szCs w:val="30"/>
          <w:highlight w:val="none"/>
        </w:rPr>
      </w:pPr>
    </w:p>
    <w:p w14:paraId="20669238">
      <w:pPr>
        <w:pStyle w:val="4"/>
        <w:rPr>
          <w:rFonts w:hint="eastAsia" w:ascii="宋体" w:hAnsi="宋体" w:eastAsia="宋体" w:cs="宋体"/>
          <w:b/>
          <w:bCs/>
          <w:color w:val="auto"/>
          <w:spacing w:val="-6"/>
          <w:sz w:val="30"/>
          <w:szCs w:val="30"/>
          <w:highlight w:val="none"/>
        </w:rPr>
      </w:pPr>
    </w:p>
    <w:p w14:paraId="281C545A">
      <w:pPr>
        <w:pStyle w:val="4"/>
        <w:rPr>
          <w:rFonts w:hint="eastAsia" w:ascii="宋体" w:hAnsi="宋体" w:eastAsia="宋体" w:cs="宋体"/>
          <w:b/>
          <w:bCs/>
          <w:color w:val="auto"/>
          <w:spacing w:val="-6"/>
          <w:sz w:val="30"/>
          <w:szCs w:val="30"/>
          <w:highlight w:val="none"/>
        </w:rPr>
      </w:pPr>
    </w:p>
    <w:p w14:paraId="11D1E988">
      <w:pPr>
        <w:pStyle w:val="4"/>
        <w:rPr>
          <w:rFonts w:hint="eastAsia" w:ascii="宋体" w:hAnsi="宋体" w:eastAsia="宋体" w:cs="宋体"/>
          <w:b/>
          <w:bCs/>
          <w:color w:val="auto"/>
          <w:spacing w:val="-6"/>
          <w:sz w:val="30"/>
          <w:szCs w:val="30"/>
          <w:highlight w:val="none"/>
        </w:rPr>
      </w:pPr>
    </w:p>
    <w:p w14:paraId="4D414B2C">
      <w:pPr>
        <w:pStyle w:val="4"/>
        <w:rPr>
          <w:rFonts w:hint="eastAsia" w:ascii="宋体" w:hAnsi="宋体" w:eastAsia="宋体" w:cs="宋体"/>
          <w:b/>
          <w:bCs/>
          <w:color w:val="auto"/>
          <w:spacing w:val="-6"/>
          <w:sz w:val="30"/>
          <w:szCs w:val="30"/>
          <w:highlight w:val="none"/>
        </w:rPr>
      </w:pPr>
    </w:p>
    <w:p w14:paraId="6E94FA4F">
      <w:pPr>
        <w:pStyle w:val="4"/>
        <w:rPr>
          <w:rFonts w:hint="eastAsia" w:ascii="宋体" w:hAnsi="宋体" w:eastAsia="宋体" w:cs="宋体"/>
          <w:b/>
          <w:bCs/>
          <w:color w:val="auto"/>
          <w:spacing w:val="-6"/>
          <w:sz w:val="30"/>
          <w:szCs w:val="30"/>
          <w:highlight w:val="none"/>
        </w:rPr>
      </w:pPr>
    </w:p>
    <w:p w14:paraId="113957EB">
      <w:pPr>
        <w:pStyle w:val="4"/>
        <w:rPr>
          <w:rFonts w:hint="eastAsia" w:ascii="宋体" w:hAnsi="宋体" w:eastAsia="宋体" w:cs="宋体"/>
          <w:b/>
          <w:bCs/>
          <w:color w:val="auto"/>
          <w:spacing w:val="-6"/>
          <w:sz w:val="30"/>
          <w:szCs w:val="30"/>
          <w:highlight w:val="none"/>
        </w:rPr>
      </w:pPr>
    </w:p>
    <w:p w14:paraId="2C48F1F1">
      <w:pPr>
        <w:pStyle w:val="4"/>
        <w:rPr>
          <w:rFonts w:hint="eastAsia" w:ascii="宋体" w:hAnsi="宋体" w:eastAsia="宋体" w:cs="宋体"/>
          <w:b/>
          <w:bCs/>
          <w:color w:val="auto"/>
          <w:spacing w:val="-6"/>
          <w:sz w:val="30"/>
          <w:szCs w:val="30"/>
          <w:highlight w:val="none"/>
        </w:rPr>
      </w:pPr>
    </w:p>
    <w:p w14:paraId="6FAF3FCB">
      <w:pPr>
        <w:pStyle w:val="4"/>
        <w:rPr>
          <w:rFonts w:hint="eastAsia" w:ascii="宋体" w:hAnsi="宋体" w:eastAsia="宋体" w:cs="宋体"/>
          <w:b/>
          <w:bCs/>
          <w:color w:val="auto"/>
          <w:spacing w:val="-6"/>
          <w:sz w:val="30"/>
          <w:szCs w:val="30"/>
          <w:highlight w:val="none"/>
        </w:rPr>
      </w:pPr>
    </w:p>
    <w:p w14:paraId="57D2034E">
      <w:pPr>
        <w:pStyle w:val="4"/>
        <w:rPr>
          <w:rFonts w:hint="eastAsia" w:ascii="宋体" w:hAnsi="宋体" w:eastAsia="宋体" w:cs="宋体"/>
          <w:b/>
          <w:bCs/>
          <w:color w:val="auto"/>
          <w:spacing w:val="-6"/>
          <w:sz w:val="30"/>
          <w:szCs w:val="30"/>
          <w:highlight w:val="none"/>
        </w:rPr>
      </w:pPr>
    </w:p>
    <w:p w14:paraId="520B4860">
      <w:pPr>
        <w:pStyle w:val="4"/>
        <w:rPr>
          <w:rFonts w:hint="eastAsia" w:ascii="宋体" w:hAnsi="宋体" w:eastAsia="宋体" w:cs="宋体"/>
          <w:b/>
          <w:bCs/>
          <w:color w:val="auto"/>
          <w:spacing w:val="-6"/>
          <w:sz w:val="30"/>
          <w:szCs w:val="30"/>
          <w:highlight w:val="none"/>
        </w:rPr>
      </w:pPr>
    </w:p>
    <w:p w14:paraId="7D7F51A5">
      <w:pPr>
        <w:pStyle w:val="4"/>
        <w:rPr>
          <w:rFonts w:hint="eastAsia" w:ascii="宋体" w:hAnsi="宋体" w:eastAsia="宋体" w:cs="宋体"/>
          <w:b/>
          <w:bCs/>
          <w:color w:val="auto"/>
          <w:spacing w:val="-6"/>
          <w:sz w:val="30"/>
          <w:szCs w:val="30"/>
          <w:highlight w:val="none"/>
        </w:rPr>
      </w:pPr>
    </w:p>
    <w:p w14:paraId="79AB1B19">
      <w:pPr>
        <w:pStyle w:val="4"/>
        <w:rPr>
          <w:rFonts w:hint="eastAsia" w:ascii="宋体" w:hAnsi="宋体" w:eastAsia="宋体" w:cs="宋体"/>
          <w:b/>
          <w:bCs/>
          <w:color w:val="auto"/>
          <w:spacing w:val="-6"/>
          <w:sz w:val="30"/>
          <w:szCs w:val="30"/>
          <w:highlight w:val="none"/>
        </w:rPr>
      </w:pPr>
    </w:p>
    <w:p w14:paraId="0483C2DA">
      <w:pPr>
        <w:pStyle w:val="4"/>
        <w:rPr>
          <w:rFonts w:hint="eastAsia" w:ascii="宋体" w:hAnsi="宋体" w:eastAsia="宋体" w:cs="宋体"/>
          <w:b/>
          <w:bCs/>
          <w:color w:val="auto"/>
          <w:spacing w:val="-6"/>
          <w:sz w:val="30"/>
          <w:szCs w:val="30"/>
          <w:highlight w:val="none"/>
        </w:rPr>
      </w:pPr>
    </w:p>
    <w:p w14:paraId="1D811E77">
      <w:pPr>
        <w:pStyle w:val="4"/>
        <w:rPr>
          <w:rFonts w:hint="eastAsia" w:ascii="宋体" w:hAnsi="宋体" w:eastAsia="宋体" w:cs="宋体"/>
          <w:b/>
          <w:bCs/>
          <w:color w:val="auto"/>
          <w:spacing w:val="-6"/>
          <w:sz w:val="30"/>
          <w:szCs w:val="30"/>
          <w:highlight w:val="none"/>
        </w:rPr>
      </w:pPr>
    </w:p>
    <w:p w14:paraId="030A0BCD">
      <w:pPr>
        <w:pStyle w:val="4"/>
        <w:rPr>
          <w:rFonts w:hint="eastAsia" w:ascii="宋体" w:hAnsi="宋体" w:eastAsia="宋体" w:cs="宋体"/>
          <w:b/>
          <w:bCs/>
          <w:color w:val="auto"/>
          <w:spacing w:val="-6"/>
          <w:sz w:val="30"/>
          <w:szCs w:val="30"/>
          <w:highlight w:val="none"/>
        </w:rPr>
      </w:pPr>
    </w:p>
    <w:p w14:paraId="576CCF12">
      <w:pPr>
        <w:pStyle w:val="4"/>
        <w:rPr>
          <w:rFonts w:hint="eastAsia" w:ascii="宋体" w:hAnsi="宋体" w:eastAsia="宋体" w:cs="宋体"/>
          <w:b/>
          <w:bCs/>
          <w:color w:val="auto"/>
          <w:spacing w:val="-6"/>
          <w:sz w:val="30"/>
          <w:szCs w:val="30"/>
          <w:highlight w:val="none"/>
        </w:rPr>
      </w:pPr>
    </w:p>
    <w:p w14:paraId="6439A500">
      <w:pPr>
        <w:pStyle w:val="4"/>
        <w:rPr>
          <w:rFonts w:hint="eastAsia" w:ascii="宋体" w:hAnsi="宋体" w:eastAsia="宋体" w:cs="宋体"/>
          <w:b/>
          <w:bCs/>
          <w:color w:val="auto"/>
          <w:spacing w:val="-6"/>
          <w:sz w:val="30"/>
          <w:szCs w:val="30"/>
          <w:highlight w:val="none"/>
        </w:rPr>
      </w:pPr>
    </w:p>
    <w:p w14:paraId="7428E1A8">
      <w:pPr>
        <w:pStyle w:val="4"/>
        <w:rPr>
          <w:rFonts w:hint="eastAsia" w:ascii="宋体" w:hAnsi="宋体" w:eastAsia="宋体" w:cs="宋体"/>
          <w:b/>
          <w:bCs/>
          <w:color w:val="auto"/>
          <w:spacing w:val="-6"/>
          <w:sz w:val="30"/>
          <w:szCs w:val="30"/>
          <w:highlight w:val="none"/>
        </w:rPr>
      </w:pPr>
    </w:p>
    <w:p w14:paraId="7B86BBEF">
      <w:pPr>
        <w:pStyle w:val="4"/>
        <w:rPr>
          <w:rFonts w:hint="eastAsia" w:ascii="宋体" w:hAnsi="宋体" w:eastAsia="宋体" w:cs="宋体"/>
          <w:b/>
          <w:bCs/>
          <w:color w:val="auto"/>
          <w:spacing w:val="-6"/>
          <w:sz w:val="30"/>
          <w:szCs w:val="30"/>
          <w:highlight w:val="none"/>
        </w:rPr>
      </w:pPr>
    </w:p>
    <w:p w14:paraId="1ADDEB6F">
      <w:pPr>
        <w:pStyle w:val="4"/>
        <w:rPr>
          <w:rFonts w:hint="eastAsia" w:ascii="宋体" w:hAnsi="宋体" w:eastAsia="宋体" w:cs="宋体"/>
          <w:b/>
          <w:bCs/>
          <w:color w:val="auto"/>
          <w:spacing w:val="-6"/>
          <w:sz w:val="30"/>
          <w:szCs w:val="30"/>
          <w:highlight w:val="none"/>
        </w:rPr>
      </w:pPr>
    </w:p>
    <w:p w14:paraId="73B78AF5">
      <w:pPr>
        <w:pStyle w:val="4"/>
        <w:rPr>
          <w:rFonts w:hint="eastAsia" w:ascii="宋体" w:hAnsi="宋体" w:eastAsia="宋体" w:cs="宋体"/>
          <w:b/>
          <w:bCs/>
          <w:color w:val="auto"/>
          <w:spacing w:val="-6"/>
          <w:sz w:val="30"/>
          <w:szCs w:val="30"/>
          <w:highlight w:val="none"/>
        </w:rPr>
      </w:pPr>
    </w:p>
    <w:p w14:paraId="459D9944">
      <w:pPr>
        <w:spacing w:before="98" w:line="221" w:lineRule="auto"/>
        <w:ind w:left="4248"/>
        <w:outlineLvl w:val="9"/>
        <w:rPr>
          <w:rFonts w:hint="eastAsia" w:ascii="宋体" w:hAnsi="宋体" w:eastAsia="宋体" w:cs="宋体"/>
          <w:b/>
          <w:bCs/>
          <w:color w:val="auto"/>
          <w:spacing w:val="-6"/>
          <w:sz w:val="30"/>
          <w:szCs w:val="30"/>
          <w:highlight w:val="none"/>
        </w:rPr>
      </w:pPr>
    </w:p>
    <w:p w14:paraId="76620637">
      <w:pPr>
        <w:spacing w:before="98" w:line="221" w:lineRule="auto"/>
        <w:ind w:left="4248"/>
        <w:outlineLvl w:val="9"/>
        <w:rPr>
          <w:rFonts w:hint="eastAsia" w:ascii="宋体" w:hAnsi="宋体" w:eastAsia="宋体" w:cs="宋体"/>
          <w:b/>
          <w:bCs/>
          <w:color w:val="auto"/>
          <w:spacing w:val="-6"/>
          <w:sz w:val="30"/>
          <w:szCs w:val="30"/>
          <w:highlight w:val="none"/>
        </w:rPr>
      </w:pPr>
      <w:r>
        <w:rPr>
          <w:rFonts w:hint="eastAsia" w:ascii="宋体" w:hAnsi="宋体" w:eastAsia="宋体" w:cs="宋体"/>
          <w:b/>
          <w:bCs/>
          <w:color w:val="auto"/>
          <w:spacing w:val="-6"/>
          <w:sz w:val="30"/>
          <w:szCs w:val="30"/>
          <w:highlight w:val="none"/>
        </w:rPr>
        <w:t>综合评分表</w:t>
      </w:r>
      <w:bookmarkEnd w:id="128"/>
      <w:bookmarkEnd w:id="129"/>
      <w:bookmarkEnd w:id="130"/>
    </w:p>
    <w:tbl>
      <w:tblPr>
        <w:tblStyle w:val="14"/>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3268"/>
        <w:gridCol w:w="5186"/>
      </w:tblGrid>
      <w:tr w14:paraId="0E00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48" w:type="dxa"/>
            <w:gridSpan w:val="3"/>
            <w:tcBorders>
              <w:tl2br w:val="nil"/>
              <w:tr2bl w:val="nil"/>
            </w:tcBorders>
            <w:shd w:val="clear" w:color="auto" w:fill="D7D7D7"/>
            <w:noWrap w:val="0"/>
            <w:vAlign w:val="center"/>
          </w:tcPr>
          <w:p w14:paraId="77E8C04E">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bookmarkStart w:id="131" w:name="_Toc17436"/>
            <w:bookmarkStart w:id="132" w:name="_Toc31744"/>
            <w:bookmarkStart w:id="133" w:name="_Toc5769"/>
            <w:bookmarkStart w:id="134" w:name="_Toc9725"/>
            <w:r>
              <w:rPr>
                <w:rFonts w:hint="eastAsia" w:ascii="宋体" w:hAnsi="宋体" w:eastAsia="宋体" w:cs="宋体"/>
                <w:b/>
                <w:bCs/>
                <w:snapToGrid w:val="0"/>
                <w:color w:val="auto"/>
                <w:kern w:val="0"/>
                <w:sz w:val="21"/>
                <w:szCs w:val="21"/>
                <w:highlight w:val="none"/>
              </w:rPr>
              <w:t>商务部分，满分：</w:t>
            </w:r>
            <w:r>
              <w:rPr>
                <w:rFonts w:hint="eastAsia" w:ascii="宋体" w:hAnsi="宋体" w:eastAsia="宋体" w:cs="宋体"/>
                <w:b/>
                <w:bCs/>
                <w:snapToGrid w:val="0"/>
                <w:color w:val="auto"/>
                <w:kern w:val="0"/>
                <w:sz w:val="21"/>
                <w:szCs w:val="21"/>
                <w:highlight w:val="none"/>
                <w:u w:val="single"/>
              </w:rPr>
              <w:t xml:space="preserve"> 80 </w:t>
            </w:r>
            <w:r>
              <w:rPr>
                <w:rFonts w:hint="eastAsia" w:ascii="宋体" w:hAnsi="宋体" w:eastAsia="宋体" w:cs="宋体"/>
                <w:b/>
                <w:bCs/>
                <w:snapToGrid w:val="0"/>
                <w:color w:val="auto"/>
                <w:kern w:val="0"/>
                <w:sz w:val="21"/>
                <w:szCs w:val="21"/>
                <w:highlight w:val="none"/>
              </w:rPr>
              <w:t>分。</w:t>
            </w:r>
          </w:p>
        </w:tc>
      </w:tr>
      <w:tr w14:paraId="1BD4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4A583D6">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评分因素</w:t>
            </w:r>
          </w:p>
        </w:tc>
        <w:tc>
          <w:tcPr>
            <w:tcW w:w="3268" w:type="dxa"/>
            <w:tcBorders>
              <w:tl2br w:val="nil"/>
              <w:tr2bl w:val="nil"/>
            </w:tcBorders>
            <w:noWrap w:val="0"/>
            <w:vAlign w:val="center"/>
          </w:tcPr>
          <w:p w14:paraId="7F895798">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评分标准</w:t>
            </w:r>
          </w:p>
        </w:tc>
        <w:tc>
          <w:tcPr>
            <w:tcW w:w="5186" w:type="dxa"/>
            <w:tcBorders>
              <w:tl2br w:val="nil"/>
              <w:tr2bl w:val="nil"/>
            </w:tcBorders>
            <w:noWrap w:val="0"/>
            <w:vAlign w:val="center"/>
          </w:tcPr>
          <w:p w14:paraId="39BE2F1F">
            <w:pPr>
              <w:pStyle w:val="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备注</w:t>
            </w:r>
          </w:p>
        </w:tc>
      </w:tr>
      <w:tr w14:paraId="7550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6154B907">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企业奖项</w:t>
            </w:r>
          </w:p>
          <w:p w14:paraId="23727D0C">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（10分）</w:t>
            </w:r>
          </w:p>
        </w:tc>
        <w:tc>
          <w:tcPr>
            <w:tcW w:w="3268" w:type="dxa"/>
            <w:tcBorders>
              <w:tl2br w:val="nil"/>
              <w:tr2bl w:val="nil"/>
            </w:tcBorders>
            <w:noWrap w:val="0"/>
            <w:vAlign w:val="center"/>
          </w:tcPr>
          <w:p w14:paraId="4CF1FFB7">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企业近年来（</w:t>
            </w:r>
            <w:r>
              <w:rPr>
                <w:rFonts w:hint="eastAsia" w:ascii="宋体" w:hAnsi="宋体" w:eastAsia="宋体" w:cs="宋体"/>
                <w:snapToGrid w:val="0"/>
                <w:color w:val="auto"/>
                <w:kern w:val="0"/>
                <w:sz w:val="21"/>
                <w:szCs w:val="21"/>
                <w:highlight w:val="none"/>
                <w:lang w:eastAsia="zh-CN"/>
              </w:rPr>
              <w:t>20</w:t>
            </w:r>
            <w:r>
              <w:rPr>
                <w:rFonts w:hint="eastAsia" w:ascii="宋体" w:hAnsi="宋体" w:eastAsia="宋体" w:cs="宋体"/>
                <w:snapToGrid w:val="0"/>
                <w:color w:val="auto"/>
                <w:kern w:val="0"/>
                <w:sz w:val="21"/>
                <w:szCs w:val="21"/>
                <w:highlight w:val="none"/>
                <w:lang w:val="en-US" w:eastAsia="zh-CN"/>
              </w:rPr>
              <w:t>22</w:t>
            </w:r>
            <w:r>
              <w:rPr>
                <w:rFonts w:hint="eastAsia" w:ascii="宋体" w:hAnsi="宋体" w:eastAsia="宋体" w:cs="宋体"/>
                <w:snapToGrid w:val="0"/>
                <w:color w:val="auto"/>
                <w:kern w:val="0"/>
                <w:sz w:val="21"/>
                <w:szCs w:val="21"/>
                <w:highlight w:val="none"/>
                <w:lang w:eastAsia="zh-CN"/>
              </w:rPr>
              <w:t>年1月1日</w:t>
            </w:r>
            <w:r>
              <w:rPr>
                <w:rFonts w:hint="eastAsia" w:ascii="宋体" w:hAnsi="宋体" w:eastAsia="宋体" w:cs="宋体"/>
                <w:snapToGrid w:val="0"/>
                <w:color w:val="auto"/>
                <w:kern w:val="0"/>
                <w:sz w:val="21"/>
                <w:szCs w:val="21"/>
                <w:highlight w:val="none"/>
              </w:rPr>
              <w:t>至今）获得</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rPr>
              <w:t>工程类</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rPr>
              <w:t>奖项情况：</w:t>
            </w:r>
          </w:p>
          <w:p w14:paraId="464CA1A5">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1．获得国家级奖项的，每个得</w:t>
            </w:r>
            <w:r>
              <w:rPr>
                <w:rFonts w:hint="eastAsia" w:ascii="宋体" w:hAnsi="宋体" w:eastAsia="宋体" w:cs="宋体"/>
                <w:snapToGrid w:val="0"/>
                <w:color w:val="auto"/>
                <w:kern w:val="0"/>
                <w:sz w:val="21"/>
                <w:szCs w:val="21"/>
                <w:highlight w:val="none"/>
                <w:lang w:val="en-US" w:eastAsia="zh-CN"/>
              </w:rPr>
              <w:t>8</w:t>
            </w:r>
            <w:r>
              <w:rPr>
                <w:rFonts w:hint="eastAsia" w:ascii="宋体" w:hAnsi="宋体" w:eastAsia="宋体" w:cs="宋体"/>
                <w:snapToGrid w:val="0"/>
                <w:color w:val="auto"/>
                <w:kern w:val="0"/>
                <w:sz w:val="21"/>
                <w:szCs w:val="21"/>
                <w:highlight w:val="none"/>
              </w:rPr>
              <w:t>分</w:t>
            </w:r>
            <w:r>
              <w:rPr>
                <w:rFonts w:hint="eastAsia" w:ascii="宋体" w:hAnsi="宋体" w:eastAsia="宋体" w:cs="宋体"/>
                <w:snapToGrid w:val="0"/>
                <w:color w:val="auto"/>
                <w:kern w:val="0"/>
                <w:sz w:val="21"/>
                <w:szCs w:val="21"/>
                <w:highlight w:val="none"/>
                <w:lang w:eastAsia="zh-CN"/>
              </w:rPr>
              <w:t>；</w:t>
            </w:r>
          </w:p>
          <w:p w14:paraId="12D6C43C">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2．获得省级奖项的，每个得</w:t>
            </w:r>
            <w:r>
              <w:rPr>
                <w:rFonts w:hint="eastAsia" w:ascii="宋体" w:hAnsi="宋体" w:eastAsia="宋体" w:cs="宋体"/>
                <w:snapToGrid w:val="0"/>
                <w:color w:val="auto"/>
                <w:kern w:val="0"/>
                <w:sz w:val="21"/>
                <w:szCs w:val="21"/>
                <w:highlight w:val="none"/>
                <w:lang w:val="en-US" w:eastAsia="zh-CN"/>
              </w:rPr>
              <w:t>6</w:t>
            </w:r>
            <w:r>
              <w:rPr>
                <w:rFonts w:hint="eastAsia" w:ascii="宋体" w:hAnsi="宋体" w:eastAsia="宋体" w:cs="宋体"/>
                <w:snapToGrid w:val="0"/>
                <w:color w:val="auto"/>
                <w:kern w:val="0"/>
                <w:sz w:val="21"/>
                <w:szCs w:val="21"/>
                <w:highlight w:val="none"/>
              </w:rPr>
              <w:t>分</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3．获得地市级奖项的，每个得</w:t>
            </w: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分</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 xml:space="preserve"> </w:t>
            </w:r>
          </w:p>
          <w:p w14:paraId="4D84E48E">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．以上奖项均未获得的，不予计分</w:t>
            </w:r>
            <w:r>
              <w:rPr>
                <w:rFonts w:hint="eastAsia" w:ascii="宋体" w:hAnsi="宋体" w:eastAsia="宋体" w:cs="宋体"/>
                <w:snapToGrid w:val="0"/>
                <w:color w:val="auto"/>
                <w:kern w:val="0"/>
                <w:sz w:val="21"/>
                <w:szCs w:val="21"/>
                <w:highlight w:val="none"/>
                <w:lang w:eastAsia="zh-CN"/>
              </w:rPr>
              <w:t>；</w:t>
            </w:r>
            <w:r>
              <w:rPr>
                <w:rFonts w:hint="eastAsia" w:ascii="宋体" w:hAnsi="宋体" w:eastAsia="宋体" w:cs="宋体"/>
                <w:snapToGrid w:val="0"/>
                <w:color w:val="auto"/>
                <w:kern w:val="0"/>
                <w:sz w:val="21"/>
                <w:szCs w:val="21"/>
                <w:highlight w:val="none"/>
              </w:rPr>
              <w:t xml:space="preserve"> </w:t>
            </w:r>
          </w:p>
          <w:p w14:paraId="67250B3F">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本项最高得 10 分。</w:t>
            </w:r>
          </w:p>
          <w:p w14:paraId="3B1D9293">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p>
          <w:p w14:paraId="1CA99B0E">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p>
        </w:tc>
        <w:tc>
          <w:tcPr>
            <w:tcW w:w="5186" w:type="dxa"/>
            <w:tcBorders>
              <w:tl2br w:val="nil"/>
              <w:tr2bl w:val="nil"/>
            </w:tcBorders>
            <w:noWrap w:val="0"/>
            <w:vAlign w:val="center"/>
          </w:tcPr>
          <w:p w14:paraId="37EA7598">
            <w:pPr>
              <w:pStyle w:val="6"/>
              <w:keepNext w:val="0"/>
              <w:keepLines w:val="0"/>
              <w:pageBreakBefore w:val="0"/>
              <w:kinsoku/>
              <w:overflowPunct/>
              <w:topLinePunct w:val="0"/>
              <w:autoSpaceDE/>
              <w:autoSpaceDN/>
              <w:bidi w:val="0"/>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允许投标人提交多个业绩，但同一业绩只按最高级别奖项计分一次。</w:t>
            </w:r>
          </w:p>
          <w:p w14:paraId="7731391E">
            <w:pPr>
              <w:pStyle w:val="41"/>
              <w:keepNext w:val="0"/>
              <w:keepLines w:val="0"/>
              <w:pageBreakBefore w:val="0"/>
              <w:widowControl w:val="0"/>
              <w:numPr>
                <w:ilvl w:val="0"/>
                <w:numId w:val="0"/>
              </w:numPr>
              <w:kinsoku/>
              <w:wordWrap w:val="0"/>
              <w:overflowPunct/>
              <w:topLinePunct w:val="0"/>
              <w:autoSpaceDE/>
              <w:autoSpaceDN/>
              <w:bidi w:val="0"/>
              <w:adjustRightInd w:val="0"/>
              <w:snapToGrid w:val="0"/>
              <w:spacing w:after="0" w:line="360" w:lineRule="auto"/>
              <w:ind w:leftChars="0"/>
              <w:textAlignment w:val="auto"/>
              <w:rPr>
                <w:rFonts w:hint="eastAsia" w:ascii="宋体" w:hAnsi="宋体" w:eastAsia="宋体" w:cs="宋体"/>
                <w:b/>
                <w:bCs/>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w:t>
            </w:r>
            <w:r>
              <w:rPr>
                <w:rFonts w:hint="eastAsia" w:ascii="宋体" w:hAnsi="宋体" w:eastAsia="宋体" w:cs="宋体"/>
                <w:snapToGrid w:val="0"/>
                <w:color w:val="auto"/>
                <w:kern w:val="0"/>
                <w:sz w:val="21"/>
                <w:szCs w:val="21"/>
                <w:highlight w:val="none"/>
              </w:rPr>
              <w:t>需附有关奖项证明</w:t>
            </w:r>
            <w:r>
              <w:rPr>
                <w:rFonts w:hint="eastAsia" w:ascii="宋体" w:hAnsi="宋体" w:eastAsia="宋体" w:cs="宋体"/>
                <w:snapToGrid w:val="0"/>
                <w:color w:val="auto"/>
                <w:kern w:val="0"/>
                <w:sz w:val="21"/>
                <w:szCs w:val="21"/>
                <w:highlight w:val="none"/>
                <w:lang w:eastAsia="zh-CN"/>
              </w:rPr>
              <w:t>扫描件，</w:t>
            </w:r>
            <w:r>
              <w:rPr>
                <w:rFonts w:hint="eastAsia" w:ascii="宋体" w:hAnsi="宋体" w:eastAsia="宋体" w:cs="宋体"/>
                <w:b/>
                <w:bCs/>
                <w:snapToGrid w:val="0"/>
                <w:color w:val="auto"/>
                <w:kern w:val="0"/>
                <w:sz w:val="21"/>
                <w:szCs w:val="21"/>
                <w:highlight w:val="none"/>
                <w:lang w:val="en-US" w:eastAsia="zh-CN"/>
              </w:rPr>
              <w:t>同时提供原件核查。</w:t>
            </w:r>
            <w:r>
              <w:rPr>
                <w:rFonts w:hint="eastAsia" w:ascii="宋体" w:hAnsi="宋体" w:eastAsia="宋体" w:cs="宋体"/>
                <w:b w:val="0"/>
                <w:bCs w:val="0"/>
                <w:snapToGrid w:val="0"/>
                <w:color w:val="auto"/>
                <w:kern w:val="0"/>
                <w:sz w:val="21"/>
                <w:szCs w:val="21"/>
                <w:highlight w:val="none"/>
                <w:lang w:val="en-US" w:eastAsia="zh-CN"/>
              </w:rPr>
              <w:t>（奖项如电子证书的除外）</w:t>
            </w:r>
          </w:p>
          <w:p w14:paraId="2DB7E126">
            <w:pPr>
              <w:pStyle w:val="41"/>
              <w:keepNext w:val="0"/>
              <w:keepLines w:val="0"/>
              <w:pageBreakBefore w:val="0"/>
              <w:widowControl w:val="0"/>
              <w:numPr>
                <w:ilvl w:val="0"/>
                <w:numId w:val="0"/>
              </w:numPr>
              <w:kinsoku/>
              <w:wordWrap w:val="0"/>
              <w:overflowPunct/>
              <w:topLinePunct w:val="0"/>
              <w:autoSpaceDE/>
              <w:autoSpaceDN/>
              <w:bidi w:val="0"/>
              <w:adjustRightInd w:val="0"/>
              <w:snapToGrid w:val="0"/>
              <w:spacing w:after="0" w:line="360" w:lineRule="auto"/>
              <w:ind w:leftChars="0"/>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.颁发机构限定以下范围：</w:t>
            </w:r>
          </w:p>
          <w:p w14:paraId="7A894527">
            <w:pPr>
              <w:pStyle w:val="5"/>
              <w:keepNext w:val="0"/>
              <w:keepLines w:val="0"/>
              <w:pageBreakBefore w:val="0"/>
              <w:widowControl/>
              <w:kinsoku/>
              <w:wordWrap w:val="0"/>
              <w:overflowPunct/>
              <w:topLinePunct w:val="0"/>
              <w:autoSpaceDE/>
              <w:autoSpaceDN/>
              <w:bidi w:val="0"/>
              <w:adjustRightInd/>
              <w:snapToGrid/>
              <w:spacing w:line="360" w:lineRule="auto"/>
              <w:ind w:left="11" w:leftChars="0" w:right="-105" w:rightChars="-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①国家级奖项：</w:t>
            </w:r>
            <w:r>
              <w:rPr>
                <w:rFonts w:hint="eastAsia" w:ascii="宋体" w:hAnsi="宋体" w:eastAsia="宋体" w:cs="宋体"/>
                <w:color w:val="auto"/>
                <w:sz w:val="21"/>
                <w:szCs w:val="21"/>
                <w:highlight w:val="none"/>
                <w:u w:val="single"/>
              </w:rPr>
              <w:t>国务院、住建部、</w:t>
            </w:r>
            <w:r>
              <w:rPr>
                <w:rFonts w:hint="eastAsia" w:ascii="宋体" w:hAnsi="宋体" w:eastAsia="宋体" w:cs="宋体"/>
                <w:color w:val="auto"/>
                <w:sz w:val="21"/>
                <w:szCs w:val="21"/>
                <w:highlight w:val="none"/>
                <w:u w:val="single"/>
                <w:lang w:eastAsia="zh-CN"/>
              </w:rPr>
              <w:t>国家级建筑行业协会、国家级</w:t>
            </w:r>
            <w:r>
              <w:rPr>
                <w:rFonts w:hint="eastAsia" w:ascii="宋体" w:hAnsi="宋体" w:eastAsia="宋体" w:cs="宋体"/>
                <w:color w:val="auto"/>
                <w:sz w:val="21"/>
                <w:szCs w:val="21"/>
                <w:highlight w:val="none"/>
                <w:u w:val="single"/>
              </w:rPr>
              <w:t>市政类行业协会；（相关协会需经民政部门备案）</w:t>
            </w:r>
          </w:p>
          <w:p w14:paraId="22CE307E">
            <w:pPr>
              <w:pStyle w:val="5"/>
              <w:keepNext w:val="0"/>
              <w:keepLines w:val="0"/>
              <w:pageBreakBefore w:val="0"/>
              <w:widowControl/>
              <w:kinsoku/>
              <w:wordWrap w:val="0"/>
              <w:overflowPunct/>
              <w:topLinePunct w:val="0"/>
              <w:autoSpaceDE/>
              <w:autoSpaceDN/>
              <w:bidi w:val="0"/>
              <w:adjustRightInd/>
              <w:snapToGrid/>
              <w:spacing w:line="360" w:lineRule="auto"/>
              <w:ind w:left="11" w:leftChars="0" w:right="-105" w:rightChars="-5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②省级奖项：</w:t>
            </w:r>
            <w:r>
              <w:rPr>
                <w:rFonts w:hint="eastAsia" w:ascii="宋体" w:hAnsi="宋体" w:eastAsia="宋体" w:cs="宋体"/>
                <w:color w:val="auto"/>
                <w:sz w:val="21"/>
                <w:szCs w:val="21"/>
                <w:highlight w:val="none"/>
                <w:u w:val="single"/>
                <w:lang w:eastAsia="zh-CN"/>
              </w:rPr>
              <w:t>省级人民政府、省级住建部门、省级建筑行业协会、省级市政类行业协会；（相关协会需经民政部门备案）</w:t>
            </w:r>
          </w:p>
          <w:p w14:paraId="42821D51">
            <w:pPr>
              <w:pStyle w:val="5"/>
              <w:keepNext w:val="0"/>
              <w:keepLines w:val="0"/>
              <w:pageBreakBefore w:val="0"/>
              <w:widowControl/>
              <w:kinsoku/>
              <w:wordWrap w:val="0"/>
              <w:overflowPunct/>
              <w:topLinePunct w:val="0"/>
              <w:autoSpaceDE/>
              <w:autoSpaceDN/>
              <w:bidi w:val="0"/>
              <w:adjustRightInd/>
              <w:snapToGrid/>
              <w:spacing w:line="360" w:lineRule="auto"/>
              <w:ind w:left="11" w:leftChars="0" w:right="-105" w:rightChars="-5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③地市级奖项：</w:t>
            </w:r>
            <w:r>
              <w:rPr>
                <w:rFonts w:hint="eastAsia" w:ascii="宋体" w:hAnsi="宋体" w:eastAsia="宋体" w:cs="宋体"/>
                <w:color w:val="auto"/>
                <w:sz w:val="21"/>
                <w:szCs w:val="21"/>
                <w:highlight w:val="none"/>
                <w:u w:val="single"/>
                <w:lang w:eastAsia="zh-CN"/>
              </w:rPr>
              <w:t>地市级人民政府、地市级住建部门、</w:t>
            </w:r>
            <w:r>
              <w:rPr>
                <w:rFonts w:hint="eastAsia" w:ascii="宋体" w:hAnsi="宋体" w:eastAsia="宋体" w:cs="宋体"/>
                <w:color w:val="auto"/>
                <w:sz w:val="21"/>
                <w:szCs w:val="21"/>
                <w:highlight w:val="none"/>
                <w:u w:val="single"/>
                <w:lang w:val="en-US" w:eastAsia="zh-CN"/>
              </w:rPr>
              <w:t>地</w:t>
            </w:r>
            <w:r>
              <w:rPr>
                <w:rFonts w:hint="eastAsia" w:ascii="宋体" w:hAnsi="宋体" w:eastAsia="宋体" w:cs="宋体"/>
                <w:color w:val="auto"/>
                <w:sz w:val="21"/>
                <w:szCs w:val="21"/>
                <w:highlight w:val="none"/>
                <w:u w:val="single"/>
                <w:lang w:eastAsia="zh-CN"/>
              </w:rPr>
              <w:t>市级建筑行业协会、</w:t>
            </w:r>
            <w:r>
              <w:rPr>
                <w:rFonts w:hint="eastAsia" w:ascii="宋体" w:hAnsi="宋体" w:eastAsia="宋体" w:cs="宋体"/>
                <w:color w:val="auto"/>
                <w:sz w:val="21"/>
                <w:szCs w:val="21"/>
                <w:highlight w:val="none"/>
                <w:u w:val="single"/>
                <w:lang w:val="en-US" w:eastAsia="zh-CN"/>
              </w:rPr>
              <w:t>地</w:t>
            </w:r>
            <w:r>
              <w:rPr>
                <w:rFonts w:hint="eastAsia" w:ascii="宋体" w:hAnsi="宋体" w:eastAsia="宋体" w:cs="宋体"/>
                <w:color w:val="auto"/>
                <w:sz w:val="21"/>
                <w:szCs w:val="21"/>
                <w:highlight w:val="none"/>
                <w:u w:val="single"/>
                <w:lang w:eastAsia="zh-CN"/>
              </w:rPr>
              <w:t>市级市政类行业协会。（相关协会需经民政部门备案）。</w:t>
            </w:r>
          </w:p>
          <w:p w14:paraId="518D1F65">
            <w:pPr>
              <w:pStyle w:val="41"/>
              <w:keepNext w:val="0"/>
              <w:keepLines w:val="0"/>
              <w:pageBreakBefore w:val="0"/>
              <w:widowControl w:val="0"/>
              <w:numPr>
                <w:ilvl w:val="0"/>
                <w:numId w:val="0"/>
              </w:numPr>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4.</w:t>
            </w:r>
            <w:r>
              <w:rPr>
                <w:rFonts w:hint="eastAsia" w:ascii="宋体" w:hAnsi="宋体" w:eastAsia="宋体" w:cs="宋体"/>
                <w:snapToGrid w:val="0"/>
                <w:color w:val="auto"/>
                <w:kern w:val="0"/>
                <w:sz w:val="21"/>
                <w:szCs w:val="21"/>
                <w:highlight w:val="none"/>
              </w:rPr>
              <w:t>获奖时间以奖项证明的落款日期为准。</w:t>
            </w:r>
          </w:p>
          <w:p w14:paraId="34E7701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Autospacing="0" w:line="360" w:lineRule="auto"/>
              <w:ind w:left="0" w:leftChars="0" w:right="0" w:rightChars="0"/>
              <w:jc w:val="both"/>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任一奖项有以下情形之一的，该奖项视为无效，不予计分：</w:t>
            </w:r>
          </w:p>
          <w:p w14:paraId="1E66B80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Autospacing="0" w:line="360" w:lineRule="auto"/>
              <w:ind w:left="0" w:leftChars="0" w:right="0" w:rightChars="0"/>
              <w:jc w:val="both"/>
              <w:textAlignment w:val="auto"/>
              <w:rPr>
                <w:rFonts w:hint="eastAsia" w:ascii="宋体" w:hAnsi="宋体" w:eastAsia="宋体" w:cs="宋体"/>
                <w:strike/>
                <w:dstrike w:val="0"/>
                <w:snapToGrid w:val="0"/>
                <w:color w:val="auto"/>
                <w:kern w:val="0"/>
                <w:sz w:val="21"/>
                <w:szCs w:val="21"/>
                <w:highlight w:val="none"/>
              </w:rPr>
            </w:pPr>
            <w:r>
              <w:rPr>
                <w:rFonts w:hint="eastAsia" w:ascii="宋体" w:hAnsi="宋体" w:eastAsia="宋体" w:cs="宋体"/>
                <w:strike w:val="0"/>
                <w:dstrike w:val="0"/>
                <w:snapToGrid w:val="0"/>
                <w:color w:val="auto"/>
                <w:kern w:val="0"/>
                <w:sz w:val="21"/>
                <w:szCs w:val="21"/>
                <w:highlight w:val="none"/>
              </w:rPr>
              <w:t>①</w:t>
            </w:r>
            <w:r>
              <w:rPr>
                <w:rFonts w:hint="eastAsia" w:ascii="宋体" w:hAnsi="宋体" w:eastAsia="宋体" w:cs="宋体"/>
                <w:strike w:val="0"/>
                <w:snapToGrid w:val="0"/>
                <w:color w:val="auto"/>
                <w:kern w:val="0"/>
                <w:sz w:val="21"/>
                <w:szCs w:val="21"/>
                <w:highlight w:val="none"/>
              </w:rPr>
              <w:t>奖</w:t>
            </w:r>
            <w:r>
              <w:rPr>
                <w:rFonts w:hint="eastAsia" w:ascii="宋体" w:hAnsi="宋体" w:eastAsia="宋体" w:cs="宋体"/>
                <w:snapToGrid w:val="0"/>
                <w:color w:val="auto"/>
                <w:kern w:val="0"/>
                <w:sz w:val="21"/>
                <w:szCs w:val="21"/>
                <w:highlight w:val="none"/>
              </w:rPr>
              <w:t>项不属于指定类别的；</w:t>
            </w:r>
          </w:p>
          <w:p w14:paraId="319CC1D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Autospacing="0" w:line="360" w:lineRule="auto"/>
              <w:ind w:left="0" w:leftChars="0" w:right="0" w:rightChars="0"/>
              <w:jc w:val="both"/>
              <w:textAlignment w:val="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②颁发机构不符合要求的；</w:t>
            </w:r>
          </w:p>
          <w:p w14:paraId="32AE400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Autospacing="0" w:line="360" w:lineRule="auto"/>
              <w:ind w:left="0" w:leftChars="0" w:right="0" w:rightChars="0"/>
              <w:jc w:val="both"/>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③获奖时间不符合要求的</w:t>
            </w:r>
            <w:r>
              <w:rPr>
                <w:rFonts w:hint="eastAsia" w:ascii="宋体" w:hAnsi="宋体" w:eastAsia="宋体" w:cs="宋体"/>
                <w:snapToGrid w:val="0"/>
                <w:color w:val="auto"/>
                <w:kern w:val="0"/>
                <w:sz w:val="21"/>
                <w:szCs w:val="21"/>
                <w:highlight w:val="none"/>
                <w:lang w:eastAsia="zh-CN"/>
              </w:rPr>
              <w:t>；</w:t>
            </w:r>
          </w:p>
          <w:p w14:paraId="6DF79643">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④未提供奖项证明材料原件的。</w:t>
            </w:r>
          </w:p>
          <w:p w14:paraId="732C6A48">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lang w:val="en-US"/>
              </w:rPr>
            </w:pPr>
            <w:r>
              <w:rPr>
                <w:rFonts w:hint="eastAsia" w:ascii="宋体" w:hAnsi="宋体" w:eastAsia="宋体" w:cs="宋体"/>
                <w:snapToGrid w:val="0"/>
                <w:color w:val="auto"/>
                <w:sz w:val="21"/>
                <w:szCs w:val="21"/>
                <w:highlight w:val="none"/>
                <w:lang w:val="en-US" w:eastAsia="zh-CN"/>
              </w:rPr>
              <w:t>6.以联合体形式投标的，由联合体成员的任意一方提供。</w:t>
            </w:r>
          </w:p>
        </w:tc>
      </w:tr>
      <w:tr w14:paraId="30B7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5F584F06">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企业业绩</w:t>
            </w:r>
          </w:p>
          <w:p w14:paraId="0A6A2AEA">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lang w:val="en-US" w:eastAsia="zh-CN"/>
              </w:rPr>
              <w:t>0</w:t>
            </w:r>
            <w:r>
              <w:rPr>
                <w:rFonts w:hint="eastAsia" w:ascii="宋体" w:hAnsi="宋体" w:eastAsia="宋体" w:cs="宋体"/>
                <w:snapToGrid w:val="0"/>
                <w:color w:val="auto"/>
                <w:kern w:val="0"/>
                <w:sz w:val="21"/>
                <w:szCs w:val="21"/>
                <w:highlight w:val="none"/>
              </w:rPr>
              <w:t>分）</w:t>
            </w:r>
          </w:p>
        </w:tc>
        <w:tc>
          <w:tcPr>
            <w:tcW w:w="3268" w:type="dxa"/>
            <w:tcBorders>
              <w:tl2br w:val="nil"/>
              <w:tr2bl w:val="nil"/>
            </w:tcBorders>
            <w:noWrap w:val="0"/>
            <w:vAlign w:val="center"/>
          </w:tcPr>
          <w:p w14:paraId="12A18337">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企业近年来（</w:t>
            </w:r>
            <w:r>
              <w:rPr>
                <w:rFonts w:hint="eastAsia" w:ascii="宋体" w:hAnsi="宋体" w:eastAsia="宋体" w:cs="宋体"/>
                <w:snapToGrid w:val="0"/>
                <w:color w:val="auto"/>
                <w:kern w:val="0"/>
                <w:sz w:val="21"/>
                <w:szCs w:val="21"/>
                <w:highlight w:val="none"/>
                <w:lang w:eastAsia="zh-CN"/>
              </w:rPr>
              <w:t>20</w:t>
            </w:r>
            <w:r>
              <w:rPr>
                <w:rFonts w:hint="eastAsia" w:ascii="宋体" w:hAnsi="宋体" w:eastAsia="宋体" w:cs="宋体"/>
                <w:snapToGrid w:val="0"/>
                <w:color w:val="auto"/>
                <w:kern w:val="0"/>
                <w:sz w:val="21"/>
                <w:szCs w:val="21"/>
                <w:highlight w:val="none"/>
                <w:lang w:val="en-US" w:eastAsia="zh-CN"/>
              </w:rPr>
              <w:t>22</w:t>
            </w:r>
            <w:r>
              <w:rPr>
                <w:rFonts w:hint="eastAsia" w:ascii="宋体" w:hAnsi="宋体" w:eastAsia="宋体" w:cs="宋体"/>
                <w:snapToGrid w:val="0"/>
                <w:color w:val="auto"/>
                <w:kern w:val="0"/>
                <w:sz w:val="21"/>
                <w:szCs w:val="21"/>
                <w:highlight w:val="none"/>
                <w:lang w:eastAsia="zh-CN"/>
              </w:rPr>
              <w:t>年1月1日</w:t>
            </w:r>
            <w:r>
              <w:rPr>
                <w:rFonts w:hint="eastAsia" w:ascii="宋体" w:hAnsi="宋体" w:eastAsia="宋体" w:cs="宋体"/>
                <w:snapToGrid w:val="0"/>
                <w:color w:val="auto"/>
                <w:kern w:val="0"/>
                <w:sz w:val="21"/>
                <w:szCs w:val="21"/>
                <w:highlight w:val="none"/>
              </w:rPr>
              <w:t>至今）业绩情况：</w:t>
            </w:r>
          </w:p>
          <w:p w14:paraId="2F4EA96B">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1．</w:t>
            </w:r>
            <w:r>
              <w:rPr>
                <w:rFonts w:hint="eastAsia" w:ascii="宋体" w:hAnsi="宋体" w:eastAsia="宋体" w:cs="宋体"/>
                <w:snapToGrid w:val="0"/>
                <w:color w:val="auto"/>
                <w:kern w:val="0"/>
                <w:sz w:val="21"/>
                <w:szCs w:val="21"/>
                <w:highlight w:val="none"/>
                <w:u w:val="none"/>
              </w:rPr>
              <w:t>承接过</w:t>
            </w:r>
            <w:r>
              <w:rPr>
                <w:rFonts w:hint="eastAsia" w:ascii="宋体" w:hAnsi="宋体" w:eastAsia="宋体" w:cs="宋体"/>
                <w:snapToGrid w:val="0"/>
                <w:color w:val="auto"/>
                <w:kern w:val="0"/>
                <w:sz w:val="21"/>
                <w:szCs w:val="21"/>
                <w:highlight w:val="none"/>
              </w:rPr>
              <w:t>类似工程的，每个得</w:t>
            </w:r>
            <w:r>
              <w:rPr>
                <w:rFonts w:hint="eastAsia" w:ascii="宋体" w:hAnsi="宋体" w:eastAsia="宋体" w:cs="宋体"/>
                <w:snapToGrid w:val="0"/>
                <w:color w:val="auto"/>
                <w:kern w:val="0"/>
                <w:sz w:val="21"/>
                <w:szCs w:val="21"/>
                <w:highlight w:val="none"/>
                <w:u w:val="none"/>
                <w:lang w:val="en-US" w:eastAsia="zh-CN"/>
              </w:rPr>
              <w:t>5</w:t>
            </w:r>
            <w:r>
              <w:rPr>
                <w:rFonts w:hint="eastAsia" w:ascii="宋体" w:hAnsi="宋体" w:eastAsia="宋体" w:cs="宋体"/>
                <w:snapToGrid w:val="0"/>
                <w:color w:val="auto"/>
                <w:kern w:val="0"/>
                <w:sz w:val="21"/>
                <w:szCs w:val="21"/>
                <w:highlight w:val="none"/>
              </w:rPr>
              <w:t>分</w:t>
            </w:r>
            <w:r>
              <w:rPr>
                <w:rFonts w:hint="eastAsia" w:ascii="宋体" w:hAnsi="宋体" w:eastAsia="宋体" w:cs="宋体"/>
                <w:snapToGrid w:val="0"/>
                <w:color w:val="auto"/>
                <w:kern w:val="0"/>
                <w:sz w:val="21"/>
                <w:szCs w:val="21"/>
                <w:highlight w:val="none"/>
                <w:lang w:eastAsia="zh-CN"/>
              </w:rPr>
              <w:t>；</w:t>
            </w:r>
          </w:p>
          <w:p w14:paraId="27BC5B50">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2．</w:t>
            </w:r>
            <w:r>
              <w:rPr>
                <w:rFonts w:hint="eastAsia" w:ascii="宋体" w:hAnsi="宋体" w:eastAsia="宋体" w:cs="宋体"/>
                <w:snapToGrid w:val="0"/>
                <w:color w:val="auto"/>
                <w:kern w:val="0"/>
                <w:sz w:val="21"/>
                <w:szCs w:val="21"/>
                <w:highlight w:val="none"/>
                <w:lang w:val="en-US" w:eastAsia="zh-CN" w:bidi="ar-SA"/>
              </w:rPr>
              <w:t>未承接过类似工程的，不予计分；</w:t>
            </w:r>
          </w:p>
          <w:p w14:paraId="4C376DBC">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bidi="ar-SA"/>
              </w:rPr>
              <w:t>3.</w:t>
            </w:r>
            <w:r>
              <w:rPr>
                <w:rFonts w:hint="eastAsia" w:ascii="宋体" w:hAnsi="宋体" w:eastAsia="宋体" w:cs="宋体"/>
                <w:snapToGrid w:val="0"/>
                <w:color w:val="auto"/>
                <w:kern w:val="0"/>
                <w:sz w:val="21"/>
                <w:szCs w:val="21"/>
                <w:highlight w:val="none"/>
              </w:rPr>
              <w:t>本项最高得</w:t>
            </w:r>
            <w:r>
              <w:rPr>
                <w:rFonts w:hint="eastAsia" w:ascii="宋体" w:hAnsi="宋体" w:eastAsia="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rPr>
              <w:t xml:space="preserve">分。 </w:t>
            </w:r>
          </w:p>
        </w:tc>
        <w:tc>
          <w:tcPr>
            <w:tcW w:w="5186" w:type="dxa"/>
            <w:tcBorders>
              <w:tl2br w:val="nil"/>
              <w:tr2bl w:val="nil"/>
            </w:tcBorders>
            <w:noWrap w:val="0"/>
            <w:vAlign w:val="center"/>
          </w:tcPr>
          <w:p w14:paraId="06C3FA76">
            <w:pPr>
              <w:pStyle w:val="5"/>
              <w:keepNext w:val="0"/>
              <w:keepLines w:val="0"/>
              <w:pageBreakBefore w:val="0"/>
              <w:kinsoku/>
              <w:wordWrap w:val="0"/>
              <w:overflowPunct/>
              <w:topLinePunct w:val="0"/>
              <w:autoSpaceDE/>
              <w:autoSpaceDN/>
              <w:bidi w:val="0"/>
              <w:adjustRightInd w:val="0"/>
              <w:snapToGrid w:val="0"/>
              <w:spacing w:after="0" w:line="360" w:lineRule="auto"/>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．类似工程指：合同</w:t>
            </w:r>
            <w:r>
              <w:rPr>
                <w:rFonts w:hint="eastAsia" w:ascii="宋体" w:hAnsi="宋体" w:eastAsia="宋体" w:cs="宋体"/>
                <w:snapToGrid w:val="0"/>
                <w:color w:val="auto"/>
                <w:kern w:val="0"/>
                <w:sz w:val="21"/>
                <w:szCs w:val="21"/>
                <w:highlight w:val="none"/>
                <w:lang w:val="en-US" w:eastAsia="zh-CN"/>
              </w:rPr>
              <w:t>金额</w:t>
            </w:r>
            <w:r>
              <w:rPr>
                <w:rFonts w:hint="eastAsia" w:ascii="宋体" w:hAnsi="宋体" w:eastAsia="宋体" w:cs="宋体"/>
                <w:b/>
                <w:bCs/>
                <w:snapToGrid w:val="0"/>
                <w:color w:val="auto"/>
                <w:kern w:val="0"/>
                <w:sz w:val="21"/>
                <w:szCs w:val="21"/>
                <w:highlight w:val="none"/>
              </w:rPr>
              <w:t>≥</w:t>
            </w:r>
            <w:r>
              <w:rPr>
                <w:rFonts w:hint="eastAsia" w:ascii="宋体" w:hAnsi="宋体" w:eastAsia="宋体" w:cs="宋体"/>
                <w:b/>
                <w:bCs/>
                <w:snapToGrid w:val="0"/>
                <w:color w:val="auto"/>
                <w:kern w:val="0"/>
                <w:sz w:val="21"/>
                <w:szCs w:val="21"/>
                <w:highlight w:val="none"/>
                <w:u w:val="single"/>
                <w:lang w:val="en-US" w:eastAsia="zh-CN"/>
              </w:rPr>
              <w:t>400万元</w:t>
            </w:r>
            <w:r>
              <w:rPr>
                <w:rFonts w:hint="eastAsia" w:ascii="宋体" w:hAnsi="宋体" w:eastAsia="宋体" w:cs="宋体"/>
                <w:b w:val="0"/>
                <w:bCs w:val="0"/>
                <w:snapToGrid w:val="0"/>
                <w:color w:val="auto"/>
                <w:kern w:val="0"/>
                <w:sz w:val="21"/>
                <w:szCs w:val="21"/>
                <w:highlight w:val="none"/>
                <w:u w:val="single"/>
                <w:lang w:val="en-US" w:eastAsia="zh-CN"/>
              </w:rPr>
              <w:t>的市政类工程项目</w:t>
            </w:r>
            <w:r>
              <w:rPr>
                <w:rFonts w:hint="eastAsia" w:ascii="宋体" w:hAnsi="宋体" w:eastAsia="宋体" w:cs="宋体"/>
                <w:snapToGrid w:val="0"/>
                <w:color w:val="auto"/>
                <w:kern w:val="0"/>
                <w:sz w:val="21"/>
                <w:szCs w:val="21"/>
                <w:highlight w:val="none"/>
                <w:lang w:val="en-US" w:eastAsia="zh-CN"/>
              </w:rPr>
              <w:t>。</w:t>
            </w:r>
          </w:p>
          <w:p w14:paraId="5C58FCE0">
            <w:pPr>
              <w:pStyle w:val="5"/>
              <w:keepNext w:val="0"/>
              <w:keepLines w:val="0"/>
              <w:pageBreakBefore w:val="0"/>
              <w:widowControl w:val="0"/>
              <w:kinsoku/>
              <w:wordWrap w:val="0"/>
              <w:overflowPunct/>
              <w:topLinePunct w:val="0"/>
              <w:autoSpaceDE/>
              <w:autoSpaceDN/>
              <w:bidi w:val="0"/>
              <w:adjustRightInd/>
              <w:snapToGrid/>
              <w:spacing w:after="0" w:line="360" w:lineRule="auto"/>
              <w:ind w:left="10" w:leftChars="0" w:right="0" w:rightChars="0" w:firstLine="0" w:firstLineChars="0"/>
              <w:jc w:val="both"/>
              <w:textAlignment w:val="auto"/>
              <w:outlineLvl w:val="9"/>
              <w:rPr>
                <w:rFonts w:hint="eastAsia" w:ascii="宋体" w:hAnsi="宋体" w:eastAsia="宋体" w:cs="宋体"/>
                <w:b/>
                <w:bCs/>
                <w:i/>
                <w:iCs/>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2．需附有关业绩</w:t>
            </w:r>
            <w:r>
              <w:rPr>
                <w:rFonts w:hint="eastAsia" w:ascii="宋体" w:hAnsi="宋体" w:eastAsia="宋体" w:cs="宋体"/>
                <w:snapToGrid w:val="0"/>
                <w:color w:val="auto"/>
                <w:kern w:val="0"/>
                <w:sz w:val="21"/>
                <w:szCs w:val="21"/>
                <w:highlight w:val="none"/>
              </w:rPr>
              <w:t>（仅限于</w:t>
            </w:r>
            <w:r>
              <w:rPr>
                <w:rFonts w:hint="eastAsia" w:ascii="宋体" w:hAnsi="宋体" w:eastAsia="宋体" w:cs="宋体"/>
                <w:snapToGrid w:val="0"/>
                <w:color w:val="auto"/>
                <w:kern w:val="0"/>
                <w:sz w:val="21"/>
                <w:szCs w:val="21"/>
                <w:highlight w:val="none"/>
                <w:lang w:val="en-US" w:eastAsia="zh-CN"/>
              </w:rPr>
              <w:t>以</w:t>
            </w:r>
            <w:r>
              <w:rPr>
                <w:rFonts w:hint="eastAsia" w:ascii="宋体" w:hAnsi="宋体" w:eastAsia="宋体" w:cs="宋体"/>
                <w:snapToGrid w:val="0"/>
                <w:color w:val="auto"/>
                <w:kern w:val="0"/>
                <w:sz w:val="21"/>
                <w:szCs w:val="21"/>
                <w:highlight w:val="none"/>
              </w:rPr>
              <w:t>施工</w:t>
            </w:r>
            <w:r>
              <w:rPr>
                <w:rFonts w:hint="eastAsia" w:ascii="宋体" w:hAnsi="宋体" w:eastAsia="宋体" w:cs="宋体"/>
                <w:snapToGrid w:val="0"/>
                <w:color w:val="auto"/>
                <w:kern w:val="0"/>
                <w:sz w:val="21"/>
                <w:szCs w:val="21"/>
                <w:highlight w:val="none"/>
                <w:u w:val="single"/>
              </w:rPr>
              <w:t xml:space="preserve"> 总承包单位 </w:t>
            </w:r>
            <w:r>
              <w:rPr>
                <w:rFonts w:hint="eastAsia" w:ascii="宋体" w:hAnsi="宋体" w:eastAsia="宋体" w:cs="宋体"/>
                <w:snapToGrid w:val="0"/>
                <w:color w:val="auto"/>
                <w:kern w:val="0"/>
                <w:sz w:val="21"/>
                <w:szCs w:val="21"/>
                <w:highlight w:val="none"/>
              </w:rPr>
              <w:t>身份</w:t>
            </w:r>
            <w:r>
              <w:rPr>
                <w:rFonts w:hint="eastAsia" w:ascii="宋体" w:hAnsi="宋体" w:eastAsia="宋体" w:cs="宋体"/>
                <w:snapToGrid w:val="0"/>
                <w:color w:val="auto"/>
                <w:kern w:val="0"/>
                <w:sz w:val="21"/>
                <w:szCs w:val="21"/>
                <w:highlight w:val="none"/>
                <w:lang w:val="en-US" w:eastAsia="zh-CN"/>
              </w:rPr>
              <w:t>参</w:t>
            </w:r>
            <w:r>
              <w:rPr>
                <w:rFonts w:hint="eastAsia" w:ascii="宋体" w:hAnsi="宋体" w:eastAsia="宋体" w:cs="宋体"/>
                <w:snapToGrid w:val="0"/>
                <w:color w:val="auto"/>
                <w:kern w:val="0"/>
                <w:sz w:val="21"/>
                <w:szCs w:val="21"/>
                <w:highlight w:val="none"/>
              </w:rPr>
              <w:t>建的项目）</w:t>
            </w:r>
            <w:r>
              <w:rPr>
                <w:rFonts w:hint="eastAsia" w:ascii="宋体" w:hAnsi="宋体" w:eastAsia="宋体" w:cs="宋体"/>
                <w:caps w:val="0"/>
                <w:smallCaps w:val="0"/>
                <w:snapToGrid w:val="0"/>
                <w:color w:val="auto"/>
                <w:spacing w:val="0"/>
                <w:kern w:val="0"/>
                <w:sz w:val="21"/>
                <w:szCs w:val="21"/>
                <w:highlight w:val="none"/>
                <w:lang w:val="en-US" w:eastAsia="zh-CN"/>
              </w:rPr>
              <w:t>合同协议书关键页扫描件，</w:t>
            </w:r>
            <w:r>
              <w:rPr>
                <w:rFonts w:hint="eastAsia" w:ascii="宋体" w:hAnsi="宋体" w:eastAsia="宋体" w:cs="宋体"/>
                <w:b/>
                <w:bCs/>
                <w:caps w:val="0"/>
                <w:smallCaps w:val="0"/>
                <w:snapToGrid w:val="0"/>
                <w:color w:val="auto"/>
                <w:spacing w:val="0"/>
                <w:kern w:val="0"/>
                <w:sz w:val="21"/>
                <w:szCs w:val="21"/>
                <w:highlight w:val="none"/>
                <w:lang w:val="en-US" w:eastAsia="zh-CN"/>
              </w:rPr>
              <w:t>同时提供原件核对。</w:t>
            </w:r>
          </w:p>
          <w:p w14:paraId="06084509">
            <w:pPr>
              <w:pStyle w:val="5"/>
              <w:keepNext w:val="0"/>
              <w:keepLines w:val="0"/>
              <w:pageBreakBefore w:val="0"/>
              <w:widowControl w:val="0"/>
              <w:kinsoku/>
              <w:wordWrap w:val="0"/>
              <w:overflowPunct/>
              <w:topLinePunct w:val="0"/>
              <w:autoSpaceDE/>
              <w:autoSpaceDN/>
              <w:bidi w:val="0"/>
              <w:adjustRightInd/>
              <w:snapToGrid/>
              <w:spacing w:after="0" w:line="360" w:lineRule="auto"/>
              <w:ind w:left="10" w:leftChars="0" w:right="0" w:rightChars="0" w:firstLine="0" w:firstLineChars="0"/>
              <w:jc w:val="both"/>
              <w:textAlignment w:val="auto"/>
              <w:outlineLvl w:val="9"/>
              <w:rPr>
                <w:rFonts w:hint="eastAsia" w:ascii="宋体" w:hAnsi="宋体" w:eastAsia="宋体" w:cs="宋体"/>
                <w:i/>
                <w:iCs/>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3．业绩时间以合同协议书日期为准。</w:t>
            </w:r>
          </w:p>
          <w:p w14:paraId="4548BD59">
            <w:pPr>
              <w:pStyle w:val="5"/>
              <w:keepNext w:val="0"/>
              <w:keepLines w:val="0"/>
              <w:pageBreakBefore w:val="0"/>
              <w:widowControl w:val="0"/>
              <w:kinsoku/>
              <w:wordWrap w:val="0"/>
              <w:overflowPunct/>
              <w:topLinePunct w:val="0"/>
              <w:autoSpaceDE/>
              <w:autoSpaceDN/>
              <w:bidi w:val="0"/>
              <w:adjustRightInd/>
              <w:snapToGrid/>
              <w:spacing w:after="0" w:line="360" w:lineRule="auto"/>
              <w:ind w:left="1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4．任一业绩有以下情形之一的，该业绩视为无效，不予计分</w:t>
            </w:r>
            <w:r>
              <w:rPr>
                <w:rFonts w:hint="eastAsia" w:ascii="宋体" w:hAnsi="宋体" w:eastAsia="宋体" w:cs="宋体"/>
                <w:caps w:val="0"/>
                <w:smallCaps w:val="0"/>
                <w:snapToGrid w:val="0"/>
                <w:color w:val="auto"/>
                <w:spacing w:val="0"/>
                <w:kern w:val="0"/>
                <w:sz w:val="21"/>
                <w:szCs w:val="21"/>
                <w:highlight w:val="none"/>
                <w:lang w:eastAsia="zh-CN"/>
              </w:rPr>
              <w:t>：</w:t>
            </w:r>
          </w:p>
          <w:p w14:paraId="2CB0AAC9">
            <w:pPr>
              <w:pStyle w:val="5"/>
              <w:keepNext w:val="0"/>
              <w:keepLines w:val="0"/>
              <w:pageBreakBefore w:val="0"/>
              <w:widowControl w:val="0"/>
              <w:kinsoku/>
              <w:wordWrap w:val="0"/>
              <w:overflowPunct/>
              <w:topLinePunct w:val="0"/>
              <w:autoSpaceDE/>
              <w:autoSpaceDN/>
              <w:bidi w:val="0"/>
              <w:adjustRightInd/>
              <w:snapToGrid/>
              <w:spacing w:after="0" w:line="360" w:lineRule="auto"/>
              <w:ind w:left="1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trike w:val="0"/>
                <w:dstrike w:val="0"/>
                <w:snapToGrid w:val="0"/>
                <w:color w:val="auto"/>
                <w:spacing w:val="0"/>
                <w:kern w:val="0"/>
                <w:sz w:val="21"/>
                <w:szCs w:val="21"/>
                <w:highlight w:val="none"/>
                <w:lang w:val="en-US" w:eastAsia="zh-CN"/>
              </w:rPr>
              <w:t>①</w:t>
            </w:r>
            <w:r>
              <w:rPr>
                <w:rFonts w:hint="eastAsia" w:ascii="宋体" w:hAnsi="宋体" w:eastAsia="宋体" w:cs="宋体"/>
                <w:caps w:val="0"/>
                <w:smallCaps w:val="0"/>
                <w:strike w:val="0"/>
                <w:snapToGrid w:val="0"/>
                <w:color w:val="auto"/>
                <w:spacing w:val="0"/>
                <w:kern w:val="0"/>
                <w:sz w:val="21"/>
                <w:szCs w:val="21"/>
                <w:highlight w:val="none"/>
                <w:lang w:val="en-US" w:eastAsia="zh-CN"/>
              </w:rPr>
              <w:t>业</w:t>
            </w:r>
            <w:r>
              <w:rPr>
                <w:rFonts w:hint="eastAsia" w:ascii="宋体" w:hAnsi="宋体" w:eastAsia="宋体" w:cs="宋体"/>
                <w:caps w:val="0"/>
                <w:smallCaps w:val="0"/>
                <w:snapToGrid w:val="0"/>
                <w:color w:val="auto"/>
                <w:spacing w:val="0"/>
                <w:kern w:val="0"/>
                <w:sz w:val="21"/>
                <w:szCs w:val="21"/>
                <w:highlight w:val="none"/>
                <w:lang w:val="en-US" w:eastAsia="zh-CN"/>
              </w:rPr>
              <w:t>绩不属于类似工程的；</w:t>
            </w:r>
          </w:p>
          <w:p w14:paraId="7FEC9560">
            <w:pPr>
              <w:pStyle w:val="5"/>
              <w:keepNext w:val="0"/>
              <w:keepLines w:val="0"/>
              <w:pageBreakBefore w:val="0"/>
              <w:widowControl w:val="0"/>
              <w:kinsoku/>
              <w:wordWrap w:val="0"/>
              <w:overflowPunct/>
              <w:topLinePunct w:val="0"/>
              <w:autoSpaceDE/>
              <w:autoSpaceDN/>
              <w:bidi w:val="0"/>
              <w:adjustRightInd/>
              <w:snapToGrid/>
              <w:spacing w:after="0" w:line="360" w:lineRule="auto"/>
              <w:ind w:left="1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②不是以指定身份参建的；</w:t>
            </w:r>
          </w:p>
          <w:p w14:paraId="290E60C8">
            <w:pPr>
              <w:pStyle w:val="5"/>
              <w:keepNext w:val="0"/>
              <w:keepLines w:val="0"/>
              <w:pageBreakBefore w:val="0"/>
              <w:widowControl w:val="0"/>
              <w:kinsoku/>
              <w:wordWrap w:val="0"/>
              <w:overflowPunct/>
              <w:topLinePunct w:val="0"/>
              <w:autoSpaceDE/>
              <w:autoSpaceDN/>
              <w:bidi w:val="0"/>
              <w:adjustRightInd w:val="0"/>
              <w:snapToGrid w:val="0"/>
              <w:spacing w:after="0" w:afterLines="0" w:line="360" w:lineRule="auto"/>
              <w:textAlignment w:val="auto"/>
              <w:rPr>
                <w:rFonts w:hint="eastAsia" w:ascii="宋体" w:hAnsi="宋体" w:eastAsia="宋体" w:cs="宋体"/>
                <w:caps w:val="0"/>
                <w:smallCaps w:val="0"/>
                <w:snapToGrid w:val="0"/>
                <w:color w:val="auto"/>
                <w:spacing w:val="0"/>
                <w:kern w:val="0"/>
                <w:sz w:val="21"/>
                <w:szCs w:val="21"/>
                <w:highlight w:val="none"/>
                <w:lang w:val="en-US" w:eastAsia="zh-CN"/>
              </w:rPr>
            </w:pPr>
            <w:r>
              <w:rPr>
                <w:rFonts w:hint="eastAsia" w:ascii="宋体" w:hAnsi="宋体" w:eastAsia="宋体" w:cs="宋体"/>
                <w:caps w:val="0"/>
                <w:smallCaps w:val="0"/>
                <w:snapToGrid w:val="0"/>
                <w:color w:val="auto"/>
                <w:spacing w:val="0"/>
                <w:kern w:val="0"/>
                <w:sz w:val="21"/>
                <w:szCs w:val="21"/>
                <w:highlight w:val="none"/>
                <w:lang w:val="en-US" w:eastAsia="zh-CN"/>
              </w:rPr>
              <w:t>③业绩时间不符合要求的；</w:t>
            </w:r>
          </w:p>
          <w:p w14:paraId="6D9619DF">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caps w:val="0"/>
                <w:smallCaps w:val="0"/>
                <w:snapToGrid w:val="0"/>
                <w:color w:val="auto"/>
                <w:spacing w:val="0"/>
                <w:kern w:val="0"/>
                <w:sz w:val="21"/>
                <w:szCs w:val="21"/>
                <w:highlight w:val="none"/>
                <w:lang w:val="en-US" w:eastAsia="zh-CN" w:bidi="ar-SA"/>
              </w:rPr>
              <w:t>④未提供业绩证明材料原件的。</w:t>
            </w:r>
          </w:p>
          <w:p w14:paraId="7DD1BFB2">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lang w:val="en-US" w:eastAsia="zh-CN"/>
              </w:rPr>
            </w:pPr>
            <w:r>
              <w:rPr>
                <w:rFonts w:hint="eastAsia" w:ascii="宋体" w:hAnsi="宋体" w:eastAsia="宋体" w:cs="宋体"/>
                <w:snapToGrid w:val="0"/>
                <w:color w:val="auto"/>
                <w:sz w:val="21"/>
                <w:szCs w:val="21"/>
                <w:highlight w:val="none"/>
                <w:lang w:val="en-US" w:eastAsia="zh-CN"/>
              </w:rPr>
              <w:t>5.以联合体形式投标的，由联合体成员的任意一方提供。</w:t>
            </w:r>
          </w:p>
        </w:tc>
      </w:tr>
      <w:tr w14:paraId="7E60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6A9447E0">
            <w:pPr>
              <w:pStyle w:val="5"/>
              <w:keepNext w:val="0"/>
              <w:keepLines w:val="0"/>
              <w:pageBreakBefore w:val="0"/>
              <w:kinsoku/>
              <w:wordWrap w:val="0"/>
              <w:overflowPunct/>
              <w:topLinePunct w:val="0"/>
              <w:autoSpaceDE/>
              <w:autoSpaceDN/>
              <w:bidi w:val="0"/>
              <w:adjustRightInd w:val="0"/>
              <w:snapToGrid w:val="0"/>
              <w:spacing w:after="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w:t>
            </w:r>
          </w:p>
          <w:p w14:paraId="1BE6251D">
            <w:pPr>
              <w:pStyle w:val="5"/>
              <w:keepNext w:val="0"/>
              <w:keepLines w:val="0"/>
              <w:pageBreakBefore w:val="0"/>
              <w:kinsoku/>
              <w:wordWrap w:val="0"/>
              <w:overflowPunct/>
              <w:topLinePunct w:val="0"/>
              <w:autoSpaceDE/>
              <w:autoSpaceDN/>
              <w:bidi w:val="0"/>
              <w:adjustRightInd w:val="0"/>
              <w:snapToGrid w:val="0"/>
              <w:spacing w:after="0"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综合素质</w:t>
            </w:r>
          </w:p>
          <w:p w14:paraId="20BE1E0C">
            <w:pPr>
              <w:pStyle w:val="5"/>
              <w:keepNext w:val="0"/>
              <w:keepLines w:val="0"/>
              <w:pageBreakBefore w:val="0"/>
              <w:kinsoku/>
              <w:wordWrap w:val="0"/>
              <w:overflowPunct/>
              <w:topLinePunct w:val="0"/>
              <w:autoSpaceDE/>
              <w:autoSpaceDN/>
              <w:bidi w:val="0"/>
              <w:adjustRightInd w:val="0"/>
              <w:snapToGrid w:val="0"/>
              <w:spacing w:after="0" w:line="360" w:lineRule="auto"/>
              <w:jc w:val="center"/>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rPr>
              <w:t>分）</w:t>
            </w:r>
          </w:p>
        </w:tc>
        <w:tc>
          <w:tcPr>
            <w:tcW w:w="3268" w:type="dxa"/>
            <w:tcBorders>
              <w:tl2br w:val="nil"/>
              <w:tr2bl w:val="nil"/>
            </w:tcBorders>
            <w:noWrap w:val="0"/>
            <w:vAlign w:val="center"/>
          </w:tcPr>
          <w:p w14:paraId="097E5138">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项目经理工程类技术职称情况：</w:t>
            </w:r>
          </w:p>
          <w:p w14:paraId="39D7464D">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具备工程师</w:t>
            </w:r>
            <w:r>
              <w:rPr>
                <w:rFonts w:hint="eastAsia" w:ascii="宋体" w:hAnsi="宋体" w:eastAsia="宋体" w:cs="宋体"/>
                <w:snapToGrid w:val="0"/>
                <w:color w:val="auto"/>
                <w:kern w:val="0"/>
                <w:sz w:val="21"/>
                <w:szCs w:val="21"/>
                <w:highlight w:val="none"/>
                <w:lang w:val="en-US" w:eastAsia="zh-CN"/>
              </w:rPr>
              <w:t>或以上职称的，</w:t>
            </w:r>
            <w:r>
              <w:rPr>
                <w:rFonts w:hint="eastAsia" w:ascii="宋体" w:hAnsi="宋体" w:eastAsia="宋体" w:cs="宋体"/>
                <w:snapToGrid w:val="0"/>
                <w:color w:val="auto"/>
                <w:kern w:val="0"/>
                <w:sz w:val="21"/>
                <w:szCs w:val="21"/>
                <w:highlight w:val="none"/>
              </w:rPr>
              <w:t>得</w:t>
            </w:r>
            <w:r>
              <w:rPr>
                <w:rFonts w:hint="eastAsia" w:ascii="宋体" w:hAnsi="宋体" w:eastAsia="宋体" w:cs="宋体"/>
                <w:snapToGrid w:val="0"/>
                <w:color w:val="auto"/>
                <w:kern w:val="0"/>
                <w:sz w:val="21"/>
                <w:szCs w:val="21"/>
                <w:highlight w:val="none"/>
                <w:u w:val="single"/>
                <w:lang w:val="en-US" w:eastAsia="zh-CN"/>
              </w:rPr>
              <w:t>10</w:t>
            </w:r>
            <w:r>
              <w:rPr>
                <w:rFonts w:hint="eastAsia" w:ascii="宋体" w:hAnsi="宋体" w:eastAsia="宋体" w:cs="宋体"/>
                <w:snapToGrid w:val="0"/>
                <w:color w:val="auto"/>
                <w:kern w:val="0"/>
                <w:sz w:val="21"/>
                <w:szCs w:val="21"/>
                <w:highlight w:val="none"/>
              </w:rPr>
              <w:t>分。</w:t>
            </w:r>
          </w:p>
          <w:p w14:paraId="7D420C29">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2.具备助理</w:t>
            </w:r>
            <w:r>
              <w:rPr>
                <w:rFonts w:hint="eastAsia" w:ascii="宋体" w:hAnsi="宋体" w:eastAsia="宋体" w:cs="宋体"/>
                <w:snapToGrid w:val="0"/>
                <w:color w:val="auto"/>
                <w:kern w:val="0"/>
                <w:sz w:val="21"/>
                <w:szCs w:val="21"/>
                <w:highlight w:val="none"/>
              </w:rPr>
              <w:t>工程师职称的，</w:t>
            </w:r>
            <w:r>
              <w:rPr>
                <w:rFonts w:hint="eastAsia" w:ascii="宋体" w:hAnsi="宋体" w:eastAsia="宋体" w:cs="宋体"/>
                <w:snapToGrid w:val="0"/>
                <w:color w:val="auto"/>
                <w:kern w:val="0"/>
                <w:sz w:val="21"/>
                <w:szCs w:val="21"/>
                <w:highlight w:val="none"/>
                <w:lang w:val="en-US" w:eastAsia="zh-CN"/>
              </w:rPr>
              <w:t>得</w:t>
            </w:r>
            <w:r>
              <w:rPr>
                <w:rFonts w:hint="eastAsia" w:ascii="宋体" w:hAnsi="宋体" w:eastAsia="宋体" w:cs="宋体"/>
                <w:snapToGrid w:val="0"/>
                <w:color w:val="auto"/>
                <w:kern w:val="0"/>
                <w:sz w:val="21"/>
                <w:szCs w:val="21"/>
                <w:highlight w:val="none"/>
                <w:u w:val="single"/>
                <w:lang w:val="en-US" w:eastAsia="zh-CN"/>
              </w:rPr>
              <w:t xml:space="preserve"> 5 </w:t>
            </w:r>
            <w:r>
              <w:rPr>
                <w:rFonts w:hint="eastAsia" w:ascii="宋体" w:hAnsi="宋体" w:eastAsia="宋体" w:cs="宋体"/>
                <w:snapToGrid w:val="0"/>
                <w:color w:val="auto"/>
                <w:kern w:val="0"/>
                <w:sz w:val="21"/>
                <w:szCs w:val="21"/>
                <w:highlight w:val="none"/>
                <w:lang w:val="en-US" w:eastAsia="zh-CN"/>
              </w:rPr>
              <w:t>分。</w:t>
            </w:r>
          </w:p>
          <w:p w14:paraId="21124974">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不具备以上职称的不予计分。</w:t>
            </w:r>
          </w:p>
          <w:p w14:paraId="3988211F">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caps w:val="0"/>
                <w:smallCaps w:val="0"/>
                <w:snapToGrid w:val="0"/>
                <w:color w:val="auto"/>
                <w:spacing w:val="0"/>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eastAsia="zh-CN"/>
              </w:rPr>
              <w:t>本项</w:t>
            </w:r>
            <w:r>
              <w:rPr>
                <w:rFonts w:hint="eastAsia" w:ascii="宋体" w:hAnsi="宋体" w:eastAsia="宋体" w:cs="宋体"/>
                <w:snapToGrid w:val="0"/>
                <w:color w:val="auto"/>
                <w:kern w:val="0"/>
                <w:sz w:val="21"/>
                <w:szCs w:val="21"/>
                <w:highlight w:val="none"/>
              </w:rPr>
              <w:t>最高得</w:t>
            </w:r>
            <w:r>
              <w:rPr>
                <w:rFonts w:hint="eastAsia" w:ascii="宋体" w:hAnsi="宋体" w:eastAsia="宋体" w:cs="宋体"/>
                <w:snapToGrid w:val="0"/>
                <w:color w:val="auto"/>
                <w:kern w:val="0"/>
                <w:sz w:val="21"/>
                <w:szCs w:val="21"/>
                <w:highlight w:val="none"/>
                <w:lang w:val="en-US" w:eastAsia="zh-CN"/>
              </w:rPr>
              <w:t>10</w:t>
            </w:r>
            <w:r>
              <w:rPr>
                <w:rFonts w:hint="eastAsia" w:ascii="宋体" w:hAnsi="宋体" w:eastAsia="宋体" w:cs="宋体"/>
                <w:snapToGrid w:val="0"/>
                <w:color w:val="auto"/>
                <w:kern w:val="0"/>
                <w:sz w:val="21"/>
                <w:szCs w:val="21"/>
                <w:highlight w:val="none"/>
              </w:rPr>
              <w:t>分。</w:t>
            </w:r>
          </w:p>
        </w:tc>
        <w:tc>
          <w:tcPr>
            <w:tcW w:w="5186" w:type="dxa"/>
            <w:tcBorders>
              <w:tl2br w:val="nil"/>
              <w:tr2bl w:val="nil"/>
            </w:tcBorders>
            <w:noWrap w:val="0"/>
            <w:vAlign w:val="center"/>
          </w:tcPr>
          <w:p w14:paraId="7F838EB3">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1.</w:t>
            </w:r>
            <w:r>
              <w:rPr>
                <w:rFonts w:hint="eastAsia" w:ascii="宋体" w:hAnsi="宋体" w:eastAsia="宋体" w:cs="宋体"/>
                <w:snapToGrid w:val="0"/>
                <w:color w:val="auto"/>
                <w:kern w:val="0"/>
                <w:sz w:val="21"/>
                <w:szCs w:val="21"/>
                <w:highlight w:val="none"/>
              </w:rPr>
              <w:t>需附职称证</w:t>
            </w:r>
            <w:r>
              <w:rPr>
                <w:rFonts w:hint="eastAsia" w:ascii="宋体" w:hAnsi="宋体" w:eastAsia="宋体" w:cs="宋体"/>
                <w:caps w:val="0"/>
                <w:smallCaps w:val="0"/>
                <w:snapToGrid w:val="0"/>
                <w:color w:val="auto"/>
                <w:spacing w:val="0"/>
                <w:kern w:val="0"/>
                <w:sz w:val="21"/>
                <w:szCs w:val="21"/>
                <w:highlight w:val="none"/>
                <w:lang w:val="en-US" w:eastAsia="zh-CN"/>
              </w:rPr>
              <w:t>彩色扫描件，</w:t>
            </w:r>
            <w:r>
              <w:rPr>
                <w:rFonts w:hint="eastAsia" w:ascii="宋体" w:hAnsi="宋体" w:eastAsia="宋体" w:cs="宋体"/>
                <w:b/>
                <w:bCs/>
                <w:snapToGrid w:val="0"/>
                <w:color w:val="auto"/>
                <w:kern w:val="0"/>
                <w:sz w:val="21"/>
                <w:szCs w:val="21"/>
                <w:highlight w:val="none"/>
              </w:rPr>
              <w:t>同时提供原件供核对（职称证为电子证书打印件的除外）</w:t>
            </w:r>
            <w:r>
              <w:rPr>
                <w:rFonts w:hint="eastAsia" w:ascii="宋体" w:hAnsi="宋体" w:eastAsia="宋体" w:cs="宋体"/>
                <w:snapToGrid w:val="0"/>
                <w:color w:val="auto"/>
                <w:kern w:val="0"/>
                <w:sz w:val="21"/>
                <w:szCs w:val="21"/>
                <w:highlight w:val="none"/>
              </w:rPr>
              <w:t>。</w:t>
            </w:r>
          </w:p>
          <w:p w14:paraId="0FB66CE7">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ascii="宋体" w:hAnsi="宋体" w:eastAsia="宋体" w:cs="宋体"/>
                <w:snapToGrid w:val="0"/>
                <w:color w:val="auto"/>
                <w:sz w:val="21"/>
                <w:szCs w:val="21"/>
                <w:highlight w:val="none"/>
                <w:lang w:val="en-US" w:eastAsia="zh-CN"/>
              </w:rPr>
            </w:pPr>
            <w:r>
              <w:rPr>
                <w:rFonts w:hint="eastAsia" w:ascii="宋体" w:hAnsi="宋体" w:eastAsia="宋体" w:cs="宋体"/>
                <w:snapToGrid w:val="0"/>
                <w:color w:val="auto"/>
                <w:sz w:val="21"/>
                <w:szCs w:val="21"/>
                <w:highlight w:val="none"/>
                <w:lang w:val="en-US" w:eastAsia="zh-CN"/>
              </w:rPr>
              <w:t>2.以联合体形式投标的，由联合体成员的任意一方提供。</w:t>
            </w:r>
          </w:p>
          <w:p w14:paraId="4FA417C0">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snapToGrid w:val="0"/>
                <w:color w:val="auto"/>
                <w:kern w:val="0"/>
                <w:sz w:val="21"/>
                <w:szCs w:val="21"/>
                <w:highlight w:val="none"/>
                <w:lang w:val="en-US" w:eastAsia="zh-CN" w:bidi="ar-SA"/>
              </w:rPr>
            </w:pPr>
          </w:p>
        </w:tc>
      </w:tr>
      <w:tr w14:paraId="1910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32BB66AF">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企业银行</w:t>
            </w:r>
          </w:p>
          <w:p w14:paraId="1AFCD5F4">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资信评级</w:t>
            </w:r>
          </w:p>
          <w:p w14:paraId="10AD3D20">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分）</w:t>
            </w:r>
          </w:p>
        </w:tc>
        <w:tc>
          <w:tcPr>
            <w:tcW w:w="3268" w:type="dxa"/>
            <w:tcBorders>
              <w:tl2br w:val="nil"/>
              <w:tr2bl w:val="nil"/>
            </w:tcBorders>
            <w:noWrap w:val="0"/>
            <w:vAlign w:val="center"/>
          </w:tcPr>
          <w:p w14:paraId="2D102525">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textAlignment w:val="auto"/>
              <w:rPr>
                <w:rFonts w:hint="eastAsia" w:ascii="宋体" w:hAnsi="宋体" w:eastAsia="宋体" w:cs="宋体"/>
                <w:strike w:val="0"/>
                <w:dstrike w:val="0"/>
                <w:snapToGrid w:val="0"/>
                <w:color w:val="auto"/>
                <w:kern w:val="0"/>
                <w:sz w:val="21"/>
                <w:szCs w:val="21"/>
                <w:highlight w:val="none"/>
                <w:lang w:val="en-US" w:eastAsia="zh-CN" w:bidi="ar-SA"/>
              </w:rPr>
            </w:pPr>
            <w:r>
              <w:rPr>
                <w:rFonts w:hint="eastAsia" w:ascii="宋体" w:hAnsi="宋体" w:eastAsia="宋体" w:cs="宋体"/>
                <w:strike w:val="0"/>
                <w:dstrike w:val="0"/>
                <w:snapToGrid w:val="0"/>
                <w:color w:val="auto"/>
                <w:kern w:val="0"/>
                <w:sz w:val="21"/>
                <w:szCs w:val="21"/>
                <w:highlight w:val="none"/>
                <w:lang w:val="en-US" w:eastAsia="zh-CN" w:bidi="ar-SA"/>
              </w:rPr>
              <w:t>1.银行资信评级AAA的，得5分；</w:t>
            </w:r>
          </w:p>
          <w:p w14:paraId="6B34BE5C">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textAlignment w:val="auto"/>
              <w:rPr>
                <w:rFonts w:hint="eastAsia" w:ascii="宋体" w:hAnsi="宋体" w:eastAsia="宋体" w:cs="宋体"/>
                <w:strike w:val="0"/>
                <w:dstrike w:val="0"/>
                <w:snapToGrid w:val="0"/>
                <w:color w:val="auto"/>
                <w:kern w:val="0"/>
                <w:sz w:val="21"/>
                <w:szCs w:val="21"/>
                <w:highlight w:val="none"/>
                <w:lang w:val="en-US" w:eastAsia="zh-CN" w:bidi="ar-SA"/>
              </w:rPr>
            </w:pPr>
            <w:r>
              <w:rPr>
                <w:rFonts w:hint="eastAsia" w:ascii="宋体" w:hAnsi="宋体" w:eastAsia="宋体" w:cs="宋体"/>
                <w:strike w:val="0"/>
                <w:dstrike w:val="0"/>
                <w:snapToGrid w:val="0"/>
                <w:color w:val="auto"/>
                <w:kern w:val="0"/>
                <w:sz w:val="21"/>
                <w:szCs w:val="21"/>
                <w:highlight w:val="none"/>
                <w:lang w:val="en-US" w:eastAsia="zh-CN" w:bidi="ar-SA"/>
              </w:rPr>
              <w:t>2.银行资信评级AA（含AA+、AA-）以上的，得4分；</w:t>
            </w:r>
          </w:p>
          <w:p w14:paraId="759AB2C8">
            <w:pPr>
              <w:pStyle w:val="5"/>
              <w:keepNext w:val="0"/>
              <w:keepLines w:val="0"/>
              <w:pageBreakBefore w:val="0"/>
              <w:widowControl w:val="0"/>
              <w:numPr>
                <w:ilvl w:val="0"/>
                <w:numId w:val="0"/>
              </w:numPr>
              <w:kinsoku/>
              <w:wordWrap w:val="0"/>
              <w:overflowPunct/>
              <w:topLinePunct w:val="0"/>
              <w:autoSpaceDE/>
              <w:autoSpaceDN/>
              <w:bidi w:val="0"/>
              <w:adjustRightInd w:val="0"/>
              <w:snapToGrid w:val="0"/>
              <w:spacing w:after="0" w:afterLines="0" w:line="360" w:lineRule="auto"/>
              <w:textAlignment w:val="auto"/>
              <w:rPr>
                <w:rFonts w:hint="eastAsia" w:ascii="宋体" w:hAnsi="宋体" w:eastAsia="宋体" w:cs="宋体"/>
                <w:strike w:val="0"/>
                <w:dstrike w:val="0"/>
                <w:snapToGrid w:val="0"/>
                <w:color w:val="auto"/>
                <w:kern w:val="0"/>
                <w:sz w:val="21"/>
                <w:szCs w:val="21"/>
                <w:highlight w:val="none"/>
                <w:lang w:val="en-US" w:eastAsia="zh-CN" w:bidi="ar-SA"/>
              </w:rPr>
            </w:pPr>
            <w:r>
              <w:rPr>
                <w:rFonts w:hint="eastAsia" w:ascii="宋体" w:hAnsi="宋体" w:eastAsia="宋体" w:cs="宋体"/>
                <w:strike w:val="0"/>
                <w:dstrike w:val="0"/>
                <w:snapToGrid w:val="0"/>
                <w:color w:val="auto"/>
                <w:kern w:val="0"/>
                <w:sz w:val="21"/>
                <w:szCs w:val="21"/>
                <w:highlight w:val="none"/>
                <w:lang w:val="en-US" w:eastAsia="zh-CN" w:bidi="ar-SA"/>
              </w:rPr>
              <w:t>3.银行资信评级A（含A+、A-）的，得3分；</w:t>
            </w:r>
          </w:p>
          <w:p w14:paraId="3C4A866C">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trike w:val="0"/>
                <w:dstrike w:val="0"/>
                <w:snapToGrid w:val="0"/>
                <w:color w:val="auto"/>
                <w:kern w:val="0"/>
                <w:sz w:val="21"/>
                <w:szCs w:val="21"/>
                <w:highlight w:val="none"/>
                <w:lang w:val="en-US" w:eastAsia="zh-CN" w:bidi="ar-SA"/>
              </w:rPr>
              <w:t>4.未获得过以上评级的，或评级证书无效的，不予计分。</w:t>
            </w:r>
          </w:p>
        </w:tc>
        <w:tc>
          <w:tcPr>
            <w:tcW w:w="5186" w:type="dxa"/>
            <w:tcBorders>
              <w:tl2br w:val="nil"/>
              <w:tr2bl w:val="nil"/>
            </w:tcBorders>
            <w:noWrap w:val="0"/>
            <w:vAlign w:val="center"/>
          </w:tcPr>
          <w:p w14:paraId="3C56B038">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1．需附在有效期内的资信评级证书（证明）扫描件，</w:t>
            </w:r>
            <w:r>
              <w:rPr>
                <w:rFonts w:hint="eastAsia" w:ascii="宋体" w:hAnsi="宋体" w:eastAsia="宋体" w:cs="宋体"/>
                <w:b/>
                <w:bCs/>
                <w:snapToGrid w:val="0"/>
                <w:color w:val="auto"/>
                <w:kern w:val="0"/>
                <w:sz w:val="21"/>
                <w:szCs w:val="21"/>
                <w:highlight w:val="none"/>
                <w:lang w:eastAsia="zh-CN"/>
              </w:rPr>
              <w:t>同时提供原件供核对</w:t>
            </w:r>
            <w:r>
              <w:rPr>
                <w:rFonts w:hint="eastAsia" w:ascii="宋体" w:hAnsi="宋体" w:eastAsia="宋体" w:cs="宋体"/>
                <w:snapToGrid w:val="0"/>
                <w:color w:val="auto"/>
                <w:kern w:val="0"/>
                <w:sz w:val="21"/>
                <w:szCs w:val="21"/>
                <w:highlight w:val="none"/>
                <w:lang w:eastAsia="zh-CN"/>
              </w:rPr>
              <w:t>。</w:t>
            </w:r>
          </w:p>
          <w:p w14:paraId="7BCE6332">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2．评级证书（证明）须由</w:t>
            </w:r>
            <w:r>
              <w:rPr>
                <w:rFonts w:hint="eastAsia" w:ascii="宋体" w:hAnsi="宋体" w:eastAsia="宋体" w:cs="宋体"/>
                <w:snapToGrid w:val="0"/>
                <w:color w:val="auto"/>
                <w:kern w:val="0"/>
                <w:sz w:val="21"/>
                <w:szCs w:val="21"/>
                <w:highlight w:val="none"/>
                <w:lang w:val="en-US" w:eastAsia="zh-CN"/>
              </w:rPr>
              <w:t>由</w:t>
            </w:r>
            <w:r>
              <w:rPr>
                <w:rFonts w:hint="eastAsia" w:ascii="宋体" w:hAnsi="宋体" w:eastAsia="宋体" w:cs="宋体"/>
                <w:snapToGrid w:val="0"/>
                <w:color w:val="auto"/>
                <w:kern w:val="0"/>
                <w:sz w:val="21"/>
                <w:szCs w:val="21"/>
                <w:highlight w:val="none"/>
                <w:u w:val="single"/>
                <w:lang w:val="en-US" w:eastAsia="zh-CN"/>
              </w:rPr>
              <w:t>企业基本账户开户银行/市级或以上金融机构</w:t>
            </w:r>
            <w:r>
              <w:rPr>
                <w:rFonts w:hint="eastAsia" w:ascii="宋体" w:hAnsi="宋体" w:eastAsia="宋体" w:cs="宋体"/>
                <w:snapToGrid w:val="0"/>
                <w:color w:val="auto"/>
                <w:kern w:val="0"/>
                <w:sz w:val="21"/>
                <w:szCs w:val="21"/>
                <w:highlight w:val="none"/>
                <w:lang w:eastAsia="zh-CN"/>
              </w:rPr>
              <w:t>出具。</w:t>
            </w:r>
          </w:p>
          <w:p w14:paraId="2527F606">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3．评级证书（证明）有以下情形之一的，视为无效：</w:t>
            </w:r>
          </w:p>
          <w:p w14:paraId="3A67AEA0">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①未提供评级证书（证明）原件的；</w:t>
            </w:r>
          </w:p>
          <w:p w14:paraId="3A6EF583">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②评级证书（证明）不在有效期内的；</w:t>
            </w:r>
          </w:p>
          <w:p w14:paraId="4EADE3AA">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③出具机构不符合要求的。</w:t>
            </w:r>
          </w:p>
          <w:p w14:paraId="203A8644">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lang w:val="en-US"/>
              </w:rPr>
            </w:pPr>
            <w:r>
              <w:rPr>
                <w:rFonts w:hint="eastAsia" w:ascii="宋体" w:hAnsi="宋体" w:eastAsia="宋体" w:cs="宋体"/>
                <w:snapToGrid w:val="0"/>
                <w:color w:val="auto"/>
                <w:sz w:val="21"/>
                <w:szCs w:val="21"/>
                <w:highlight w:val="none"/>
                <w:lang w:val="en-US" w:eastAsia="zh-CN"/>
              </w:rPr>
              <w:t>4.以联合体形式投标的，由联合体成员的任意一方提供。</w:t>
            </w:r>
          </w:p>
        </w:tc>
      </w:tr>
      <w:tr w14:paraId="3E8F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703E45DE">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企业管理体系认证（</w:t>
            </w:r>
            <w:r>
              <w:rPr>
                <w:rFonts w:hint="eastAsia" w:ascii="宋体" w:hAnsi="宋体" w:eastAsia="宋体" w:cs="宋体"/>
                <w:snapToGrid w:val="0"/>
                <w:color w:val="auto"/>
                <w:kern w:val="0"/>
                <w:sz w:val="21"/>
                <w:szCs w:val="21"/>
                <w:highlight w:val="none"/>
                <w:lang w:val="en-US" w:eastAsia="zh-CN"/>
              </w:rPr>
              <w:t>9</w:t>
            </w:r>
            <w:r>
              <w:rPr>
                <w:rFonts w:hint="eastAsia" w:ascii="宋体" w:hAnsi="宋体" w:eastAsia="宋体" w:cs="宋体"/>
                <w:snapToGrid w:val="0"/>
                <w:color w:val="auto"/>
                <w:kern w:val="0"/>
                <w:sz w:val="21"/>
                <w:szCs w:val="21"/>
                <w:highlight w:val="none"/>
              </w:rPr>
              <w:t>分）</w:t>
            </w:r>
          </w:p>
        </w:tc>
        <w:tc>
          <w:tcPr>
            <w:tcW w:w="3268" w:type="dxa"/>
            <w:tcBorders>
              <w:tl2br w:val="nil"/>
              <w:tr2bl w:val="nil"/>
            </w:tcBorders>
            <w:noWrap w:val="0"/>
            <w:vAlign w:val="center"/>
          </w:tcPr>
          <w:p w14:paraId="0546FFE8">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1．质量管理体系认证、职业健康安全管理体系认证、环境管理体系认证中，每获得1项认证得</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分，最高得</w:t>
            </w:r>
            <w:r>
              <w:rPr>
                <w:rFonts w:hint="eastAsia" w:ascii="宋体" w:hAnsi="宋体" w:eastAsia="宋体" w:cs="宋体"/>
                <w:snapToGrid w:val="0"/>
                <w:color w:val="auto"/>
                <w:kern w:val="0"/>
                <w:sz w:val="21"/>
                <w:szCs w:val="21"/>
                <w:highlight w:val="none"/>
                <w:lang w:val="en-US" w:eastAsia="zh-CN"/>
              </w:rPr>
              <w:t>9</w:t>
            </w:r>
            <w:r>
              <w:rPr>
                <w:rFonts w:hint="eastAsia" w:ascii="宋体" w:hAnsi="宋体" w:eastAsia="宋体" w:cs="宋体"/>
                <w:snapToGrid w:val="0"/>
                <w:color w:val="auto"/>
                <w:kern w:val="0"/>
                <w:sz w:val="21"/>
                <w:szCs w:val="21"/>
                <w:highlight w:val="none"/>
              </w:rPr>
              <w:t>分。</w:t>
            </w:r>
          </w:p>
          <w:p w14:paraId="611A2D35">
            <w:pPr>
              <w:pStyle w:val="6"/>
              <w:keepNext w:val="0"/>
              <w:keepLines w:val="0"/>
              <w:pageBreakBefore w:val="0"/>
              <w:widowControl w:val="0"/>
              <w:kinsoku/>
              <w:wordWrap w:val="0"/>
              <w:overflowPunct/>
              <w:topLinePunct w:val="0"/>
              <w:autoSpaceDE/>
              <w:autoSpaceDN/>
              <w:bidi w:val="0"/>
              <w:adjustRightInd/>
              <w:snapToGrid/>
              <w:spacing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2．未获得以上认证的，不予计分。</w:t>
            </w:r>
          </w:p>
        </w:tc>
        <w:tc>
          <w:tcPr>
            <w:tcW w:w="5186" w:type="dxa"/>
            <w:tcBorders>
              <w:tl2br w:val="nil"/>
              <w:tr2bl w:val="nil"/>
            </w:tcBorders>
            <w:noWrap w:val="0"/>
            <w:vAlign w:val="center"/>
          </w:tcPr>
          <w:p w14:paraId="4CE3878D">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1．需附在有效期内的认证证书</w:t>
            </w:r>
            <w:r>
              <w:rPr>
                <w:rFonts w:hint="eastAsia" w:ascii="宋体" w:hAnsi="宋体" w:eastAsia="宋体" w:cs="宋体"/>
                <w:snapToGrid w:val="0"/>
                <w:color w:val="auto"/>
                <w:kern w:val="0"/>
                <w:sz w:val="21"/>
                <w:szCs w:val="21"/>
                <w:highlight w:val="none"/>
                <w:lang w:eastAsia="zh-CN"/>
              </w:rPr>
              <w:t>扫描件，</w:t>
            </w:r>
            <w:r>
              <w:rPr>
                <w:rFonts w:hint="eastAsia" w:ascii="宋体" w:hAnsi="宋体" w:eastAsia="宋体" w:cs="宋体"/>
                <w:b/>
                <w:bCs/>
                <w:snapToGrid w:val="0"/>
                <w:color w:val="auto"/>
                <w:kern w:val="0"/>
                <w:sz w:val="21"/>
                <w:szCs w:val="21"/>
                <w:highlight w:val="none"/>
                <w:lang w:val="en-US" w:eastAsia="zh-CN"/>
              </w:rPr>
              <w:t>同时提供原件核对（证书为电子证书的除外）</w:t>
            </w:r>
            <w:r>
              <w:rPr>
                <w:rFonts w:hint="eastAsia" w:ascii="宋体" w:hAnsi="宋体" w:eastAsia="宋体" w:cs="宋体"/>
                <w:snapToGrid w:val="0"/>
                <w:color w:val="auto"/>
                <w:kern w:val="0"/>
                <w:sz w:val="21"/>
                <w:szCs w:val="21"/>
                <w:highlight w:val="none"/>
                <w:lang w:val="en-US" w:eastAsia="zh-CN"/>
              </w:rPr>
              <w:t>。</w:t>
            </w:r>
          </w:p>
          <w:p w14:paraId="4691F736">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2．任一认证证书有以下情形之一的，该认证证书视为无效，不予计分：</w:t>
            </w:r>
          </w:p>
          <w:p w14:paraId="12CAA826">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①认证证书不在有效期内的。</w:t>
            </w:r>
          </w:p>
          <w:p w14:paraId="2283EF5E">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②</w:t>
            </w:r>
            <w:r>
              <w:rPr>
                <w:rFonts w:hint="eastAsia" w:ascii="宋体" w:hAnsi="宋体" w:eastAsia="宋体" w:cs="宋体"/>
                <w:snapToGrid w:val="0"/>
                <w:color w:val="auto"/>
                <w:kern w:val="0"/>
                <w:sz w:val="21"/>
                <w:szCs w:val="21"/>
                <w:highlight w:val="none"/>
                <w:lang w:val="en-US" w:eastAsia="zh-CN"/>
              </w:rPr>
              <w:t>未提供</w:t>
            </w:r>
            <w:r>
              <w:rPr>
                <w:rFonts w:hint="eastAsia" w:ascii="宋体" w:hAnsi="宋体" w:eastAsia="宋体" w:cs="宋体"/>
                <w:snapToGrid w:val="0"/>
                <w:color w:val="auto"/>
                <w:kern w:val="0"/>
                <w:sz w:val="21"/>
                <w:szCs w:val="21"/>
                <w:highlight w:val="none"/>
              </w:rPr>
              <w:t>认证证书</w:t>
            </w:r>
            <w:r>
              <w:rPr>
                <w:rFonts w:hint="eastAsia" w:ascii="宋体" w:hAnsi="宋体" w:eastAsia="宋体" w:cs="宋体"/>
                <w:snapToGrid w:val="0"/>
                <w:color w:val="auto"/>
                <w:kern w:val="0"/>
                <w:sz w:val="21"/>
                <w:szCs w:val="21"/>
                <w:highlight w:val="none"/>
                <w:lang w:val="en-US" w:eastAsia="zh-CN"/>
              </w:rPr>
              <w:t>原件</w:t>
            </w:r>
            <w:r>
              <w:rPr>
                <w:rFonts w:hint="eastAsia" w:ascii="宋体" w:hAnsi="宋体" w:eastAsia="宋体" w:cs="宋体"/>
                <w:snapToGrid w:val="0"/>
                <w:color w:val="auto"/>
                <w:kern w:val="0"/>
                <w:sz w:val="21"/>
                <w:szCs w:val="21"/>
                <w:highlight w:val="none"/>
              </w:rPr>
              <w:t>的。</w:t>
            </w:r>
          </w:p>
          <w:p w14:paraId="04E7FB48">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eastAsia="宋体"/>
                <w:lang w:val="en-US" w:eastAsia="zh-CN"/>
              </w:rPr>
            </w:pPr>
            <w:r>
              <w:rPr>
                <w:rFonts w:hint="eastAsia" w:ascii="宋体" w:hAnsi="宋体" w:eastAsia="宋体" w:cs="宋体"/>
                <w:snapToGrid w:val="0"/>
                <w:color w:val="auto"/>
                <w:sz w:val="21"/>
                <w:szCs w:val="21"/>
                <w:highlight w:val="none"/>
                <w:lang w:val="en-US" w:eastAsia="zh-CN"/>
              </w:rPr>
              <w:t>3.以联合体形式投标的，由联合体成员的任意一方提供。</w:t>
            </w:r>
          </w:p>
        </w:tc>
      </w:tr>
      <w:tr w14:paraId="396C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5CE2E9FC">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bidi="ar"/>
              </w:rPr>
              <w:t>企业</w:t>
            </w:r>
          </w:p>
          <w:p w14:paraId="3042A1F1">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trike/>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bidi="ar"/>
              </w:rPr>
              <w:t>财务状况</w:t>
            </w:r>
          </w:p>
          <w:p w14:paraId="25208BC6">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lang w:bidi="ar"/>
              </w:rPr>
            </w:pPr>
            <w:r>
              <w:rPr>
                <w:rFonts w:hint="eastAsia" w:ascii="宋体" w:hAnsi="宋体" w:eastAsia="宋体" w:cs="宋体"/>
                <w:snapToGrid w:val="0"/>
                <w:color w:val="auto"/>
                <w:kern w:val="0"/>
                <w:sz w:val="21"/>
                <w:szCs w:val="21"/>
                <w:highlight w:val="none"/>
                <w:lang w:bidi="ar"/>
              </w:rPr>
              <w:t>（</w:t>
            </w:r>
            <w:r>
              <w:rPr>
                <w:rFonts w:hint="eastAsia" w:ascii="宋体" w:hAnsi="宋体" w:eastAsia="宋体" w:cs="宋体"/>
                <w:b w:val="0"/>
                <w:bCs w:val="0"/>
                <w:snapToGrid w:val="0"/>
                <w:color w:val="auto"/>
                <w:kern w:val="0"/>
                <w:sz w:val="21"/>
                <w:szCs w:val="21"/>
                <w:highlight w:val="none"/>
                <w:lang w:val="en-US" w:eastAsia="zh-CN" w:bidi="ar"/>
              </w:rPr>
              <w:t>6</w:t>
            </w:r>
            <w:r>
              <w:rPr>
                <w:rFonts w:hint="eastAsia" w:ascii="宋体" w:hAnsi="宋体" w:eastAsia="宋体" w:cs="宋体"/>
                <w:snapToGrid w:val="0"/>
                <w:color w:val="auto"/>
                <w:kern w:val="0"/>
                <w:sz w:val="21"/>
                <w:szCs w:val="21"/>
                <w:highlight w:val="none"/>
                <w:lang w:bidi="ar"/>
              </w:rPr>
              <w:t>分）</w:t>
            </w:r>
          </w:p>
        </w:tc>
        <w:tc>
          <w:tcPr>
            <w:tcW w:w="3268" w:type="dxa"/>
            <w:tcBorders>
              <w:tl2br w:val="nil"/>
              <w:tr2bl w:val="nil"/>
            </w:tcBorders>
            <w:noWrap w:val="0"/>
            <w:vAlign w:val="center"/>
          </w:tcPr>
          <w:p w14:paraId="08952B14">
            <w:pPr>
              <w:pStyle w:val="38"/>
              <w:keepNext w:val="0"/>
              <w:keepLines w:val="0"/>
              <w:pageBreakBefore w:val="0"/>
              <w:widowControl w:val="0"/>
              <w:kinsoku/>
              <w:wordWrap w:val="0"/>
              <w:overflowPunct/>
              <w:topLinePunct w:val="0"/>
              <w:autoSpaceDE/>
              <w:autoSpaceDN/>
              <w:bidi w:val="0"/>
              <w:adjustRightInd/>
              <w:snapToGrid/>
              <w:spacing w:line="360" w:lineRule="auto"/>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1.提供不少于</w:t>
            </w:r>
            <w:r>
              <w:rPr>
                <w:rFonts w:hint="eastAsia" w:ascii="宋体" w:hAnsi="宋体" w:eastAsia="宋体" w:cs="宋体"/>
                <w:snapToGrid w:val="0"/>
                <w:color w:val="auto"/>
                <w:kern w:val="0"/>
                <w:sz w:val="21"/>
                <w:szCs w:val="21"/>
                <w:highlight w:val="none"/>
                <w:u w:val="single"/>
                <w:lang w:val="en-US" w:eastAsia="zh-CN"/>
              </w:rPr>
              <w:t xml:space="preserve"> 150 </w:t>
            </w:r>
            <w:r>
              <w:rPr>
                <w:rFonts w:hint="eastAsia" w:ascii="宋体" w:hAnsi="宋体" w:eastAsia="宋体" w:cs="宋体"/>
                <w:snapToGrid w:val="0"/>
                <w:color w:val="auto"/>
                <w:kern w:val="0"/>
                <w:sz w:val="21"/>
                <w:szCs w:val="21"/>
                <w:highlight w:val="none"/>
                <w:lang w:val="en-US" w:eastAsia="zh-CN"/>
              </w:rPr>
              <w:t>万元银行授信证明的，得3分。</w:t>
            </w:r>
          </w:p>
          <w:p w14:paraId="3DE39666">
            <w:pPr>
              <w:pStyle w:val="38"/>
              <w:keepNext w:val="0"/>
              <w:keepLines w:val="0"/>
              <w:pageBreakBefore w:val="0"/>
              <w:widowControl w:val="0"/>
              <w:kinsoku/>
              <w:wordWrap w:val="0"/>
              <w:overflowPunct/>
              <w:topLinePunct w:val="0"/>
              <w:autoSpaceDE/>
              <w:autoSpaceDN/>
              <w:bidi w:val="0"/>
              <w:adjustRightInd/>
              <w:snapToGrid/>
              <w:spacing w:line="360" w:lineRule="auto"/>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val="en-US" w:eastAsia="zh-CN"/>
              </w:rPr>
              <w:t>2.提供投标人基本账户在本项目招标公告发布之日起至投标截止时间期间出现过至少连续3日不少于</w:t>
            </w:r>
            <w:r>
              <w:rPr>
                <w:rFonts w:hint="eastAsia" w:ascii="宋体" w:hAnsi="宋体" w:eastAsia="宋体" w:cs="宋体"/>
                <w:snapToGrid w:val="0"/>
                <w:color w:val="auto"/>
                <w:kern w:val="0"/>
                <w:sz w:val="21"/>
                <w:szCs w:val="21"/>
                <w:highlight w:val="none"/>
                <w:u w:val="single"/>
                <w:lang w:val="en-US" w:eastAsia="zh-CN"/>
              </w:rPr>
              <w:t xml:space="preserve"> 150 </w:t>
            </w:r>
            <w:r>
              <w:rPr>
                <w:rFonts w:hint="eastAsia" w:ascii="宋体" w:hAnsi="宋体" w:eastAsia="宋体" w:cs="宋体"/>
                <w:snapToGrid w:val="0"/>
                <w:color w:val="auto"/>
                <w:kern w:val="0"/>
                <w:sz w:val="21"/>
                <w:szCs w:val="21"/>
                <w:highlight w:val="none"/>
                <w:lang w:val="en-US" w:eastAsia="zh-CN"/>
              </w:rPr>
              <w:t>万元存款余额资金流水证明的，得3分。</w:t>
            </w:r>
          </w:p>
        </w:tc>
        <w:tc>
          <w:tcPr>
            <w:tcW w:w="5186" w:type="dxa"/>
            <w:tcBorders>
              <w:tl2br w:val="nil"/>
              <w:tr2bl w:val="nil"/>
            </w:tcBorders>
            <w:noWrap w:val="0"/>
            <w:vAlign w:val="center"/>
          </w:tcPr>
          <w:p w14:paraId="04194A15">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1．需附在有效期内的有关证明扫描件。</w:t>
            </w:r>
          </w:p>
          <w:p w14:paraId="3A220E76">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val="en-US" w:eastAsia="zh-CN"/>
              </w:rPr>
              <w:t>2．银行授信证明有以下情形之一的，视为无效，不予计分</w:t>
            </w:r>
            <w:r>
              <w:rPr>
                <w:rFonts w:hint="eastAsia" w:ascii="宋体" w:hAnsi="宋体" w:eastAsia="宋体" w:cs="宋体"/>
                <w:snapToGrid w:val="0"/>
                <w:color w:val="auto"/>
                <w:kern w:val="0"/>
                <w:sz w:val="21"/>
                <w:szCs w:val="21"/>
                <w:highlight w:val="none"/>
                <w:lang w:eastAsia="zh-CN"/>
              </w:rPr>
              <w:t>：</w:t>
            </w:r>
          </w:p>
          <w:p w14:paraId="3372F856">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①授信证明不在有效期内的；</w:t>
            </w:r>
          </w:p>
          <w:p w14:paraId="57456E97">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②授信额度不符合要求的；</w:t>
            </w:r>
          </w:p>
          <w:p w14:paraId="5F492DC6">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3.存款余额资金流水证明有以下情形之一的，视为无效，不予计分。</w:t>
            </w:r>
          </w:p>
          <w:p w14:paraId="22150950">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①存款账户不是基本账户的；</w:t>
            </w:r>
          </w:p>
          <w:p w14:paraId="03EBE00F">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②存款时间不符合要求的；</w:t>
            </w:r>
          </w:p>
          <w:p w14:paraId="79427A3A">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③存款额度不符合要求的。</w:t>
            </w:r>
          </w:p>
          <w:p w14:paraId="7AD7B75C">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lang w:val="en-US"/>
              </w:rPr>
            </w:pPr>
            <w:r>
              <w:rPr>
                <w:rFonts w:hint="eastAsia" w:ascii="宋体" w:hAnsi="宋体" w:eastAsia="宋体" w:cs="宋体"/>
                <w:snapToGrid w:val="0"/>
                <w:color w:val="auto"/>
                <w:sz w:val="21"/>
                <w:szCs w:val="21"/>
                <w:highlight w:val="none"/>
                <w:lang w:val="en-US" w:eastAsia="zh-CN"/>
              </w:rPr>
              <w:t>4.以联合体形式投标的，由联合体成员的任意一方提供。</w:t>
            </w:r>
          </w:p>
        </w:tc>
      </w:tr>
      <w:tr w14:paraId="7A7C7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Merge w:val="restart"/>
            <w:tcBorders>
              <w:tl2br w:val="nil"/>
              <w:tr2bl w:val="nil"/>
            </w:tcBorders>
            <w:noWrap w:val="0"/>
            <w:vAlign w:val="center"/>
          </w:tcPr>
          <w:p w14:paraId="51B0BDE3">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招标人自选项（</w:t>
            </w:r>
            <w:r>
              <w:rPr>
                <w:rFonts w:hint="eastAsia" w:ascii="宋体" w:hAnsi="宋体" w:cs="宋体"/>
                <w:snapToGrid w:val="0"/>
                <w:color w:val="auto"/>
                <w:kern w:val="0"/>
                <w:sz w:val="21"/>
                <w:szCs w:val="21"/>
                <w:highlight w:val="none"/>
                <w:lang w:val="en-US" w:eastAsia="zh-CN"/>
              </w:rPr>
              <w:t>30</w:t>
            </w:r>
            <w:r>
              <w:rPr>
                <w:rFonts w:hint="eastAsia" w:ascii="宋体" w:hAnsi="宋体" w:eastAsia="宋体" w:cs="宋体"/>
                <w:snapToGrid w:val="0"/>
                <w:color w:val="auto"/>
                <w:kern w:val="0"/>
                <w:sz w:val="21"/>
                <w:szCs w:val="21"/>
                <w:highlight w:val="none"/>
              </w:rPr>
              <w:t>分）</w:t>
            </w:r>
          </w:p>
          <w:p w14:paraId="4E8EFE3F">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p>
        </w:tc>
        <w:tc>
          <w:tcPr>
            <w:tcW w:w="3268" w:type="dxa"/>
            <w:tcBorders>
              <w:tl2br w:val="nil"/>
              <w:tr2bl w:val="nil"/>
            </w:tcBorders>
            <w:noWrap w:val="0"/>
            <w:vAlign w:val="center"/>
          </w:tcPr>
          <w:p w14:paraId="2D029B74">
            <w:pPr>
              <w:pStyle w:val="4"/>
              <w:keepNext w:val="0"/>
              <w:keepLines w:val="0"/>
              <w:pageBreakBefore w:val="0"/>
              <w:kinsoku/>
              <w:overflowPunct/>
              <w:topLinePunct w:val="0"/>
              <w:autoSpaceDE/>
              <w:autoSpaceDN/>
              <w:bidi w:val="0"/>
              <w:spacing w:line="360" w:lineRule="auto"/>
              <w:jc w:val="both"/>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1．投标人从</w:t>
            </w:r>
            <w:r>
              <w:rPr>
                <w:rFonts w:hint="eastAsia" w:ascii="宋体" w:hAnsi="宋体" w:eastAsia="宋体" w:cs="宋体"/>
                <w:snapToGrid w:val="0"/>
                <w:color w:val="auto"/>
                <w:sz w:val="21"/>
                <w:szCs w:val="21"/>
                <w:highlight w:val="none"/>
                <w:lang w:eastAsia="zh-CN"/>
              </w:rPr>
              <w:t>20</w:t>
            </w:r>
            <w:r>
              <w:rPr>
                <w:rFonts w:hint="eastAsia" w:ascii="宋体" w:hAnsi="宋体" w:eastAsia="宋体" w:cs="宋体"/>
                <w:snapToGrid w:val="0"/>
                <w:color w:val="auto"/>
                <w:sz w:val="21"/>
                <w:szCs w:val="21"/>
                <w:highlight w:val="none"/>
                <w:lang w:val="en-US" w:eastAsia="zh-CN"/>
              </w:rPr>
              <w:t>22</w:t>
            </w:r>
            <w:r>
              <w:rPr>
                <w:rFonts w:hint="eastAsia" w:ascii="宋体" w:hAnsi="宋体" w:eastAsia="宋体" w:cs="宋体"/>
                <w:snapToGrid w:val="0"/>
                <w:color w:val="auto"/>
                <w:sz w:val="21"/>
                <w:szCs w:val="21"/>
                <w:highlight w:val="none"/>
                <w:lang w:eastAsia="zh-CN"/>
              </w:rPr>
              <w:t>年1月1日</w:t>
            </w:r>
            <w:r>
              <w:rPr>
                <w:rFonts w:hint="eastAsia" w:ascii="宋体" w:hAnsi="宋体" w:eastAsia="宋体" w:cs="宋体"/>
                <w:snapToGrid w:val="0"/>
                <w:color w:val="auto"/>
                <w:sz w:val="21"/>
                <w:szCs w:val="21"/>
                <w:highlight w:val="none"/>
              </w:rPr>
              <w:t>至今获得</w:t>
            </w:r>
            <w:r>
              <w:rPr>
                <w:rFonts w:hint="eastAsia" w:ascii="宋体" w:hAnsi="宋体" w:eastAsia="宋体" w:cs="宋体"/>
                <w:snapToGrid w:val="0"/>
                <w:color w:val="auto"/>
                <w:sz w:val="21"/>
                <w:szCs w:val="21"/>
                <w:highlight w:val="none"/>
                <w:lang w:val="en-US" w:eastAsia="zh-CN"/>
              </w:rPr>
              <w:t>过省级或以上商业联合会颁发的诚信兴商企业证书的</w:t>
            </w:r>
            <w:r>
              <w:rPr>
                <w:rFonts w:hint="eastAsia" w:ascii="宋体" w:hAnsi="宋体" w:eastAsia="宋体" w:cs="宋体"/>
                <w:snapToGrid w:val="0"/>
                <w:color w:val="auto"/>
                <w:sz w:val="21"/>
                <w:szCs w:val="21"/>
                <w:highlight w:val="none"/>
              </w:rPr>
              <w:t>得</w:t>
            </w:r>
            <w:r>
              <w:rPr>
                <w:rFonts w:hint="eastAsia"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 xml:space="preserve">分。  </w:t>
            </w:r>
          </w:p>
          <w:p w14:paraId="69C2E37A">
            <w:pPr>
              <w:pStyle w:val="6"/>
              <w:keepNext w:val="0"/>
              <w:keepLines w:val="0"/>
              <w:pageBreakBefore w:val="0"/>
              <w:kinsoku/>
              <w:overflowPunct/>
              <w:topLinePunct w:val="0"/>
              <w:autoSpaceDE/>
              <w:autoSpaceDN/>
              <w:bidi w:val="0"/>
              <w:spacing w:line="360" w:lineRule="auto"/>
              <w:rPr>
                <w:rFonts w:hint="eastAsia" w:ascii="宋体" w:hAnsi="宋体" w:eastAsia="宋体" w:cs="宋体"/>
                <w:snapToGrid w:val="0"/>
                <w:color w:val="auto"/>
                <w:kern w:val="2"/>
                <w:sz w:val="21"/>
                <w:szCs w:val="21"/>
                <w:highlight w:val="none"/>
                <w:lang w:val="en-US" w:eastAsia="zh-CN" w:bidi="ar-SA"/>
              </w:rPr>
            </w:pPr>
            <w:r>
              <w:rPr>
                <w:rFonts w:hint="eastAsia" w:ascii="宋体" w:hAnsi="宋体" w:eastAsia="宋体" w:cs="宋体"/>
                <w:snapToGrid w:val="0"/>
                <w:color w:val="auto"/>
                <w:sz w:val="21"/>
                <w:szCs w:val="21"/>
                <w:highlight w:val="none"/>
              </w:rPr>
              <w:t>2．其他情形的，不予计分。</w:t>
            </w:r>
          </w:p>
        </w:tc>
        <w:tc>
          <w:tcPr>
            <w:tcW w:w="5186" w:type="dxa"/>
            <w:tcBorders>
              <w:tl2br w:val="nil"/>
              <w:tr2bl w:val="nil"/>
            </w:tcBorders>
            <w:noWrap w:val="0"/>
            <w:vAlign w:val="center"/>
          </w:tcPr>
          <w:p w14:paraId="73B08943">
            <w:pPr>
              <w:pStyle w:val="5"/>
              <w:keepNext w:val="0"/>
              <w:keepLines w:val="0"/>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1．提供证书彩色扫描件，</w:t>
            </w:r>
            <w:r>
              <w:rPr>
                <w:rFonts w:hint="eastAsia" w:ascii="宋体" w:hAnsi="宋体" w:eastAsia="宋体" w:cs="宋体"/>
                <w:b/>
                <w:bCs/>
                <w:snapToGrid w:val="0"/>
                <w:color w:val="auto"/>
                <w:kern w:val="0"/>
                <w:sz w:val="21"/>
                <w:szCs w:val="21"/>
                <w:highlight w:val="none"/>
              </w:rPr>
              <w:t>同时提供原件供核对</w:t>
            </w:r>
            <w:r>
              <w:rPr>
                <w:rFonts w:hint="eastAsia" w:ascii="宋体" w:hAnsi="宋体" w:eastAsia="宋体" w:cs="宋体"/>
                <w:snapToGrid w:val="0"/>
                <w:color w:val="auto"/>
                <w:kern w:val="0"/>
                <w:sz w:val="21"/>
                <w:szCs w:val="21"/>
                <w:highlight w:val="none"/>
              </w:rPr>
              <w:t>。</w:t>
            </w:r>
          </w:p>
          <w:p w14:paraId="73728BE0">
            <w:pPr>
              <w:pStyle w:val="5"/>
              <w:keepNext w:val="0"/>
              <w:keepLines w:val="0"/>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2．证书须由</w:t>
            </w:r>
            <w:r>
              <w:rPr>
                <w:rFonts w:hint="eastAsia" w:ascii="宋体" w:hAnsi="宋体" w:eastAsia="宋体" w:cs="宋体"/>
                <w:snapToGrid w:val="0"/>
                <w:color w:val="auto"/>
                <w:kern w:val="0"/>
                <w:sz w:val="21"/>
                <w:szCs w:val="21"/>
                <w:highlight w:val="none"/>
                <w:lang w:val="en-US" w:eastAsia="zh-CN"/>
              </w:rPr>
              <w:t>省级或以上商业联合会颁发</w:t>
            </w:r>
            <w:r>
              <w:rPr>
                <w:rFonts w:hint="eastAsia" w:ascii="宋体" w:hAnsi="宋体" w:eastAsia="宋体" w:cs="宋体"/>
                <w:snapToGrid w:val="0"/>
                <w:color w:val="auto"/>
                <w:kern w:val="0"/>
                <w:sz w:val="21"/>
                <w:szCs w:val="21"/>
                <w:highlight w:val="none"/>
              </w:rPr>
              <w:t>。</w:t>
            </w:r>
          </w:p>
          <w:p w14:paraId="155CAD70">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3．未提供原件的；颁发机构、获奖时间不符合评分标准和备注规定的，不予得分。</w:t>
            </w:r>
          </w:p>
          <w:p w14:paraId="020EE20A">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eastAsia="宋体"/>
                <w:lang w:val="en-US" w:eastAsia="zh-CN"/>
              </w:rPr>
            </w:pPr>
            <w:r>
              <w:rPr>
                <w:rFonts w:hint="eastAsia" w:ascii="宋体" w:hAnsi="宋体" w:eastAsia="宋体" w:cs="宋体"/>
                <w:snapToGrid w:val="0"/>
                <w:color w:val="auto"/>
                <w:sz w:val="21"/>
                <w:szCs w:val="21"/>
                <w:highlight w:val="none"/>
                <w:lang w:val="en-US" w:eastAsia="zh-CN"/>
              </w:rPr>
              <w:t>4.以联合体形式投标的，由联合体成员的任意一方提供。</w:t>
            </w:r>
          </w:p>
        </w:tc>
      </w:tr>
      <w:tr w14:paraId="5054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Merge w:val="continue"/>
            <w:tcBorders>
              <w:tl2br w:val="nil"/>
              <w:tr2bl w:val="nil"/>
            </w:tcBorders>
            <w:noWrap w:val="0"/>
            <w:vAlign w:val="center"/>
          </w:tcPr>
          <w:p w14:paraId="0738A240">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p>
        </w:tc>
        <w:tc>
          <w:tcPr>
            <w:tcW w:w="3268" w:type="dxa"/>
            <w:tcBorders>
              <w:tl2br w:val="nil"/>
              <w:tr2bl w:val="nil"/>
            </w:tcBorders>
            <w:noWrap w:val="0"/>
            <w:vAlign w:val="center"/>
          </w:tcPr>
          <w:p w14:paraId="302F197C">
            <w:pPr>
              <w:pStyle w:val="38"/>
              <w:keepNext w:val="0"/>
              <w:keepLines w:val="0"/>
              <w:pageBreakBefore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lang w:val="en-US" w:eastAsia="zh-CN" w:bidi="ar-SA"/>
              </w:rPr>
              <w:t>1.</w:t>
            </w:r>
            <w:r>
              <w:rPr>
                <w:rFonts w:hint="eastAsia" w:ascii="宋体" w:hAnsi="宋体" w:eastAsia="宋体" w:cs="宋体"/>
                <w:snapToGrid w:val="0"/>
                <w:color w:val="auto"/>
                <w:kern w:val="0"/>
                <w:sz w:val="21"/>
                <w:szCs w:val="21"/>
                <w:highlight w:val="none"/>
                <w:lang w:val="en-US" w:eastAsia="zh-CN"/>
              </w:rPr>
              <w:t>投标人具有有效的服务体系认证：</w:t>
            </w:r>
          </w:p>
          <w:p w14:paraId="3AE70E6C">
            <w:pPr>
              <w:pStyle w:val="38"/>
              <w:keepNext w:val="0"/>
              <w:keepLines w:val="0"/>
              <w:pageBreakBefore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①履约能力评价体系认证证书；</w:t>
            </w:r>
          </w:p>
          <w:p w14:paraId="108856EA">
            <w:pPr>
              <w:pStyle w:val="38"/>
              <w:keepNext w:val="0"/>
              <w:keepLines w:val="0"/>
              <w:pageBreakBefore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②工程施工现场监管信息系统体系认证证书；</w:t>
            </w:r>
          </w:p>
          <w:p w14:paraId="581CBF3B">
            <w:pPr>
              <w:pStyle w:val="38"/>
              <w:keepNext w:val="0"/>
              <w:keepLines w:val="0"/>
              <w:pageBreakBefore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③建筑工程合同管理规范认证证书；</w:t>
            </w:r>
          </w:p>
          <w:p w14:paraId="216ABBA9">
            <w:pPr>
              <w:pStyle w:val="38"/>
              <w:keepNext w:val="0"/>
              <w:keepLines w:val="0"/>
              <w:pageBreakBefore w:val="0"/>
              <w:numPr>
                <w:ilvl w:val="0"/>
                <w:numId w:val="0"/>
              </w:numPr>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eastAsia="zh-CN"/>
              </w:rPr>
              <w:t>④售后服务认证</w:t>
            </w:r>
            <w:r>
              <w:rPr>
                <w:rFonts w:hint="eastAsia" w:ascii="宋体" w:hAnsi="宋体" w:eastAsia="宋体" w:cs="宋体"/>
                <w:snapToGrid w:val="0"/>
                <w:color w:val="auto"/>
                <w:kern w:val="0"/>
                <w:sz w:val="21"/>
                <w:szCs w:val="21"/>
                <w:highlight w:val="none"/>
              </w:rPr>
              <w:t>证书</w:t>
            </w:r>
            <w:r>
              <w:rPr>
                <w:rFonts w:hint="eastAsia" w:ascii="宋体" w:hAnsi="宋体" w:eastAsia="宋体" w:cs="宋体"/>
                <w:snapToGrid w:val="0"/>
                <w:color w:val="auto"/>
                <w:kern w:val="0"/>
                <w:sz w:val="21"/>
                <w:szCs w:val="21"/>
                <w:highlight w:val="none"/>
                <w:lang w:val="en-US" w:eastAsia="zh-CN"/>
              </w:rPr>
              <w:t>。</w:t>
            </w:r>
          </w:p>
          <w:p w14:paraId="21CDA589">
            <w:pPr>
              <w:pStyle w:val="38"/>
              <w:keepNext w:val="0"/>
              <w:keepLines w:val="0"/>
              <w:pageBreakBefore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kern w:val="0"/>
                <w:sz w:val="21"/>
                <w:szCs w:val="21"/>
                <w:highlight w:val="none"/>
                <w:lang w:val="en-US" w:eastAsia="zh-CN" w:bidi="ar-SA"/>
              </w:rPr>
              <w:t>全部具备得5分，每缺少1项扣1分。</w:t>
            </w:r>
          </w:p>
        </w:tc>
        <w:tc>
          <w:tcPr>
            <w:tcW w:w="5186" w:type="dxa"/>
            <w:tcBorders>
              <w:tl2br w:val="nil"/>
              <w:tr2bl w:val="nil"/>
            </w:tcBorders>
            <w:noWrap w:val="0"/>
            <w:vAlign w:val="center"/>
          </w:tcPr>
          <w:p w14:paraId="040E9B3E">
            <w:pPr>
              <w:pStyle w:val="38"/>
              <w:keepNext w:val="0"/>
              <w:keepLines w:val="0"/>
              <w:pageBreakBefore w:val="0"/>
              <w:kinsoku/>
              <w:wordWrap w:val="0"/>
              <w:overflowPunct/>
              <w:topLinePunct w:val="0"/>
              <w:autoSpaceDE/>
              <w:autoSpaceDN/>
              <w:bidi w:val="0"/>
              <w:adjustRightInd w:val="0"/>
              <w:snapToGrid w:val="0"/>
              <w:spacing w:line="360" w:lineRule="auto"/>
              <w:jc w:val="left"/>
              <w:textAlignment w:val="auto"/>
              <w:rPr>
                <w:rFonts w:hint="eastAsia" w:ascii="宋体" w:hAnsi="宋体" w:eastAsia="宋体" w:cs="宋体"/>
                <w:b/>
                <w:bCs/>
                <w:snapToGrid w:val="0"/>
                <w:color w:val="auto"/>
                <w:kern w:val="0"/>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snapToGrid w:val="0"/>
                <w:color w:val="auto"/>
                <w:kern w:val="0"/>
                <w:sz w:val="21"/>
                <w:szCs w:val="21"/>
                <w:highlight w:val="none"/>
              </w:rPr>
              <w:t>需附在有效期内的认证证书</w:t>
            </w:r>
            <w:r>
              <w:rPr>
                <w:rFonts w:hint="eastAsia" w:ascii="宋体" w:hAnsi="宋体" w:eastAsia="宋体" w:cs="宋体"/>
                <w:b w:val="0"/>
                <w:bCs w:val="0"/>
                <w:snapToGrid w:val="0"/>
                <w:color w:val="auto"/>
                <w:kern w:val="0"/>
                <w:sz w:val="21"/>
                <w:szCs w:val="21"/>
                <w:highlight w:val="none"/>
                <w:lang w:val="en-US" w:eastAsia="zh-CN"/>
              </w:rPr>
              <w:t>扫描</w:t>
            </w:r>
            <w:r>
              <w:rPr>
                <w:rFonts w:hint="eastAsia" w:ascii="宋体" w:hAnsi="宋体" w:eastAsia="宋体" w:cs="宋体"/>
                <w:b w:val="0"/>
                <w:bCs w:val="0"/>
                <w:snapToGrid w:val="0"/>
                <w:color w:val="auto"/>
                <w:kern w:val="0"/>
                <w:sz w:val="21"/>
                <w:szCs w:val="21"/>
                <w:highlight w:val="none"/>
              </w:rPr>
              <w:t>件</w:t>
            </w:r>
            <w:r>
              <w:rPr>
                <w:rFonts w:hint="eastAsia" w:ascii="宋体" w:hAnsi="宋体" w:eastAsia="宋体" w:cs="宋体"/>
                <w:b w:val="0"/>
                <w:bCs w:val="0"/>
                <w:snapToGrid w:val="0"/>
                <w:color w:val="auto"/>
                <w:sz w:val="21"/>
                <w:szCs w:val="21"/>
                <w:highlight w:val="none"/>
              </w:rPr>
              <w:t>及“全国认证认可信息公共服务平台”（网址：http://cx.cnca.cn/）网页查询截图或打印件</w:t>
            </w:r>
            <w:r>
              <w:rPr>
                <w:rFonts w:hint="eastAsia" w:ascii="宋体" w:hAnsi="宋体" w:eastAsia="宋体" w:cs="宋体"/>
                <w:b w:val="0"/>
                <w:bCs w:val="0"/>
                <w:color w:val="auto"/>
                <w:sz w:val="21"/>
                <w:szCs w:val="21"/>
                <w:highlight w:val="none"/>
              </w:rPr>
              <w:t>。</w:t>
            </w:r>
            <w:r>
              <w:rPr>
                <w:rFonts w:hint="eastAsia" w:ascii="宋体" w:hAnsi="宋体" w:eastAsia="宋体" w:cs="宋体"/>
                <w:b/>
                <w:bCs/>
                <w:snapToGrid w:val="0"/>
                <w:color w:val="auto"/>
                <w:kern w:val="0"/>
                <w:sz w:val="21"/>
                <w:szCs w:val="21"/>
                <w:highlight w:val="none"/>
              </w:rPr>
              <w:t>同时提供原件核对。</w:t>
            </w:r>
          </w:p>
          <w:p w14:paraId="0C2D060F">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360" w:lineRule="auto"/>
              <w:jc w:val="both"/>
              <w:textAlignment w:val="auto"/>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.认证证书有以下情形之一的，该认证证书视为无效，不予计分：</w:t>
            </w:r>
          </w:p>
          <w:p w14:paraId="584CC538">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①已获得证书但证书被“撤销、注销”的，不予计分；</w:t>
            </w:r>
          </w:p>
          <w:p w14:paraId="3F5DE845">
            <w:pPr>
              <w:pStyle w:val="1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spacing w:before="0" w:beforeAutospacing="0" w:after="0" w:afterAutospacing="0"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②认证证书不在有效期内的</w:t>
            </w:r>
            <w:r>
              <w:rPr>
                <w:rFonts w:hint="eastAsia" w:ascii="宋体" w:hAnsi="宋体" w:eastAsia="宋体" w:cs="宋体"/>
                <w:color w:val="auto"/>
                <w:sz w:val="21"/>
                <w:szCs w:val="21"/>
                <w:highlight w:val="none"/>
                <w:lang w:eastAsia="zh-CN"/>
              </w:rPr>
              <w:t>。</w:t>
            </w:r>
          </w:p>
          <w:p w14:paraId="7267DC66">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ascii="宋体" w:hAnsi="宋体" w:eastAsia="宋体" w:cs="宋体"/>
                <w:color w:val="auto"/>
                <w:szCs w:val="21"/>
                <w:highlight w:val="none"/>
                <w:lang w:val="en-US" w:eastAsia="zh-CN"/>
              </w:rPr>
            </w:pPr>
            <w:r>
              <w:rPr>
                <w:rFonts w:hint="eastAsia" w:ascii="宋体" w:hAnsi="宋体" w:eastAsia="宋体" w:cs="宋体"/>
                <w:snapToGrid w:val="0"/>
                <w:color w:val="auto"/>
                <w:sz w:val="21"/>
                <w:szCs w:val="21"/>
                <w:highlight w:val="none"/>
                <w:lang w:val="en-US" w:eastAsia="zh-CN"/>
              </w:rPr>
              <w:t>3.以联合体形式投标的，由联合体成员的任意一方提供。</w:t>
            </w:r>
          </w:p>
        </w:tc>
      </w:tr>
      <w:tr w14:paraId="528E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Merge w:val="continue"/>
            <w:tcBorders>
              <w:tl2br w:val="nil"/>
              <w:tr2bl w:val="nil"/>
            </w:tcBorders>
            <w:noWrap w:val="0"/>
            <w:vAlign w:val="center"/>
          </w:tcPr>
          <w:p w14:paraId="338982A5">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p>
        </w:tc>
        <w:tc>
          <w:tcPr>
            <w:tcW w:w="3268" w:type="dxa"/>
            <w:tcBorders>
              <w:tl2br w:val="nil"/>
              <w:tr2bl w:val="nil"/>
            </w:tcBorders>
            <w:noWrap w:val="0"/>
            <w:vAlign w:val="center"/>
          </w:tcPr>
          <w:p w14:paraId="304DA379">
            <w:pPr>
              <w:pStyle w:val="5"/>
              <w:keepNext w:val="0"/>
              <w:keepLines w:val="0"/>
              <w:pageBreakBefore w:val="0"/>
              <w:widowControl/>
              <w:shd w:val="clear" w:color="auto" w:fill="auto"/>
              <w:kinsoku/>
              <w:wordWrap w:val="0"/>
              <w:overflowPunct/>
              <w:topLinePunct w:val="0"/>
              <w:autoSpaceDE/>
              <w:autoSpaceDN/>
              <w:bidi w:val="0"/>
              <w:adjustRightInd w:val="0"/>
              <w:snapToGrid w:val="0"/>
              <w:spacing w:after="0" w:line="360" w:lineRule="auto"/>
              <w:rPr>
                <w:rFonts w:hint="eastAsia" w:ascii="宋体" w:hAnsi="宋体" w:eastAsia="宋体" w:cs="宋体"/>
                <w:b w:val="0"/>
                <w:bCs w:val="0"/>
                <w:snapToGrid w:val="0"/>
                <w:color w:val="auto"/>
                <w:kern w:val="0"/>
                <w:sz w:val="21"/>
                <w:szCs w:val="21"/>
                <w:highlight w:val="none"/>
                <w:lang w:val="en-US" w:eastAsia="zh-CN"/>
              </w:rPr>
            </w:pPr>
            <w:r>
              <w:rPr>
                <w:rFonts w:hint="eastAsia" w:ascii="宋体" w:hAnsi="宋体" w:eastAsia="宋体" w:cs="宋体"/>
                <w:b w:val="0"/>
                <w:bCs w:val="0"/>
                <w:snapToGrid w:val="0"/>
                <w:color w:val="auto"/>
                <w:kern w:val="0"/>
                <w:sz w:val="21"/>
                <w:szCs w:val="21"/>
                <w:highlight w:val="none"/>
                <w:lang w:val="en-US" w:eastAsia="zh-CN"/>
              </w:rPr>
              <w:t xml:space="preserve">1.企业近年来（2022年1月1日至今）获得过“中国建筑业协会”颁发的企业信用等级AAA级证书的得5分； </w:t>
            </w:r>
          </w:p>
          <w:p w14:paraId="7C7280D7">
            <w:pPr>
              <w:pStyle w:val="5"/>
              <w:keepNext w:val="0"/>
              <w:keepLines w:val="0"/>
              <w:pageBreakBefore w:val="0"/>
              <w:widowControl/>
              <w:shd w:val="clear" w:color="auto" w:fill="auto"/>
              <w:kinsoku/>
              <w:wordWrap w:val="0"/>
              <w:overflowPunct/>
              <w:topLinePunct w:val="0"/>
              <w:autoSpaceDE/>
              <w:autoSpaceDN/>
              <w:bidi w:val="0"/>
              <w:adjustRightInd w:val="0"/>
              <w:snapToGrid w:val="0"/>
              <w:spacing w:after="0" w:line="360" w:lineRule="auto"/>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snapToGrid w:val="0"/>
                <w:color w:val="auto"/>
                <w:kern w:val="0"/>
                <w:sz w:val="21"/>
                <w:szCs w:val="21"/>
                <w:highlight w:val="none"/>
                <w:lang w:val="en-US" w:eastAsia="zh-CN"/>
              </w:rPr>
              <w:t>2.其他情形的，不予计分。</w:t>
            </w:r>
          </w:p>
        </w:tc>
        <w:tc>
          <w:tcPr>
            <w:tcW w:w="5186" w:type="dxa"/>
            <w:tcBorders>
              <w:tl2br w:val="nil"/>
              <w:tr2bl w:val="nil"/>
            </w:tcBorders>
            <w:noWrap w:val="0"/>
            <w:vAlign w:val="center"/>
          </w:tcPr>
          <w:p w14:paraId="7D0E562A">
            <w:pPr>
              <w:pStyle w:val="5"/>
              <w:keepNext w:val="0"/>
              <w:keepLines w:val="0"/>
              <w:pageBreakBefore w:val="0"/>
              <w:widowControl/>
              <w:shd w:val="clear" w:color="auto" w:fill="auto"/>
              <w:kinsoku/>
              <w:wordWrap w:val="0"/>
              <w:overflowPunct/>
              <w:topLinePunct w:val="0"/>
              <w:autoSpaceDE/>
              <w:autoSpaceDN/>
              <w:bidi w:val="0"/>
              <w:adjustRightInd w:val="0"/>
              <w:snapToGrid w:val="0"/>
              <w:spacing w:after="0" w:line="360" w:lineRule="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lang w:val="en-US" w:eastAsia="zh-CN"/>
              </w:rPr>
              <w:t>1.</w:t>
            </w:r>
            <w:r>
              <w:rPr>
                <w:rFonts w:hint="eastAsia" w:ascii="宋体" w:hAnsi="宋体" w:eastAsia="宋体" w:cs="宋体"/>
                <w:b w:val="0"/>
                <w:bCs w:val="0"/>
                <w:snapToGrid w:val="0"/>
                <w:color w:val="auto"/>
                <w:kern w:val="0"/>
                <w:sz w:val="21"/>
                <w:szCs w:val="21"/>
                <w:highlight w:val="none"/>
              </w:rPr>
              <w:t>证书由</w:t>
            </w:r>
            <w:r>
              <w:rPr>
                <w:rFonts w:hint="eastAsia" w:ascii="宋体" w:hAnsi="宋体" w:eastAsia="宋体" w:cs="宋体"/>
                <w:b w:val="0"/>
                <w:bCs w:val="0"/>
                <w:caps w:val="0"/>
                <w:smallCaps w:val="0"/>
                <w:snapToGrid w:val="0"/>
                <w:color w:val="auto"/>
                <w:spacing w:val="0"/>
                <w:kern w:val="0"/>
                <w:sz w:val="21"/>
                <w:szCs w:val="21"/>
                <w:highlight w:val="none"/>
                <w:u w:val="none"/>
                <w:lang w:val="en-US" w:eastAsia="zh-CN"/>
              </w:rPr>
              <w:t>“中国建筑业协会”</w:t>
            </w:r>
            <w:r>
              <w:rPr>
                <w:rFonts w:hint="eastAsia" w:ascii="宋体" w:hAnsi="宋体" w:eastAsia="宋体" w:cs="宋体"/>
                <w:b w:val="0"/>
                <w:bCs w:val="0"/>
                <w:snapToGrid w:val="0"/>
                <w:color w:val="auto"/>
                <w:kern w:val="0"/>
                <w:sz w:val="21"/>
                <w:szCs w:val="21"/>
                <w:highlight w:val="none"/>
              </w:rPr>
              <w:t>颁发，须提供有关证书彩色扫描件，</w:t>
            </w:r>
            <w:r>
              <w:rPr>
                <w:rFonts w:hint="eastAsia" w:ascii="宋体" w:hAnsi="宋体" w:eastAsia="宋体" w:cs="宋体"/>
                <w:b/>
                <w:bCs/>
                <w:snapToGrid w:val="0"/>
                <w:color w:val="auto"/>
                <w:kern w:val="0"/>
                <w:sz w:val="21"/>
                <w:szCs w:val="21"/>
                <w:highlight w:val="none"/>
              </w:rPr>
              <w:t>同时提供原件核对。</w:t>
            </w:r>
          </w:p>
          <w:p w14:paraId="49265BFB">
            <w:pPr>
              <w:pStyle w:val="5"/>
              <w:keepNext w:val="0"/>
              <w:keepLines w:val="0"/>
              <w:pageBreakBefore w:val="0"/>
              <w:widowControl/>
              <w:shd w:val="clear" w:color="auto" w:fill="auto"/>
              <w:kinsoku/>
              <w:wordWrap w:val="0"/>
              <w:overflowPunct/>
              <w:topLinePunct w:val="0"/>
              <w:autoSpaceDE/>
              <w:autoSpaceDN/>
              <w:bidi w:val="0"/>
              <w:adjustRightInd w:val="0"/>
              <w:snapToGrid w:val="0"/>
              <w:spacing w:after="0" w:line="360" w:lineRule="auto"/>
              <w:rPr>
                <w:rFonts w:hint="eastAsia" w:ascii="宋体" w:hAnsi="宋体" w:eastAsia="宋体" w:cs="宋体"/>
                <w:b w:val="0"/>
                <w:bCs w:val="0"/>
                <w:snapToGrid w:val="0"/>
                <w:color w:val="auto"/>
                <w:kern w:val="0"/>
                <w:sz w:val="21"/>
                <w:szCs w:val="21"/>
                <w:highlight w:val="none"/>
              </w:rPr>
            </w:pPr>
            <w:r>
              <w:rPr>
                <w:rFonts w:hint="eastAsia" w:ascii="宋体" w:hAnsi="宋体" w:eastAsia="宋体" w:cs="宋体"/>
                <w:b w:val="0"/>
                <w:bCs w:val="0"/>
                <w:snapToGrid w:val="0"/>
                <w:color w:val="auto"/>
                <w:kern w:val="0"/>
                <w:sz w:val="21"/>
                <w:szCs w:val="21"/>
                <w:highlight w:val="none"/>
              </w:rPr>
              <w:t>2</w:t>
            </w:r>
            <w:r>
              <w:rPr>
                <w:rFonts w:hint="eastAsia" w:ascii="宋体" w:hAnsi="宋体" w:eastAsia="宋体" w:cs="宋体"/>
                <w:b w:val="0"/>
                <w:bCs w:val="0"/>
                <w:snapToGrid w:val="0"/>
                <w:color w:val="auto"/>
                <w:kern w:val="0"/>
                <w:sz w:val="21"/>
                <w:szCs w:val="21"/>
                <w:highlight w:val="none"/>
                <w:lang w:val="en-US" w:eastAsia="zh-CN"/>
              </w:rPr>
              <w:t>.</w:t>
            </w:r>
            <w:r>
              <w:rPr>
                <w:rFonts w:hint="eastAsia" w:ascii="宋体" w:hAnsi="宋体" w:eastAsia="宋体" w:cs="宋体"/>
                <w:b w:val="0"/>
                <w:bCs w:val="0"/>
                <w:snapToGrid w:val="0"/>
                <w:color w:val="auto"/>
                <w:kern w:val="0"/>
                <w:sz w:val="21"/>
                <w:szCs w:val="21"/>
                <w:highlight w:val="none"/>
              </w:rPr>
              <w:t>未提供原件的，颁发机构不符合要求的，按第 2 项标准处理。</w:t>
            </w:r>
          </w:p>
          <w:p w14:paraId="5F241E28">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eastAsia="宋体"/>
                <w:lang w:val="en-US" w:eastAsia="zh-CN"/>
              </w:rPr>
            </w:pPr>
            <w:r>
              <w:rPr>
                <w:rFonts w:hint="eastAsia" w:ascii="宋体" w:hAnsi="宋体" w:eastAsia="宋体" w:cs="宋体"/>
                <w:snapToGrid w:val="0"/>
                <w:color w:val="auto"/>
                <w:sz w:val="21"/>
                <w:szCs w:val="21"/>
                <w:highlight w:val="none"/>
                <w:lang w:val="en-US" w:eastAsia="zh-CN"/>
              </w:rPr>
              <w:t>3.以联合体形式投标的，由联合体成员的任意一方提供。</w:t>
            </w:r>
          </w:p>
        </w:tc>
      </w:tr>
      <w:tr w14:paraId="7059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Merge w:val="continue"/>
            <w:tcBorders>
              <w:tl2br w:val="nil"/>
              <w:tr2bl w:val="nil"/>
            </w:tcBorders>
            <w:noWrap w:val="0"/>
            <w:vAlign w:val="center"/>
          </w:tcPr>
          <w:p w14:paraId="350EAFF6">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p>
        </w:tc>
        <w:tc>
          <w:tcPr>
            <w:tcW w:w="3268" w:type="dxa"/>
            <w:tcBorders>
              <w:tl2br w:val="nil"/>
              <w:tr2bl w:val="nil"/>
            </w:tcBorders>
            <w:noWrap w:val="0"/>
            <w:vAlign w:val="center"/>
          </w:tcPr>
          <w:p w14:paraId="1E72C7C3">
            <w:pPr>
              <w:pStyle w:val="4"/>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企业连续</w:t>
            </w:r>
            <w:r>
              <w:rPr>
                <w:rFonts w:hint="eastAsia"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年或</w:t>
            </w:r>
            <w:r>
              <w:rPr>
                <w:rFonts w:hint="eastAsia"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年以上（含</w:t>
            </w:r>
            <w:r>
              <w:rPr>
                <w:rFonts w:hint="eastAsia" w:cs="宋体"/>
                <w:color w:val="auto"/>
                <w:kern w:val="0"/>
                <w:sz w:val="21"/>
                <w:szCs w:val="21"/>
                <w:highlight w:val="none"/>
                <w:u w:val="single"/>
                <w:lang w:val="en-US" w:eastAsia="zh-CN"/>
              </w:rPr>
              <w:t>6</w:t>
            </w:r>
            <w:r>
              <w:rPr>
                <w:rFonts w:hint="eastAsia" w:ascii="宋体" w:hAnsi="宋体" w:eastAsia="宋体" w:cs="宋体"/>
                <w:color w:val="auto"/>
                <w:kern w:val="0"/>
                <w:sz w:val="21"/>
                <w:szCs w:val="21"/>
                <w:highlight w:val="none"/>
              </w:rPr>
              <w:t>年）获得纳税信用A级纳税人的，得</w:t>
            </w:r>
            <w:r>
              <w:rPr>
                <w:rFonts w:hint="eastAsia" w:ascii="宋体" w:hAnsi="宋体" w:eastAsia="宋体" w:cs="宋体"/>
                <w:color w:val="auto"/>
                <w:kern w:val="0"/>
                <w:sz w:val="21"/>
                <w:szCs w:val="21"/>
                <w:highlight w:val="none"/>
                <w:u w:val="single"/>
                <w:lang w:val="en-US" w:eastAsia="zh-CN"/>
              </w:rPr>
              <w:t>5</w:t>
            </w:r>
            <w:r>
              <w:rPr>
                <w:rFonts w:hint="eastAsia" w:ascii="宋体" w:hAnsi="宋体" w:eastAsia="宋体" w:cs="宋体"/>
                <w:color w:val="auto"/>
                <w:kern w:val="0"/>
                <w:sz w:val="21"/>
                <w:szCs w:val="21"/>
                <w:highlight w:val="none"/>
              </w:rPr>
              <w:t>分；(其中必须有</w:t>
            </w:r>
            <w:r>
              <w:rPr>
                <w:rFonts w:hint="eastAsia" w:ascii="宋体" w:hAnsi="宋体" w:eastAsia="宋体" w:cs="宋体"/>
                <w:color w:val="auto"/>
                <w:sz w:val="21"/>
                <w:szCs w:val="21"/>
                <w:highlight w:val="none"/>
                <w:lang w:val="en-US" w:eastAsia="zh-CN"/>
              </w:rPr>
              <w:t>202</w:t>
            </w:r>
            <w:r>
              <w:rPr>
                <w:rFonts w:hint="eastAsia" w:cs="宋体"/>
                <w:color w:val="auto"/>
                <w:sz w:val="21"/>
                <w:szCs w:val="21"/>
                <w:highlight w:val="none"/>
                <w:lang w:val="en-US" w:eastAsia="zh-CN"/>
              </w:rPr>
              <w:t>5</w:t>
            </w:r>
            <w:r>
              <w:rPr>
                <w:rFonts w:hint="eastAsia" w:ascii="宋体" w:hAnsi="宋体" w:eastAsia="宋体" w:cs="宋体"/>
                <w:color w:val="auto"/>
                <w:kern w:val="0"/>
                <w:sz w:val="21"/>
                <w:szCs w:val="21"/>
                <w:highlight w:val="none"/>
              </w:rPr>
              <w:t>年度)</w:t>
            </w:r>
          </w:p>
          <w:p w14:paraId="5BECAADA">
            <w:pPr>
              <w:pStyle w:val="4"/>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企业连续</w:t>
            </w:r>
            <w:r>
              <w:rPr>
                <w:rFonts w:hint="eastAsia"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年</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年</w:t>
            </w:r>
            <w:r>
              <w:rPr>
                <w:rFonts w:hint="eastAsia" w:ascii="宋体" w:hAnsi="宋体" w:eastAsia="宋体" w:cs="宋体"/>
                <w:color w:val="auto"/>
                <w:kern w:val="0"/>
                <w:sz w:val="21"/>
                <w:szCs w:val="21"/>
                <w:highlight w:val="none"/>
              </w:rPr>
              <w:t>获得纳税信用A级纳税人的，得</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rPr>
              <w:t>分；(其中必须有</w:t>
            </w:r>
            <w:r>
              <w:rPr>
                <w:rFonts w:hint="eastAsia" w:ascii="宋体" w:hAnsi="宋体" w:eastAsia="宋体" w:cs="宋体"/>
                <w:color w:val="auto"/>
                <w:sz w:val="21"/>
                <w:szCs w:val="21"/>
                <w:highlight w:val="none"/>
                <w:lang w:val="en-US" w:eastAsia="zh-CN"/>
              </w:rPr>
              <w:t>202</w:t>
            </w:r>
            <w:r>
              <w:rPr>
                <w:rFonts w:hint="eastAsia" w:cs="宋体"/>
                <w:color w:val="auto"/>
                <w:sz w:val="21"/>
                <w:szCs w:val="21"/>
                <w:highlight w:val="none"/>
                <w:lang w:val="en-US" w:eastAsia="zh-CN"/>
              </w:rPr>
              <w:t>5</w:t>
            </w:r>
            <w:r>
              <w:rPr>
                <w:rFonts w:hint="eastAsia" w:ascii="宋体" w:hAnsi="宋体" w:eastAsia="宋体" w:cs="宋体"/>
                <w:color w:val="auto"/>
                <w:kern w:val="0"/>
                <w:sz w:val="21"/>
                <w:szCs w:val="21"/>
                <w:highlight w:val="none"/>
              </w:rPr>
              <w:t>年度)</w:t>
            </w:r>
          </w:p>
          <w:p w14:paraId="4BCB0091">
            <w:pPr>
              <w:pStyle w:val="4"/>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kern w:val="0"/>
                <w:sz w:val="21"/>
                <w:szCs w:val="21"/>
                <w:highlight w:val="none"/>
              </w:rPr>
              <w:t>企业连续</w:t>
            </w:r>
            <w:r>
              <w:rPr>
                <w:rFonts w:hint="eastAsia"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年</w:t>
            </w:r>
            <w:r>
              <w:rPr>
                <w:rFonts w:hint="eastAsia" w:ascii="宋体" w:hAnsi="宋体" w:eastAsia="宋体" w:cs="宋体"/>
                <w:color w:val="auto"/>
                <w:kern w:val="0"/>
                <w:sz w:val="21"/>
                <w:szCs w:val="21"/>
                <w:highlight w:val="none"/>
              </w:rPr>
              <w:t>～</w:t>
            </w:r>
            <w:r>
              <w:rPr>
                <w:rFonts w:hint="eastAsia"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年</w:t>
            </w:r>
            <w:r>
              <w:rPr>
                <w:rFonts w:hint="eastAsia" w:ascii="宋体" w:hAnsi="宋体" w:eastAsia="宋体" w:cs="宋体"/>
                <w:color w:val="auto"/>
                <w:kern w:val="0"/>
                <w:sz w:val="21"/>
                <w:szCs w:val="21"/>
                <w:highlight w:val="none"/>
              </w:rPr>
              <w:t>获得纳税信用A级纳税人的，得</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rPr>
              <w:t>分；(其中必须有</w:t>
            </w:r>
            <w:r>
              <w:rPr>
                <w:rFonts w:hint="eastAsia" w:ascii="宋体" w:hAnsi="宋体" w:eastAsia="宋体" w:cs="宋体"/>
                <w:color w:val="auto"/>
                <w:sz w:val="21"/>
                <w:szCs w:val="21"/>
                <w:highlight w:val="none"/>
                <w:lang w:val="en-US" w:eastAsia="zh-CN"/>
              </w:rPr>
              <w:t>202</w:t>
            </w:r>
            <w:r>
              <w:rPr>
                <w:rFonts w:hint="eastAsia" w:cs="宋体"/>
                <w:color w:val="auto"/>
                <w:sz w:val="21"/>
                <w:szCs w:val="21"/>
                <w:highlight w:val="none"/>
                <w:lang w:val="en-US" w:eastAsia="zh-CN"/>
              </w:rPr>
              <w:t>5</w:t>
            </w:r>
            <w:r>
              <w:rPr>
                <w:rFonts w:hint="eastAsia" w:ascii="宋体" w:hAnsi="宋体" w:eastAsia="宋体" w:cs="宋体"/>
                <w:color w:val="auto"/>
                <w:kern w:val="0"/>
                <w:sz w:val="21"/>
                <w:szCs w:val="21"/>
                <w:highlight w:val="none"/>
              </w:rPr>
              <w:t>年度)</w:t>
            </w:r>
          </w:p>
          <w:p w14:paraId="79D09D12">
            <w:pPr>
              <w:pStyle w:val="4"/>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4.未获得以上证书的，不予计分。</w:t>
            </w:r>
          </w:p>
        </w:tc>
        <w:tc>
          <w:tcPr>
            <w:tcW w:w="5186" w:type="dxa"/>
            <w:tcBorders>
              <w:tl2br w:val="nil"/>
              <w:tr2bl w:val="nil"/>
            </w:tcBorders>
            <w:noWrap w:val="0"/>
            <w:vAlign w:val="center"/>
          </w:tcPr>
          <w:p w14:paraId="78C825B6">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trike w:val="0"/>
                <w:snapToGrid w:val="0"/>
                <w:color w:val="auto"/>
                <w:kern w:val="0"/>
                <w:sz w:val="21"/>
                <w:szCs w:val="21"/>
                <w:highlight w:val="none"/>
              </w:rPr>
            </w:pPr>
            <w:r>
              <w:rPr>
                <w:rFonts w:hint="eastAsia" w:ascii="宋体" w:hAnsi="宋体" w:eastAsia="宋体" w:cs="宋体"/>
                <w:strike w:val="0"/>
                <w:snapToGrid w:val="0"/>
                <w:color w:val="auto"/>
                <w:kern w:val="0"/>
                <w:sz w:val="21"/>
                <w:szCs w:val="21"/>
                <w:highlight w:val="none"/>
              </w:rPr>
              <w:t>1.必须提供企业纳税信用A级纳税人证明材料（或证书）</w:t>
            </w:r>
            <w:r>
              <w:rPr>
                <w:rFonts w:hint="eastAsia" w:ascii="宋体" w:hAnsi="宋体" w:eastAsia="宋体" w:cs="宋体"/>
                <w:strike w:val="0"/>
                <w:snapToGrid w:val="0"/>
                <w:color w:val="auto"/>
                <w:kern w:val="0"/>
                <w:sz w:val="21"/>
                <w:szCs w:val="21"/>
                <w:highlight w:val="none"/>
                <w:lang w:eastAsia="zh-CN"/>
              </w:rPr>
              <w:t>扫描件</w:t>
            </w:r>
            <w:r>
              <w:rPr>
                <w:rFonts w:hint="eastAsia" w:cs="宋体"/>
                <w:strike w:val="0"/>
                <w:snapToGrid w:val="0"/>
                <w:color w:val="auto"/>
                <w:kern w:val="0"/>
                <w:sz w:val="21"/>
                <w:szCs w:val="21"/>
                <w:highlight w:val="none"/>
                <w:lang w:val="en-US" w:eastAsia="zh-CN"/>
              </w:rPr>
              <w:t>/</w:t>
            </w:r>
            <w:r>
              <w:rPr>
                <w:rFonts w:hint="eastAsia" w:ascii="宋体" w:hAnsi="宋体" w:eastAsia="宋体" w:cs="宋体"/>
                <w:strike w:val="0"/>
                <w:snapToGrid w:val="0"/>
                <w:color w:val="auto"/>
                <w:kern w:val="0"/>
                <w:sz w:val="21"/>
                <w:szCs w:val="21"/>
                <w:highlight w:val="none"/>
              </w:rPr>
              <w:t>国家税务总局（或省级电子税务局）网上查询截图，否则不得分。</w:t>
            </w:r>
          </w:p>
          <w:p w14:paraId="5FC2F883">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trike w:val="0"/>
                <w:snapToGrid w:val="0"/>
                <w:color w:val="auto"/>
                <w:kern w:val="0"/>
                <w:sz w:val="21"/>
                <w:szCs w:val="21"/>
                <w:highlight w:val="none"/>
              </w:rPr>
            </w:pPr>
            <w:r>
              <w:rPr>
                <w:rFonts w:hint="eastAsia" w:ascii="宋体" w:hAnsi="宋体" w:eastAsia="宋体" w:cs="宋体"/>
                <w:strike w:val="0"/>
                <w:snapToGrid w:val="0"/>
                <w:color w:val="auto"/>
                <w:kern w:val="0"/>
                <w:sz w:val="21"/>
                <w:szCs w:val="21"/>
                <w:highlight w:val="none"/>
              </w:rPr>
              <w:t>2.只计算投标人自身（不计算投标人的分公司、子公司及分支机构）。</w:t>
            </w:r>
          </w:p>
          <w:p w14:paraId="0764C103">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eastAsia="宋体"/>
                <w:lang w:val="en-US" w:eastAsia="zh-CN"/>
              </w:rPr>
            </w:pPr>
            <w:r>
              <w:rPr>
                <w:rFonts w:hint="eastAsia" w:ascii="宋体" w:hAnsi="宋体" w:eastAsia="宋体" w:cs="宋体"/>
                <w:snapToGrid w:val="0"/>
                <w:color w:val="auto"/>
                <w:sz w:val="21"/>
                <w:szCs w:val="21"/>
                <w:highlight w:val="none"/>
                <w:lang w:val="en-US" w:eastAsia="zh-CN"/>
              </w:rPr>
              <w:t>3.以联合体形式投标的，由联合体成员的任意一方提供。</w:t>
            </w:r>
          </w:p>
        </w:tc>
      </w:tr>
      <w:tr w14:paraId="47C3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vMerge w:val="continue"/>
            <w:tcBorders>
              <w:tl2br w:val="nil"/>
              <w:tr2bl w:val="nil"/>
            </w:tcBorders>
            <w:noWrap w:val="0"/>
            <w:vAlign w:val="center"/>
          </w:tcPr>
          <w:p w14:paraId="52237279">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p>
        </w:tc>
        <w:tc>
          <w:tcPr>
            <w:tcW w:w="3268" w:type="dxa"/>
            <w:tcBorders>
              <w:tl2br w:val="nil"/>
              <w:tr2bl w:val="nil"/>
            </w:tcBorders>
            <w:noWrap w:val="0"/>
            <w:vAlign w:val="center"/>
          </w:tcPr>
          <w:p w14:paraId="1CACDAFE">
            <w:pPr>
              <w:pStyle w:val="4"/>
              <w:keepNext w:val="0"/>
              <w:keepLines w:val="0"/>
              <w:pageBreakBefore w:val="0"/>
              <w:kinsoku/>
              <w:overflowPunct/>
              <w:topLinePunct w:val="0"/>
              <w:autoSpaceDE/>
              <w:autoSpaceDN/>
              <w:bidi w:val="0"/>
              <w:spacing w:line="360" w:lineRule="auto"/>
              <w:jc w:val="both"/>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1．投标人从</w:t>
            </w:r>
            <w:r>
              <w:rPr>
                <w:rFonts w:hint="eastAsia" w:hAnsi="宋体" w:cs="宋体"/>
                <w:snapToGrid w:val="0"/>
                <w:color w:val="auto"/>
                <w:sz w:val="21"/>
                <w:szCs w:val="21"/>
                <w:highlight w:val="none"/>
                <w:lang w:val="en-US" w:eastAsia="zh-CN"/>
              </w:rPr>
              <w:t>2022</w:t>
            </w:r>
            <w:r>
              <w:rPr>
                <w:rFonts w:hint="eastAsia" w:ascii="宋体" w:hAnsi="宋体" w:eastAsia="宋体" w:cs="宋体"/>
                <w:snapToGrid w:val="0"/>
                <w:color w:val="auto"/>
                <w:sz w:val="21"/>
                <w:szCs w:val="21"/>
                <w:highlight w:val="none"/>
                <w:lang w:eastAsia="zh-CN"/>
              </w:rPr>
              <w:t>年1月1日</w:t>
            </w:r>
            <w:r>
              <w:rPr>
                <w:rFonts w:hint="eastAsia" w:ascii="宋体" w:hAnsi="宋体" w:eastAsia="宋体" w:cs="宋体"/>
                <w:snapToGrid w:val="0"/>
                <w:color w:val="auto"/>
                <w:sz w:val="21"/>
                <w:szCs w:val="21"/>
                <w:highlight w:val="none"/>
              </w:rPr>
              <w:t>至今获得</w:t>
            </w:r>
            <w:r>
              <w:rPr>
                <w:rFonts w:hint="eastAsia" w:ascii="宋体" w:hAnsi="宋体" w:eastAsia="宋体" w:cs="宋体"/>
                <w:snapToGrid w:val="0"/>
                <w:color w:val="auto"/>
                <w:sz w:val="21"/>
                <w:szCs w:val="21"/>
                <w:highlight w:val="none"/>
                <w:lang w:val="en-US" w:eastAsia="zh-CN"/>
              </w:rPr>
              <w:t>过</w:t>
            </w:r>
            <w:r>
              <w:rPr>
                <w:rFonts w:hint="eastAsia" w:ascii="宋体" w:hAnsi="宋体" w:eastAsia="宋体" w:cs="宋体"/>
                <w:snapToGrid w:val="0"/>
                <w:color w:val="auto"/>
                <w:sz w:val="21"/>
                <w:szCs w:val="21"/>
                <w:highlight w:val="none"/>
              </w:rPr>
              <w:t>国级</w:t>
            </w:r>
            <w:r>
              <w:rPr>
                <w:rFonts w:hint="eastAsia" w:ascii="宋体" w:hAnsi="宋体" w:eastAsia="宋体" w:cs="宋体"/>
                <w:snapToGrid w:val="0"/>
                <w:color w:val="auto"/>
                <w:sz w:val="21"/>
                <w:szCs w:val="21"/>
                <w:highlight w:val="none"/>
                <w:lang w:val="en-US" w:eastAsia="zh-CN"/>
              </w:rPr>
              <w:t>“诚信示范企业”或“企业诚信公约证书”或“AAA 级信用企业”</w:t>
            </w:r>
            <w:r>
              <w:rPr>
                <w:rFonts w:hint="eastAsia" w:ascii="宋体" w:hAnsi="宋体" w:eastAsia="宋体" w:cs="宋体"/>
                <w:snapToGrid w:val="0"/>
                <w:color w:val="auto"/>
                <w:sz w:val="21"/>
                <w:szCs w:val="21"/>
                <w:highlight w:val="none"/>
              </w:rPr>
              <w:t>称号的 得</w:t>
            </w:r>
            <w:r>
              <w:rPr>
                <w:rFonts w:hint="eastAsia" w:hAnsi="宋体" w:cs="宋体"/>
                <w:snapToGrid w:val="0"/>
                <w:color w:val="auto"/>
                <w:sz w:val="21"/>
                <w:szCs w:val="21"/>
                <w:highlight w:val="none"/>
                <w:lang w:val="en-US" w:eastAsia="zh-CN"/>
              </w:rPr>
              <w:t>5</w:t>
            </w:r>
            <w:r>
              <w:rPr>
                <w:rFonts w:hint="eastAsia" w:ascii="宋体" w:hAnsi="宋体" w:eastAsia="宋体" w:cs="宋体"/>
                <w:snapToGrid w:val="0"/>
                <w:color w:val="auto"/>
                <w:sz w:val="21"/>
                <w:szCs w:val="21"/>
                <w:highlight w:val="none"/>
              </w:rPr>
              <w:t xml:space="preserve">分。  </w:t>
            </w:r>
          </w:p>
          <w:p w14:paraId="22FC0ACD">
            <w:pPr>
              <w:pStyle w:val="6"/>
              <w:keepNext w:val="0"/>
              <w:keepLines w:val="0"/>
              <w:pageBreakBefore w:val="0"/>
              <w:kinsoku/>
              <w:overflowPunct/>
              <w:topLinePunct w:val="0"/>
              <w:autoSpaceDE/>
              <w:autoSpaceDN/>
              <w:bidi w:val="0"/>
              <w:spacing w:line="360" w:lineRule="auto"/>
              <w:rPr>
                <w:rFonts w:hint="eastAsia" w:ascii="宋体" w:hAnsi="宋体" w:eastAsia="宋体" w:cs="宋体"/>
                <w:snapToGrid w:val="0"/>
                <w:color w:val="auto"/>
                <w:kern w:val="0"/>
                <w:sz w:val="21"/>
                <w:szCs w:val="21"/>
                <w:highlight w:val="none"/>
                <w:lang w:val="en-US" w:eastAsia="zh-CN" w:bidi="ar-SA"/>
              </w:rPr>
            </w:pPr>
            <w:r>
              <w:rPr>
                <w:rFonts w:hint="eastAsia" w:ascii="宋体" w:hAnsi="宋体" w:eastAsia="宋体" w:cs="宋体"/>
                <w:snapToGrid w:val="0"/>
                <w:color w:val="auto"/>
                <w:sz w:val="21"/>
                <w:szCs w:val="21"/>
                <w:highlight w:val="none"/>
              </w:rPr>
              <w:t>2．其他情形的，不予计分。</w:t>
            </w:r>
          </w:p>
        </w:tc>
        <w:tc>
          <w:tcPr>
            <w:tcW w:w="5186" w:type="dxa"/>
            <w:tcBorders>
              <w:tl2br w:val="nil"/>
              <w:tr2bl w:val="nil"/>
            </w:tcBorders>
            <w:noWrap w:val="0"/>
            <w:vAlign w:val="center"/>
          </w:tcPr>
          <w:p w14:paraId="652D2082">
            <w:pPr>
              <w:pStyle w:val="5"/>
              <w:keepNext w:val="0"/>
              <w:keepLines w:val="0"/>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rPr>
              <w:t>1．提供证书彩色扫描件。</w:t>
            </w:r>
            <w:r>
              <w:rPr>
                <w:rFonts w:hint="eastAsia" w:ascii="宋体" w:hAnsi="宋体" w:eastAsia="宋体" w:cs="宋体"/>
                <w:b/>
                <w:bCs/>
                <w:snapToGrid w:val="0"/>
                <w:color w:val="auto"/>
                <w:kern w:val="0"/>
                <w:sz w:val="21"/>
                <w:szCs w:val="21"/>
                <w:highlight w:val="none"/>
              </w:rPr>
              <w:t>同时提供原件核对</w:t>
            </w:r>
            <w:r>
              <w:rPr>
                <w:rFonts w:hint="eastAsia" w:ascii="宋体" w:hAnsi="宋体" w:eastAsia="宋体" w:cs="宋体"/>
                <w:b/>
                <w:bCs/>
                <w:snapToGrid w:val="0"/>
                <w:color w:val="auto"/>
                <w:kern w:val="0"/>
                <w:sz w:val="21"/>
                <w:szCs w:val="21"/>
                <w:highlight w:val="none"/>
                <w:lang w:eastAsia="zh-CN"/>
              </w:rPr>
              <w:t>。</w:t>
            </w:r>
          </w:p>
          <w:p w14:paraId="5316DE3E">
            <w:pPr>
              <w:pStyle w:val="5"/>
              <w:keepNext w:val="0"/>
              <w:keepLines w:val="0"/>
              <w:pageBreakBefore w:val="0"/>
              <w:kinsoku/>
              <w:wordWrap w:val="0"/>
              <w:overflowPunct/>
              <w:topLinePunct w:val="0"/>
              <w:autoSpaceDE/>
              <w:autoSpaceDN/>
              <w:bidi w:val="0"/>
              <w:adjustRightInd w:val="0"/>
              <w:snapToGrid w:val="0"/>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2．证书须由国级企业联合会和企业家协会（需经民政局备案）同时颁发。</w:t>
            </w:r>
          </w:p>
          <w:p w14:paraId="1942A429">
            <w:pPr>
              <w:pStyle w:val="5"/>
              <w:keepNext w:val="0"/>
              <w:keepLines w:val="0"/>
              <w:pageBreakBefore w:val="0"/>
              <w:kinsoku/>
              <w:wordWrap w:val="0"/>
              <w:overflowPunct/>
              <w:topLinePunct w:val="0"/>
              <w:autoSpaceDE/>
              <w:autoSpaceDN/>
              <w:bidi w:val="0"/>
              <w:adjustRightInd w:val="0"/>
              <w:snapToGrid w:val="0"/>
              <w:spacing w:after="0" w:line="360" w:lineRule="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3．颁发机构、获奖时间不符合评分标准和备注规定的，不予得分。</w:t>
            </w:r>
          </w:p>
          <w:p w14:paraId="7CEF03D0">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eastAsia="宋体"/>
                <w:lang w:val="en-US" w:eastAsia="zh-CN"/>
              </w:rPr>
            </w:pPr>
            <w:r>
              <w:rPr>
                <w:rFonts w:hint="eastAsia" w:ascii="宋体" w:hAnsi="宋体" w:eastAsia="宋体" w:cs="宋体"/>
                <w:snapToGrid w:val="0"/>
                <w:color w:val="auto"/>
                <w:sz w:val="21"/>
                <w:szCs w:val="21"/>
                <w:highlight w:val="none"/>
                <w:lang w:val="en-US" w:eastAsia="zh-CN"/>
              </w:rPr>
              <w:t>4.以联合体形式投标的，由联合体成员的任意一方提供。</w:t>
            </w:r>
          </w:p>
        </w:tc>
      </w:tr>
      <w:tr w14:paraId="328A0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194" w:type="dxa"/>
            <w:vMerge w:val="continue"/>
            <w:tcBorders>
              <w:tl2br w:val="nil"/>
              <w:tr2bl w:val="nil"/>
            </w:tcBorders>
            <w:noWrap w:val="0"/>
            <w:vAlign w:val="center"/>
          </w:tcPr>
          <w:p w14:paraId="08B9A4BB">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p>
        </w:tc>
        <w:tc>
          <w:tcPr>
            <w:tcW w:w="3268" w:type="dxa"/>
            <w:tcBorders>
              <w:tl2br w:val="nil"/>
              <w:tr2bl w:val="nil"/>
            </w:tcBorders>
            <w:noWrap w:val="0"/>
            <w:vAlign w:val="center"/>
          </w:tcPr>
          <w:p w14:paraId="36D942E6">
            <w:pPr>
              <w:pStyle w:val="4"/>
              <w:keepNext w:val="0"/>
              <w:keepLines w:val="0"/>
              <w:pageBreakBefore w:val="0"/>
              <w:widowControl w:val="0"/>
              <w:kinsoku/>
              <w:wordWrap w:val="0"/>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1.企业近年来（2022年1月1日至今）获得过行政部门颁发的城市“绿美”荣誉证书的得2.5分,每增加一个证书得2.5分，本项最高得5分。</w:t>
            </w:r>
          </w:p>
          <w:p w14:paraId="15C0B089">
            <w:pPr>
              <w:pStyle w:val="4"/>
              <w:keepNext w:val="0"/>
              <w:keepLines w:val="0"/>
              <w:pageBreakBefore w:val="0"/>
              <w:widowControl w:val="0"/>
              <w:shd w:val="clear" w:color="auto" w:fill="auto"/>
              <w:kinsoku/>
              <w:wordWrap w:val="0"/>
              <w:overflowPunct/>
              <w:topLinePunct w:val="0"/>
              <w:autoSpaceDE/>
              <w:autoSpaceDN/>
              <w:bidi w:val="0"/>
              <w:adjustRightInd/>
              <w:snapToGrid/>
              <w:spacing w:line="360" w:lineRule="auto"/>
              <w:ind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2.其他情形的不予计分。</w:t>
            </w:r>
          </w:p>
        </w:tc>
        <w:tc>
          <w:tcPr>
            <w:tcW w:w="5186" w:type="dxa"/>
            <w:tcBorders>
              <w:tl2br w:val="nil"/>
              <w:tr2bl w:val="nil"/>
            </w:tcBorders>
            <w:noWrap w:val="0"/>
            <w:vAlign w:val="center"/>
          </w:tcPr>
          <w:p w14:paraId="508EBE8A">
            <w:pPr>
              <w:pStyle w:val="5"/>
              <w:keepNext w:val="0"/>
              <w:keepLines w:val="0"/>
              <w:pageBreakBefore w:val="0"/>
              <w:widowControl w:val="0"/>
              <w:shd w:val="clear" w:color="auto" w:fill="auto"/>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b/>
                <w:bCs/>
                <w:strike w:val="0"/>
                <w:snapToGrid w:val="0"/>
                <w:color w:val="auto"/>
                <w:kern w:val="0"/>
                <w:sz w:val="21"/>
                <w:szCs w:val="21"/>
                <w:highlight w:val="none"/>
                <w:lang w:val="en-US" w:eastAsia="zh-CN"/>
              </w:rPr>
            </w:pPr>
            <w:r>
              <w:rPr>
                <w:rFonts w:hint="eastAsia" w:ascii="宋体" w:hAnsi="宋体" w:eastAsia="宋体" w:cs="宋体"/>
                <w:strike w:val="0"/>
                <w:snapToGrid w:val="0"/>
                <w:color w:val="auto"/>
                <w:kern w:val="0"/>
                <w:sz w:val="21"/>
                <w:szCs w:val="21"/>
                <w:highlight w:val="none"/>
                <w:lang w:val="en-US" w:eastAsia="zh-CN"/>
              </w:rPr>
              <w:t>1.证书由市级或以上行政部门颁发，须提供有关证书彩色扫描件，</w:t>
            </w:r>
            <w:r>
              <w:rPr>
                <w:rFonts w:hint="eastAsia" w:ascii="宋体" w:hAnsi="宋体" w:eastAsia="宋体" w:cs="宋体"/>
                <w:b/>
                <w:bCs/>
                <w:strike w:val="0"/>
                <w:snapToGrid w:val="0"/>
                <w:color w:val="auto"/>
                <w:kern w:val="0"/>
                <w:sz w:val="21"/>
                <w:szCs w:val="21"/>
                <w:highlight w:val="none"/>
                <w:lang w:val="en-US" w:eastAsia="zh-CN"/>
              </w:rPr>
              <w:t>同时提供原件核对。</w:t>
            </w:r>
          </w:p>
          <w:p w14:paraId="081B79C6">
            <w:pPr>
              <w:pStyle w:val="5"/>
              <w:keepNext w:val="0"/>
              <w:keepLines w:val="0"/>
              <w:pageBreakBefore w:val="0"/>
              <w:kinsoku/>
              <w:wordWrap w:val="0"/>
              <w:overflowPunct/>
              <w:topLinePunct w:val="0"/>
              <w:autoSpaceDE/>
              <w:autoSpaceDN/>
              <w:bidi w:val="0"/>
              <w:adjustRightInd w:val="0"/>
              <w:snapToGrid w:val="0"/>
              <w:spacing w:after="0" w:line="360" w:lineRule="auto"/>
              <w:rPr>
                <w:rFonts w:hint="default"/>
                <w:lang w:val="en-US" w:eastAsia="zh-CN"/>
              </w:rPr>
            </w:pPr>
            <w:r>
              <w:rPr>
                <w:rFonts w:hint="eastAsia" w:ascii="宋体" w:hAnsi="宋体" w:eastAsia="宋体" w:cs="宋体"/>
                <w:snapToGrid w:val="0"/>
                <w:color w:val="auto"/>
                <w:sz w:val="21"/>
                <w:szCs w:val="21"/>
                <w:highlight w:val="none"/>
                <w:lang w:val="en-US" w:eastAsia="zh-CN"/>
              </w:rPr>
              <w:t>2.以联合体形式投标的，由联合体成员的任意一方提供。</w:t>
            </w:r>
          </w:p>
        </w:tc>
      </w:tr>
      <w:tr w14:paraId="3074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48" w:type="dxa"/>
            <w:gridSpan w:val="3"/>
            <w:tcBorders>
              <w:tl2br w:val="nil"/>
              <w:tr2bl w:val="nil"/>
            </w:tcBorders>
            <w:shd w:val="clear" w:color="auto" w:fill="D9D9D9"/>
            <w:noWrap w:val="0"/>
            <w:vAlign w:val="center"/>
          </w:tcPr>
          <w:p w14:paraId="3607CF1B">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技术部分（施工组织设计），满分：</w:t>
            </w:r>
            <w:r>
              <w:rPr>
                <w:rFonts w:hint="eastAsia" w:ascii="宋体" w:hAnsi="宋体" w:eastAsia="宋体" w:cs="宋体"/>
                <w:b/>
                <w:bCs/>
                <w:snapToGrid w:val="0"/>
                <w:color w:val="auto"/>
                <w:kern w:val="0"/>
                <w:sz w:val="21"/>
                <w:szCs w:val="21"/>
                <w:highlight w:val="none"/>
                <w:u w:val="single"/>
              </w:rPr>
              <w:t xml:space="preserve">  20  </w:t>
            </w:r>
            <w:r>
              <w:rPr>
                <w:rFonts w:hint="eastAsia" w:ascii="宋体" w:hAnsi="宋体" w:eastAsia="宋体" w:cs="宋体"/>
                <w:b/>
                <w:bCs/>
                <w:snapToGrid w:val="0"/>
                <w:color w:val="auto"/>
                <w:kern w:val="0"/>
                <w:sz w:val="21"/>
                <w:szCs w:val="21"/>
                <w:highlight w:val="none"/>
              </w:rPr>
              <w:t>分。</w:t>
            </w:r>
          </w:p>
        </w:tc>
      </w:tr>
      <w:tr w14:paraId="48FB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732B3BAD">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评分因素</w:t>
            </w:r>
          </w:p>
        </w:tc>
        <w:tc>
          <w:tcPr>
            <w:tcW w:w="3268" w:type="dxa"/>
            <w:tcBorders>
              <w:tl2br w:val="nil"/>
              <w:tr2bl w:val="nil"/>
            </w:tcBorders>
            <w:noWrap w:val="0"/>
            <w:vAlign w:val="center"/>
          </w:tcPr>
          <w:p w14:paraId="1FFE67C5">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评分标准</w:t>
            </w:r>
          </w:p>
        </w:tc>
        <w:tc>
          <w:tcPr>
            <w:tcW w:w="5186" w:type="dxa"/>
            <w:tcBorders>
              <w:tl2br w:val="nil"/>
              <w:tr2bl w:val="nil"/>
            </w:tcBorders>
            <w:noWrap w:val="0"/>
            <w:vAlign w:val="center"/>
          </w:tcPr>
          <w:p w14:paraId="6C377B8B">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备注</w:t>
            </w:r>
          </w:p>
        </w:tc>
      </w:tr>
      <w:tr w14:paraId="6C6B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B41AFA5">
            <w:pPr>
              <w:pStyle w:val="25"/>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总体概述</w:t>
            </w:r>
          </w:p>
          <w:p w14:paraId="6F93A9D0">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3 </w:t>
            </w:r>
            <w:r>
              <w:rPr>
                <w:rFonts w:hint="eastAsia" w:ascii="宋体" w:hAnsi="宋体" w:eastAsia="宋体" w:cs="宋体"/>
                <w:snapToGrid w:val="0"/>
                <w:color w:val="auto"/>
                <w:kern w:val="0"/>
                <w:sz w:val="21"/>
                <w:szCs w:val="21"/>
                <w:highlight w:val="none"/>
              </w:rPr>
              <w:t>分）</w:t>
            </w:r>
          </w:p>
        </w:tc>
        <w:tc>
          <w:tcPr>
            <w:tcW w:w="3268" w:type="dxa"/>
            <w:tcBorders>
              <w:tl2br w:val="nil"/>
              <w:tr2bl w:val="nil"/>
            </w:tcBorders>
            <w:noWrap w:val="0"/>
            <w:vAlign w:val="center"/>
          </w:tcPr>
          <w:p w14:paraId="08C0F53C">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【优】得该项评分因素分值的95%～100%（含95%）。</w:t>
            </w:r>
          </w:p>
          <w:p w14:paraId="7B1DCA86">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【良】得该项评分因素分值的90%～95%（含90%）。</w:t>
            </w:r>
          </w:p>
          <w:p w14:paraId="0E028FA8">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【中】得该项评分因素分值的85%～90%（含85%）。</w:t>
            </w:r>
          </w:p>
          <w:p w14:paraId="2040571F">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【差】得该项评分因素分值的80～85%（含80%）。</w:t>
            </w:r>
          </w:p>
        </w:tc>
        <w:tc>
          <w:tcPr>
            <w:tcW w:w="5186" w:type="dxa"/>
            <w:tcBorders>
              <w:tl2br w:val="nil"/>
              <w:tr2bl w:val="nil"/>
            </w:tcBorders>
            <w:noWrap w:val="0"/>
            <w:vAlign w:val="center"/>
          </w:tcPr>
          <w:p w14:paraId="764B351D">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【优】对项目总体有深刻认识，表述清晰、完整、严谨、合理，措施先进、具体、有效、成熟，采用了新技术、新工艺、新材料、新设备；施工段划分呼应总体表述，划分清晰、合理，符合规范要求。</w:t>
            </w:r>
          </w:p>
          <w:p w14:paraId="1EBFE97C">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【良】对项目总体有一定认识，表述清晰、完整，措施具体有效；施工段划分呼应总体表述，划分清晰，符合规范要求。</w:t>
            </w:r>
          </w:p>
          <w:p w14:paraId="618AD067">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【中】对项目总体有认识，有一定的措施但部分不具体；施工段划分较合理，符合规范要求。</w:t>
            </w:r>
          </w:p>
          <w:p w14:paraId="1FBE38A1">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【差】对项目认识不足，表述不清晰，措施不具体；施工段划分不合理。</w:t>
            </w:r>
          </w:p>
        </w:tc>
      </w:tr>
      <w:tr w14:paraId="19846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5130306A">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施工总进</w:t>
            </w:r>
          </w:p>
          <w:p w14:paraId="605E1682">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度计划及</w:t>
            </w:r>
          </w:p>
          <w:p w14:paraId="5713A1EA">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保证措施</w:t>
            </w:r>
          </w:p>
          <w:p w14:paraId="58FE70E3">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rPr>
              <w:t xml:space="preserve">3 </w:t>
            </w:r>
            <w:r>
              <w:rPr>
                <w:rFonts w:hint="eastAsia" w:ascii="宋体" w:hAnsi="宋体" w:eastAsia="宋体" w:cs="宋体"/>
                <w:snapToGrid w:val="0"/>
                <w:color w:val="auto"/>
                <w:kern w:val="0"/>
                <w:sz w:val="21"/>
                <w:szCs w:val="21"/>
                <w:highlight w:val="none"/>
              </w:rPr>
              <w:t>分）</w:t>
            </w:r>
          </w:p>
        </w:tc>
        <w:tc>
          <w:tcPr>
            <w:tcW w:w="3268" w:type="dxa"/>
            <w:tcBorders>
              <w:tl2br w:val="nil"/>
              <w:tr2bl w:val="nil"/>
            </w:tcBorders>
            <w:noWrap w:val="0"/>
            <w:vAlign w:val="center"/>
          </w:tcPr>
          <w:p w14:paraId="2D3E9D0D">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【优】得该项评分因素分值的95%～100%（含95%）。</w:t>
            </w:r>
          </w:p>
          <w:p w14:paraId="34EA1CB0">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【良】得该项评分因素分值的90%～95%（含90%）。</w:t>
            </w:r>
          </w:p>
          <w:p w14:paraId="7A7C2B24">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【中】得该项评分因素分值的85%～90%（含85%）。</w:t>
            </w:r>
          </w:p>
          <w:p w14:paraId="6EDD6D0E">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【差】得该项评分因素分值的80～85%（含80%）。</w:t>
            </w:r>
          </w:p>
        </w:tc>
        <w:tc>
          <w:tcPr>
            <w:tcW w:w="5186" w:type="dxa"/>
            <w:tcBorders>
              <w:tl2br w:val="nil"/>
              <w:tr2bl w:val="nil"/>
            </w:tcBorders>
            <w:noWrap w:val="0"/>
            <w:vAlign w:val="center"/>
          </w:tcPr>
          <w:p w14:paraId="3915D283">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b/>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snapToGrid w:val="0"/>
                <w:color w:val="auto"/>
                <w:kern w:val="0"/>
                <w:sz w:val="21"/>
                <w:szCs w:val="21"/>
                <w:highlight w:val="none"/>
              </w:rPr>
              <w:t>经济赔偿合理。</w:t>
            </w:r>
          </w:p>
          <w:p w14:paraId="53B33967">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b/>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snapToGrid w:val="0"/>
                <w:color w:val="auto"/>
                <w:kern w:val="0"/>
                <w:sz w:val="21"/>
                <w:szCs w:val="21"/>
                <w:highlight w:val="none"/>
              </w:rPr>
              <w:t>经济赔偿较合理。</w:t>
            </w:r>
          </w:p>
          <w:p w14:paraId="14897015">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【中】关键线路基本准确，计划编制基本合理。关键节点的控制措施基本可行。人、材、机需求和进场计划与进度计划相呼应，基本满足施工需要，调配投入计划基本合理。进度违约责任承诺具体。</w:t>
            </w:r>
          </w:p>
          <w:p w14:paraId="22CD286A">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【差】关键线路不准确，计划编制不合理。关键节点的控制不可行。人、材、机需求和进场计划与进度计划不相呼应，不能满足施工需要。没有违约责任承诺。</w:t>
            </w:r>
          </w:p>
        </w:tc>
      </w:tr>
      <w:tr w14:paraId="05A8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43CE081">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质量</w:t>
            </w:r>
          </w:p>
          <w:p w14:paraId="3C3AAD2D">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保证措施</w:t>
            </w:r>
          </w:p>
          <w:p w14:paraId="75A65B8B">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lang w:val="en-US" w:eastAsia="zh-CN"/>
              </w:rPr>
              <w:t xml:space="preserve"> </w:t>
            </w:r>
            <w:r>
              <w:rPr>
                <w:rFonts w:hint="eastAsia" w:ascii="宋体" w:hAnsi="宋体" w:eastAsia="宋体" w:cs="宋体"/>
                <w:snapToGrid w:val="0"/>
                <w:color w:val="auto"/>
                <w:kern w:val="0"/>
                <w:sz w:val="21"/>
                <w:szCs w:val="21"/>
                <w:highlight w:val="none"/>
                <w:u w:val="single"/>
              </w:rPr>
              <w:t xml:space="preserve">4 </w:t>
            </w:r>
            <w:r>
              <w:rPr>
                <w:rFonts w:hint="eastAsia" w:ascii="宋体" w:hAnsi="宋体" w:eastAsia="宋体" w:cs="宋体"/>
                <w:snapToGrid w:val="0"/>
                <w:color w:val="auto"/>
                <w:kern w:val="0"/>
                <w:sz w:val="21"/>
                <w:szCs w:val="21"/>
                <w:highlight w:val="none"/>
              </w:rPr>
              <w:t>分）</w:t>
            </w:r>
          </w:p>
        </w:tc>
        <w:tc>
          <w:tcPr>
            <w:tcW w:w="3268" w:type="dxa"/>
            <w:tcBorders>
              <w:tl2br w:val="nil"/>
              <w:tr2bl w:val="nil"/>
            </w:tcBorders>
            <w:noWrap w:val="0"/>
            <w:vAlign w:val="center"/>
          </w:tcPr>
          <w:p w14:paraId="4A9015CA">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【优】得该项评分因素分值的95%～100%（含95%）。</w:t>
            </w:r>
          </w:p>
          <w:p w14:paraId="4F273491">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【良】得该项评分因素分值的90%～95%（含90%）。</w:t>
            </w:r>
          </w:p>
          <w:p w14:paraId="37CC9828">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【中】得该项评分因素分值的85%～90%（含85%）。</w:t>
            </w:r>
          </w:p>
          <w:p w14:paraId="65B1D8FB">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【差】得该项评分因素分值的80～85%（含80%）。</w:t>
            </w:r>
          </w:p>
        </w:tc>
        <w:tc>
          <w:tcPr>
            <w:tcW w:w="5186" w:type="dxa"/>
            <w:tcBorders>
              <w:tl2br w:val="nil"/>
              <w:tr2bl w:val="nil"/>
            </w:tcBorders>
            <w:noWrap w:val="0"/>
            <w:vAlign w:val="center"/>
          </w:tcPr>
          <w:p w14:paraId="5CA40C4B">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【优】应用新技术、新工艺、新材料、新设备，针对项目实际提出先进、可行、具体的保证措施。超过招标文件的质量要求。</w:t>
            </w:r>
          </w:p>
          <w:p w14:paraId="7E3234C5">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【良】针对项目实际提出先进、可行、具体的保证措施。满足招标文件的质量要求。</w:t>
            </w:r>
          </w:p>
          <w:p w14:paraId="49536172">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【中】具体措施可行。满足招标文件的质量要求。</w:t>
            </w:r>
          </w:p>
          <w:p w14:paraId="0F32320E">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【差】措施不可行，没有质量违约责任承诺。</w:t>
            </w:r>
          </w:p>
        </w:tc>
      </w:tr>
      <w:tr w14:paraId="5424A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7D34EB72">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施工</w:t>
            </w:r>
          </w:p>
          <w:p w14:paraId="33AF9D4E">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技术措施</w:t>
            </w:r>
          </w:p>
          <w:p w14:paraId="78718716">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2 </w:t>
            </w:r>
            <w:r>
              <w:rPr>
                <w:rFonts w:hint="eastAsia" w:ascii="宋体" w:hAnsi="宋体" w:eastAsia="宋体" w:cs="宋体"/>
                <w:snapToGrid w:val="0"/>
                <w:color w:val="auto"/>
                <w:kern w:val="0"/>
                <w:sz w:val="21"/>
                <w:szCs w:val="21"/>
                <w:highlight w:val="none"/>
              </w:rPr>
              <w:t>分）</w:t>
            </w:r>
          </w:p>
        </w:tc>
        <w:tc>
          <w:tcPr>
            <w:tcW w:w="3268" w:type="dxa"/>
            <w:tcBorders>
              <w:tl2br w:val="nil"/>
              <w:tr2bl w:val="nil"/>
            </w:tcBorders>
            <w:noWrap w:val="0"/>
            <w:vAlign w:val="center"/>
          </w:tcPr>
          <w:p w14:paraId="053EE244">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【优】得该项评分因素分值的95%～100%（含95%）。</w:t>
            </w:r>
          </w:p>
          <w:p w14:paraId="69C12D61">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【良】得该项评分因素分值的90%～95%（含90%）。</w:t>
            </w:r>
          </w:p>
          <w:p w14:paraId="30098126">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【中】得该项评分因素分值的85%～90%（含85%）。</w:t>
            </w:r>
          </w:p>
          <w:p w14:paraId="704608C1">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【差】得该项评分因素分值的80～85%（含80%）。</w:t>
            </w:r>
          </w:p>
        </w:tc>
        <w:tc>
          <w:tcPr>
            <w:tcW w:w="5186" w:type="dxa"/>
            <w:tcBorders>
              <w:tl2br w:val="nil"/>
              <w:tr2bl w:val="nil"/>
            </w:tcBorders>
            <w:noWrap w:val="0"/>
            <w:vAlign w:val="center"/>
          </w:tcPr>
          <w:p w14:paraId="2DAD9BEF">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snapToGrid w:val="0"/>
                <w:color w:val="auto"/>
                <w:kern w:val="0"/>
                <w:sz w:val="21"/>
                <w:szCs w:val="21"/>
                <w:highlight w:val="none"/>
              </w:rPr>
              <w:t>经济赔偿合理。</w:t>
            </w:r>
          </w:p>
          <w:p w14:paraId="6FB86DA5">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b/>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snapToGrid w:val="0"/>
                <w:color w:val="auto"/>
                <w:kern w:val="0"/>
                <w:sz w:val="21"/>
                <w:szCs w:val="21"/>
                <w:highlight w:val="none"/>
              </w:rPr>
              <w:t>经济赔偿较合理。</w:t>
            </w:r>
          </w:p>
          <w:p w14:paraId="40EB0CB5">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14:paraId="55F402F3">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【差】对项目关键技术有表述，对重点、难点有建议，解决方案不可行。采用的新技术针对性不强或验证材料不可靠，对节约投资、工期没有具体收益。无违约责任承诺。</w:t>
            </w:r>
          </w:p>
        </w:tc>
      </w:tr>
      <w:tr w14:paraId="0185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969A0FB">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绿色施工、</w:t>
            </w:r>
          </w:p>
          <w:p w14:paraId="561AA38F">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安全防护、</w:t>
            </w:r>
          </w:p>
          <w:p w14:paraId="19041C44">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文明施工</w:t>
            </w:r>
          </w:p>
          <w:p w14:paraId="0DE04FCD">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措施计划</w:t>
            </w:r>
          </w:p>
          <w:p w14:paraId="5A5CD77C">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3 </w:t>
            </w:r>
            <w:r>
              <w:rPr>
                <w:rFonts w:hint="eastAsia" w:ascii="宋体" w:hAnsi="宋体" w:eastAsia="宋体" w:cs="宋体"/>
                <w:snapToGrid w:val="0"/>
                <w:color w:val="auto"/>
                <w:kern w:val="0"/>
                <w:sz w:val="21"/>
                <w:szCs w:val="21"/>
                <w:highlight w:val="none"/>
              </w:rPr>
              <w:t>分）</w:t>
            </w:r>
          </w:p>
        </w:tc>
        <w:tc>
          <w:tcPr>
            <w:tcW w:w="3268" w:type="dxa"/>
            <w:tcBorders>
              <w:tl2br w:val="nil"/>
              <w:tr2bl w:val="nil"/>
            </w:tcBorders>
            <w:noWrap w:val="0"/>
            <w:vAlign w:val="center"/>
          </w:tcPr>
          <w:p w14:paraId="7A035019">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【优】得该项评分因素分值的95%～100%（含95%）。</w:t>
            </w:r>
          </w:p>
          <w:p w14:paraId="743B0942">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【良】得该项评分因素分值的90%～95%（含90%）。</w:t>
            </w:r>
          </w:p>
          <w:p w14:paraId="3EA1A48A">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【中】得该项评分因素分值的85%～90%（含85%）。</w:t>
            </w:r>
          </w:p>
          <w:p w14:paraId="512B8993">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【差】得该项评分因素分值的80～85%（含80%）。</w:t>
            </w:r>
          </w:p>
        </w:tc>
        <w:tc>
          <w:tcPr>
            <w:tcW w:w="5186" w:type="dxa"/>
            <w:tcBorders>
              <w:tl2br w:val="nil"/>
              <w:tr2bl w:val="nil"/>
            </w:tcBorders>
            <w:noWrap w:val="0"/>
            <w:vAlign w:val="center"/>
          </w:tcPr>
          <w:p w14:paraId="5D7AA1ED">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【优】针对项目实际情况，有先进、具体、完整、可行的措施，采用规范准确、清晰。</w:t>
            </w:r>
          </w:p>
          <w:p w14:paraId="6C43C351">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【良】针对项目实际情况，有合理的措施且具体、完整，采用规范准确。</w:t>
            </w:r>
          </w:p>
          <w:p w14:paraId="62690351">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【中】有基本合理的措施，采用规范准确。</w:t>
            </w:r>
          </w:p>
          <w:p w14:paraId="0190E051">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【差】措施不力，采用规范不正确。</w:t>
            </w:r>
          </w:p>
        </w:tc>
      </w:tr>
      <w:tr w14:paraId="58AD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7B4402ED">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施工平面</w:t>
            </w:r>
          </w:p>
          <w:p w14:paraId="0016CAE1">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布置和临时设施布置</w:t>
            </w:r>
          </w:p>
          <w:p w14:paraId="667D86A7">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2 </w:t>
            </w:r>
            <w:r>
              <w:rPr>
                <w:rFonts w:hint="eastAsia" w:ascii="宋体" w:hAnsi="宋体" w:eastAsia="宋体" w:cs="宋体"/>
                <w:snapToGrid w:val="0"/>
                <w:color w:val="auto"/>
                <w:kern w:val="0"/>
                <w:sz w:val="21"/>
                <w:szCs w:val="21"/>
                <w:highlight w:val="none"/>
              </w:rPr>
              <w:t>分）</w:t>
            </w:r>
          </w:p>
        </w:tc>
        <w:tc>
          <w:tcPr>
            <w:tcW w:w="3268" w:type="dxa"/>
            <w:tcBorders>
              <w:tl2br w:val="nil"/>
              <w:tr2bl w:val="nil"/>
            </w:tcBorders>
            <w:noWrap w:val="0"/>
            <w:vAlign w:val="center"/>
          </w:tcPr>
          <w:p w14:paraId="705C5918">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【优】得该项评分因素分值的95%～100%（含95%）。</w:t>
            </w:r>
          </w:p>
          <w:p w14:paraId="4678F4D4">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【良】得该项评分因素分值的90%～95%（含90%）。</w:t>
            </w:r>
          </w:p>
          <w:p w14:paraId="4F44C9F4">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【中】得该项评分因素分值的85%～90%（含85%）。</w:t>
            </w:r>
          </w:p>
          <w:p w14:paraId="7A799D6E">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【差】得该项评分因素分值的80～85%（含80%）。</w:t>
            </w:r>
          </w:p>
        </w:tc>
        <w:tc>
          <w:tcPr>
            <w:tcW w:w="5186" w:type="dxa"/>
            <w:tcBorders>
              <w:tl2br w:val="nil"/>
              <w:tr2bl w:val="nil"/>
            </w:tcBorders>
            <w:noWrap w:val="0"/>
            <w:vAlign w:val="center"/>
          </w:tcPr>
          <w:p w14:paraId="1FB2E385">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【优】总体布置有针对性、合理，较好满足施工需要，符合绿色施工、安全防护、文明施工要求。</w:t>
            </w:r>
          </w:p>
          <w:p w14:paraId="0BE2DD7A">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【良】总体布置合理，能满足施工需要，基本符合绿色施工、安全防护、文明施工要求。</w:t>
            </w:r>
          </w:p>
          <w:p w14:paraId="267827E1">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【中】总体布置基本合理，基本满足施工需要。</w:t>
            </w:r>
          </w:p>
          <w:p w14:paraId="0A4116EC">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【差】总体布置不合理，不符合绿色施工、安全防护、文明施工要求。</w:t>
            </w:r>
          </w:p>
        </w:tc>
      </w:tr>
      <w:tr w14:paraId="51B57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270B758">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项目</w:t>
            </w:r>
          </w:p>
          <w:p w14:paraId="49219DD2">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管理机构</w:t>
            </w:r>
          </w:p>
          <w:p w14:paraId="65480E1A">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u w:val="single"/>
              </w:rPr>
              <w:t xml:space="preserve"> 3 </w:t>
            </w:r>
            <w:r>
              <w:rPr>
                <w:rFonts w:hint="eastAsia" w:ascii="宋体" w:hAnsi="宋体" w:eastAsia="宋体" w:cs="宋体"/>
                <w:snapToGrid w:val="0"/>
                <w:color w:val="auto"/>
                <w:kern w:val="0"/>
                <w:sz w:val="21"/>
                <w:szCs w:val="21"/>
                <w:highlight w:val="none"/>
              </w:rPr>
              <w:t>分）</w:t>
            </w:r>
          </w:p>
        </w:tc>
        <w:tc>
          <w:tcPr>
            <w:tcW w:w="3268" w:type="dxa"/>
            <w:tcBorders>
              <w:tl2br w:val="nil"/>
              <w:tr2bl w:val="nil"/>
            </w:tcBorders>
            <w:noWrap w:val="0"/>
            <w:vAlign w:val="center"/>
          </w:tcPr>
          <w:p w14:paraId="29F0B681">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【优】得该项评分因素分值的95%～100%（含95%）。</w:t>
            </w:r>
          </w:p>
          <w:p w14:paraId="15807818">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【良】得该项评分因素分值的90%～95%（含90%）。</w:t>
            </w:r>
          </w:p>
          <w:p w14:paraId="614EBD97">
            <w:pPr>
              <w:pStyle w:val="26"/>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【中】得该项评分因素分值的85%～90%（含85%）。</w:t>
            </w:r>
          </w:p>
          <w:p w14:paraId="79944000">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【差】得该项评分因素分值的80～85%（含80%）。</w:t>
            </w:r>
          </w:p>
        </w:tc>
        <w:tc>
          <w:tcPr>
            <w:tcW w:w="5186" w:type="dxa"/>
            <w:tcBorders>
              <w:tl2br w:val="nil"/>
              <w:tr2bl w:val="nil"/>
            </w:tcBorders>
            <w:noWrap w:val="0"/>
            <w:vAlign w:val="center"/>
          </w:tcPr>
          <w:p w14:paraId="78F9D2B8">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【优】组织机构形式合理，有完善的指挥系统，生产及质量、绿色施工、安全、文明施工、创优达标监控系统、联络协调系统，项目管理人员内高级职称人员20%（含20%）以上、中级职称人员</w:t>
            </w:r>
            <w:r>
              <w:rPr>
                <w:rFonts w:hint="eastAsia" w:ascii="宋体" w:hAnsi="宋体" w:eastAsia="宋体" w:cs="宋体"/>
                <w:b/>
                <w:bCs/>
                <w:snapToGrid w:val="0"/>
                <w:color w:val="auto"/>
                <w:kern w:val="0"/>
                <w:sz w:val="21"/>
                <w:szCs w:val="21"/>
                <w:highlight w:val="none"/>
              </w:rPr>
              <w:t>及以上职称</w:t>
            </w:r>
            <w:r>
              <w:rPr>
                <w:rFonts w:hint="eastAsia" w:ascii="宋体" w:hAnsi="宋体" w:eastAsia="宋体" w:cs="宋体"/>
                <w:snapToGrid w:val="0"/>
                <w:color w:val="auto"/>
                <w:kern w:val="0"/>
                <w:sz w:val="21"/>
                <w:szCs w:val="21"/>
                <w:highlight w:val="none"/>
              </w:rPr>
              <w:t>60%（含60%）以上。</w:t>
            </w:r>
          </w:p>
          <w:p w14:paraId="2D33855D">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【良】组织机构形式合理，指挥系统，生产及质量、绿色施工、安全、文明施工、创优达标监控系统、联络协调系统齐全，项目管理人员内高级职称人员15%～20%（含15%）、中级职称</w:t>
            </w:r>
            <w:r>
              <w:rPr>
                <w:rFonts w:hint="eastAsia" w:ascii="宋体" w:hAnsi="宋体" w:eastAsia="宋体" w:cs="宋体"/>
                <w:b/>
                <w:bCs/>
                <w:snapToGrid w:val="0"/>
                <w:color w:val="auto"/>
                <w:kern w:val="0"/>
                <w:sz w:val="21"/>
                <w:szCs w:val="21"/>
                <w:highlight w:val="none"/>
              </w:rPr>
              <w:t>及以上职称</w:t>
            </w:r>
            <w:r>
              <w:rPr>
                <w:rFonts w:hint="eastAsia" w:ascii="宋体" w:hAnsi="宋体" w:eastAsia="宋体" w:cs="宋体"/>
                <w:snapToGrid w:val="0"/>
                <w:color w:val="auto"/>
                <w:kern w:val="0"/>
                <w:sz w:val="21"/>
                <w:szCs w:val="21"/>
                <w:highlight w:val="none"/>
              </w:rPr>
              <w:t>人员50%～60%（含50%）。</w:t>
            </w:r>
          </w:p>
          <w:p w14:paraId="5DA45CCB">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【中】组织机构形式基本合理，有指挥系统，生产及质量、绿色施工、安全、文明施工、创优达标监控系统、联络协调系统，项目管理人员内高级职称人员10%～15%（含10%）、中级职称人员</w:t>
            </w:r>
            <w:r>
              <w:rPr>
                <w:rFonts w:hint="eastAsia" w:ascii="宋体" w:hAnsi="宋体" w:eastAsia="宋体" w:cs="宋体"/>
                <w:b/>
                <w:bCs/>
                <w:snapToGrid w:val="0"/>
                <w:color w:val="auto"/>
                <w:kern w:val="0"/>
                <w:sz w:val="21"/>
                <w:szCs w:val="21"/>
                <w:highlight w:val="none"/>
              </w:rPr>
              <w:t>及以上职称</w:t>
            </w:r>
            <w:r>
              <w:rPr>
                <w:rFonts w:hint="eastAsia" w:ascii="宋体" w:hAnsi="宋体" w:eastAsia="宋体" w:cs="宋体"/>
                <w:snapToGrid w:val="0"/>
                <w:color w:val="auto"/>
                <w:kern w:val="0"/>
                <w:sz w:val="21"/>
                <w:szCs w:val="21"/>
                <w:highlight w:val="none"/>
              </w:rPr>
              <w:t>40%～50%（含40%）。</w:t>
            </w:r>
          </w:p>
          <w:p w14:paraId="422D2671">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【差】组织机构形式合理，指挥系统，生产及质量、绿色施工、安全、文明施工、创优达标监控系统、联络协调系统不齐全，项目管理人员内高级职称人员10%以下、中级职称人员</w:t>
            </w:r>
            <w:r>
              <w:rPr>
                <w:rFonts w:hint="eastAsia" w:ascii="宋体" w:hAnsi="宋体" w:eastAsia="宋体" w:cs="宋体"/>
                <w:b/>
                <w:bCs/>
                <w:snapToGrid w:val="0"/>
                <w:color w:val="auto"/>
                <w:kern w:val="0"/>
                <w:sz w:val="21"/>
                <w:szCs w:val="21"/>
                <w:highlight w:val="none"/>
              </w:rPr>
              <w:t>及以上职称</w:t>
            </w:r>
            <w:r>
              <w:rPr>
                <w:rFonts w:hint="eastAsia" w:ascii="宋体" w:hAnsi="宋体" w:eastAsia="宋体" w:cs="宋体"/>
                <w:snapToGrid w:val="0"/>
                <w:color w:val="auto"/>
                <w:kern w:val="0"/>
                <w:sz w:val="21"/>
                <w:szCs w:val="21"/>
                <w:highlight w:val="none"/>
              </w:rPr>
              <w:t>40%以下。</w:t>
            </w:r>
          </w:p>
        </w:tc>
      </w:tr>
      <w:tr w14:paraId="3DAB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648" w:type="dxa"/>
            <w:gridSpan w:val="3"/>
            <w:tcBorders>
              <w:tl2br w:val="nil"/>
              <w:tr2bl w:val="nil"/>
            </w:tcBorders>
            <w:shd w:val="clear" w:color="auto" w:fill="D9D9D9"/>
            <w:noWrap w:val="0"/>
            <w:vAlign w:val="center"/>
          </w:tcPr>
          <w:p w14:paraId="03D5CD19">
            <w:pPr>
              <w:pStyle w:val="28"/>
              <w:keepNext w:val="0"/>
              <w:keepLines w:val="0"/>
              <w:pageBreakBefore w:val="0"/>
              <w:widowControl w:val="0"/>
              <w:kinsoku/>
              <w:wordWrap w:val="0"/>
              <w:overflowPunct/>
              <w:topLinePunct w:val="0"/>
              <w:autoSpaceDE/>
              <w:autoSpaceDN/>
              <w:bidi w:val="0"/>
              <w:adjustRightInd/>
              <w:snapToGrid/>
              <w:spacing w:line="360" w:lineRule="auto"/>
              <w:rPr>
                <w:rFonts w:hint="eastAsia" w:ascii="宋体" w:hAnsi="宋体" w:eastAsia="宋体" w:cs="宋体"/>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投标报价部分，满分：100分。</w:t>
            </w:r>
          </w:p>
        </w:tc>
      </w:tr>
      <w:tr w14:paraId="2169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05337EE5">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评分事项</w:t>
            </w:r>
          </w:p>
        </w:tc>
        <w:tc>
          <w:tcPr>
            <w:tcW w:w="8454" w:type="dxa"/>
            <w:gridSpan w:val="2"/>
            <w:tcBorders>
              <w:tl2br w:val="nil"/>
              <w:tr2bl w:val="nil"/>
            </w:tcBorders>
            <w:noWrap w:val="0"/>
            <w:vAlign w:val="center"/>
          </w:tcPr>
          <w:p w14:paraId="5AECCF60">
            <w:pPr>
              <w:pStyle w:val="5"/>
              <w:keepNext w:val="0"/>
              <w:keepLines w:val="0"/>
              <w:pageBreakBefore w:val="0"/>
              <w:widowControl w:val="0"/>
              <w:kinsoku/>
              <w:wordWrap w:val="0"/>
              <w:overflowPunct/>
              <w:topLinePunct w:val="0"/>
              <w:autoSpaceDE/>
              <w:autoSpaceDN/>
              <w:bidi w:val="0"/>
              <w:adjustRightInd/>
              <w:snapToGrid/>
              <w:spacing w:after="0" w:afterLines="0"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评分方法</w:t>
            </w:r>
          </w:p>
        </w:tc>
      </w:tr>
      <w:tr w14:paraId="1F902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19D4DA59">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评标基准价D</w:t>
            </w:r>
          </w:p>
        </w:tc>
        <w:tc>
          <w:tcPr>
            <w:tcW w:w="8454" w:type="dxa"/>
            <w:gridSpan w:val="2"/>
            <w:tcBorders>
              <w:tl2br w:val="nil"/>
              <w:tr2bl w:val="nil"/>
            </w:tcBorders>
            <w:noWrap w:val="0"/>
            <w:vAlign w:val="center"/>
          </w:tcPr>
          <w:p w14:paraId="4EA535C3">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（1）确定</w:t>
            </w:r>
            <w:r>
              <w:rPr>
                <w:rFonts w:hint="eastAsia" w:ascii="宋体" w:hAnsi="宋体" w:eastAsia="宋体" w:cs="宋体"/>
                <w:snapToGrid w:val="0"/>
                <w:color w:val="auto"/>
                <w:kern w:val="0"/>
                <w:sz w:val="21"/>
                <w:szCs w:val="21"/>
                <w:highlight w:val="none"/>
                <w:lang w:eastAsia="zh-CN"/>
              </w:rPr>
              <w:t>最高投标限价</w:t>
            </w:r>
            <w:r>
              <w:rPr>
                <w:rFonts w:hint="eastAsia" w:ascii="宋体" w:hAnsi="宋体" w:eastAsia="宋体" w:cs="宋体"/>
                <w:snapToGrid w:val="0"/>
                <w:color w:val="auto"/>
                <w:kern w:val="0"/>
                <w:sz w:val="21"/>
                <w:szCs w:val="21"/>
                <w:highlight w:val="none"/>
              </w:rPr>
              <w:t>下浮系数n：用1～21号球分别代表一个下浮系数，由评委代表从这21个号码中随机抽取</w:t>
            </w:r>
            <w:r>
              <w:rPr>
                <w:rFonts w:hint="eastAsia" w:ascii="宋体" w:hAnsi="宋体" w:eastAsia="宋体" w:cs="宋体"/>
                <w:snapToGrid w:val="0"/>
                <w:color w:val="auto"/>
                <w:kern w:val="0"/>
                <w:sz w:val="21"/>
                <w:szCs w:val="21"/>
                <w:highlight w:val="none"/>
                <w:u w:val="single"/>
              </w:rPr>
              <w:t xml:space="preserve"> 3 </w:t>
            </w:r>
            <w:r>
              <w:rPr>
                <w:rFonts w:hint="eastAsia" w:ascii="宋体" w:hAnsi="宋体" w:eastAsia="宋体" w:cs="宋体"/>
                <w:snapToGrid w:val="0"/>
                <w:color w:val="auto"/>
                <w:kern w:val="0"/>
                <w:sz w:val="21"/>
                <w:szCs w:val="21"/>
                <w:highlight w:val="none"/>
              </w:rPr>
              <w:t>次，每次抽取1个号码，抽出的号球不参与下次抽取。所抽取的</w:t>
            </w:r>
            <w:r>
              <w:rPr>
                <w:rFonts w:hint="eastAsia" w:ascii="宋体" w:hAnsi="宋体" w:eastAsia="宋体" w:cs="宋体"/>
                <w:snapToGrid w:val="0"/>
                <w:color w:val="auto"/>
                <w:kern w:val="0"/>
                <w:sz w:val="21"/>
                <w:szCs w:val="21"/>
                <w:highlight w:val="none"/>
                <w:lang w:val="en-US" w:eastAsia="zh-CN"/>
              </w:rPr>
              <w:t>3</w:t>
            </w:r>
            <w:r>
              <w:rPr>
                <w:rFonts w:hint="eastAsia" w:ascii="宋体" w:hAnsi="宋体" w:eastAsia="宋体" w:cs="宋体"/>
                <w:snapToGrid w:val="0"/>
                <w:color w:val="auto"/>
                <w:kern w:val="0"/>
                <w:sz w:val="21"/>
                <w:szCs w:val="21"/>
                <w:highlight w:val="none"/>
              </w:rPr>
              <w:t>个号码对应下浮系数的算术平均值作为</w:t>
            </w:r>
            <w:r>
              <w:rPr>
                <w:rFonts w:hint="eastAsia" w:ascii="宋体" w:hAnsi="宋体" w:eastAsia="宋体" w:cs="宋体"/>
                <w:snapToGrid w:val="0"/>
                <w:color w:val="auto"/>
                <w:kern w:val="0"/>
                <w:sz w:val="21"/>
                <w:szCs w:val="21"/>
                <w:highlight w:val="none"/>
                <w:lang w:eastAsia="zh-CN"/>
              </w:rPr>
              <w:t>最高投标限价</w:t>
            </w:r>
            <w:r>
              <w:rPr>
                <w:rFonts w:hint="eastAsia" w:ascii="宋体" w:hAnsi="宋体" w:eastAsia="宋体" w:cs="宋体"/>
                <w:snapToGrid w:val="0"/>
                <w:color w:val="auto"/>
                <w:kern w:val="0"/>
                <w:sz w:val="21"/>
                <w:szCs w:val="21"/>
                <w:highlight w:val="none"/>
              </w:rPr>
              <w:t>下浮系数n。具体号码对应的下浮系数可参考下表。</w:t>
            </w:r>
          </w:p>
          <w:tbl>
            <w:tblPr>
              <w:tblStyle w:val="14"/>
              <w:tblW w:w="8137" w:type="dxa"/>
              <w:tblInd w:w="113" w:type="dxa"/>
              <w:tblLayout w:type="fixed"/>
              <w:tblCellMar>
                <w:top w:w="0" w:type="dxa"/>
                <w:left w:w="108" w:type="dxa"/>
                <w:bottom w:w="0" w:type="dxa"/>
                <w:right w:w="108" w:type="dxa"/>
              </w:tblCellMar>
            </w:tblPr>
            <w:tblGrid>
              <w:gridCol w:w="1626"/>
              <w:gridCol w:w="881"/>
              <w:gridCol w:w="921"/>
              <w:gridCol w:w="959"/>
              <w:gridCol w:w="942"/>
              <w:gridCol w:w="979"/>
              <w:gridCol w:w="920"/>
              <w:gridCol w:w="909"/>
            </w:tblGrid>
            <w:tr w14:paraId="404FCA0E">
              <w:tblPrEx>
                <w:tblCellMar>
                  <w:top w:w="0" w:type="dxa"/>
                  <w:left w:w="108" w:type="dxa"/>
                  <w:bottom w:w="0" w:type="dxa"/>
                  <w:right w:w="108" w:type="dxa"/>
                </w:tblCellMar>
              </w:tblPrEx>
              <w:trPr>
                <w:trHeight w:val="438" w:hRule="atLeast"/>
              </w:trPr>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81CC9BA">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号球</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0E9CAEB">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0BC39DD0">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A7C2D4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540624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4</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5BB99B3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5</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070C036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6</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74FB090">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7</w:t>
                  </w:r>
                </w:p>
              </w:tc>
            </w:tr>
            <w:tr w14:paraId="3B5F10BE">
              <w:tblPrEx>
                <w:tblCellMar>
                  <w:top w:w="0" w:type="dxa"/>
                  <w:left w:w="108" w:type="dxa"/>
                  <w:bottom w:w="0" w:type="dxa"/>
                  <w:right w:w="108" w:type="dxa"/>
                </w:tblCellMar>
              </w:tblPrEx>
              <w:trPr>
                <w:trHeight w:val="622" w:hRule="atLeast"/>
              </w:trPr>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4DEDA6B">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A6B4B9B">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A8E2D3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B4AA6C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7ACED9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0C9ABAC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1.4</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9CAAD2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627F5FF9">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1.6</w:t>
                  </w:r>
                </w:p>
              </w:tc>
            </w:tr>
            <w:tr w14:paraId="6930E93D">
              <w:tblPrEx>
                <w:tblCellMar>
                  <w:top w:w="0" w:type="dxa"/>
                  <w:left w:w="108" w:type="dxa"/>
                  <w:bottom w:w="0" w:type="dxa"/>
                  <w:right w:w="108" w:type="dxa"/>
                </w:tblCellMar>
              </w:tblPrEx>
              <w:trPr>
                <w:trHeight w:val="559" w:hRule="atLeast"/>
              </w:trPr>
              <w:tc>
                <w:tcPr>
                  <w:tcW w:w="1626" w:type="dxa"/>
                  <w:tcBorders>
                    <w:top w:val="single" w:color="000000" w:sz="4" w:space="0"/>
                    <w:left w:val="single" w:color="000000" w:sz="4" w:space="0"/>
                    <w:bottom w:val="single" w:color="000000" w:sz="4" w:space="0"/>
                    <w:right w:val="single" w:color="000000" w:sz="4" w:space="0"/>
                  </w:tcBorders>
                  <w:noWrap w:val="0"/>
                  <w:vAlign w:val="center"/>
                </w:tcPr>
                <w:p w14:paraId="1CED7AD5">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号球</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E1827A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8</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15046E2B">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9</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5AAB11CA">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10</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5C6CCE1C">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11</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796B9FB8">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12</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4C47A978">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13</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098E6A9A">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14</w:t>
                  </w:r>
                </w:p>
              </w:tc>
            </w:tr>
            <w:tr w14:paraId="2D71B85A">
              <w:tblPrEx>
                <w:tblCellMar>
                  <w:top w:w="0" w:type="dxa"/>
                  <w:left w:w="108" w:type="dxa"/>
                  <w:bottom w:w="0" w:type="dxa"/>
                  <w:right w:w="108" w:type="dxa"/>
                </w:tblCellMar>
              </w:tblPrEx>
              <w:trPr>
                <w:trHeight w:val="559" w:hRule="atLeast"/>
              </w:trPr>
              <w:tc>
                <w:tcPr>
                  <w:tcW w:w="1626" w:type="dxa"/>
                  <w:tcBorders>
                    <w:top w:val="single" w:color="000000" w:sz="4" w:space="0"/>
                    <w:left w:val="single" w:color="000000" w:sz="4" w:space="0"/>
                    <w:bottom w:val="single" w:color="000000" w:sz="4" w:space="0"/>
                    <w:right w:val="single" w:color="000000" w:sz="4" w:space="0"/>
                  </w:tcBorders>
                  <w:noWrap w:val="0"/>
                  <w:vAlign w:val="center"/>
                </w:tcPr>
                <w:p w14:paraId="468A4C68">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DC93BBC">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1.7</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3CD38037">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1.8</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0796556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1.9</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72588A9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734AFAE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4233E94">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2.2</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133A5077">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2.3</w:t>
                  </w:r>
                </w:p>
              </w:tc>
            </w:tr>
            <w:tr w14:paraId="27AE3177">
              <w:tblPrEx>
                <w:tblCellMar>
                  <w:top w:w="0" w:type="dxa"/>
                  <w:left w:w="108" w:type="dxa"/>
                  <w:bottom w:w="0" w:type="dxa"/>
                  <w:right w:w="108" w:type="dxa"/>
                </w:tblCellMar>
              </w:tblPrEx>
              <w:trPr>
                <w:trHeight w:val="512" w:hRule="atLeast"/>
              </w:trPr>
              <w:tc>
                <w:tcPr>
                  <w:tcW w:w="1626" w:type="dxa"/>
                  <w:tcBorders>
                    <w:top w:val="single" w:color="000000" w:sz="4" w:space="0"/>
                    <w:left w:val="single" w:color="000000" w:sz="4" w:space="0"/>
                    <w:bottom w:val="single" w:color="000000" w:sz="4" w:space="0"/>
                    <w:right w:val="single" w:color="000000" w:sz="4" w:space="0"/>
                  </w:tcBorders>
                  <w:noWrap w:val="0"/>
                  <w:vAlign w:val="center"/>
                </w:tcPr>
                <w:p w14:paraId="20A7897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b/>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号球</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156ABE5">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15</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20CDA582">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16</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09B463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17</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1A5F9B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18</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0120CEB7">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19</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C6D187E">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20</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721FD31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21</w:t>
                  </w:r>
                </w:p>
              </w:tc>
            </w:tr>
            <w:tr w14:paraId="143B7AEA">
              <w:tblPrEx>
                <w:tblCellMar>
                  <w:top w:w="0" w:type="dxa"/>
                  <w:left w:w="108" w:type="dxa"/>
                  <w:bottom w:w="0" w:type="dxa"/>
                  <w:right w:w="108" w:type="dxa"/>
                </w:tblCellMar>
              </w:tblPrEx>
              <w:trPr>
                <w:trHeight w:val="668" w:hRule="atLeast"/>
              </w:trPr>
              <w:tc>
                <w:tcPr>
                  <w:tcW w:w="1626" w:type="dxa"/>
                  <w:tcBorders>
                    <w:top w:val="single" w:color="000000" w:sz="4" w:space="0"/>
                    <w:left w:val="single" w:color="000000" w:sz="4" w:space="0"/>
                    <w:bottom w:val="single" w:color="000000" w:sz="4" w:space="0"/>
                    <w:right w:val="single" w:color="000000" w:sz="4" w:space="0"/>
                  </w:tcBorders>
                  <w:noWrap w:val="0"/>
                  <w:vAlign w:val="center"/>
                </w:tcPr>
                <w:p w14:paraId="67A3620B">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下浮系数（%）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9348CD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2.4</w:t>
                  </w:r>
                </w:p>
              </w:tc>
              <w:tc>
                <w:tcPr>
                  <w:tcW w:w="921" w:type="dxa"/>
                  <w:tcBorders>
                    <w:top w:val="single" w:color="000000" w:sz="4" w:space="0"/>
                    <w:left w:val="single" w:color="000000" w:sz="4" w:space="0"/>
                    <w:bottom w:val="single" w:color="000000" w:sz="4" w:space="0"/>
                    <w:right w:val="single" w:color="000000" w:sz="4" w:space="0"/>
                  </w:tcBorders>
                  <w:noWrap w:val="0"/>
                  <w:vAlign w:val="center"/>
                </w:tcPr>
                <w:p w14:paraId="4F9C429F">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2.5</w:t>
                  </w:r>
                </w:p>
              </w:tc>
              <w:tc>
                <w:tcPr>
                  <w:tcW w:w="959" w:type="dxa"/>
                  <w:tcBorders>
                    <w:top w:val="single" w:color="000000" w:sz="4" w:space="0"/>
                    <w:left w:val="single" w:color="000000" w:sz="4" w:space="0"/>
                    <w:bottom w:val="single" w:color="000000" w:sz="4" w:space="0"/>
                    <w:right w:val="single" w:color="000000" w:sz="4" w:space="0"/>
                  </w:tcBorders>
                  <w:noWrap w:val="0"/>
                  <w:vAlign w:val="center"/>
                </w:tcPr>
                <w:p w14:paraId="769B7B53">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2.6</w:t>
                  </w:r>
                </w:p>
              </w:tc>
              <w:tc>
                <w:tcPr>
                  <w:tcW w:w="942" w:type="dxa"/>
                  <w:tcBorders>
                    <w:top w:val="single" w:color="000000" w:sz="4" w:space="0"/>
                    <w:left w:val="single" w:color="000000" w:sz="4" w:space="0"/>
                    <w:bottom w:val="single" w:color="000000" w:sz="4" w:space="0"/>
                    <w:right w:val="single" w:color="000000" w:sz="4" w:space="0"/>
                  </w:tcBorders>
                  <w:noWrap w:val="0"/>
                  <w:vAlign w:val="center"/>
                </w:tcPr>
                <w:p w14:paraId="67C96B9E">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2.7</w:t>
                  </w:r>
                </w:p>
              </w:tc>
              <w:tc>
                <w:tcPr>
                  <w:tcW w:w="979" w:type="dxa"/>
                  <w:tcBorders>
                    <w:top w:val="single" w:color="000000" w:sz="4" w:space="0"/>
                    <w:left w:val="single" w:color="000000" w:sz="4" w:space="0"/>
                    <w:bottom w:val="single" w:color="000000" w:sz="4" w:space="0"/>
                    <w:right w:val="single" w:color="000000" w:sz="4" w:space="0"/>
                  </w:tcBorders>
                  <w:noWrap w:val="0"/>
                  <w:vAlign w:val="center"/>
                </w:tcPr>
                <w:p w14:paraId="297FA83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2.8</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56B1A2F1">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2.9</w:t>
                  </w:r>
                </w:p>
              </w:tc>
              <w:tc>
                <w:tcPr>
                  <w:tcW w:w="909" w:type="dxa"/>
                  <w:tcBorders>
                    <w:top w:val="single" w:color="000000" w:sz="4" w:space="0"/>
                    <w:left w:val="single" w:color="000000" w:sz="4" w:space="0"/>
                    <w:bottom w:val="single" w:color="000000" w:sz="4" w:space="0"/>
                    <w:right w:val="single" w:color="000000" w:sz="4" w:space="0"/>
                  </w:tcBorders>
                  <w:noWrap w:val="0"/>
                  <w:vAlign w:val="center"/>
                </w:tcPr>
                <w:p w14:paraId="15A05566">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3.0</w:t>
                  </w:r>
                </w:p>
              </w:tc>
            </w:tr>
          </w:tbl>
          <w:p w14:paraId="4E40F56D">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（2）评标基准价D＝</w:t>
            </w:r>
            <w:r>
              <w:rPr>
                <w:rFonts w:hint="eastAsia" w:ascii="宋体" w:hAnsi="宋体" w:eastAsia="宋体" w:cs="宋体"/>
                <w:snapToGrid w:val="0"/>
                <w:color w:val="auto"/>
                <w:kern w:val="0"/>
                <w:sz w:val="21"/>
                <w:szCs w:val="21"/>
                <w:highlight w:val="none"/>
                <w:lang w:eastAsia="zh-CN"/>
              </w:rPr>
              <w:t>最高投标限价</w:t>
            </w:r>
            <w:r>
              <w:rPr>
                <w:rFonts w:hint="eastAsia" w:ascii="宋体" w:hAnsi="宋体" w:eastAsia="宋体" w:cs="宋体"/>
                <w:snapToGrid w:val="0"/>
                <w:color w:val="auto"/>
                <w:kern w:val="0"/>
                <w:sz w:val="21"/>
                <w:szCs w:val="21"/>
                <w:highlight w:val="none"/>
              </w:rPr>
              <w:t>×（1－n）</w:t>
            </w:r>
          </w:p>
        </w:tc>
      </w:tr>
      <w:tr w14:paraId="76ED7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94" w:type="dxa"/>
            <w:tcBorders>
              <w:tl2br w:val="nil"/>
              <w:tr2bl w:val="nil"/>
            </w:tcBorders>
            <w:noWrap w:val="0"/>
            <w:vAlign w:val="center"/>
          </w:tcPr>
          <w:p w14:paraId="22342811">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投标报价</w:t>
            </w:r>
          </w:p>
          <w:p w14:paraId="11ADEB97">
            <w:pPr>
              <w:pStyle w:val="27"/>
              <w:keepNext w:val="0"/>
              <w:keepLines w:val="0"/>
              <w:pageBreakBefore w:val="0"/>
              <w:widowControl w:val="0"/>
              <w:kinsoku/>
              <w:wordWrap w:val="0"/>
              <w:overflowPunct/>
              <w:topLinePunct w:val="0"/>
              <w:autoSpaceDE/>
              <w:autoSpaceDN/>
              <w:bidi w:val="0"/>
              <w:adjustRightInd/>
              <w:snapToGrid/>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得分N</w:t>
            </w:r>
          </w:p>
        </w:tc>
        <w:tc>
          <w:tcPr>
            <w:tcW w:w="8454" w:type="dxa"/>
            <w:gridSpan w:val="2"/>
            <w:tcBorders>
              <w:tl2br w:val="nil"/>
              <w:tr2bl w:val="nil"/>
            </w:tcBorders>
            <w:noWrap w:val="0"/>
            <w:vAlign w:val="center"/>
          </w:tcPr>
          <w:p w14:paraId="013EFC23">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采用内插法计算某投标人的投标报价得分N，即当投标人的投标总价等于评标基准价时得100分，每高于评标基准价一个百分点扣1 分, 每低于评标基准价一个百分点扣0.5分，扣完为止。公式如下：</w:t>
            </w:r>
          </w:p>
          <w:p w14:paraId="0B672A42">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N＝100－（| Di－D | ÷D）×100×E</w:t>
            </w:r>
          </w:p>
          <w:p w14:paraId="59AC77B3">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left"/>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式中：D为评标基准价；Di为某投标人的投标总价；E为扣分因子，当Di＞D时，E＝1 ；当Di＜D时，E＝0.5。</w:t>
            </w:r>
          </w:p>
        </w:tc>
      </w:tr>
    </w:tbl>
    <w:p w14:paraId="6D23F9AE">
      <w:pPr>
        <w:snapToGrid w:val="0"/>
        <w:spacing w:line="440" w:lineRule="exact"/>
        <w:rPr>
          <w:rStyle w:val="20"/>
          <w:rFonts w:hint="eastAsia" w:hAnsi="宋体"/>
          <w:b/>
          <w:bCs/>
          <w:color w:val="auto"/>
          <w:kern w:val="0"/>
          <w:sz w:val="21"/>
          <w:szCs w:val="21"/>
          <w:highlight w:val="none"/>
          <w:lang w:val="en-US" w:eastAsia="zh-CN"/>
        </w:rPr>
      </w:pPr>
    </w:p>
    <w:p w14:paraId="66D22343">
      <w:pPr>
        <w:snapToGrid w:val="0"/>
        <w:spacing w:line="440" w:lineRule="exact"/>
        <w:rPr>
          <w:rStyle w:val="20"/>
          <w:rFonts w:hint="eastAsia" w:hAnsi="宋体"/>
          <w:b/>
          <w:bCs/>
          <w:color w:val="auto"/>
          <w:kern w:val="0"/>
          <w:sz w:val="21"/>
          <w:szCs w:val="21"/>
          <w:highlight w:val="none"/>
          <w:lang w:val="en-US" w:eastAsia="zh-CN"/>
        </w:rPr>
      </w:pPr>
      <w:r>
        <w:rPr>
          <w:rStyle w:val="20"/>
          <w:rFonts w:hint="eastAsia" w:hAnsi="宋体"/>
          <w:b/>
          <w:bCs/>
          <w:color w:val="auto"/>
          <w:kern w:val="0"/>
          <w:sz w:val="21"/>
          <w:szCs w:val="21"/>
          <w:highlight w:val="none"/>
          <w:lang w:val="en-US" w:eastAsia="zh-CN"/>
        </w:rPr>
        <w:t>注：1.技术部分（施工组织设计）评分：各投标人的技术文件的最终评分低于技术部分满分（20分）的65%或高于95%的，评委必须详细阐述具体理由（字数不少于50字）。</w:t>
      </w:r>
    </w:p>
    <w:p w14:paraId="28B1E94E">
      <w:pPr>
        <w:spacing w:line="440" w:lineRule="exact"/>
        <w:ind w:left="0" w:leftChars="0" w:firstLine="422" w:firstLineChars="200"/>
        <w:rPr>
          <w:rFonts w:hint="eastAsia" w:ascii="宋体" w:hAnsi="宋体" w:eastAsia="宋体" w:cs="宋体"/>
          <w:b/>
          <w:bCs/>
          <w:color w:val="auto"/>
          <w:sz w:val="21"/>
          <w:szCs w:val="21"/>
          <w:highlight w:val="none"/>
          <w:u w:val="doubl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u w:val="double"/>
        </w:rPr>
        <w:t>评分如出现小数点，则保留小数点后两位，第三位四舍五入。</w:t>
      </w:r>
    </w:p>
    <w:p w14:paraId="5B313CBC">
      <w:pPr>
        <w:spacing w:before="155" w:line="211" w:lineRule="auto"/>
        <w:ind w:firstLine="470" w:firstLineChars="200"/>
        <w:outlineLvl w:val="9"/>
        <w:rPr>
          <w:rFonts w:hint="eastAsia" w:ascii="宋体" w:hAnsi="宋体" w:eastAsia="宋体" w:cs="宋体"/>
          <w:color w:val="auto"/>
          <w:sz w:val="25"/>
          <w:szCs w:val="25"/>
          <w:highlight w:val="none"/>
        </w:rPr>
      </w:pPr>
      <w:r>
        <w:rPr>
          <w:rFonts w:hint="eastAsia" w:ascii="宋体" w:hAnsi="宋体" w:eastAsia="宋体" w:cs="宋体"/>
          <w:b/>
          <w:bCs/>
          <w:color w:val="auto"/>
          <w:spacing w:val="-3"/>
          <w:sz w:val="24"/>
          <w:szCs w:val="24"/>
          <w:highlight w:val="none"/>
        </w:rPr>
        <w:t>15.</w:t>
      </w:r>
      <w:r>
        <w:rPr>
          <w:rFonts w:hint="eastAsia" w:ascii="宋体" w:hAnsi="宋体" w:eastAsia="宋体" w:cs="宋体"/>
          <w:b/>
          <w:bCs/>
          <w:color w:val="auto"/>
          <w:spacing w:val="-3"/>
          <w:sz w:val="24"/>
          <w:szCs w:val="24"/>
          <w:highlight w:val="none"/>
          <w:lang w:val="en-US" w:eastAsia="zh-CN"/>
        </w:rPr>
        <w:t>6</w:t>
      </w:r>
      <w:r>
        <w:rPr>
          <w:rFonts w:hint="eastAsia" w:ascii="宋体" w:hAnsi="宋体" w:eastAsia="宋体" w:cs="宋体"/>
          <w:b/>
          <w:bCs/>
          <w:color w:val="auto"/>
          <w:spacing w:val="-3"/>
          <w:sz w:val="24"/>
          <w:szCs w:val="24"/>
          <w:highlight w:val="none"/>
        </w:rPr>
        <w:t xml:space="preserve">.2  </w:t>
      </w:r>
      <w:r>
        <w:rPr>
          <w:rFonts w:hint="eastAsia" w:ascii="宋体" w:hAnsi="宋体" w:eastAsia="宋体" w:cs="宋体"/>
          <w:color w:val="auto"/>
          <w:spacing w:val="-3"/>
          <w:sz w:val="24"/>
          <w:szCs w:val="24"/>
          <w:highlight w:val="none"/>
        </w:rPr>
        <w:t>否决投标说明</w:t>
      </w:r>
      <w:bookmarkEnd w:id="131"/>
      <w:bookmarkEnd w:id="132"/>
      <w:bookmarkEnd w:id="133"/>
      <w:bookmarkEnd w:id="134"/>
    </w:p>
    <w:p w14:paraId="7B89C24C">
      <w:pPr>
        <w:spacing w:before="150" w:line="332" w:lineRule="auto"/>
        <w:ind w:left="10" w:right="195" w:firstLine="564"/>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详细评审阶段否决投标的全部条件，在本章第四节“否决投标条件 ”第1条至第4条中集中列示。投标人有其中所列任何一种情形的，由评标委员会否决其投标。评标委员会经详细评审后，有效投标人数量不足3个时，招标人应依法重新组织招标。</w:t>
      </w:r>
    </w:p>
    <w:p w14:paraId="77A7E139">
      <w:pPr>
        <w:spacing w:before="59" w:line="330" w:lineRule="auto"/>
        <w:ind w:left="10" w:right="195" w:firstLine="480"/>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注：投标人在详细评审阶段根据评分方法提供的佐证材料，其合法性、有效性和准确性不符合要求的，有关量化因素（或评分因素）的折算、调整（或评分）按相应</w:t>
      </w:r>
      <w:r>
        <w:rPr>
          <w:rFonts w:hint="eastAsia" w:ascii="宋体" w:hAnsi="宋体" w:eastAsia="宋体" w:cs="宋体"/>
          <w:b/>
          <w:bCs/>
          <w:color w:val="auto"/>
          <w:spacing w:val="-3"/>
          <w:sz w:val="24"/>
          <w:szCs w:val="24"/>
          <w:highlight w:val="none"/>
        </w:rPr>
        <w:t>量化标准（或评分标准）处理，但不否决投标。</w:t>
      </w:r>
    </w:p>
    <w:p w14:paraId="061D711F">
      <w:pPr>
        <w:pStyle w:val="2"/>
        <w:keepNext w:val="0"/>
        <w:keepLines w:val="0"/>
        <w:pageBreakBefore w:val="0"/>
        <w:widowControl w:val="0"/>
        <w:kinsoku/>
        <w:wordWrap w:val="0"/>
        <w:overflowPunct/>
        <w:topLinePunct w:val="0"/>
        <w:autoSpaceDE/>
        <w:autoSpaceDN/>
        <w:bidi w:val="0"/>
        <w:adjustRightInd/>
        <w:snapToGrid/>
        <w:spacing w:before="0" w:beforeLines="0" w:after="0" w:afterLines="0" w:line="440" w:lineRule="exact"/>
        <w:ind w:firstLine="480"/>
        <w:jc w:val="both"/>
        <w:textAlignment w:val="auto"/>
        <w:rPr>
          <w:rFonts w:hint="eastAsia" w:ascii="宋体" w:hAnsi="宋体" w:eastAsia="宋体" w:cs="宋体"/>
          <w:b/>
          <w:snapToGrid w:val="0"/>
          <w:color w:val="auto"/>
          <w:sz w:val="24"/>
          <w:szCs w:val="24"/>
          <w:highlight w:val="none"/>
        </w:rPr>
      </w:pPr>
      <w:bookmarkStart w:id="135" w:name="bookmark137"/>
      <w:bookmarkEnd w:id="135"/>
      <w:bookmarkStart w:id="136" w:name="bookmark138"/>
      <w:bookmarkEnd w:id="136"/>
      <w:bookmarkStart w:id="137" w:name="_Toc2769"/>
      <w:bookmarkStart w:id="138" w:name="_Toc19232"/>
      <w:bookmarkStart w:id="139" w:name="_Toc18711"/>
      <w:bookmarkStart w:id="140" w:name="_Toc7762"/>
      <w:bookmarkStart w:id="141" w:name="_Toc13897"/>
      <w:bookmarkStart w:id="142" w:name="_Toc32569"/>
      <w:bookmarkStart w:id="143" w:name="_Toc10900"/>
      <w:r>
        <w:rPr>
          <w:rFonts w:hint="eastAsia" w:ascii="宋体" w:hAnsi="宋体" w:eastAsia="宋体" w:cs="宋体"/>
          <w:b/>
          <w:snapToGrid w:val="0"/>
          <w:color w:val="auto"/>
          <w:sz w:val="24"/>
          <w:szCs w:val="24"/>
          <w:highlight w:val="none"/>
        </w:rPr>
        <w:t>16．</w:t>
      </w:r>
      <w:bookmarkEnd w:id="137"/>
      <w:bookmarkEnd w:id="138"/>
      <w:bookmarkEnd w:id="139"/>
      <w:bookmarkEnd w:id="140"/>
      <w:bookmarkEnd w:id="141"/>
      <w:r>
        <w:rPr>
          <w:rFonts w:hint="eastAsia" w:ascii="宋体" w:hAnsi="宋体" w:eastAsia="宋体" w:cs="宋体"/>
          <w:b/>
          <w:snapToGrid w:val="0"/>
          <w:color w:val="auto"/>
          <w:sz w:val="24"/>
          <w:szCs w:val="24"/>
          <w:highlight w:val="none"/>
          <w:lang w:eastAsia="zh-CN"/>
        </w:rPr>
        <w:t>评标结果公示</w:t>
      </w:r>
      <w:bookmarkEnd w:id="142"/>
      <w:bookmarkEnd w:id="143"/>
    </w:p>
    <w:p w14:paraId="7F32E151">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16.1</w:t>
      </w:r>
      <w:r>
        <w:rPr>
          <w:rFonts w:hint="eastAsia" w:ascii="宋体" w:hAnsi="宋体" w:eastAsia="宋体" w:cs="宋体"/>
          <w:snapToGrid w:val="0"/>
          <w:color w:val="auto"/>
          <w:kern w:val="0"/>
          <w:sz w:val="24"/>
          <w:szCs w:val="24"/>
          <w:highlight w:val="none"/>
        </w:rPr>
        <w:t xml:space="preserve"> 评标委员会按照</w:t>
      </w:r>
      <w:r>
        <w:rPr>
          <w:rFonts w:hint="eastAsia" w:ascii="宋体" w:hAnsi="宋体" w:eastAsia="宋体" w:cs="宋体"/>
          <w:snapToGrid w:val="0"/>
          <w:color w:val="auto"/>
          <w:kern w:val="0"/>
          <w:sz w:val="24"/>
          <w:szCs w:val="24"/>
          <w:highlight w:val="none"/>
          <w:lang w:eastAsia="zh-CN"/>
        </w:rPr>
        <w:t>投标人</w:t>
      </w:r>
      <w:r>
        <w:rPr>
          <w:rFonts w:hint="eastAsia" w:ascii="宋体" w:hAnsi="宋体" w:eastAsia="宋体" w:cs="宋体"/>
          <w:snapToGrid w:val="0"/>
          <w:color w:val="auto"/>
          <w:kern w:val="0"/>
          <w:sz w:val="24"/>
          <w:szCs w:val="24"/>
          <w:highlight w:val="none"/>
        </w:rPr>
        <w:t>评审综合总得分</w:t>
      </w:r>
      <w:r>
        <w:rPr>
          <w:rFonts w:hint="eastAsia" w:ascii="宋体" w:hAnsi="宋体" w:eastAsia="宋体" w:cs="宋体"/>
          <w:snapToGrid w:val="0"/>
          <w:color w:val="auto"/>
          <w:kern w:val="0"/>
          <w:sz w:val="24"/>
          <w:szCs w:val="24"/>
          <w:highlight w:val="none"/>
          <w:lang w:eastAsia="zh-CN"/>
        </w:rPr>
        <w:t>由</w:t>
      </w:r>
      <w:r>
        <w:rPr>
          <w:rFonts w:hint="eastAsia" w:ascii="宋体" w:hAnsi="宋体" w:eastAsia="宋体" w:cs="宋体"/>
          <w:snapToGrid w:val="0"/>
          <w:color w:val="auto"/>
          <w:kern w:val="0"/>
          <w:sz w:val="24"/>
          <w:szCs w:val="24"/>
          <w:highlight w:val="none"/>
        </w:rPr>
        <w:t>高</w:t>
      </w:r>
      <w:r>
        <w:rPr>
          <w:rFonts w:hint="eastAsia" w:ascii="宋体" w:hAnsi="宋体" w:eastAsia="宋体" w:cs="宋体"/>
          <w:snapToGrid w:val="0"/>
          <w:color w:val="auto"/>
          <w:kern w:val="0"/>
          <w:sz w:val="24"/>
          <w:szCs w:val="24"/>
          <w:highlight w:val="none"/>
          <w:lang w:eastAsia="zh-CN"/>
        </w:rPr>
        <w:t>到</w:t>
      </w:r>
      <w:r>
        <w:rPr>
          <w:rFonts w:hint="eastAsia" w:ascii="宋体" w:hAnsi="宋体" w:eastAsia="宋体" w:cs="宋体"/>
          <w:snapToGrid w:val="0"/>
          <w:color w:val="auto"/>
          <w:kern w:val="0"/>
          <w:sz w:val="24"/>
          <w:szCs w:val="24"/>
          <w:highlight w:val="none"/>
        </w:rPr>
        <w:t>低的</w:t>
      </w:r>
      <w:r>
        <w:rPr>
          <w:rFonts w:hint="eastAsia" w:ascii="宋体" w:hAnsi="宋体" w:eastAsia="宋体" w:cs="宋体"/>
          <w:snapToGrid w:val="0"/>
          <w:color w:val="auto"/>
          <w:kern w:val="0"/>
          <w:sz w:val="24"/>
          <w:szCs w:val="24"/>
          <w:highlight w:val="none"/>
          <w:lang w:eastAsia="zh-CN"/>
        </w:rPr>
        <w:t>原则</w:t>
      </w:r>
      <w:r>
        <w:rPr>
          <w:rFonts w:hint="eastAsia" w:ascii="宋体" w:hAnsi="宋体" w:eastAsia="宋体" w:cs="宋体"/>
          <w:snapToGrid w:val="0"/>
          <w:color w:val="auto"/>
          <w:kern w:val="0"/>
          <w:sz w:val="24"/>
          <w:szCs w:val="24"/>
          <w:highlight w:val="none"/>
        </w:rPr>
        <w:t>,向招标人推荐</w:t>
      </w:r>
      <w:r>
        <w:rPr>
          <w:rFonts w:hint="eastAsia" w:ascii="宋体" w:hAnsi="宋体" w:eastAsia="宋体" w:cs="宋体"/>
          <w:snapToGrid w:val="0"/>
          <w:color w:val="auto"/>
          <w:kern w:val="0"/>
          <w:sz w:val="24"/>
          <w:szCs w:val="24"/>
          <w:highlight w:val="none"/>
          <w:lang w:val="en-US" w:eastAsia="zh-CN"/>
        </w:rPr>
        <w:t>已明确的</w:t>
      </w:r>
      <w:r>
        <w:rPr>
          <w:rFonts w:hint="eastAsia" w:ascii="宋体" w:hAnsi="宋体" w:eastAsia="宋体" w:cs="宋体"/>
          <w:snapToGrid w:val="0"/>
          <w:color w:val="auto"/>
          <w:kern w:val="0"/>
          <w:sz w:val="24"/>
          <w:szCs w:val="24"/>
          <w:highlight w:val="none"/>
        </w:rPr>
        <w:t>定标候选人</w:t>
      </w:r>
      <w:r>
        <w:rPr>
          <w:rFonts w:hint="eastAsia" w:ascii="宋体" w:hAnsi="宋体" w:eastAsia="宋体" w:cs="宋体"/>
          <w:snapToGrid w:val="0"/>
          <w:color w:val="auto"/>
          <w:kern w:val="0"/>
          <w:sz w:val="24"/>
          <w:szCs w:val="24"/>
          <w:highlight w:val="none"/>
          <w:lang w:eastAsia="zh-CN"/>
        </w:rPr>
        <w:t>数量</w:t>
      </w:r>
      <w:r>
        <w:rPr>
          <w:rFonts w:hint="eastAsia" w:ascii="宋体" w:hAnsi="宋体" w:eastAsia="宋体" w:cs="宋体"/>
          <w:snapToGrid w:val="0"/>
          <w:color w:val="auto"/>
          <w:kern w:val="0"/>
          <w:sz w:val="24"/>
          <w:szCs w:val="24"/>
          <w:highlight w:val="none"/>
        </w:rPr>
        <w:t>（不</w:t>
      </w:r>
      <w:r>
        <w:rPr>
          <w:rFonts w:hint="eastAsia" w:ascii="宋体" w:hAnsi="宋体" w:eastAsia="宋体" w:cs="宋体"/>
          <w:snapToGrid w:val="0"/>
          <w:color w:val="auto"/>
          <w:kern w:val="0"/>
          <w:sz w:val="24"/>
          <w:szCs w:val="24"/>
          <w:highlight w:val="none"/>
          <w:lang w:val="en-US" w:eastAsia="zh-CN"/>
        </w:rPr>
        <w:t>标明</w:t>
      </w:r>
      <w:r>
        <w:rPr>
          <w:rFonts w:hint="eastAsia" w:ascii="宋体" w:hAnsi="宋体" w:eastAsia="宋体" w:cs="宋体"/>
          <w:snapToGrid w:val="0"/>
          <w:color w:val="auto"/>
          <w:kern w:val="0"/>
          <w:sz w:val="24"/>
          <w:szCs w:val="24"/>
          <w:highlight w:val="none"/>
        </w:rPr>
        <w:t>排序）</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评标委员会推荐定标候选人后，</w:t>
      </w:r>
      <w:r>
        <w:rPr>
          <w:rFonts w:hint="eastAsia" w:ascii="宋体" w:hAnsi="宋体" w:eastAsia="宋体" w:cs="宋体"/>
          <w:snapToGrid w:val="0"/>
          <w:color w:val="auto"/>
          <w:kern w:val="0"/>
          <w:sz w:val="24"/>
          <w:szCs w:val="24"/>
          <w:highlight w:val="none"/>
        </w:rPr>
        <w:t>招标人应</w:t>
      </w:r>
      <w:r>
        <w:rPr>
          <w:rFonts w:hint="eastAsia" w:ascii="宋体" w:hAnsi="宋体" w:eastAsia="宋体" w:cs="宋体"/>
          <w:snapToGrid w:val="0"/>
          <w:color w:val="auto"/>
          <w:kern w:val="0"/>
          <w:sz w:val="24"/>
          <w:szCs w:val="24"/>
          <w:highlight w:val="none"/>
          <w:lang w:eastAsia="zh-CN"/>
        </w:rPr>
        <w:t>于评标会结束后</w:t>
      </w:r>
      <w:r>
        <w:rPr>
          <w:rFonts w:hint="eastAsia" w:ascii="宋体" w:hAnsi="宋体" w:eastAsia="宋体" w:cs="宋体"/>
          <w:snapToGrid w:val="0"/>
          <w:color w:val="auto"/>
          <w:kern w:val="0"/>
          <w:sz w:val="24"/>
          <w:szCs w:val="24"/>
          <w:highlight w:val="none"/>
          <w:lang w:val="en-US" w:eastAsia="zh-CN"/>
        </w:rPr>
        <w:t>3日内将</w:t>
      </w:r>
      <w:r>
        <w:rPr>
          <w:rFonts w:hint="eastAsia" w:ascii="宋体" w:hAnsi="宋体" w:eastAsia="宋体" w:cs="宋体"/>
          <w:snapToGrid w:val="0"/>
          <w:color w:val="auto"/>
          <w:kern w:val="0"/>
          <w:sz w:val="24"/>
          <w:szCs w:val="24"/>
          <w:highlight w:val="none"/>
          <w:lang w:eastAsia="zh-CN"/>
        </w:rPr>
        <w:t>定</w:t>
      </w:r>
      <w:r>
        <w:rPr>
          <w:rFonts w:hint="eastAsia" w:ascii="宋体" w:hAnsi="宋体" w:eastAsia="宋体" w:cs="宋体"/>
          <w:snapToGrid w:val="0"/>
          <w:color w:val="auto"/>
          <w:kern w:val="0"/>
          <w:sz w:val="24"/>
          <w:szCs w:val="24"/>
          <w:highlight w:val="none"/>
        </w:rPr>
        <w:t>标候选</w:t>
      </w:r>
      <w:r>
        <w:rPr>
          <w:rFonts w:hint="eastAsia" w:ascii="宋体" w:hAnsi="宋体" w:eastAsia="宋体" w:cs="宋体"/>
          <w:snapToGrid w:val="0"/>
          <w:color w:val="auto"/>
          <w:kern w:val="0"/>
          <w:sz w:val="24"/>
          <w:szCs w:val="24"/>
          <w:highlight w:val="none"/>
          <w:lang w:eastAsia="zh-CN"/>
        </w:rPr>
        <w:t>人和评标情况</w:t>
      </w:r>
      <w:r>
        <w:rPr>
          <w:rFonts w:hint="eastAsia" w:ascii="宋体" w:hAnsi="宋体" w:eastAsia="宋体" w:cs="宋体"/>
          <w:snapToGrid w:val="0"/>
          <w:color w:val="auto"/>
          <w:kern w:val="0"/>
          <w:sz w:val="24"/>
          <w:szCs w:val="24"/>
          <w:highlight w:val="none"/>
          <w:lang w:val="en-US" w:eastAsia="zh-CN"/>
        </w:rPr>
        <w:t>在广东省招标投标监管网和</w:t>
      </w:r>
      <w:r>
        <w:rPr>
          <w:rFonts w:hint="eastAsia" w:ascii="宋体" w:hAnsi="宋体" w:eastAsia="宋体" w:cs="宋体"/>
          <w:snapToGrid w:val="0"/>
          <w:color w:val="auto"/>
          <w:kern w:val="0"/>
          <w:sz w:val="24"/>
          <w:szCs w:val="24"/>
          <w:highlight w:val="none"/>
        </w:rPr>
        <w:t>韶关市公共资源交易中心</w:t>
      </w:r>
      <w:r>
        <w:rPr>
          <w:rFonts w:hint="eastAsia" w:ascii="宋体" w:hAnsi="宋体" w:eastAsia="宋体" w:cs="宋体"/>
          <w:snapToGrid w:val="0"/>
          <w:color w:val="auto"/>
          <w:kern w:val="0"/>
          <w:sz w:val="24"/>
          <w:szCs w:val="24"/>
          <w:highlight w:val="none"/>
          <w:lang w:eastAsia="zh-CN"/>
        </w:rPr>
        <w:t>建设工程交易系统</w:t>
      </w:r>
      <w:r>
        <w:rPr>
          <w:rFonts w:hint="eastAsia" w:ascii="宋体" w:hAnsi="宋体" w:eastAsia="宋体" w:cs="宋体"/>
          <w:snapToGrid w:val="0"/>
          <w:color w:val="auto"/>
          <w:kern w:val="0"/>
          <w:sz w:val="24"/>
          <w:szCs w:val="24"/>
          <w:highlight w:val="none"/>
          <w:lang w:val="en-US" w:eastAsia="zh-CN"/>
        </w:rPr>
        <w:t>上</w:t>
      </w:r>
      <w:r>
        <w:rPr>
          <w:rFonts w:hint="eastAsia" w:ascii="宋体" w:hAnsi="宋体" w:eastAsia="宋体" w:cs="宋体"/>
          <w:snapToGrid w:val="0"/>
          <w:color w:val="auto"/>
          <w:kern w:val="0"/>
          <w:sz w:val="24"/>
          <w:szCs w:val="24"/>
          <w:highlight w:val="none"/>
        </w:rPr>
        <w:t>公示</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公示时间不少于3日。</w:t>
      </w:r>
      <w:r>
        <w:rPr>
          <w:rFonts w:hint="eastAsia" w:ascii="宋体" w:hAnsi="宋体" w:eastAsia="宋体" w:cs="宋体"/>
          <w:snapToGrid w:val="0"/>
          <w:color w:val="auto"/>
          <w:kern w:val="0"/>
          <w:sz w:val="24"/>
          <w:szCs w:val="24"/>
          <w:highlight w:val="none"/>
          <w:lang w:eastAsia="zh-CN"/>
        </w:rPr>
        <w:t>公示主要内容包括：（</w:t>
      </w:r>
      <w:r>
        <w:rPr>
          <w:rFonts w:hint="eastAsia" w:ascii="宋体" w:hAnsi="宋体" w:eastAsia="宋体" w:cs="宋体"/>
          <w:snapToGrid w:val="0"/>
          <w:color w:val="auto"/>
          <w:kern w:val="0"/>
          <w:sz w:val="24"/>
          <w:szCs w:val="24"/>
          <w:highlight w:val="none"/>
          <w:lang w:val="en-US" w:eastAsia="zh-CN"/>
        </w:rPr>
        <w:t>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48FF15C5">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752AFC36">
      <w:pPr>
        <w:spacing w:before="78" w:line="220" w:lineRule="auto"/>
        <w:ind w:left="9"/>
        <w:jc w:val="both"/>
        <w:outlineLvl w:val="1"/>
        <w:rPr>
          <w:rFonts w:hint="eastAsia" w:ascii="宋体" w:hAnsi="宋体" w:eastAsia="宋体" w:cs="宋体"/>
          <w:b/>
          <w:bCs/>
          <w:color w:val="auto"/>
          <w:spacing w:val="-3"/>
          <w:sz w:val="24"/>
          <w:szCs w:val="24"/>
          <w:highlight w:val="none"/>
        </w:rPr>
      </w:pPr>
    </w:p>
    <w:p w14:paraId="28465B5B">
      <w:pPr>
        <w:pStyle w:val="4"/>
        <w:rPr>
          <w:rFonts w:hint="eastAsia" w:ascii="宋体" w:hAnsi="宋体" w:eastAsia="宋体" w:cs="宋体"/>
          <w:b/>
          <w:bCs/>
          <w:color w:val="auto"/>
          <w:spacing w:val="-3"/>
          <w:sz w:val="24"/>
          <w:szCs w:val="24"/>
          <w:highlight w:val="none"/>
        </w:rPr>
      </w:pPr>
    </w:p>
    <w:p w14:paraId="2EEB4A59">
      <w:pPr>
        <w:pStyle w:val="4"/>
        <w:rPr>
          <w:rFonts w:hint="eastAsia" w:ascii="宋体" w:hAnsi="宋体" w:eastAsia="宋体" w:cs="宋体"/>
          <w:b/>
          <w:bCs/>
          <w:color w:val="auto"/>
          <w:spacing w:val="-3"/>
          <w:sz w:val="24"/>
          <w:szCs w:val="24"/>
          <w:highlight w:val="none"/>
        </w:rPr>
      </w:pPr>
    </w:p>
    <w:p w14:paraId="028B3B07">
      <w:pPr>
        <w:pStyle w:val="4"/>
        <w:rPr>
          <w:rFonts w:hint="eastAsia" w:ascii="宋体" w:hAnsi="宋体" w:eastAsia="宋体" w:cs="宋体"/>
          <w:b/>
          <w:bCs/>
          <w:color w:val="auto"/>
          <w:spacing w:val="-3"/>
          <w:sz w:val="24"/>
          <w:szCs w:val="24"/>
          <w:highlight w:val="none"/>
        </w:rPr>
      </w:pPr>
    </w:p>
    <w:p w14:paraId="4D8E9B6F">
      <w:pPr>
        <w:pStyle w:val="4"/>
        <w:rPr>
          <w:rFonts w:hint="eastAsia" w:ascii="宋体" w:hAnsi="宋体" w:eastAsia="宋体" w:cs="宋体"/>
          <w:b/>
          <w:bCs/>
          <w:color w:val="auto"/>
          <w:spacing w:val="-3"/>
          <w:sz w:val="24"/>
          <w:szCs w:val="24"/>
          <w:highlight w:val="none"/>
        </w:rPr>
      </w:pPr>
    </w:p>
    <w:p w14:paraId="7C3E7DEB">
      <w:pPr>
        <w:pStyle w:val="4"/>
        <w:rPr>
          <w:rFonts w:hint="eastAsia" w:ascii="宋体" w:hAnsi="宋体" w:eastAsia="宋体" w:cs="宋体"/>
          <w:b/>
          <w:bCs/>
          <w:color w:val="auto"/>
          <w:spacing w:val="-3"/>
          <w:sz w:val="24"/>
          <w:szCs w:val="24"/>
          <w:highlight w:val="none"/>
        </w:rPr>
      </w:pPr>
    </w:p>
    <w:p w14:paraId="3DA9181D">
      <w:pPr>
        <w:pStyle w:val="4"/>
        <w:rPr>
          <w:rFonts w:hint="eastAsia" w:ascii="宋体" w:hAnsi="宋体" w:eastAsia="宋体" w:cs="宋体"/>
          <w:b/>
          <w:bCs/>
          <w:color w:val="auto"/>
          <w:spacing w:val="-3"/>
          <w:sz w:val="24"/>
          <w:szCs w:val="24"/>
          <w:highlight w:val="none"/>
        </w:rPr>
      </w:pPr>
    </w:p>
    <w:p w14:paraId="4B718342">
      <w:pPr>
        <w:pStyle w:val="4"/>
        <w:rPr>
          <w:rFonts w:hint="eastAsia" w:ascii="宋体" w:hAnsi="宋体" w:eastAsia="宋体" w:cs="宋体"/>
          <w:b/>
          <w:bCs/>
          <w:color w:val="auto"/>
          <w:spacing w:val="-3"/>
          <w:sz w:val="24"/>
          <w:szCs w:val="24"/>
          <w:highlight w:val="none"/>
        </w:rPr>
      </w:pPr>
    </w:p>
    <w:p w14:paraId="65ABA5BA">
      <w:pPr>
        <w:pStyle w:val="4"/>
        <w:rPr>
          <w:rFonts w:hint="eastAsia" w:ascii="宋体" w:hAnsi="宋体" w:eastAsia="宋体" w:cs="宋体"/>
          <w:b/>
          <w:bCs/>
          <w:color w:val="auto"/>
          <w:spacing w:val="-3"/>
          <w:sz w:val="24"/>
          <w:szCs w:val="24"/>
          <w:highlight w:val="none"/>
        </w:rPr>
      </w:pPr>
    </w:p>
    <w:p w14:paraId="6C428A15">
      <w:pPr>
        <w:pStyle w:val="4"/>
        <w:rPr>
          <w:rFonts w:hint="eastAsia" w:ascii="宋体" w:hAnsi="宋体" w:eastAsia="宋体" w:cs="宋体"/>
          <w:b/>
          <w:bCs/>
          <w:color w:val="auto"/>
          <w:spacing w:val="-3"/>
          <w:sz w:val="24"/>
          <w:szCs w:val="24"/>
          <w:highlight w:val="none"/>
        </w:rPr>
      </w:pPr>
    </w:p>
    <w:p w14:paraId="63F4223C">
      <w:pPr>
        <w:spacing w:before="78" w:line="220" w:lineRule="auto"/>
        <w:ind w:left="9"/>
        <w:jc w:val="center"/>
        <w:outlineLvl w:val="1"/>
        <w:rPr>
          <w:rFonts w:hint="eastAsia" w:ascii="宋体" w:hAnsi="宋体" w:eastAsia="宋体" w:cs="宋体"/>
          <w:b/>
          <w:bCs/>
          <w:color w:val="auto"/>
          <w:spacing w:val="-3"/>
          <w:sz w:val="24"/>
          <w:szCs w:val="24"/>
          <w:highlight w:val="none"/>
        </w:rPr>
      </w:pPr>
    </w:p>
    <w:p w14:paraId="0B19371A">
      <w:pPr>
        <w:spacing w:before="78" w:line="220" w:lineRule="auto"/>
        <w:ind w:left="9"/>
        <w:jc w:val="center"/>
        <w:outlineLvl w:val="1"/>
        <w:rPr>
          <w:rFonts w:hint="eastAsia" w:ascii="宋体" w:hAnsi="宋体" w:eastAsia="宋体" w:cs="宋体"/>
          <w:color w:val="auto"/>
          <w:sz w:val="24"/>
          <w:szCs w:val="24"/>
          <w:highlight w:val="none"/>
        </w:rPr>
      </w:pPr>
      <w:bookmarkStart w:id="144" w:name="_Toc16554"/>
      <w:r>
        <w:rPr>
          <w:rFonts w:hint="eastAsia" w:ascii="宋体" w:hAnsi="宋体" w:eastAsia="宋体" w:cs="宋体"/>
          <w:b/>
          <w:bCs/>
          <w:color w:val="auto"/>
          <w:spacing w:val="-3"/>
          <w:sz w:val="24"/>
          <w:szCs w:val="24"/>
          <w:highlight w:val="none"/>
        </w:rPr>
        <w:t>第四节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否决投标条件</w:t>
      </w:r>
      <w:bookmarkEnd w:id="144"/>
    </w:p>
    <w:p w14:paraId="1EFFC73A">
      <w:pPr>
        <w:pStyle w:val="5"/>
        <w:spacing w:line="256" w:lineRule="auto"/>
        <w:rPr>
          <w:rFonts w:hint="eastAsia" w:ascii="宋体" w:hAnsi="宋体" w:eastAsia="宋体" w:cs="宋体"/>
          <w:color w:val="auto"/>
          <w:highlight w:val="none"/>
        </w:rPr>
      </w:pPr>
    </w:p>
    <w:p w14:paraId="70DA8BCC">
      <w:pPr>
        <w:spacing w:before="78" w:line="330" w:lineRule="auto"/>
        <w:ind w:left="10" w:right="65"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本节所集中列示的否决投标条件，是本章第三节“投标人须知正文</w:t>
      </w:r>
      <w:r>
        <w:rPr>
          <w:rFonts w:hint="eastAsia" w:ascii="宋体" w:hAnsi="宋体" w:eastAsia="宋体" w:cs="宋体"/>
          <w:color w:val="auto"/>
          <w:spacing w:val="-72"/>
          <w:sz w:val="24"/>
          <w:szCs w:val="24"/>
          <w:highlight w:val="none"/>
        </w:rPr>
        <w:t xml:space="preserve"> </w:t>
      </w:r>
      <w:r>
        <w:rPr>
          <w:rFonts w:hint="eastAsia" w:ascii="宋体" w:hAnsi="宋体" w:eastAsia="宋体" w:cs="宋体"/>
          <w:color w:val="auto"/>
          <w:spacing w:val="-3"/>
          <w:sz w:val="24"/>
          <w:szCs w:val="24"/>
          <w:highlight w:val="none"/>
        </w:rPr>
        <w:t>”的组成部分，</w:t>
      </w:r>
      <w:r>
        <w:rPr>
          <w:rFonts w:hint="eastAsia" w:ascii="宋体" w:hAnsi="宋体" w:eastAsia="宋体" w:cs="宋体"/>
          <w:color w:val="auto"/>
          <w:spacing w:val="-2"/>
          <w:sz w:val="24"/>
          <w:szCs w:val="24"/>
          <w:highlight w:val="none"/>
        </w:rPr>
        <w:t>是对本章第三节所规定的否决投标条件的总</w:t>
      </w:r>
      <w:r>
        <w:rPr>
          <w:rFonts w:hint="eastAsia" w:ascii="宋体" w:hAnsi="宋体" w:eastAsia="宋体" w:cs="宋体"/>
          <w:color w:val="auto"/>
          <w:spacing w:val="-3"/>
          <w:sz w:val="24"/>
          <w:szCs w:val="24"/>
          <w:highlight w:val="none"/>
        </w:rPr>
        <w:t>结和补充。</w:t>
      </w:r>
      <w:r>
        <w:rPr>
          <w:rFonts w:hint="eastAsia" w:ascii="宋体" w:hAnsi="宋体" w:eastAsia="宋体" w:cs="宋体"/>
          <w:b/>
          <w:bCs/>
          <w:color w:val="auto"/>
          <w:spacing w:val="-3"/>
          <w:sz w:val="24"/>
          <w:szCs w:val="24"/>
          <w:highlight w:val="none"/>
        </w:rPr>
        <w:t>投标人未有列入本节情形的，评</w:t>
      </w:r>
      <w:r>
        <w:rPr>
          <w:rFonts w:hint="eastAsia" w:ascii="宋体" w:hAnsi="宋体" w:eastAsia="宋体" w:cs="宋体"/>
          <w:b/>
          <w:bCs/>
          <w:color w:val="auto"/>
          <w:spacing w:val="-2"/>
          <w:sz w:val="24"/>
          <w:szCs w:val="24"/>
          <w:highlight w:val="none"/>
        </w:rPr>
        <w:t>标时一律不得否决其投标。</w:t>
      </w:r>
      <w:r>
        <w:rPr>
          <w:rFonts w:hint="eastAsia" w:ascii="宋体" w:hAnsi="宋体" w:eastAsia="宋体" w:cs="宋体"/>
          <w:color w:val="auto"/>
          <w:spacing w:val="-2"/>
          <w:sz w:val="24"/>
          <w:szCs w:val="24"/>
          <w:highlight w:val="none"/>
        </w:rPr>
        <w:t>本节所称“规定</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”均指招标文件的规</w:t>
      </w:r>
      <w:r>
        <w:rPr>
          <w:rFonts w:hint="eastAsia" w:ascii="宋体" w:hAnsi="宋体" w:eastAsia="宋体" w:cs="宋体"/>
          <w:color w:val="auto"/>
          <w:spacing w:val="-3"/>
          <w:sz w:val="24"/>
          <w:szCs w:val="24"/>
          <w:highlight w:val="none"/>
        </w:rPr>
        <w:t>定。</w:t>
      </w:r>
    </w:p>
    <w:p w14:paraId="5C70497D">
      <w:pPr>
        <w:spacing w:before="34" w:line="220" w:lineRule="auto"/>
        <w:ind w:left="495"/>
        <w:outlineLvl w:val="2"/>
        <w:rPr>
          <w:rFonts w:hint="eastAsia" w:ascii="宋体" w:hAnsi="宋体" w:eastAsia="宋体" w:cs="宋体"/>
          <w:color w:val="auto"/>
          <w:sz w:val="24"/>
          <w:szCs w:val="24"/>
          <w:highlight w:val="none"/>
        </w:rPr>
      </w:pPr>
      <w:bookmarkStart w:id="145" w:name="_Toc15082"/>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．资格评审环节</w:t>
      </w:r>
      <w:bookmarkEnd w:id="145"/>
    </w:p>
    <w:p w14:paraId="160261BC">
      <w:pPr>
        <w:spacing w:before="150" w:line="280" w:lineRule="auto"/>
        <w:ind w:right="200" w:firstLine="492"/>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投标人有下列情形之一的，评标委员会应否决其投标。被否决的投标人，不进入形</w:t>
      </w:r>
      <w:r>
        <w:rPr>
          <w:rFonts w:hint="eastAsia" w:ascii="宋体" w:hAnsi="宋体" w:eastAsia="宋体" w:cs="宋体"/>
          <w:color w:val="auto"/>
          <w:spacing w:val="-3"/>
          <w:sz w:val="24"/>
          <w:szCs w:val="24"/>
          <w:highlight w:val="none"/>
        </w:rPr>
        <w:t>式评审环节。</w:t>
      </w:r>
    </w:p>
    <w:p w14:paraId="0D52E19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（1）有本章第三节第 2.4 条“禁止投标条款 ”规定的任何一种情形；</w:t>
      </w:r>
    </w:p>
    <w:p w14:paraId="603309E4">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（2）投标人资质不符合规定的；</w:t>
      </w:r>
    </w:p>
    <w:p w14:paraId="5D4AA6B6">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名称与营业执照、资质证书、安全生产许可证上的企业名称相互不一致的；其资质证书、安全生产许可证不是由住房城乡建设主管部门颁发的；营业执照、资质证书、安全生产许可证被吊销、暂扣或不在有效期内的；</w:t>
      </w:r>
    </w:p>
    <w:p w14:paraId="1AEC6BC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14:paraId="11696778">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240" w:firstLineChars="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（4）拟派项目经理、项目技术负责人、专职安全员的条件不符合规定的；拟派专职安全员数量不符合规定的；项目技术负责人未在投标文件《项目技术负责人简历表》中签字确认。</w:t>
      </w:r>
    </w:p>
    <w:p w14:paraId="7D8B8E4A">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温馨提示：建造师打印电子证书后，应在个人签名处手写本人签名，未手写签名或与签名图像笔迹不一致的，该电子证书无效。</w:t>
      </w:r>
    </w:p>
    <w:p w14:paraId="55F4CA10">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项目经理简历表》中拟派项目经理与《开标一览表》不一致的；拟派的项目经理未在投标文件《项目经理简历表》中签字确认；一级建造师的注册证书不是国家住建部颁发的；建造师的注册单位与投标人不一致的；项目管理班子组成人员的各类证书、证件、证明不在有效期内的（建造师注册证书不在使用有效期内的）；擅自修改、遗漏《项目经理任职声明》实质性内容的；</w:t>
      </w:r>
    </w:p>
    <w:p w14:paraId="1B67E4FD">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注：投标人已经工商变更，但其员工执业资格注册证书的注册单位名称未完成变更的，不得否决其投标。</w:t>
      </w:r>
    </w:p>
    <w:p w14:paraId="311DFE69">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鉴于目前继续教育开展的实际情况，建筑和市政工程施工现场专业人员（例如：施工员、质量员、材料员、资料员）的岗位证书或培训证书不审查其证书的有效期。</w:t>
      </w:r>
    </w:p>
    <w:p w14:paraId="6C0F58AC">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联合体投标，未提交《联合体协议书》的；擅自修改、遗漏《联合体协议书》实质性内容的；联合体成员的数量、资质不符合规定的；联合体成员同时以自己名义单独投标或者参加其他联合体投标的；</w:t>
      </w:r>
    </w:p>
    <w:p w14:paraId="2545E353">
      <w:pPr>
        <w:keepNext w:val="0"/>
        <w:keepLines w:val="0"/>
        <w:pageBreakBefore w:val="0"/>
        <w:widowControl/>
        <w:kinsoku w:val="0"/>
        <w:wordWrap/>
        <w:overflowPunct/>
        <w:topLinePunct w:val="0"/>
        <w:autoSpaceDE w:val="0"/>
        <w:autoSpaceDN w:val="0"/>
        <w:bidi w:val="0"/>
        <w:adjustRightInd w:val="0"/>
        <w:snapToGrid w:val="0"/>
        <w:spacing w:line="360" w:lineRule="auto"/>
        <w:ind w:right="198" w:firstLine="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）投标人为外省建筑企业，但未提供“进粤企业和人员诚信信息登记平台 ”企业和拟派人员信息情况打印页或网页截图的。</w:t>
      </w:r>
    </w:p>
    <w:p w14:paraId="6D70902A">
      <w:pPr>
        <w:spacing w:before="154" w:line="221" w:lineRule="auto"/>
        <w:ind w:left="477"/>
        <w:outlineLvl w:val="2"/>
        <w:rPr>
          <w:rFonts w:hint="eastAsia" w:ascii="宋体" w:hAnsi="宋体" w:eastAsia="宋体" w:cs="宋体"/>
          <w:color w:val="auto"/>
          <w:sz w:val="24"/>
          <w:szCs w:val="24"/>
          <w:highlight w:val="none"/>
        </w:rPr>
      </w:pPr>
      <w:bookmarkStart w:id="146" w:name="_Toc5925"/>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．形式评审环节</w:t>
      </w:r>
      <w:bookmarkEnd w:id="146"/>
    </w:p>
    <w:p w14:paraId="26483CE3">
      <w:pPr>
        <w:keepNext w:val="0"/>
        <w:keepLines w:val="0"/>
        <w:pageBreakBefore w:val="0"/>
        <w:widowControl/>
        <w:kinsoku w:val="0"/>
        <w:wordWrap/>
        <w:overflowPunct/>
        <w:topLinePunct w:val="0"/>
        <w:autoSpaceDE w:val="0"/>
        <w:autoSpaceDN w:val="0"/>
        <w:bidi w:val="0"/>
        <w:adjustRightInd w:val="0"/>
        <w:snapToGrid w:val="0"/>
        <w:spacing w:line="360" w:lineRule="auto"/>
        <w:ind w:right="200" w:firstLine="48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投标人有下列情形之一的，评标委员会应否决其投标。被否决的投标人，不进入响应性评审环节。</w:t>
      </w:r>
    </w:p>
    <w:p w14:paraId="0C2F9E3F">
      <w:pPr>
        <w:keepNext w:val="0"/>
        <w:keepLines w:val="0"/>
        <w:pageBreakBefore w:val="0"/>
        <w:widowControl/>
        <w:kinsoku w:val="0"/>
        <w:wordWrap/>
        <w:overflowPunct/>
        <w:topLinePunct w:val="0"/>
        <w:autoSpaceDE w:val="0"/>
        <w:autoSpaceDN w:val="0"/>
        <w:bidi w:val="0"/>
        <w:adjustRightInd w:val="0"/>
        <w:snapToGrid w:val="0"/>
        <w:spacing w:line="360" w:lineRule="auto"/>
        <w:ind w:left="49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（1）各分册没按招标文件规定加盖电子印章；</w:t>
      </w:r>
    </w:p>
    <w:p w14:paraId="2D11B641">
      <w:pPr>
        <w:keepNext w:val="0"/>
        <w:keepLines w:val="0"/>
        <w:pageBreakBefore w:val="0"/>
        <w:widowControl/>
        <w:kinsoku w:val="0"/>
        <w:wordWrap/>
        <w:overflowPunct/>
        <w:topLinePunct w:val="0"/>
        <w:autoSpaceDE w:val="0"/>
        <w:autoSpaceDN w:val="0"/>
        <w:bidi w:val="0"/>
        <w:adjustRightInd w:val="0"/>
        <w:snapToGrid w:val="0"/>
        <w:spacing w:line="360" w:lineRule="auto"/>
        <w:ind w:left="1" w:right="200" w:firstLine="49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（2）本章第三节第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10.2.2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10.3.2</w:t>
      </w:r>
      <w:r>
        <w:rPr>
          <w:rFonts w:hint="eastAsia" w:ascii="宋体" w:hAnsi="宋体" w:eastAsia="宋体" w:cs="宋体"/>
          <w:color w:val="auto"/>
          <w:spacing w:val="-8"/>
          <w:sz w:val="24"/>
          <w:szCs w:val="24"/>
          <w:highlight w:val="none"/>
        </w:rPr>
        <w:t xml:space="preserve"> 目、第</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8"/>
          <w:sz w:val="24"/>
          <w:szCs w:val="24"/>
          <w:highlight w:val="none"/>
        </w:rPr>
        <w:t>10.4.3</w:t>
      </w:r>
      <w:r>
        <w:rPr>
          <w:rFonts w:hint="eastAsia" w:ascii="宋体" w:hAnsi="宋体" w:eastAsia="宋体" w:cs="宋体"/>
          <w:color w:val="auto"/>
          <w:spacing w:val="-8"/>
          <w:sz w:val="24"/>
          <w:szCs w:val="24"/>
          <w:highlight w:val="none"/>
        </w:rPr>
        <w:t xml:space="preserve"> 目中规定的“所有投标人</w:t>
      </w:r>
      <w:r>
        <w:rPr>
          <w:rFonts w:hint="eastAsia" w:ascii="宋体" w:hAnsi="宋体" w:eastAsia="宋体" w:cs="宋体"/>
          <w:color w:val="auto"/>
          <w:spacing w:val="-1"/>
          <w:sz w:val="24"/>
          <w:szCs w:val="24"/>
          <w:highlight w:val="none"/>
        </w:rPr>
        <w:t>均应提供</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”的组成内容（包括该组成内容的所附资料）中，</w:t>
      </w:r>
      <w:r>
        <w:rPr>
          <w:rFonts w:hint="eastAsia" w:ascii="宋体" w:hAnsi="宋体" w:eastAsia="宋体" w:cs="宋体"/>
          <w:color w:val="auto"/>
          <w:spacing w:val="-2"/>
          <w:sz w:val="24"/>
          <w:szCs w:val="24"/>
          <w:highlight w:val="none"/>
        </w:rPr>
        <w:t>任何一项有缺漏的；</w:t>
      </w:r>
    </w:p>
    <w:p w14:paraId="306681E4">
      <w:pPr>
        <w:keepNext w:val="0"/>
        <w:keepLines w:val="0"/>
        <w:pageBreakBefore w:val="0"/>
        <w:widowControl/>
        <w:kinsoku w:val="0"/>
        <w:wordWrap/>
        <w:overflowPunct/>
        <w:topLinePunct w:val="0"/>
        <w:autoSpaceDE w:val="0"/>
        <w:autoSpaceDN w:val="0"/>
        <w:bidi w:val="0"/>
        <w:adjustRightInd w:val="0"/>
        <w:snapToGrid w:val="0"/>
        <w:spacing w:line="360" w:lineRule="auto"/>
        <w:ind w:left="8" w:right="200" w:firstLine="4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（3）关键字迹模糊、无法辨认，且该种过错将导致评标委员会无法判断投标文件是</w:t>
      </w:r>
      <w:r>
        <w:rPr>
          <w:rFonts w:hint="eastAsia" w:ascii="宋体" w:hAnsi="宋体" w:eastAsia="宋体" w:cs="宋体"/>
          <w:color w:val="auto"/>
          <w:spacing w:val="-2"/>
          <w:sz w:val="24"/>
          <w:szCs w:val="24"/>
          <w:highlight w:val="none"/>
        </w:rPr>
        <w:t>否响应招标文件实质性要求的；有涂改、行间插字或删除，但未加盖单位章或由投标人</w:t>
      </w:r>
      <w:r>
        <w:rPr>
          <w:rFonts w:hint="eastAsia" w:ascii="宋体" w:hAnsi="宋体" w:eastAsia="宋体" w:cs="宋体"/>
          <w:color w:val="auto"/>
          <w:spacing w:val="-1"/>
          <w:sz w:val="24"/>
          <w:szCs w:val="24"/>
          <w:highlight w:val="none"/>
        </w:rPr>
        <w:t>的法定代表人或其委托代理人签字确认的；</w:t>
      </w:r>
    </w:p>
    <w:p w14:paraId="1D5E7E8B">
      <w:pPr>
        <w:keepNext w:val="0"/>
        <w:keepLines w:val="0"/>
        <w:pageBreakBefore w:val="0"/>
        <w:widowControl/>
        <w:kinsoku w:val="0"/>
        <w:wordWrap/>
        <w:overflowPunct/>
        <w:topLinePunct w:val="0"/>
        <w:autoSpaceDE w:val="0"/>
        <w:autoSpaceDN w:val="0"/>
        <w:bidi w:val="0"/>
        <w:adjustRightInd w:val="0"/>
        <w:snapToGrid w:val="0"/>
        <w:spacing w:line="360" w:lineRule="auto"/>
        <w:ind w:left="43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（4）投标文件未按规定签字、盖章的。</w:t>
      </w:r>
    </w:p>
    <w:p w14:paraId="361A256C">
      <w:pPr>
        <w:spacing w:before="227" w:line="221" w:lineRule="auto"/>
        <w:ind w:left="475"/>
        <w:outlineLvl w:val="2"/>
        <w:rPr>
          <w:rFonts w:hint="eastAsia" w:ascii="宋体" w:hAnsi="宋体" w:eastAsia="宋体" w:cs="宋体"/>
          <w:color w:val="auto"/>
          <w:sz w:val="24"/>
          <w:szCs w:val="24"/>
          <w:highlight w:val="none"/>
        </w:rPr>
      </w:pPr>
      <w:bookmarkStart w:id="147" w:name="_Toc19828"/>
      <w:r>
        <w:rPr>
          <w:rFonts w:hint="eastAsia" w:ascii="宋体" w:hAnsi="宋体" w:eastAsia="宋体" w:cs="宋体"/>
          <w:b/>
          <w:bCs/>
          <w:color w:val="auto"/>
          <w:spacing w:val="-6"/>
          <w:sz w:val="24"/>
          <w:szCs w:val="24"/>
          <w:highlight w:val="none"/>
        </w:rPr>
        <w:t>3</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6"/>
          <w:sz w:val="24"/>
          <w:szCs w:val="24"/>
          <w:highlight w:val="none"/>
        </w:rPr>
        <w:t>．响应性评审环节</w:t>
      </w:r>
      <w:bookmarkEnd w:id="147"/>
    </w:p>
    <w:p w14:paraId="58201269">
      <w:pPr>
        <w:spacing w:before="151" w:line="327" w:lineRule="auto"/>
        <w:ind w:left="1" w:right="200"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投标人有下列情形之一的，评标委员会应否决其投标。被否决的投标人，不进入详细评审阶段。</w:t>
      </w:r>
    </w:p>
    <w:p w14:paraId="3701EA00">
      <w:pPr>
        <w:spacing w:before="31" w:line="279" w:lineRule="auto"/>
        <w:ind w:left="40" w:right="200" w:firstLine="45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（1）承诺的投标有效期短于规定的；质量标准低于规定的；工期超出规定的；擅</w:t>
      </w:r>
      <w:r>
        <w:rPr>
          <w:rFonts w:hint="eastAsia" w:ascii="宋体" w:hAnsi="宋体" w:eastAsia="宋体" w:cs="宋体"/>
          <w:color w:val="auto"/>
          <w:spacing w:val="-2"/>
          <w:sz w:val="24"/>
          <w:szCs w:val="24"/>
          <w:highlight w:val="none"/>
        </w:rPr>
        <w:t>自修改、遗漏《投标函》《各项承诺一览表》实质性内容的；</w:t>
      </w:r>
    </w:p>
    <w:p w14:paraId="4BBD2A16">
      <w:pPr>
        <w:spacing w:before="157" w:line="278" w:lineRule="auto"/>
        <w:ind w:left="2" w:right="200" w:firstLine="48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（2）编制《投标总价》的造价工程师，其注册证书不是</w:t>
      </w:r>
      <w:r>
        <w:rPr>
          <w:rFonts w:hint="eastAsia" w:ascii="宋体" w:hAnsi="宋体" w:eastAsia="宋体" w:cs="宋体"/>
          <w:b/>
          <w:bCs/>
          <w:color w:val="auto"/>
          <w:spacing w:val="1"/>
          <w:sz w:val="24"/>
          <w:szCs w:val="24"/>
          <w:highlight w:val="none"/>
        </w:rPr>
        <w:t>住建部门</w:t>
      </w:r>
      <w:r>
        <w:rPr>
          <w:rFonts w:hint="eastAsia" w:ascii="宋体" w:hAnsi="宋体" w:eastAsia="宋体" w:cs="宋体"/>
          <w:color w:val="auto"/>
          <w:spacing w:val="1"/>
          <w:sz w:val="24"/>
          <w:szCs w:val="24"/>
          <w:highlight w:val="none"/>
        </w:rPr>
        <w:t>颁发的；其注册</w:t>
      </w:r>
      <w:r>
        <w:rPr>
          <w:rFonts w:hint="eastAsia" w:ascii="宋体" w:hAnsi="宋体" w:eastAsia="宋体" w:cs="宋体"/>
          <w:color w:val="auto"/>
          <w:sz w:val="24"/>
          <w:szCs w:val="24"/>
          <w:highlight w:val="none"/>
        </w:rPr>
        <w:t>单位与投标人（或造价咨询人）不一致的；</w:t>
      </w:r>
      <w:r>
        <w:rPr>
          <w:rFonts w:hint="eastAsia" w:ascii="宋体" w:hAnsi="宋体" w:eastAsia="宋体" w:cs="宋体"/>
          <w:color w:val="auto"/>
          <w:spacing w:val="-1"/>
          <w:sz w:val="24"/>
          <w:szCs w:val="24"/>
          <w:highlight w:val="none"/>
        </w:rPr>
        <w:t>其注册证书不在有效期内的。</w:t>
      </w:r>
    </w:p>
    <w:p w14:paraId="28A865F2">
      <w:pPr>
        <w:spacing w:before="156" w:line="329" w:lineRule="auto"/>
        <w:ind w:right="200" w:firstLine="480"/>
        <w:jc w:val="both"/>
        <w:rPr>
          <w:rFonts w:hint="eastAsia" w:ascii="宋体" w:hAnsi="宋体" w:eastAsia="宋体" w:cs="宋体"/>
          <w:color w:val="auto"/>
          <w:highlight w:val="none"/>
        </w:rPr>
      </w:pPr>
      <w:r>
        <w:rPr>
          <w:rFonts w:hint="eastAsia" w:ascii="宋体" w:hAnsi="宋体" w:eastAsia="宋体" w:cs="宋体"/>
          <w:b/>
          <w:bCs/>
          <w:color w:val="auto"/>
          <w:spacing w:val="-4"/>
          <w:sz w:val="24"/>
          <w:szCs w:val="24"/>
          <w:highlight w:val="none"/>
        </w:rPr>
        <w:t>注：投标人（或造价咨询人）已经工商变更，但其员工的执业资格注</w:t>
      </w:r>
      <w:r>
        <w:rPr>
          <w:rFonts w:hint="eastAsia" w:ascii="宋体" w:hAnsi="宋体" w:eastAsia="宋体" w:cs="宋体"/>
          <w:b/>
          <w:bCs/>
          <w:color w:val="auto"/>
          <w:spacing w:val="-5"/>
          <w:sz w:val="24"/>
          <w:szCs w:val="24"/>
          <w:highlight w:val="none"/>
        </w:rPr>
        <w:t>册证书的注册单位名称未完成变更的，不得否决其投标。此条与 10.3.1 中的造价工程师执业（含二级造价工程师）指引相一致。</w:t>
      </w:r>
    </w:p>
    <w:p w14:paraId="5C2D0203">
      <w:pPr>
        <w:spacing w:before="78" w:line="299" w:lineRule="auto"/>
        <w:ind w:left="2" w:right="81"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（3）投标人委托造价咨询单位编制《投标总价》，但未在《投标总价扉页》“投标人</w:t>
      </w:r>
      <w:r>
        <w:rPr>
          <w:rFonts w:hint="eastAsia" w:ascii="宋体" w:hAnsi="宋体" w:eastAsia="宋体" w:cs="宋体"/>
          <w:color w:val="auto"/>
          <w:spacing w:val="-86"/>
          <w:sz w:val="24"/>
          <w:szCs w:val="24"/>
          <w:highlight w:val="none"/>
        </w:rPr>
        <w:t xml:space="preserve"> </w:t>
      </w:r>
      <w:r>
        <w:rPr>
          <w:rFonts w:hint="eastAsia" w:ascii="宋体" w:hAnsi="宋体" w:eastAsia="宋体" w:cs="宋体"/>
          <w:color w:val="auto"/>
          <w:spacing w:val="1"/>
          <w:sz w:val="24"/>
          <w:szCs w:val="24"/>
          <w:highlight w:val="none"/>
        </w:rPr>
        <w:t>”栏目加盖造价咨询人公章的；未提</w:t>
      </w:r>
      <w:r>
        <w:rPr>
          <w:rFonts w:hint="eastAsia" w:ascii="宋体" w:hAnsi="宋体" w:eastAsia="宋体" w:cs="宋体"/>
          <w:color w:val="auto"/>
          <w:sz w:val="24"/>
          <w:szCs w:val="24"/>
          <w:highlight w:val="none"/>
        </w:rPr>
        <w:t>供造价咨询人的营业执照副本彩</w:t>
      </w:r>
      <w:r>
        <w:rPr>
          <w:rFonts w:hint="eastAsia" w:ascii="宋体" w:hAnsi="宋体" w:eastAsia="宋体" w:cs="宋体"/>
          <w:color w:val="auto"/>
          <w:spacing w:val="-3"/>
          <w:sz w:val="24"/>
          <w:szCs w:val="24"/>
          <w:highlight w:val="none"/>
        </w:rPr>
        <w:t>色扫描件；</w:t>
      </w:r>
    </w:p>
    <w:p w14:paraId="64D8C544">
      <w:pPr>
        <w:spacing w:before="151" w:line="360" w:lineRule="auto"/>
        <w:ind w:right="21" w:firstLine="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（4）出现两个或两个以上投标总价的（同一个投标总价大、小写不一致的除外</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投标总价超出</w:t>
      </w:r>
      <w:r>
        <w:rPr>
          <w:rFonts w:hint="eastAsia" w:ascii="宋体" w:hAnsi="宋体" w:eastAsia="宋体" w:cs="宋体"/>
          <w:b/>
          <w:bCs/>
          <w:color w:val="auto"/>
          <w:spacing w:val="-2"/>
          <w:sz w:val="24"/>
          <w:szCs w:val="24"/>
          <w:highlight w:val="none"/>
          <w:lang w:eastAsia="zh-CN"/>
        </w:rPr>
        <w:t>最高投标限价</w:t>
      </w:r>
      <w:r>
        <w:rPr>
          <w:rFonts w:hint="eastAsia" w:ascii="宋体" w:hAnsi="宋体" w:eastAsia="宋体" w:cs="宋体"/>
          <w:color w:val="auto"/>
          <w:spacing w:val="-2"/>
          <w:sz w:val="24"/>
          <w:szCs w:val="24"/>
          <w:highlight w:val="none"/>
        </w:rPr>
        <w:t>的；</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少于规定的；暂列金额、暂估</w:t>
      </w:r>
      <w:r>
        <w:rPr>
          <w:rFonts w:hint="eastAsia" w:ascii="宋体" w:hAnsi="宋体" w:eastAsia="宋体" w:cs="宋体"/>
          <w:color w:val="auto"/>
          <w:spacing w:val="-3"/>
          <w:sz w:val="24"/>
          <w:szCs w:val="24"/>
          <w:highlight w:val="none"/>
        </w:rPr>
        <w:t>价未按照招标工程量清单统一报价的；投标总价下浮率超过</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3"/>
          <w:sz w:val="24"/>
          <w:szCs w:val="24"/>
          <w:highlight w:val="none"/>
        </w:rPr>
        <w:t>15%，又未提供相应书面说</w:t>
      </w:r>
      <w:r>
        <w:rPr>
          <w:rFonts w:hint="eastAsia" w:ascii="宋体" w:hAnsi="宋体" w:eastAsia="宋体" w:cs="宋体"/>
          <w:color w:val="auto"/>
          <w:spacing w:val="-2"/>
          <w:sz w:val="24"/>
          <w:szCs w:val="24"/>
          <w:highlight w:val="none"/>
        </w:rPr>
        <w:t>明和佐证材料或提供的书面说明和佐证材料不能令人信服，被评标委员会认定以低于成</w:t>
      </w:r>
      <w:r>
        <w:rPr>
          <w:rFonts w:hint="eastAsia" w:ascii="宋体" w:hAnsi="宋体" w:eastAsia="宋体" w:cs="宋体"/>
          <w:color w:val="auto"/>
          <w:sz w:val="24"/>
          <w:szCs w:val="24"/>
          <w:highlight w:val="none"/>
        </w:rPr>
        <w:t>本报价竞标的；擅自修改、增减招标工程量清单</w:t>
      </w:r>
      <w:r>
        <w:rPr>
          <w:rFonts w:hint="eastAsia" w:ascii="宋体" w:hAnsi="宋体" w:eastAsia="宋体" w:cs="宋体"/>
          <w:color w:val="auto"/>
          <w:spacing w:val="-1"/>
          <w:sz w:val="24"/>
          <w:szCs w:val="24"/>
          <w:highlight w:val="none"/>
        </w:rPr>
        <w:t>项目（包括措施项目）的；</w:t>
      </w:r>
    </w:p>
    <w:p w14:paraId="13FAA707">
      <w:pPr>
        <w:spacing w:before="156" w:line="299" w:lineRule="auto"/>
        <w:ind w:right="81" w:firstLine="49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（5）在施工组织设计评审中，评标委员会认定质量、进度保障措施与国家和省市</w:t>
      </w:r>
      <w:r>
        <w:rPr>
          <w:rFonts w:hint="eastAsia" w:ascii="宋体" w:hAnsi="宋体" w:eastAsia="宋体" w:cs="宋体"/>
          <w:color w:val="auto"/>
          <w:spacing w:val="-3"/>
          <w:sz w:val="24"/>
          <w:szCs w:val="24"/>
          <w:highlight w:val="none"/>
        </w:rPr>
        <w:t>现行有关规范、规定、标准有重大偏差，</w:t>
      </w:r>
      <w:r>
        <w:rPr>
          <w:rFonts w:hint="eastAsia" w:ascii="宋体" w:hAnsi="宋体" w:eastAsia="宋体" w:cs="宋体"/>
          <w:b/>
          <w:bCs/>
          <w:color w:val="auto"/>
          <w:spacing w:val="-3"/>
          <w:sz w:val="24"/>
          <w:szCs w:val="24"/>
          <w:highlight w:val="none"/>
        </w:rPr>
        <w:t>且该种过错将导致工程质量、进度管理目标无</w:t>
      </w:r>
      <w:r>
        <w:rPr>
          <w:rFonts w:hint="eastAsia" w:ascii="宋体" w:hAnsi="宋体" w:eastAsia="宋体" w:cs="宋体"/>
          <w:b/>
          <w:bCs/>
          <w:color w:val="auto"/>
          <w:spacing w:val="-4"/>
          <w:sz w:val="24"/>
          <w:szCs w:val="24"/>
          <w:highlight w:val="none"/>
        </w:rPr>
        <w:t>法实现的</w:t>
      </w:r>
      <w:r>
        <w:rPr>
          <w:rFonts w:hint="eastAsia" w:ascii="宋体" w:hAnsi="宋体" w:eastAsia="宋体" w:cs="宋体"/>
          <w:color w:val="auto"/>
          <w:spacing w:val="-4"/>
          <w:sz w:val="24"/>
          <w:szCs w:val="24"/>
          <w:highlight w:val="none"/>
        </w:rPr>
        <w:t>。</w:t>
      </w:r>
    </w:p>
    <w:p w14:paraId="6ECCBC11">
      <w:pPr>
        <w:spacing w:before="151" w:line="221" w:lineRule="auto"/>
        <w:ind w:left="476"/>
        <w:outlineLvl w:val="2"/>
        <w:rPr>
          <w:rFonts w:hint="eastAsia" w:ascii="宋体" w:hAnsi="宋体" w:eastAsia="宋体" w:cs="宋体"/>
          <w:color w:val="auto"/>
          <w:sz w:val="24"/>
          <w:szCs w:val="24"/>
          <w:highlight w:val="none"/>
        </w:rPr>
      </w:pPr>
      <w:bookmarkStart w:id="148" w:name="_Toc1458"/>
      <w:r>
        <w:rPr>
          <w:rFonts w:hint="eastAsia" w:ascii="宋体" w:hAnsi="宋体" w:eastAsia="宋体" w:cs="宋体"/>
          <w:b/>
          <w:bCs/>
          <w:color w:val="auto"/>
          <w:spacing w:val="-11"/>
          <w:sz w:val="24"/>
          <w:szCs w:val="24"/>
          <w:highlight w:val="none"/>
        </w:rPr>
        <w:t>4</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11"/>
          <w:sz w:val="24"/>
          <w:szCs w:val="24"/>
          <w:highlight w:val="none"/>
        </w:rPr>
        <w:t>．其他</w:t>
      </w:r>
      <w:bookmarkEnd w:id="148"/>
    </w:p>
    <w:p w14:paraId="661EC0BB">
      <w:pPr>
        <w:spacing w:before="153" w:line="326" w:lineRule="auto"/>
        <w:ind w:firstLine="47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在任何评标环节（或阶段</w:t>
      </w:r>
      <w:r>
        <w:rPr>
          <w:rFonts w:hint="eastAsia" w:ascii="宋体" w:hAnsi="宋体" w:eastAsia="宋体" w:cs="宋体"/>
          <w:color w:val="auto"/>
          <w:spacing w:val="-36"/>
          <w:sz w:val="24"/>
          <w:szCs w:val="24"/>
          <w:highlight w:val="none"/>
        </w:rPr>
        <w:t>），</w:t>
      </w:r>
      <w:r>
        <w:rPr>
          <w:rFonts w:hint="eastAsia" w:ascii="宋体" w:hAnsi="宋体" w:eastAsia="宋体" w:cs="宋体"/>
          <w:color w:val="auto"/>
          <w:spacing w:val="-4"/>
          <w:sz w:val="24"/>
          <w:szCs w:val="24"/>
          <w:highlight w:val="none"/>
        </w:rPr>
        <w:t>投标人有下列情形之一的，评标委员会应否</w:t>
      </w:r>
      <w:r>
        <w:rPr>
          <w:rFonts w:hint="eastAsia" w:ascii="宋体" w:hAnsi="宋体" w:eastAsia="宋体" w:cs="宋体"/>
          <w:color w:val="auto"/>
          <w:spacing w:val="-5"/>
          <w:sz w:val="24"/>
          <w:szCs w:val="24"/>
          <w:highlight w:val="none"/>
        </w:rPr>
        <w:t>决其投标。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被否决的投标人，不进入下一环节（或阶段）。</w:t>
      </w:r>
    </w:p>
    <w:p w14:paraId="48B56398">
      <w:pPr>
        <w:spacing w:before="33"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（1）不按评标委员会要求澄清、说明或补正的；</w:t>
      </w:r>
    </w:p>
    <w:p w14:paraId="56BDFC4F">
      <w:pPr>
        <w:spacing w:before="154" w:line="219"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（2）有下列情形之一，被评标委员会认定属于串通投标的：</w:t>
      </w:r>
    </w:p>
    <w:p w14:paraId="2522ABAB">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①不同投标人的投标文件两处以上（含两处）错、漏一致；</w:t>
      </w:r>
    </w:p>
    <w:p w14:paraId="2D9D4BC9">
      <w:pPr>
        <w:keepNext w:val="0"/>
        <w:keepLines w:val="0"/>
        <w:pageBreakBefore w:val="0"/>
        <w:widowControl/>
        <w:kinsoku w:val="0"/>
        <w:wordWrap/>
        <w:overflowPunct/>
        <w:topLinePunct w:val="0"/>
        <w:autoSpaceDE w:val="0"/>
        <w:autoSpaceDN w:val="0"/>
        <w:bidi w:val="0"/>
        <w:adjustRightInd w:val="0"/>
        <w:snapToGrid w:val="0"/>
        <w:spacing w:before="156" w:line="278" w:lineRule="auto"/>
        <w:ind w:right="21"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②不同投标人的投标总价相近且各分项报价、综合单价分析表内容混乱不能相互对</w:t>
      </w:r>
      <w:r>
        <w:rPr>
          <w:rFonts w:hint="eastAsia" w:ascii="宋体" w:hAnsi="宋体" w:eastAsia="宋体" w:cs="宋体"/>
          <w:color w:val="auto"/>
          <w:spacing w:val="-6"/>
          <w:sz w:val="24"/>
          <w:szCs w:val="24"/>
          <w:highlight w:val="none"/>
        </w:rPr>
        <w:t>应、乱调乱压或乱抬的，而在询标时没有合理的解释或者不能提供计算依据和</w:t>
      </w:r>
      <w:r>
        <w:rPr>
          <w:rFonts w:hint="eastAsia" w:ascii="宋体" w:hAnsi="宋体" w:eastAsia="宋体" w:cs="宋体"/>
          <w:color w:val="auto"/>
          <w:spacing w:val="-7"/>
          <w:sz w:val="24"/>
          <w:szCs w:val="24"/>
          <w:highlight w:val="none"/>
        </w:rPr>
        <w:t>报价依据；</w:t>
      </w:r>
    </w:p>
    <w:p w14:paraId="5E0C8B0A">
      <w:pPr>
        <w:keepNext w:val="0"/>
        <w:keepLines w:val="0"/>
        <w:pageBreakBefore w:val="0"/>
        <w:widowControl/>
        <w:kinsoku w:val="0"/>
        <w:wordWrap/>
        <w:overflowPunct/>
        <w:topLinePunct w:val="0"/>
        <w:autoSpaceDE w:val="0"/>
        <w:autoSpaceDN w:val="0"/>
        <w:bidi w:val="0"/>
        <w:adjustRightInd w:val="0"/>
        <w:snapToGrid w:val="0"/>
        <w:spacing w:before="157"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③不同投标人的投标各项报价存在异常一致</w:t>
      </w:r>
      <w:r>
        <w:rPr>
          <w:rFonts w:hint="eastAsia" w:ascii="宋体" w:hAnsi="宋体" w:eastAsia="宋体" w:cs="宋体"/>
          <w:color w:val="auto"/>
          <w:spacing w:val="-1"/>
          <w:sz w:val="24"/>
          <w:szCs w:val="24"/>
          <w:highlight w:val="none"/>
        </w:rPr>
        <w:t>或者呈规律性变化；</w:t>
      </w:r>
    </w:p>
    <w:p w14:paraId="0DB0011F">
      <w:pPr>
        <w:keepNext w:val="0"/>
        <w:keepLines w:val="0"/>
        <w:pageBreakBefore w:val="0"/>
        <w:widowControl/>
        <w:kinsoku w:val="0"/>
        <w:wordWrap/>
        <w:overflowPunct/>
        <w:topLinePunct w:val="0"/>
        <w:autoSpaceDE w:val="0"/>
        <w:autoSpaceDN w:val="0"/>
        <w:bidi w:val="0"/>
        <w:adjustRightInd w:val="0"/>
        <w:snapToGrid w:val="0"/>
        <w:spacing w:before="156"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④不同投标人的投标文件由同一单位或者同一个人编制；</w:t>
      </w:r>
    </w:p>
    <w:p w14:paraId="69EA40D7">
      <w:pPr>
        <w:keepNext w:val="0"/>
        <w:keepLines w:val="0"/>
        <w:pageBreakBefore w:val="0"/>
        <w:widowControl/>
        <w:kinsoku w:val="0"/>
        <w:wordWrap/>
        <w:overflowPunct/>
        <w:topLinePunct w:val="0"/>
        <w:autoSpaceDE w:val="0"/>
        <w:autoSpaceDN w:val="0"/>
        <w:bidi w:val="0"/>
        <w:adjustRightInd w:val="0"/>
        <w:snapToGrid w:val="0"/>
        <w:spacing w:before="157" w:line="280" w:lineRule="auto"/>
        <w:ind w:left="1" w:right="81" w:firstLine="47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⑤不同投标人的投标文件中投标资料（包括电子资料）相互混装或项目班子成员出</w:t>
      </w:r>
      <w:r>
        <w:rPr>
          <w:rFonts w:hint="eastAsia" w:ascii="宋体" w:hAnsi="宋体" w:eastAsia="宋体" w:cs="宋体"/>
          <w:color w:val="auto"/>
          <w:spacing w:val="-3"/>
          <w:sz w:val="24"/>
          <w:szCs w:val="24"/>
          <w:highlight w:val="none"/>
        </w:rPr>
        <w:t>现同一人；</w:t>
      </w:r>
    </w:p>
    <w:p w14:paraId="656BD1E5">
      <w:pPr>
        <w:keepNext w:val="0"/>
        <w:keepLines w:val="0"/>
        <w:pageBreakBefore w:val="0"/>
        <w:widowControl/>
        <w:kinsoku w:val="0"/>
        <w:wordWrap/>
        <w:overflowPunct/>
        <w:topLinePunct w:val="0"/>
        <w:autoSpaceDE w:val="0"/>
        <w:autoSpaceDN w:val="0"/>
        <w:bidi w:val="0"/>
        <w:adjustRightInd w:val="0"/>
        <w:snapToGrid w:val="0"/>
        <w:spacing w:before="152" w:line="279" w:lineRule="auto"/>
        <w:ind w:left="3" w:right="8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⑥不同投标人的投标文件由同一电脑编制或同一台附属设备打印，或投标报价用同</w:t>
      </w:r>
      <w:r>
        <w:rPr>
          <w:rFonts w:hint="eastAsia" w:ascii="宋体" w:hAnsi="宋体" w:eastAsia="宋体" w:cs="宋体"/>
          <w:color w:val="auto"/>
          <w:spacing w:val="-1"/>
          <w:sz w:val="24"/>
          <w:szCs w:val="24"/>
          <w:highlight w:val="none"/>
        </w:rPr>
        <w:t>一个预算编制软件密码锁制作或出自同一电子文档；</w:t>
      </w:r>
    </w:p>
    <w:p w14:paraId="444FC7CC">
      <w:pPr>
        <w:keepNext w:val="0"/>
        <w:keepLines w:val="0"/>
        <w:pageBreakBefore w:val="0"/>
        <w:widowControl/>
        <w:kinsoku w:val="0"/>
        <w:wordWrap/>
        <w:overflowPunct/>
        <w:topLinePunct w:val="0"/>
        <w:autoSpaceDE w:val="0"/>
        <w:autoSpaceDN w:val="0"/>
        <w:bidi w:val="0"/>
        <w:adjustRightInd w:val="0"/>
        <w:snapToGrid w:val="0"/>
        <w:spacing w:before="155" w:line="218" w:lineRule="auto"/>
        <w:ind w:left="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⑦不同投标人的投标保证由同一企业或同一账户资金缴纳；</w:t>
      </w:r>
    </w:p>
    <w:p w14:paraId="7BCF0647">
      <w:pPr>
        <w:keepNext w:val="0"/>
        <w:keepLines w:val="0"/>
        <w:pageBreakBefore w:val="0"/>
        <w:widowControl/>
        <w:kinsoku w:val="0"/>
        <w:wordWrap/>
        <w:overflowPunct/>
        <w:topLinePunct w:val="0"/>
        <w:autoSpaceDE w:val="0"/>
        <w:autoSpaceDN w:val="0"/>
        <w:bidi w:val="0"/>
        <w:adjustRightInd w:val="0"/>
        <w:snapToGrid w:val="0"/>
        <w:spacing w:before="157" w:line="299" w:lineRule="auto"/>
        <w:ind w:right="8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⑧不同投标人委托同一个人或注册在同一家企业的注册人员或同一家企业为其投</w:t>
      </w:r>
      <w:r>
        <w:rPr>
          <w:rFonts w:hint="eastAsia" w:ascii="宋体" w:hAnsi="宋体" w:eastAsia="宋体" w:cs="宋体"/>
          <w:color w:val="auto"/>
          <w:spacing w:val="-2"/>
          <w:sz w:val="24"/>
          <w:szCs w:val="24"/>
          <w:highlight w:val="none"/>
        </w:rPr>
        <w:t>标提供投标咨询、商务报价、技术咨询（招标项目本身要求采用专有技术的除外）等服</w:t>
      </w:r>
      <w:r>
        <w:rPr>
          <w:rFonts w:hint="eastAsia" w:ascii="宋体" w:hAnsi="宋体" w:eastAsia="宋体" w:cs="宋体"/>
          <w:color w:val="auto"/>
          <w:spacing w:val="-6"/>
          <w:sz w:val="24"/>
          <w:szCs w:val="24"/>
          <w:highlight w:val="none"/>
        </w:rPr>
        <w:t>务。</w:t>
      </w:r>
    </w:p>
    <w:p w14:paraId="25B100C1">
      <w:pPr>
        <w:keepNext w:val="0"/>
        <w:keepLines w:val="0"/>
        <w:pageBreakBefore w:val="0"/>
        <w:widowControl/>
        <w:kinsoku w:val="0"/>
        <w:wordWrap/>
        <w:overflowPunct/>
        <w:topLinePunct w:val="0"/>
        <w:autoSpaceDE w:val="0"/>
        <w:autoSpaceDN w:val="0"/>
        <w:bidi w:val="0"/>
        <w:adjustRightInd w:val="0"/>
        <w:snapToGrid w:val="0"/>
        <w:spacing w:line="299"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⑨监督部门于韶关市公共交易一体化平台发现系统提示风险预警，如提示投标单位上传投标文件使用的电脑IP地址一致等</w:t>
      </w:r>
      <w:r>
        <w:rPr>
          <w:rFonts w:hint="eastAsia" w:ascii="宋体" w:hAnsi="宋体" w:eastAsia="宋体" w:cs="宋体"/>
          <w:color w:val="auto"/>
          <w:sz w:val="24"/>
          <w:szCs w:val="24"/>
          <w:highlight w:val="none"/>
        </w:rPr>
        <w:t>。</w:t>
      </w:r>
    </w:p>
    <w:p w14:paraId="7FB9F4BB">
      <w:pPr>
        <w:keepNext w:val="0"/>
        <w:keepLines w:val="0"/>
        <w:pageBreakBefore w:val="0"/>
        <w:widowControl/>
        <w:kinsoku w:val="0"/>
        <w:wordWrap/>
        <w:overflowPunct/>
        <w:topLinePunct w:val="0"/>
        <w:autoSpaceDE w:val="0"/>
        <w:autoSpaceDN w:val="0"/>
        <w:bidi w:val="0"/>
        <w:adjustRightInd w:val="0"/>
        <w:snapToGrid w:val="0"/>
        <w:spacing w:line="299" w:lineRule="auto"/>
        <w:textAlignment w:val="baseline"/>
        <w:rPr>
          <w:rFonts w:hint="eastAsia" w:ascii="宋体" w:hAnsi="宋体" w:eastAsia="宋体" w:cs="宋体"/>
          <w:color w:val="auto"/>
          <w:sz w:val="24"/>
          <w:szCs w:val="24"/>
          <w:highlight w:val="none"/>
        </w:rPr>
        <w:sectPr>
          <w:headerReference r:id="rId8" w:type="default"/>
          <w:footerReference r:id="rId9" w:type="default"/>
          <w:pgSz w:w="11906" w:h="16839"/>
          <w:pgMar w:top="1440" w:right="946" w:bottom="1440" w:left="1080" w:header="0" w:footer="1023" w:gutter="0"/>
          <w:pgBorders>
            <w:top w:val="none" w:sz="0" w:space="0"/>
            <w:left w:val="none" w:sz="0" w:space="0"/>
            <w:bottom w:val="none" w:sz="0" w:space="0"/>
            <w:right w:val="none" w:sz="0" w:space="0"/>
          </w:pgBorders>
          <w:cols w:space="720" w:num="1"/>
        </w:sectPr>
      </w:pPr>
    </w:p>
    <w:p w14:paraId="55EEBDA7">
      <w:pPr>
        <w:spacing w:before="78" w:line="220" w:lineRule="auto"/>
        <w:ind w:left="9"/>
        <w:jc w:val="center"/>
        <w:outlineLvl w:val="1"/>
        <w:rPr>
          <w:rFonts w:hint="eastAsia" w:ascii="宋体" w:hAnsi="宋体" w:eastAsia="宋体" w:cs="宋体"/>
          <w:color w:val="auto"/>
          <w:sz w:val="24"/>
          <w:szCs w:val="24"/>
          <w:highlight w:val="none"/>
        </w:rPr>
      </w:pPr>
      <w:bookmarkStart w:id="149" w:name="bookmark57"/>
      <w:bookmarkEnd w:id="149"/>
      <w:bookmarkStart w:id="150" w:name="_Toc22243"/>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五</w:t>
      </w:r>
      <w:r>
        <w:rPr>
          <w:rFonts w:hint="eastAsia" w:ascii="宋体" w:hAnsi="宋体" w:eastAsia="宋体" w:cs="宋体"/>
          <w:b/>
          <w:bCs/>
          <w:color w:val="auto"/>
          <w:spacing w:val="-3"/>
          <w:sz w:val="24"/>
          <w:szCs w:val="24"/>
          <w:highlight w:val="none"/>
        </w:rPr>
        <w:t>节</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定标规定及细则（本项目采用票决数量法定标）</w:t>
      </w:r>
      <w:bookmarkEnd w:id="150"/>
    </w:p>
    <w:p w14:paraId="22BE35D4">
      <w:pPr>
        <w:pStyle w:val="5"/>
        <w:spacing w:line="256" w:lineRule="auto"/>
        <w:rPr>
          <w:rFonts w:hint="eastAsia" w:ascii="宋体" w:hAnsi="宋体" w:eastAsia="宋体" w:cs="宋体"/>
          <w:color w:val="auto"/>
          <w:highlight w:val="none"/>
        </w:rPr>
      </w:pPr>
    </w:p>
    <w:p w14:paraId="48FF6F1A">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rPr>
      </w:pPr>
      <w:r>
        <w:rPr>
          <w:rStyle w:val="20"/>
          <w:rFonts w:hint="eastAsia" w:hAnsi="宋体" w:eastAsia="宋体" w:cs="宋体"/>
          <w:b/>
          <w:bCs/>
          <w:color w:val="auto"/>
          <w:kern w:val="0"/>
          <w:sz w:val="24"/>
          <w:szCs w:val="24"/>
          <w:highlight w:val="none"/>
          <w:lang w:val="en-US" w:eastAsia="zh-CN"/>
        </w:rPr>
        <w:t>1.</w:t>
      </w:r>
      <w:r>
        <w:rPr>
          <w:rStyle w:val="20"/>
          <w:rFonts w:hint="eastAsia" w:ascii="宋体" w:hAnsi="宋体" w:eastAsia="宋体" w:cs="宋体"/>
          <w:b/>
          <w:bCs/>
          <w:color w:val="auto"/>
          <w:kern w:val="0"/>
          <w:sz w:val="24"/>
          <w:szCs w:val="24"/>
          <w:highlight w:val="none"/>
          <w:lang w:eastAsia="zh-CN"/>
        </w:rPr>
        <w:t>确定</w:t>
      </w:r>
      <w:r>
        <w:rPr>
          <w:rStyle w:val="20"/>
          <w:rFonts w:hint="eastAsia" w:ascii="宋体" w:hAnsi="宋体" w:eastAsia="宋体" w:cs="宋体"/>
          <w:b/>
          <w:bCs/>
          <w:color w:val="auto"/>
          <w:kern w:val="0"/>
          <w:sz w:val="24"/>
          <w:szCs w:val="24"/>
          <w:highlight w:val="none"/>
        </w:rPr>
        <w:t>定标时间</w:t>
      </w:r>
    </w:p>
    <w:p w14:paraId="719C1928">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rPr>
      </w:pPr>
      <w:r>
        <w:rPr>
          <w:rStyle w:val="20"/>
          <w:rFonts w:hint="eastAsia" w:ascii="宋体" w:hAnsi="宋体" w:eastAsia="宋体" w:cs="宋体"/>
          <w:color w:val="auto"/>
          <w:kern w:val="0"/>
          <w:sz w:val="24"/>
          <w:szCs w:val="24"/>
          <w:highlight w:val="none"/>
        </w:rPr>
        <w:t>招标人</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自</w:t>
      </w:r>
      <w:r>
        <w:rPr>
          <w:rStyle w:val="20"/>
          <w:rFonts w:hint="eastAsia" w:ascii="宋体" w:hAnsi="宋体" w:eastAsia="宋体" w:cs="宋体"/>
          <w:color w:val="auto"/>
          <w:kern w:val="0"/>
          <w:sz w:val="24"/>
          <w:szCs w:val="24"/>
          <w:highlight w:val="none"/>
          <w:lang w:val="en-US" w:eastAsia="zh-CN"/>
        </w:rPr>
        <w:t>定标候选人</w:t>
      </w:r>
      <w:r>
        <w:rPr>
          <w:rStyle w:val="20"/>
          <w:rFonts w:hint="eastAsia" w:ascii="宋体" w:hAnsi="宋体" w:eastAsia="宋体" w:cs="宋体"/>
          <w:color w:val="auto"/>
          <w:kern w:val="0"/>
          <w:sz w:val="24"/>
          <w:szCs w:val="24"/>
          <w:highlight w:val="none"/>
        </w:rPr>
        <w:t>公示期满后</w:t>
      </w:r>
      <w:r>
        <w:rPr>
          <w:rStyle w:val="20"/>
          <w:rFonts w:hint="eastAsia" w:ascii="宋体" w:hAnsi="宋体" w:eastAsia="宋体" w:cs="宋体"/>
          <w:color w:val="auto"/>
          <w:kern w:val="0"/>
          <w:sz w:val="24"/>
          <w:szCs w:val="24"/>
          <w:highlight w:val="none"/>
          <w:lang w:val="en-US" w:eastAsia="zh-CN"/>
        </w:rPr>
        <w:t>5</w:t>
      </w:r>
      <w:r>
        <w:rPr>
          <w:rStyle w:val="20"/>
          <w:rFonts w:hint="eastAsia" w:ascii="宋体" w:hAnsi="宋体" w:eastAsia="宋体" w:cs="宋体"/>
          <w:color w:val="auto"/>
          <w:kern w:val="0"/>
          <w:sz w:val="24"/>
          <w:szCs w:val="24"/>
          <w:highlight w:val="none"/>
        </w:rPr>
        <w:t>个工作日内进入公共资源交易平台（与评标阶段公共资源交易平台相同）进行定标。定标会议全过程录音录像。招标人需要延期定标的，</w:t>
      </w:r>
      <w:r>
        <w:rPr>
          <w:rStyle w:val="20"/>
          <w:rFonts w:hint="eastAsia" w:ascii="宋体" w:hAnsi="宋体" w:eastAsia="宋体" w:cs="宋体"/>
          <w:color w:val="auto"/>
          <w:kern w:val="0"/>
          <w:sz w:val="24"/>
          <w:szCs w:val="24"/>
          <w:highlight w:val="none"/>
          <w:lang w:eastAsia="zh-CN"/>
        </w:rPr>
        <w:t>应</w:t>
      </w:r>
      <w:r>
        <w:rPr>
          <w:rStyle w:val="20"/>
          <w:rFonts w:hint="eastAsia" w:ascii="宋体" w:hAnsi="宋体" w:eastAsia="宋体" w:cs="宋体"/>
          <w:color w:val="auto"/>
          <w:kern w:val="0"/>
          <w:sz w:val="24"/>
          <w:szCs w:val="24"/>
          <w:highlight w:val="none"/>
        </w:rPr>
        <w:t>通过公共资源交易平台公布延期原因和定标时间。</w:t>
      </w:r>
    </w:p>
    <w:p w14:paraId="1ADC89B1">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2</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定标委员会</w:t>
      </w:r>
    </w:p>
    <w:p w14:paraId="3F5646BE">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hAnsi="宋体" w:eastAsia="宋体" w:cs="宋体"/>
          <w:color w:val="auto"/>
          <w:kern w:val="0"/>
          <w:sz w:val="24"/>
          <w:szCs w:val="24"/>
          <w:highlight w:val="none"/>
          <w:lang w:val="en-US" w:eastAsia="zh-CN"/>
        </w:rPr>
        <w:t>2.1</w:t>
      </w:r>
      <w:r>
        <w:rPr>
          <w:rStyle w:val="20"/>
          <w:rFonts w:hint="eastAsia" w:ascii="宋体" w:hAnsi="宋体" w:eastAsia="宋体" w:cs="宋体"/>
          <w:color w:val="auto"/>
          <w:kern w:val="0"/>
          <w:sz w:val="24"/>
          <w:szCs w:val="24"/>
          <w:highlight w:val="none"/>
          <w:lang w:val="en-US" w:eastAsia="zh-CN"/>
        </w:rPr>
        <w:t>定标委员会由项目业主单位负责组建和管理。定标委员会的组成方式、组长和成员由项目业主单位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568ED788">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Fonts w:hint="eastAsia"/>
          <w:color w:val="auto"/>
          <w:sz w:val="24"/>
          <w:szCs w:val="24"/>
          <w:highlight w:val="none"/>
          <w:lang w:val="en-US" w:eastAsia="zh-CN"/>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78BCAC24">
      <w:pPr>
        <w:keepNext w:val="0"/>
        <w:keepLines w:val="0"/>
        <w:pageBreakBefore w:val="0"/>
        <w:wordWrap/>
        <w:overflowPunct/>
        <w:topLinePunct w:val="0"/>
        <w:bidi w:val="0"/>
        <w:spacing w:line="360" w:lineRule="auto"/>
        <w:ind w:firstLine="480" w:firstLineChars="200"/>
        <w:rPr>
          <w:rFonts w:hint="eastAsia"/>
          <w:color w:val="auto"/>
          <w:sz w:val="24"/>
          <w:szCs w:val="24"/>
          <w:highlight w:val="none"/>
          <w:lang w:val="en-US" w:eastAsia="zh-CN"/>
        </w:rPr>
      </w:pPr>
      <w:r>
        <w:rPr>
          <w:rStyle w:val="20"/>
          <w:rFonts w:hint="eastAsia" w:hAnsi="宋体" w:eastAsia="宋体" w:cs="宋体"/>
          <w:color w:val="auto"/>
          <w:kern w:val="0"/>
          <w:sz w:val="24"/>
          <w:szCs w:val="24"/>
          <w:highlight w:val="none"/>
          <w:lang w:val="en-US" w:eastAsia="zh-CN"/>
        </w:rPr>
        <w:t>2</w:t>
      </w:r>
      <w:r>
        <w:rPr>
          <w:rStyle w:val="20"/>
          <w:rFonts w:hint="eastAsia" w:ascii="宋体" w:hAnsi="宋体" w:eastAsia="宋体" w:cs="宋体"/>
          <w:color w:val="auto"/>
          <w:kern w:val="0"/>
          <w:sz w:val="24"/>
          <w:szCs w:val="24"/>
          <w:highlight w:val="none"/>
        </w:rPr>
        <w:t>.</w:t>
      </w:r>
      <w:r>
        <w:rPr>
          <w:rStyle w:val="20"/>
          <w:rFonts w:hint="eastAsia" w:hAnsi="宋体" w:eastAsia="宋体" w:cs="宋体"/>
          <w:color w:val="auto"/>
          <w:kern w:val="0"/>
          <w:sz w:val="24"/>
          <w:szCs w:val="24"/>
          <w:highlight w:val="none"/>
          <w:lang w:val="en-US" w:eastAsia="zh-CN"/>
        </w:rPr>
        <w:t>3</w:t>
      </w:r>
      <w:r>
        <w:rPr>
          <w:rStyle w:val="20"/>
          <w:rFonts w:hint="eastAsia" w:ascii="宋体" w:hAnsi="宋体" w:eastAsia="宋体" w:cs="宋体"/>
          <w:color w:val="auto"/>
          <w:kern w:val="0"/>
          <w:sz w:val="24"/>
          <w:szCs w:val="24"/>
          <w:highlight w:val="none"/>
          <w:lang w:val="en-US" w:eastAsia="zh-CN"/>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739A3242">
      <w:pPr>
        <w:keepNext w:val="0"/>
        <w:keepLines w:val="0"/>
        <w:pageBreakBefore w:val="0"/>
        <w:wordWrap/>
        <w:overflowPunct/>
        <w:topLinePunct w:val="0"/>
        <w:bidi w:val="0"/>
        <w:spacing w:line="360" w:lineRule="auto"/>
        <w:ind w:firstLine="482" w:firstLineChars="200"/>
        <w:rPr>
          <w:rStyle w:val="20"/>
          <w:rFonts w:hint="eastAsia" w:ascii="宋体"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3</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val="en-US" w:eastAsia="zh-CN"/>
        </w:rPr>
        <w:t>组建招标监督小组</w:t>
      </w:r>
    </w:p>
    <w:p w14:paraId="50B63A47">
      <w:pPr>
        <w:keepNext w:val="0"/>
        <w:keepLines w:val="0"/>
        <w:pageBreakBefore w:val="0"/>
        <w:wordWrap/>
        <w:overflowPunct/>
        <w:topLinePunct w:val="0"/>
        <w:bidi w:val="0"/>
        <w:spacing w:line="360" w:lineRule="auto"/>
        <w:ind w:firstLine="480" w:firstLineChars="2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项目业主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03AA6DC7">
      <w:pPr>
        <w:keepNext w:val="0"/>
        <w:keepLines w:val="0"/>
        <w:pageBreakBefore w:val="0"/>
        <w:wordWrap/>
        <w:overflowPunct/>
        <w:topLinePunct w:val="0"/>
        <w:bidi w:val="0"/>
        <w:spacing w:line="360" w:lineRule="auto"/>
        <w:ind w:firstLine="482" w:firstLineChars="200"/>
        <w:jc w:val="left"/>
        <w:rPr>
          <w:rStyle w:val="20"/>
          <w:rFonts w:hint="eastAsia" w:ascii="宋体" w:hAnsi="宋体" w:eastAsia="宋体" w:cs="宋体"/>
          <w:b/>
          <w:bCs/>
          <w:color w:val="auto"/>
          <w:kern w:val="0"/>
          <w:sz w:val="24"/>
          <w:szCs w:val="24"/>
          <w:highlight w:val="none"/>
          <w:lang w:eastAsia="zh-CN"/>
        </w:rPr>
      </w:pPr>
      <w:r>
        <w:rPr>
          <w:rStyle w:val="20"/>
          <w:rFonts w:hint="eastAsia" w:hAnsi="宋体" w:eastAsia="宋体" w:cs="宋体"/>
          <w:b/>
          <w:bCs/>
          <w:color w:val="auto"/>
          <w:kern w:val="0"/>
          <w:sz w:val="24"/>
          <w:szCs w:val="24"/>
          <w:highlight w:val="none"/>
          <w:lang w:val="en-US" w:eastAsia="zh-CN"/>
        </w:rPr>
        <w:t>4</w:t>
      </w:r>
      <w:r>
        <w:rPr>
          <w:rStyle w:val="20"/>
          <w:rFonts w:hint="eastAsia" w:ascii="宋体" w:hAnsi="宋体" w:eastAsia="宋体" w:cs="宋体"/>
          <w:b/>
          <w:bCs/>
          <w:color w:val="auto"/>
          <w:kern w:val="0"/>
          <w:sz w:val="24"/>
          <w:szCs w:val="24"/>
          <w:highlight w:val="none"/>
        </w:rPr>
        <w:t>.</w:t>
      </w:r>
      <w:r>
        <w:rPr>
          <w:rStyle w:val="20"/>
          <w:rFonts w:hint="eastAsia" w:ascii="宋体" w:hAnsi="宋体" w:eastAsia="宋体" w:cs="宋体"/>
          <w:b/>
          <w:bCs/>
          <w:color w:val="auto"/>
          <w:kern w:val="0"/>
          <w:sz w:val="24"/>
          <w:szCs w:val="24"/>
          <w:highlight w:val="none"/>
          <w:lang w:eastAsia="zh-CN"/>
        </w:rPr>
        <w:t>定标办法</w:t>
      </w:r>
    </w:p>
    <w:p w14:paraId="17F30BDB">
      <w:pPr>
        <w:keepNext w:val="0"/>
        <w:keepLines w:val="0"/>
        <w:pageBreakBefore w:val="0"/>
        <w:wordWrap/>
        <w:overflowPunct/>
        <w:topLinePunct w:val="0"/>
        <w:bidi w:val="0"/>
        <w:spacing w:line="360" w:lineRule="auto"/>
        <w:ind w:firstLine="240" w:firstLineChars="100"/>
        <w:rPr>
          <w:rStyle w:val="20"/>
          <w:rFonts w:hint="eastAsia"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定标办法由招标人按本投标人须知前附表的规定确定（只能选定其中一种定标办法）。</w:t>
      </w:r>
    </w:p>
    <w:p w14:paraId="674FA459">
      <w:pPr>
        <w:keepNext w:val="0"/>
        <w:keepLines w:val="0"/>
        <w:pageBreakBefore w:val="0"/>
        <w:wordWrap/>
        <w:overflowPunct/>
        <w:topLinePunct w:val="0"/>
        <w:bidi w:val="0"/>
        <w:spacing w:line="360" w:lineRule="auto"/>
        <w:ind w:firstLine="480" w:firstLineChars="200"/>
        <w:rPr>
          <w:rFonts w:hint="eastAsia"/>
          <w:color w:val="auto"/>
          <w:sz w:val="24"/>
          <w:szCs w:val="24"/>
          <w:highlight w:val="none"/>
        </w:rPr>
      </w:pPr>
      <w:bookmarkStart w:id="151" w:name="OLE_LINK3"/>
      <w:r>
        <w:rPr>
          <w:rFonts w:hint="eastAsia"/>
          <w:b/>
          <w:bCs/>
          <w:color w:val="auto"/>
          <w:sz w:val="24"/>
          <w:szCs w:val="24"/>
          <w:highlight w:val="none"/>
          <w:lang w:val="en-US" w:eastAsia="zh-CN"/>
        </w:rPr>
        <w:t>本项目</w:t>
      </w:r>
      <w:bookmarkEnd w:id="151"/>
      <w:r>
        <w:rPr>
          <w:rFonts w:hint="eastAsia"/>
          <w:b/>
          <w:bCs/>
          <w:color w:val="auto"/>
          <w:sz w:val="24"/>
          <w:szCs w:val="24"/>
          <w:highlight w:val="none"/>
          <w:lang w:val="en-US" w:eastAsia="zh-CN"/>
        </w:rPr>
        <w:t>采用票决数量法定标。</w:t>
      </w:r>
    </w:p>
    <w:p w14:paraId="33A6A2F0">
      <w:pPr>
        <w:keepNext w:val="0"/>
        <w:keepLines w:val="0"/>
        <w:pageBreakBefore w:val="0"/>
        <w:wordWrap/>
        <w:overflowPunct/>
        <w:topLinePunct w:val="0"/>
        <w:bidi w:val="0"/>
        <w:spacing w:line="360" w:lineRule="auto"/>
        <w:ind w:firstLine="482" w:firstLineChars="200"/>
        <w:rPr>
          <w:rStyle w:val="20"/>
          <w:rFonts w:hint="eastAsia" w:hAnsi="宋体" w:eastAsia="宋体" w:cs="宋体"/>
          <w:b/>
          <w:bCs/>
          <w:color w:val="auto"/>
          <w:kern w:val="0"/>
          <w:sz w:val="24"/>
          <w:szCs w:val="24"/>
          <w:highlight w:val="none"/>
          <w:lang w:val="en-US" w:eastAsia="zh-CN"/>
        </w:rPr>
      </w:pPr>
      <w:r>
        <w:rPr>
          <w:rStyle w:val="20"/>
          <w:rFonts w:hint="eastAsia" w:hAnsi="宋体" w:eastAsia="宋体" w:cs="宋体"/>
          <w:b/>
          <w:bCs/>
          <w:color w:val="auto"/>
          <w:kern w:val="0"/>
          <w:sz w:val="24"/>
          <w:szCs w:val="24"/>
          <w:highlight w:val="none"/>
          <w:lang w:val="en-US" w:eastAsia="zh-CN"/>
        </w:rPr>
        <w:t>5.定标细则</w:t>
      </w:r>
    </w:p>
    <w:p w14:paraId="7A3AEF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eastAsia="zh-CN"/>
        </w:rPr>
      </w:pPr>
      <w:r>
        <w:rPr>
          <w:rFonts w:hint="eastAsia" w:ascii="宋体" w:hAnsi="宋体" w:eastAsia="宋体" w:cs="宋体"/>
          <w:b/>
          <w:bCs/>
          <w:color w:val="auto"/>
          <w:spacing w:val="0"/>
          <w:position w:val="0"/>
          <w:sz w:val="24"/>
          <w:szCs w:val="24"/>
          <w:highlight w:val="none"/>
          <w:u w:val="none" w:color="auto"/>
          <w:lang w:val="en-US" w:eastAsia="zh-CN"/>
        </w:rPr>
        <w:t>5.1票决数量法程序</w:t>
      </w:r>
    </w:p>
    <w:p w14:paraId="1247579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i w:val="0"/>
          <w:snapToGrid/>
          <w:color w:val="auto"/>
          <w:sz w:val="24"/>
          <w:szCs w:val="24"/>
          <w:highlight w:val="none"/>
          <w:u w:val="none"/>
          <w:shd w:val="clear" w:color="auto" w:fill="FFFFFF"/>
          <w:lang w:eastAsia="zh-CN"/>
        </w:rPr>
        <w:t>定标委员会根据定标因素对定标候选人进行评审比较后，每名定标委员会成员</w:t>
      </w:r>
      <w:r>
        <w:rPr>
          <w:rFonts w:hint="eastAsia" w:ascii="宋体" w:hAnsi="宋体" w:eastAsia="宋体" w:cs="宋体"/>
          <w:color w:val="auto"/>
          <w:sz w:val="24"/>
          <w:szCs w:val="24"/>
          <w:highlight w:val="none"/>
          <w:u w:val="none"/>
          <w:lang w:val="en-US" w:eastAsia="zh-CN"/>
        </w:rPr>
        <w:t>有且仅有投出1票的权利，1票只能投1名定标候选人，</w:t>
      </w:r>
      <w:r>
        <w:rPr>
          <w:rFonts w:hint="eastAsia" w:ascii="宋体" w:hAnsi="宋体" w:eastAsia="宋体" w:cs="宋体"/>
          <w:b w:val="0"/>
          <w:i w:val="0"/>
          <w:snapToGrid/>
          <w:color w:val="auto"/>
          <w:sz w:val="24"/>
          <w:szCs w:val="24"/>
          <w:highlight w:val="none"/>
          <w:u w:val="none"/>
          <w:shd w:val="clear" w:color="auto" w:fill="FFFFFF"/>
          <w:lang w:eastAsia="zh-CN"/>
        </w:rPr>
        <w:t>进行票决排名确定排序的中标候选人。即各定标委员会成员对定标候选人进行投票，按得票高低推荐排序的前三名中标候选人。</w:t>
      </w:r>
      <w:r>
        <w:rPr>
          <w:rFonts w:hint="eastAsia" w:ascii="宋体" w:hAnsi="宋体" w:eastAsia="宋体" w:cs="宋体"/>
          <w:color w:val="auto"/>
          <w:sz w:val="24"/>
          <w:szCs w:val="24"/>
          <w:highlight w:val="none"/>
          <w:u w:val="none"/>
          <w:lang w:val="en-US" w:eastAsia="zh-CN"/>
        </w:rPr>
        <w:t>若第一轮投票中前三名中标候选人有</w:t>
      </w:r>
      <w:r>
        <w:rPr>
          <w:rFonts w:hint="eastAsia" w:ascii="宋体" w:hAnsi="宋体" w:eastAsia="宋体" w:cs="宋体"/>
          <w:color w:val="auto"/>
          <w:sz w:val="24"/>
          <w:szCs w:val="24"/>
          <w:highlight w:val="none"/>
          <w:u w:val="none"/>
          <w:shd w:val="clear" w:color="auto" w:fill="FFFFFF"/>
          <w:lang w:val="en-US" w:eastAsia="zh-CN"/>
        </w:rPr>
        <w:t>得票相同且影响中标候选人排序确定的，由定标委员会对总票数相同的单位进行再次票决确定排序,</w:t>
      </w:r>
      <w:r>
        <w:rPr>
          <w:rFonts w:hint="eastAsia" w:ascii="宋体" w:hAnsi="宋体" w:eastAsia="宋体" w:cs="宋体"/>
          <w:color w:val="auto"/>
          <w:sz w:val="24"/>
          <w:szCs w:val="24"/>
          <w:highlight w:val="none"/>
          <w:u w:val="none"/>
          <w:lang w:val="en-US" w:eastAsia="zh-CN"/>
        </w:rPr>
        <w:t>直至决出排序的前三名中标候选人。若定标候选人中没有符合评审要求的三名中标候选人，则宣告本次招标失败。</w:t>
      </w:r>
      <w:r>
        <w:rPr>
          <w:rFonts w:hint="eastAsia" w:ascii="宋体" w:hAnsi="宋体" w:eastAsia="宋体" w:cs="宋体"/>
          <w:b w:val="0"/>
          <w:i w:val="0"/>
          <w:snapToGrid/>
          <w:color w:val="auto"/>
          <w:sz w:val="24"/>
          <w:szCs w:val="24"/>
          <w:highlight w:val="none"/>
          <w:u w:val="none"/>
          <w:shd w:val="clear" w:color="auto" w:fill="FFFFFF"/>
          <w:lang w:eastAsia="zh-CN"/>
        </w:rPr>
        <w:t>票决采用记名方式并注明投票理由。</w:t>
      </w:r>
    </w:p>
    <w:p w14:paraId="72D904B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5.1.1.</w:t>
      </w:r>
      <w:r>
        <w:rPr>
          <w:rFonts w:hint="eastAsia" w:ascii="宋体" w:hAnsi="宋体" w:eastAsia="宋体" w:cs="宋体"/>
          <w:b/>
          <w:bCs/>
          <w:color w:val="auto"/>
          <w:sz w:val="24"/>
          <w:szCs w:val="24"/>
          <w:highlight w:val="none"/>
          <w:u w:val="none"/>
          <w:shd w:val="clear" w:color="auto" w:fill="FFFFFF"/>
        </w:rPr>
        <w:t>项目情况介绍</w:t>
      </w:r>
    </w:p>
    <w:p w14:paraId="552309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招标人代表介绍项目的概况及招标要求，以及定标方法与定标工作规则，不得发表具有倾向性的言论。</w:t>
      </w:r>
    </w:p>
    <w:p w14:paraId="5315711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5.1.2.</w:t>
      </w:r>
      <w:r>
        <w:rPr>
          <w:rFonts w:hint="eastAsia" w:ascii="宋体" w:hAnsi="宋体" w:eastAsia="宋体" w:cs="宋体"/>
          <w:b/>
          <w:bCs/>
          <w:color w:val="auto"/>
          <w:sz w:val="24"/>
          <w:szCs w:val="24"/>
          <w:highlight w:val="none"/>
          <w:u w:val="none"/>
          <w:shd w:val="clear" w:color="auto" w:fill="FFFFFF"/>
        </w:rPr>
        <w:t>审阅定标资料</w:t>
      </w:r>
    </w:p>
    <w:p w14:paraId="5BE2A65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定标委员会成员对各定标候选人的投标文件进行审阅，审阅内容主要是定标工作规则所规定的定标因素，</w:t>
      </w:r>
      <w:r>
        <w:rPr>
          <w:rFonts w:hint="eastAsia" w:ascii="宋体" w:hAnsi="宋体" w:eastAsia="宋体" w:cs="宋体"/>
          <w:b w:val="0"/>
          <w:bCs w:val="0"/>
          <w:color w:val="auto"/>
          <w:spacing w:val="0"/>
          <w:position w:val="0"/>
          <w:sz w:val="24"/>
          <w:szCs w:val="24"/>
          <w:highlight w:val="none"/>
          <w:u w:val="none" w:color="auto"/>
          <w:lang w:val="en-US" w:eastAsia="zh-CN"/>
        </w:rPr>
        <w:t>聚焦于项目需求与候选人能力的匹配度</w:t>
      </w:r>
      <w:r>
        <w:rPr>
          <w:rFonts w:hint="eastAsia" w:ascii="宋体" w:hAnsi="宋体" w:eastAsia="宋体" w:cs="宋体"/>
          <w:color w:val="auto"/>
          <w:sz w:val="24"/>
          <w:szCs w:val="24"/>
          <w:highlight w:val="none"/>
          <w:u w:val="none"/>
          <w:shd w:val="clear" w:color="auto" w:fill="FFFFFF"/>
          <w:lang w:eastAsia="zh-CN"/>
        </w:rPr>
        <w:t>。</w:t>
      </w:r>
    </w:p>
    <w:p w14:paraId="22CB8EFE">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firstLine="482" w:firstLine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5.1.3.</w:t>
      </w:r>
      <w:r>
        <w:rPr>
          <w:rFonts w:hint="eastAsia" w:ascii="宋体" w:hAnsi="宋体" w:eastAsia="宋体" w:cs="宋体"/>
          <w:b/>
          <w:bCs/>
          <w:color w:val="auto"/>
          <w:sz w:val="24"/>
          <w:szCs w:val="24"/>
          <w:highlight w:val="none"/>
          <w:u w:val="none"/>
          <w:shd w:val="clear" w:color="auto" w:fill="FFFFFF"/>
        </w:rPr>
        <w:t>疑问澄清</w:t>
      </w:r>
    </w:p>
    <w:p w14:paraId="090BCC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color w:val="auto"/>
          <w:sz w:val="24"/>
          <w:szCs w:val="24"/>
          <w:highlight w:val="none"/>
          <w:u w:val="none"/>
          <w:shd w:val="clear" w:color="auto" w:fill="FFFFFF"/>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63A1FEE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5.1.4.投票，收票，点票和汇总</w:t>
      </w:r>
    </w:p>
    <w:p w14:paraId="2E1FA3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eastAsia="zh-CN"/>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555EF63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bCs/>
          <w:color w:val="auto"/>
          <w:kern w:val="0"/>
          <w:sz w:val="24"/>
          <w:szCs w:val="24"/>
          <w:highlight w:val="none"/>
          <w:u w:val="none"/>
          <w:shd w:val="clear" w:color="auto" w:fill="FFFFFF"/>
          <w:lang w:val="en-US" w:eastAsia="zh-CN" w:bidi="ar-SA"/>
        </w:rPr>
        <w:t>5.1.5.公布结果和出具定标报告</w:t>
      </w:r>
    </w:p>
    <w:p w14:paraId="1ACC9F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color w:val="auto"/>
          <w:sz w:val="24"/>
          <w:szCs w:val="24"/>
          <w:highlight w:val="none"/>
          <w:lang w:eastAsia="zh-CN"/>
        </w:rPr>
        <w:t>点票工作完成后，定标委员会组长汇总定标结果，编制定标报告，确定中标候选人，全体成员签名。</w:t>
      </w:r>
    </w:p>
    <w:p w14:paraId="6921EFEB">
      <w:pPr>
        <w:pStyle w:val="12"/>
        <w:keepNext w:val="0"/>
        <w:keepLines w:val="0"/>
        <w:pageBreakBefore w:val="0"/>
        <w:numPr>
          <w:ilvl w:val="0"/>
          <w:numId w:val="0"/>
        </w:numPr>
        <w:shd w:val="clear" w:color="auto" w:fill="FFFFFF"/>
        <w:kinsoku/>
        <w:wordWrap/>
        <w:overflowPunct/>
        <w:topLinePunct w:val="0"/>
        <w:autoSpaceDE/>
        <w:autoSpaceDN/>
        <w:bidi w:val="0"/>
        <w:adjustRightInd/>
        <w:snapToGrid/>
        <w:spacing w:before="0" w:beforeLines="0" w:beforeAutospacing="0" w:after="0" w:afterLines="0" w:afterAutospacing="0" w:line="360" w:lineRule="auto"/>
        <w:ind w:leftChars="200"/>
        <w:jc w:val="both"/>
        <w:textAlignment w:val="auto"/>
        <w:outlineLvl w:val="9"/>
        <w:rPr>
          <w:rFonts w:hint="eastAsia" w:ascii="宋体" w:hAnsi="宋体" w:eastAsia="宋体" w:cs="宋体"/>
          <w:b/>
          <w:bCs/>
          <w:color w:val="auto"/>
          <w:sz w:val="24"/>
          <w:szCs w:val="24"/>
          <w:highlight w:val="none"/>
          <w:u w:val="none"/>
          <w:shd w:val="clear" w:color="auto" w:fill="FFFFFF"/>
        </w:rPr>
      </w:pPr>
      <w:r>
        <w:rPr>
          <w:rFonts w:hint="eastAsia" w:ascii="宋体" w:hAnsi="宋体" w:eastAsia="宋体" w:cs="宋体"/>
          <w:b/>
          <w:bCs/>
          <w:color w:val="auto"/>
          <w:spacing w:val="0"/>
          <w:position w:val="0"/>
          <w:sz w:val="24"/>
          <w:szCs w:val="24"/>
          <w:highlight w:val="none"/>
          <w:u w:val="none" w:color="auto"/>
          <w:lang w:val="en-US" w:eastAsia="zh-CN"/>
        </w:rPr>
        <w:t>5.1.6.</w:t>
      </w:r>
      <w:r>
        <w:rPr>
          <w:rFonts w:hint="eastAsia" w:ascii="宋体" w:hAnsi="宋体" w:eastAsia="宋体" w:cs="宋体"/>
          <w:b/>
          <w:bCs/>
          <w:color w:val="auto"/>
          <w:sz w:val="24"/>
          <w:szCs w:val="24"/>
          <w:highlight w:val="none"/>
          <w:u w:val="none"/>
          <w:shd w:val="clear" w:color="auto" w:fill="FFFFFF"/>
        </w:rPr>
        <w:t>全程监督</w:t>
      </w:r>
    </w:p>
    <w:p w14:paraId="36100CC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t>招标监督小组对集体议定的全过程进行监督，确保程序合规、讨论充分、记录完整，结论形成过程公正、透明。</w:t>
      </w:r>
    </w:p>
    <w:p w14:paraId="514476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pacing w:val="0"/>
          <w:position w:val="0"/>
          <w:sz w:val="24"/>
          <w:szCs w:val="24"/>
          <w:highlight w:val="none"/>
          <w:u w:val="none" w:color="auto"/>
          <w:lang w:val="en-US" w:eastAsia="zh-CN"/>
        </w:rPr>
      </w:pPr>
      <w:r>
        <w:rPr>
          <w:rFonts w:hint="eastAsia" w:ascii="宋体" w:hAnsi="宋体" w:eastAsia="宋体" w:cs="宋体"/>
          <w:b/>
          <w:bCs/>
          <w:color w:val="auto"/>
          <w:spacing w:val="0"/>
          <w:position w:val="0"/>
          <w:sz w:val="24"/>
          <w:szCs w:val="24"/>
          <w:highlight w:val="none"/>
          <w:u w:val="none" w:color="auto"/>
          <w:lang w:val="en-US" w:eastAsia="zh-CN"/>
        </w:rPr>
        <w:t>5.2定标因素</w:t>
      </w:r>
    </w:p>
    <w:p w14:paraId="6E53138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i/>
          <w:iCs/>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在同等条件下，择优的定标因素和相对标准有以下几个方面：</w:t>
      </w:r>
    </w:p>
    <w:p w14:paraId="764DADE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（1）拟派团队管理能力与水平（履约能力）</w:t>
      </w:r>
    </w:p>
    <w:p w14:paraId="783A20C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相对标准：拟派团队管理能力与水平（履约能力）强的定标候选人优于拟派团队管理能力与水平（履约能力）一般的定标候选人。</w:t>
      </w:r>
    </w:p>
    <w:p w14:paraId="2BB817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（2）企业信誉</w:t>
      </w:r>
    </w:p>
    <w:p w14:paraId="425D0FE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相对标准：企业信誉评价好的定标候选人优于企业信誉评价一般的定标候选人。</w:t>
      </w:r>
    </w:p>
    <w:p w14:paraId="38D1A82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（3）企业社会贡献（助力“百千万工程”、社会公益项目）</w:t>
      </w:r>
    </w:p>
    <w:p w14:paraId="4B3A49F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相对标准：承诺助力“百千万工程”的定标候选人优于未承诺的定标候选人（以《助力项目承诺书》为准）；参与过社会公益项目的定标候选人优于未参与过的定标候选人（提供相关佐证）。</w:t>
      </w:r>
    </w:p>
    <w:p w14:paraId="781224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（4）评标报告</w:t>
      </w:r>
    </w:p>
    <w:p w14:paraId="5EA4646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相对标准：评标委员会评审意见为具有优势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低</w:t>
      </w:r>
      <w:r>
        <w:rPr>
          <w:rFonts w:hint="eastAsia" w:ascii="宋体" w:hAnsi="宋体" w:eastAsia="宋体" w:cs="宋体"/>
          <w:b w:val="0"/>
          <w:bCs w:val="0"/>
          <w:color w:val="auto"/>
          <w:spacing w:val="0"/>
          <w:position w:val="0"/>
          <w:sz w:val="24"/>
          <w:szCs w:val="24"/>
          <w:highlight w:val="none"/>
          <w:u w:val="none" w:color="auto"/>
          <w:lang w:val="en-US" w:eastAsia="zh-CN"/>
        </w:rPr>
        <w:t>的定标候选人优于评标委员会评审意见为没有优势</w:t>
      </w:r>
      <w:r>
        <w:rPr>
          <w:rFonts w:hint="eastAsia" w:ascii="宋体" w:hAnsi="宋体" w:eastAsia="宋体" w:cs="宋体"/>
          <w:color w:val="auto"/>
          <w:sz w:val="24"/>
          <w:szCs w:val="24"/>
          <w:highlight w:val="none"/>
        </w:rPr>
        <w:t>风险</w:t>
      </w:r>
      <w:r>
        <w:rPr>
          <w:rFonts w:hint="eastAsia" w:ascii="宋体" w:hAnsi="宋体" w:eastAsia="宋体" w:cs="宋体"/>
          <w:color w:val="auto"/>
          <w:sz w:val="24"/>
          <w:szCs w:val="24"/>
          <w:highlight w:val="none"/>
          <w:lang w:val="en-US" w:eastAsia="zh-CN"/>
        </w:rPr>
        <w:t>高</w:t>
      </w:r>
      <w:r>
        <w:rPr>
          <w:rFonts w:hint="eastAsia" w:ascii="宋体" w:hAnsi="宋体" w:eastAsia="宋体" w:cs="宋体"/>
          <w:b w:val="0"/>
          <w:bCs w:val="0"/>
          <w:color w:val="auto"/>
          <w:spacing w:val="0"/>
          <w:position w:val="0"/>
          <w:sz w:val="24"/>
          <w:szCs w:val="24"/>
          <w:highlight w:val="none"/>
          <w:u w:val="none" w:color="auto"/>
          <w:lang w:val="en-US" w:eastAsia="zh-CN"/>
        </w:rPr>
        <w:t>的</w:t>
      </w:r>
      <w:r>
        <w:rPr>
          <w:rFonts w:hint="eastAsia" w:ascii="宋体" w:hAnsi="宋体" w:eastAsia="宋体" w:cs="宋体"/>
          <w:color w:val="auto"/>
          <w:sz w:val="24"/>
          <w:szCs w:val="24"/>
          <w:highlight w:val="none"/>
        </w:rPr>
        <w:t>定标候选人</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综合考虑评标委员会的评审意见，对各定标候选人</w:t>
      </w:r>
      <w:r>
        <w:rPr>
          <w:rFonts w:hint="eastAsia" w:ascii="宋体" w:hAnsi="宋体" w:eastAsia="宋体" w:cs="宋体"/>
          <w:color w:val="auto"/>
          <w:sz w:val="24"/>
          <w:szCs w:val="24"/>
          <w:highlight w:val="none"/>
        </w:rPr>
        <w:t>的优势、风险等评审情况</w:t>
      </w:r>
      <w:r>
        <w:rPr>
          <w:rFonts w:hint="eastAsia" w:ascii="宋体" w:hAnsi="宋体" w:eastAsia="宋体" w:cs="宋体"/>
          <w:b w:val="0"/>
          <w:bCs w:val="0"/>
          <w:color w:val="auto"/>
          <w:spacing w:val="0"/>
          <w:position w:val="0"/>
          <w:sz w:val="24"/>
          <w:szCs w:val="24"/>
          <w:highlight w:val="none"/>
          <w:u w:val="none" w:color="auto"/>
          <w:lang w:val="en-US" w:eastAsia="zh-CN"/>
        </w:rPr>
        <w:t>进行评审比较</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pacing w:val="0"/>
          <w:position w:val="0"/>
          <w:sz w:val="24"/>
          <w:szCs w:val="24"/>
          <w:highlight w:val="none"/>
          <w:u w:val="none" w:color="auto"/>
          <w:lang w:val="en-US" w:eastAsia="zh-CN"/>
        </w:rPr>
        <w:t>。</w:t>
      </w:r>
    </w:p>
    <w:p w14:paraId="4A1190B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spacing w:val="0"/>
          <w:position w:val="0"/>
          <w:sz w:val="24"/>
          <w:szCs w:val="24"/>
          <w:highlight w:val="none"/>
          <w:u w:val="none" w:color="auto"/>
          <w:lang w:val="en-US" w:eastAsia="zh-CN"/>
        </w:rPr>
      </w:pPr>
      <w:r>
        <w:rPr>
          <w:rFonts w:hint="eastAsia" w:ascii="宋体" w:hAnsi="宋体" w:eastAsia="宋体" w:cs="宋体"/>
          <w:b w:val="0"/>
          <w:bCs w:val="0"/>
          <w:color w:val="auto"/>
          <w:spacing w:val="0"/>
          <w:position w:val="0"/>
          <w:sz w:val="24"/>
          <w:szCs w:val="24"/>
          <w:highlight w:val="none"/>
          <w:u w:val="none" w:color="auto"/>
          <w:lang w:val="en-US" w:eastAsia="zh-CN"/>
        </w:rPr>
        <w:t>（5）农民工工资保障情况</w:t>
      </w:r>
    </w:p>
    <w:p w14:paraId="46D6BBC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spacing w:val="0"/>
          <w:position w:val="0"/>
          <w:sz w:val="24"/>
          <w:szCs w:val="24"/>
          <w:highlight w:val="none"/>
          <w:u w:val="none" w:color="auto"/>
          <w:lang w:val="en-US" w:eastAsia="zh-CN"/>
        </w:rPr>
        <w:t>相对标准：农民工工资保障情况好的定标候选人优于农民工工资保障情况差的定标候选人（结合</w:t>
      </w:r>
      <w:r>
        <w:rPr>
          <w:rFonts w:hint="eastAsia" w:ascii="宋体" w:hAnsi="宋体" w:eastAsia="宋体" w:cs="宋体"/>
          <w:b w:val="0"/>
          <w:bCs w:val="0"/>
          <w:color w:val="auto"/>
          <w:kern w:val="0"/>
          <w:sz w:val="24"/>
          <w:szCs w:val="24"/>
          <w:highlight w:val="none"/>
          <w:u w:val="none"/>
          <w:shd w:val="clear" w:color="auto" w:fill="FFFFFF"/>
          <w:lang w:val="en-US" w:eastAsia="zh-CN" w:bidi="ar-SA"/>
        </w:rPr>
        <w:t>定标候选人提交的证明材料和招标人查询的材料进行评审）。</w:t>
      </w:r>
    </w:p>
    <w:p w14:paraId="0249140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6.定标结果公示</w:t>
      </w:r>
    </w:p>
    <w:p w14:paraId="1AC2ADC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定标委员会完成定标</w:t>
      </w:r>
      <w:r>
        <w:rPr>
          <w:rStyle w:val="20"/>
          <w:rFonts w:hint="eastAsia" w:ascii="宋体" w:hAnsi="宋体" w:eastAsia="宋体" w:cs="宋体"/>
          <w:b w:val="0"/>
          <w:bCs w:val="0"/>
          <w:color w:val="auto"/>
          <w:kern w:val="0"/>
          <w:sz w:val="24"/>
          <w:szCs w:val="24"/>
          <w:highlight w:val="none"/>
          <w:lang w:val="en-US" w:eastAsia="zh-CN"/>
        </w:rPr>
        <w:t>后</w:t>
      </w:r>
      <w:r>
        <w:rPr>
          <w:rStyle w:val="20"/>
          <w:rFonts w:hint="eastAsia" w:ascii="宋体" w:hAnsi="宋体" w:eastAsia="宋体" w:cs="宋体"/>
          <w:color w:val="auto"/>
          <w:kern w:val="0"/>
          <w:sz w:val="24"/>
          <w:szCs w:val="24"/>
          <w:highlight w:val="none"/>
          <w:lang w:val="en-US" w:eastAsia="zh-CN"/>
        </w:rPr>
        <w:t>，招标人应于定标会结束后3日内将中标候选人和定标情况在广东省招标投标监管网和韶关市公共资源交易中心工程交易系统上公示，公示时间不少于3日。公示主要内容包括：公示主要内容包括：定标报告（定标成员信息除外）、中标人名单、中标价和拟投入本项目的项目负责人、技术负责人及各专业负责人（如有）等内容。</w:t>
      </w:r>
    </w:p>
    <w:p w14:paraId="7E32015C">
      <w:pPr>
        <w:keepNext w:val="0"/>
        <w:keepLines w:val="0"/>
        <w:pageBreakBefore w:val="0"/>
        <w:wordWrap/>
        <w:overflowPunct/>
        <w:topLinePunct w:val="0"/>
        <w:bidi w:val="0"/>
        <w:spacing w:line="360" w:lineRule="auto"/>
        <w:rPr>
          <w:rFonts w:hint="eastAsia"/>
          <w:color w:val="auto"/>
          <w:sz w:val="24"/>
          <w:szCs w:val="24"/>
          <w:highlight w:val="none"/>
          <w:lang w:val="en-US" w:eastAsia="zh-CN"/>
        </w:rPr>
      </w:pPr>
    </w:p>
    <w:p w14:paraId="3CEEB8C0">
      <w:pPr>
        <w:keepNext w:val="0"/>
        <w:keepLines w:val="0"/>
        <w:pageBreakBefore w:val="0"/>
        <w:wordWrap/>
        <w:overflowPunct/>
        <w:topLinePunct w:val="0"/>
        <w:bidi w:val="0"/>
        <w:spacing w:before="78" w:line="360" w:lineRule="auto"/>
        <w:ind w:left="3525"/>
        <w:outlineLvl w:val="0"/>
        <w:rPr>
          <w:rFonts w:hint="eastAsia" w:ascii="宋体" w:hAnsi="宋体" w:eastAsia="宋体" w:cs="宋体"/>
          <w:b/>
          <w:bCs/>
          <w:color w:val="auto"/>
          <w:spacing w:val="-7"/>
          <w:sz w:val="24"/>
          <w:szCs w:val="24"/>
          <w:highlight w:val="none"/>
        </w:rPr>
      </w:pPr>
    </w:p>
    <w:p w14:paraId="3C22D184">
      <w:pPr>
        <w:pStyle w:val="3"/>
        <w:rPr>
          <w:rFonts w:hint="eastAsia" w:ascii="宋体" w:hAnsi="宋体" w:eastAsia="宋体" w:cs="宋体"/>
          <w:b/>
          <w:bCs/>
          <w:color w:val="auto"/>
          <w:spacing w:val="-7"/>
          <w:sz w:val="24"/>
          <w:szCs w:val="24"/>
          <w:highlight w:val="none"/>
        </w:rPr>
      </w:pPr>
    </w:p>
    <w:p w14:paraId="36F36E07">
      <w:pPr>
        <w:rPr>
          <w:rFonts w:hint="eastAsia" w:ascii="宋体" w:hAnsi="宋体" w:eastAsia="宋体" w:cs="宋体"/>
          <w:b/>
          <w:bCs/>
          <w:color w:val="auto"/>
          <w:spacing w:val="-7"/>
          <w:sz w:val="24"/>
          <w:szCs w:val="24"/>
          <w:highlight w:val="none"/>
        </w:rPr>
      </w:pPr>
    </w:p>
    <w:p w14:paraId="7F98C488">
      <w:pPr>
        <w:pStyle w:val="3"/>
        <w:rPr>
          <w:rFonts w:hint="eastAsia" w:ascii="宋体" w:hAnsi="宋体" w:eastAsia="宋体" w:cs="宋体"/>
          <w:b/>
          <w:bCs/>
          <w:color w:val="auto"/>
          <w:spacing w:val="-7"/>
          <w:sz w:val="24"/>
          <w:szCs w:val="24"/>
          <w:highlight w:val="none"/>
        </w:rPr>
      </w:pPr>
    </w:p>
    <w:p w14:paraId="191F5911">
      <w:pPr>
        <w:rPr>
          <w:rFonts w:hint="eastAsia" w:ascii="宋体" w:hAnsi="宋体" w:eastAsia="宋体" w:cs="宋体"/>
          <w:b/>
          <w:bCs/>
          <w:color w:val="auto"/>
          <w:spacing w:val="-7"/>
          <w:sz w:val="24"/>
          <w:szCs w:val="24"/>
          <w:highlight w:val="none"/>
        </w:rPr>
      </w:pPr>
    </w:p>
    <w:p w14:paraId="44391741">
      <w:pPr>
        <w:pStyle w:val="3"/>
        <w:rPr>
          <w:rFonts w:hint="eastAsia" w:ascii="宋体" w:hAnsi="宋体" w:eastAsia="宋体" w:cs="宋体"/>
          <w:b/>
          <w:bCs/>
          <w:color w:val="auto"/>
          <w:spacing w:val="-7"/>
          <w:sz w:val="24"/>
          <w:szCs w:val="24"/>
          <w:highlight w:val="none"/>
        </w:rPr>
      </w:pPr>
    </w:p>
    <w:p w14:paraId="11E28027">
      <w:pPr>
        <w:rPr>
          <w:rFonts w:hint="eastAsia" w:ascii="宋体" w:hAnsi="宋体" w:eastAsia="宋体" w:cs="宋体"/>
          <w:b/>
          <w:bCs/>
          <w:color w:val="auto"/>
          <w:spacing w:val="-7"/>
          <w:sz w:val="24"/>
          <w:szCs w:val="24"/>
          <w:highlight w:val="none"/>
        </w:rPr>
      </w:pPr>
    </w:p>
    <w:p w14:paraId="3477D15B">
      <w:pPr>
        <w:pStyle w:val="3"/>
        <w:rPr>
          <w:rFonts w:hint="eastAsia"/>
          <w:color w:val="auto"/>
          <w:highlight w:val="none"/>
        </w:rPr>
      </w:pPr>
    </w:p>
    <w:p w14:paraId="2C5E3E54">
      <w:pPr>
        <w:pStyle w:val="3"/>
        <w:rPr>
          <w:rFonts w:hint="eastAsia"/>
          <w:color w:val="auto"/>
          <w:highlight w:val="none"/>
        </w:rPr>
      </w:pPr>
    </w:p>
    <w:p w14:paraId="78DC9753">
      <w:pPr>
        <w:rPr>
          <w:rFonts w:hint="eastAsia" w:ascii="宋体" w:hAnsi="宋体" w:eastAsia="宋体" w:cs="宋体"/>
          <w:b/>
          <w:bCs/>
          <w:color w:val="auto"/>
          <w:spacing w:val="-7"/>
          <w:sz w:val="24"/>
          <w:szCs w:val="24"/>
          <w:highlight w:val="none"/>
        </w:rPr>
      </w:pPr>
    </w:p>
    <w:p w14:paraId="216120B9">
      <w:pPr>
        <w:spacing w:before="78" w:line="220" w:lineRule="auto"/>
        <w:ind w:left="9"/>
        <w:jc w:val="center"/>
        <w:outlineLvl w:val="1"/>
        <w:rPr>
          <w:rFonts w:hint="eastAsia" w:ascii="宋体" w:hAnsi="宋体" w:eastAsia="宋体" w:cs="宋体"/>
          <w:b/>
          <w:bCs/>
          <w:color w:val="auto"/>
          <w:spacing w:val="-3"/>
          <w:sz w:val="24"/>
          <w:szCs w:val="24"/>
          <w:highlight w:val="none"/>
        </w:rPr>
      </w:pPr>
      <w:bookmarkStart w:id="152" w:name="_Toc209"/>
      <w:bookmarkStart w:id="153" w:name="_Toc4926"/>
    </w:p>
    <w:p w14:paraId="6674D3F8">
      <w:pPr>
        <w:spacing w:before="78" w:line="220" w:lineRule="auto"/>
        <w:ind w:left="9"/>
        <w:jc w:val="center"/>
        <w:outlineLvl w:val="1"/>
        <w:rPr>
          <w:rFonts w:hint="eastAsia" w:ascii="宋体" w:hAnsi="宋体" w:eastAsia="宋体" w:cs="宋体"/>
          <w:b/>
          <w:bCs/>
          <w:color w:val="auto"/>
          <w:spacing w:val="-3"/>
          <w:sz w:val="24"/>
          <w:szCs w:val="24"/>
          <w:highlight w:val="none"/>
          <w:lang w:val="en-US" w:eastAsia="zh-CN"/>
        </w:rPr>
      </w:pPr>
      <w:r>
        <w:rPr>
          <w:rFonts w:hint="eastAsia" w:ascii="宋体" w:hAnsi="宋体" w:eastAsia="宋体" w:cs="宋体"/>
          <w:b/>
          <w:bCs/>
          <w:color w:val="auto"/>
          <w:spacing w:val="-3"/>
          <w:sz w:val="24"/>
          <w:szCs w:val="24"/>
          <w:highlight w:val="none"/>
        </w:rPr>
        <w:t>第</w:t>
      </w:r>
      <w:r>
        <w:rPr>
          <w:rFonts w:hint="eastAsia" w:ascii="宋体" w:hAnsi="宋体" w:eastAsia="宋体" w:cs="宋体"/>
          <w:b/>
          <w:bCs/>
          <w:color w:val="auto"/>
          <w:spacing w:val="-3"/>
          <w:sz w:val="24"/>
          <w:szCs w:val="24"/>
          <w:highlight w:val="none"/>
          <w:lang w:val="en-US" w:eastAsia="zh-CN"/>
        </w:rPr>
        <w:t>六</w:t>
      </w:r>
      <w:r>
        <w:rPr>
          <w:rFonts w:hint="eastAsia" w:ascii="宋体" w:hAnsi="宋体" w:eastAsia="宋体" w:cs="宋体"/>
          <w:b/>
          <w:bCs/>
          <w:color w:val="auto"/>
          <w:spacing w:val="-3"/>
          <w:sz w:val="24"/>
          <w:szCs w:val="24"/>
          <w:highlight w:val="none"/>
        </w:rPr>
        <w:t>节 中标确认</w:t>
      </w:r>
      <w:bookmarkEnd w:id="152"/>
      <w:bookmarkEnd w:id="153"/>
    </w:p>
    <w:p w14:paraId="7A05DA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kern w:val="0"/>
          <w:sz w:val="24"/>
          <w:szCs w:val="24"/>
          <w:highlight w:val="none"/>
          <w:u w:val="none"/>
          <w:shd w:val="clear" w:color="auto" w:fill="FFFFFF"/>
          <w:lang w:val="en-US" w:eastAsia="zh-CN" w:bidi="ar-SA"/>
        </w:rPr>
      </w:pPr>
      <w:r>
        <w:rPr>
          <w:rFonts w:hint="eastAsia" w:ascii="宋体" w:hAnsi="宋体" w:eastAsia="宋体" w:cs="宋体"/>
          <w:b/>
          <w:bCs/>
          <w:color w:val="auto"/>
          <w:kern w:val="0"/>
          <w:sz w:val="24"/>
          <w:szCs w:val="24"/>
          <w:highlight w:val="none"/>
          <w:u w:val="none"/>
          <w:shd w:val="clear" w:color="auto" w:fill="FFFFFF"/>
          <w:lang w:val="en-US" w:eastAsia="zh-CN" w:bidi="ar-SA"/>
        </w:rPr>
        <w:t>1.中标人确定</w:t>
      </w:r>
    </w:p>
    <w:p w14:paraId="36D267E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1.1 中标人确定。中标结果公示期满无异议的，招标人确认排名第一的中标候选人为中标人，中标人的投标报价即为中标价。</w:t>
      </w:r>
    </w:p>
    <w:p w14:paraId="755409C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1.2 中标人确定后，招标人应当于7日内在线完成加盖招标人单位电子签章的中标通知书并发放到中标人及各相关单位。招标人最迟应当在投标有效期届满30日前发出中标通知书，否则，应当按照本投标人须知投标有效期的规定延长投标有效期。</w:t>
      </w:r>
      <w:r>
        <w:rPr>
          <w:rFonts w:hint="eastAsia" w:ascii="宋体" w:hAnsi="宋体" w:eastAsia="宋体" w:cs="宋体"/>
          <w:snapToGrid w:val="0"/>
          <w:color w:val="auto"/>
          <w:kern w:val="0"/>
          <w:sz w:val="24"/>
          <w:szCs w:val="24"/>
          <w:highlight w:val="none"/>
        </w:rPr>
        <w:t>在中标通知书发出后5个工作日内，韶关市公共资源交易中心将投标保证金（或银行保函）退还给中标候选人以外的投标人。</w:t>
      </w:r>
    </w:p>
    <w:p w14:paraId="13C8676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1.3 招标人应当自中标通知书发出之日起15日内，通过广东省招标投标监管网和公共资源交易平台发布中标结果公示。 招标人应当自确定中标人之日起15日内，在线向有关招标管理部门提交招标投标情况的书面报告。</w:t>
      </w:r>
    </w:p>
    <w:p w14:paraId="3622870D">
      <w:pPr>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eastAsia="zh-CN"/>
        </w:rPr>
        <w:t>异议和投诉</w:t>
      </w:r>
    </w:p>
    <w:p w14:paraId="6F77332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2.1 投标人或者其他利害关系人对招标项目的评标和中标结果有异议的，应当在定标候选人和中标候选人公示期间按规定线上向招标人提出，逾期提出的不予受理。招标人自收到异议之日起3日内作出答复；作出答复前，应当暂停招标投标活动。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138E001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2.2在定标候选人和中标候选人公示期间有关评标结果的异议成立的，招标人原则上应当组织原评标委员会和原定标委员会对有关的问题予以纠正，问题纠正后再公示定标候选人和中标候选人。</w:t>
      </w:r>
    </w:p>
    <w:p w14:paraId="2D44F3D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2.3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0EE7EECE">
      <w:pPr>
        <w:pStyle w:val="12"/>
        <w:keepNext w:val="0"/>
        <w:keepLines w:val="0"/>
        <w:pageBreakBefore w:val="0"/>
        <w:widowControl w:val="0"/>
        <w:shd w:val="clear" w:color="auto" w:fill="auto"/>
        <w:kinsoku/>
        <w:wordWrap/>
        <w:overflowPunct/>
        <w:topLinePunct w:val="0"/>
        <w:bidi w:val="0"/>
        <w:adjustRightInd/>
        <w:snapToGrid/>
        <w:spacing w:before="0" w:beforeLines="0" w:after="0" w:afterLines="0" w:line="360" w:lineRule="auto"/>
        <w:ind w:left="0" w:leftChars="0" w:firstLine="482" w:firstLineChars="200"/>
        <w:jc w:val="both"/>
        <w:textAlignment w:val="auto"/>
        <w:outlineLvl w:val="9"/>
        <w:rPr>
          <w:rFonts w:hint="eastAsia" w:ascii="宋体" w:hAnsi="宋体" w:eastAsia="宋体" w:cs="宋体"/>
          <w:b/>
          <w:bCs/>
          <w:i/>
          <w:color w:val="auto"/>
          <w:sz w:val="24"/>
          <w:szCs w:val="24"/>
          <w:highlight w:val="none"/>
        </w:rPr>
      </w:pPr>
      <w:bookmarkStart w:id="154" w:name="_Toc236550039"/>
      <w:r>
        <w:rPr>
          <w:rStyle w:val="17"/>
          <w:rFonts w:hint="eastAsia" w:ascii="宋体" w:hAnsi="宋体" w:eastAsia="宋体" w:cs="宋体"/>
          <w:b/>
          <w:bCs/>
          <w:i w:val="0"/>
          <w:color w:val="auto"/>
          <w:sz w:val="24"/>
          <w:szCs w:val="24"/>
          <w:highlight w:val="none"/>
          <w:lang w:val="en-US" w:eastAsia="zh-CN"/>
        </w:rPr>
        <w:t>3</w:t>
      </w:r>
      <w:r>
        <w:rPr>
          <w:rStyle w:val="17"/>
          <w:rFonts w:hint="eastAsia" w:ascii="宋体" w:hAnsi="宋体" w:eastAsia="宋体" w:cs="宋体"/>
          <w:b/>
          <w:bCs/>
          <w:i w:val="0"/>
          <w:color w:val="auto"/>
          <w:sz w:val="24"/>
          <w:szCs w:val="24"/>
          <w:highlight w:val="none"/>
        </w:rPr>
        <w:t>．废除授标</w:t>
      </w:r>
      <w:bookmarkEnd w:id="154"/>
      <w:r>
        <w:rPr>
          <w:rStyle w:val="17"/>
          <w:rFonts w:hint="eastAsia" w:ascii="宋体" w:hAnsi="宋体" w:eastAsia="宋体" w:cs="宋体"/>
          <w:b/>
          <w:bCs/>
          <w:i w:val="0"/>
          <w:color w:val="auto"/>
          <w:sz w:val="24"/>
          <w:szCs w:val="24"/>
          <w:highlight w:val="none"/>
        </w:rPr>
        <w:t>及授标</w:t>
      </w:r>
    </w:p>
    <w:p w14:paraId="6F5D045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3.1评定标完成后，中标候选人有下列情形之一的，招标人应按规定取消中标候选人资格或废除授标：</w:t>
      </w:r>
    </w:p>
    <w:p w14:paraId="5761EDE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（1）以他人名义投标或者以其他方式弄虚作假骗取中标的；</w:t>
      </w:r>
    </w:p>
    <w:p w14:paraId="29A613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（2）与其他投标人串通投标或以行贿的手段谋取中标的；</w:t>
      </w:r>
    </w:p>
    <w:p w14:paraId="34437C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（3）不是从本投标企业基本账户提交投标担保或以虚假方式提交投标保证金保函（保单）的；</w:t>
      </w:r>
    </w:p>
    <w:p w14:paraId="2CD47F0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（4）中标人于投标有效期终止之前撤回投标文件，或者排名第一的中标候选人放弃中标资格的；</w:t>
      </w:r>
    </w:p>
    <w:p w14:paraId="0DCDC1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（5）因中标人过错而未能按照规定与招标人签订工程总承包合同或中标人因不可抗力提出不能履行合同的；</w:t>
      </w:r>
    </w:p>
    <w:p w14:paraId="1EBFDB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（6）因中标人过错而未能按照招标文件要求向招标人提交履约担保的；</w:t>
      </w:r>
    </w:p>
    <w:p w14:paraId="1CB820B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（7）中标单位拟派的项目负责人从投标截止时间起在其他建设工程担任项目负责人；</w:t>
      </w:r>
    </w:p>
    <w:p w14:paraId="18D4A23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（8）中标人被有关部门查实存在影响中标结果的违法行为，不符合中标条件的；</w:t>
      </w:r>
    </w:p>
    <w:p w14:paraId="382F114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（9）中标人在参加本项目投标时有本企业投标承诺书所列被依法限制或暂停承揽业务或停业的处罚的；</w:t>
      </w:r>
    </w:p>
    <w:p w14:paraId="2CE748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（10）招标文件明确规定可以废除授标的其他情形。</w:t>
      </w:r>
    </w:p>
    <w:p w14:paraId="4CF98D6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3.2 排名第一的中标候选人被取消中标候选人资格或废除授标，招标人可以按照定标委员会提出的中标候选人名单排序按规定依次确定其他中标候选人为中标人，并按规定实行中标结果公示；也可以按规定重新组织招标或报原项目审批、核准部门重新审批、核准招标方式。</w:t>
      </w:r>
    </w:p>
    <w:p w14:paraId="456F4F2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3.3 招标人有下列情形之一的，应依法承担相应的责任：</w:t>
      </w:r>
    </w:p>
    <w:p w14:paraId="066BAE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（1）无正当理由不发出中标通知书的；</w:t>
      </w:r>
    </w:p>
    <w:p w14:paraId="47FF8AB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（2）招标人不按照规定确定中标人的；</w:t>
      </w:r>
    </w:p>
    <w:p w14:paraId="30126BB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（3）中标通知书发出后无正当理由改变中标结果的；</w:t>
      </w:r>
    </w:p>
    <w:p w14:paraId="08A581F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b w:val="0"/>
          <w:bCs w:val="0"/>
          <w:color w:val="auto"/>
          <w:kern w:val="0"/>
          <w:sz w:val="24"/>
          <w:szCs w:val="24"/>
          <w:highlight w:val="none"/>
          <w:u w:val="none"/>
          <w:shd w:val="clear" w:color="auto" w:fill="FFFFFF"/>
          <w:lang w:val="en-US" w:eastAsia="zh-CN" w:bidi="ar-SA"/>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（4）无正当理由不与中标人签订工程总承包合同的；</w:t>
      </w:r>
    </w:p>
    <w:p w14:paraId="058A58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Style w:val="20"/>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u w:val="none"/>
          <w:shd w:val="clear" w:color="auto" w:fill="FFFFFF"/>
          <w:lang w:val="en-US" w:eastAsia="zh-CN" w:bidi="ar-SA"/>
        </w:rPr>
        <w:t>（5）在签订工程总承包合同时向中标人提出附加条件或者更改合同实质性内容的。</w:t>
      </w:r>
    </w:p>
    <w:p w14:paraId="453B91BC">
      <w:pPr>
        <w:keepNext w:val="0"/>
        <w:keepLines w:val="0"/>
        <w:pageBreakBefore w:val="0"/>
        <w:wordWrap/>
        <w:overflowPunct/>
        <w:topLinePunct w:val="0"/>
        <w:bidi w:val="0"/>
        <w:spacing w:line="360" w:lineRule="auto"/>
        <w:rPr>
          <w:rFonts w:hint="eastAsia"/>
          <w:color w:val="auto"/>
          <w:sz w:val="24"/>
          <w:szCs w:val="24"/>
          <w:highlight w:val="none"/>
        </w:rPr>
        <w:sectPr>
          <w:endnotePr>
            <w:numFmt w:val="decimal"/>
          </w:endnotePr>
          <w:pgSz w:w="11906" w:h="16838"/>
          <w:pgMar w:top="1247" w:right="1304" w:bottom="1247" w:left="1304" w:header="850" w:footer="544" w:gutter="0"/>
          <w:cols w:space="720" w:num="1"/>
          <w:rtlGutter w:val="0"/>
          <w:docGrid w:linePitch="327" w:charSpace="0"/>
        </w:sectPr>
      </w:pPr>
    </w:p>
    <w:p w14:paraId="5413A7C9">
      <w:pPr>
        <w:spacing w:before="78" w:line="219" w:lineRule="auto"/>
        <w:ind w:left="3525"/>
        <w:outlineLvl w:val="0"/>
        <w:rPr>
          <w:rFonts w:hint="eastAsia" w:ascii="宋体" w:hAnsi="宋体" w:eastAsia="宋体" w:cs="宋体"/>
          <w:color w:val="auto"/>
          <w:sz w:val="24"/>
          <w:szCs w:val="24"/>
          <w:highlight w:val="none"/>
        </w:rPr>
      </w:pPr>
      <w:bookmarkStart w:id="155" w:name="_Toc13655"/>
      <w:r>
        <w:rPr>
          <w:rFonts w:hint="eastAsia" w:ascii="宋体" w:hAnsi="宋体" w:eastAsia="宋体" w:cs="宋体"/>
          <w:b/>
          <w:bCs/>
          <w:color w:val="auto"/>
          <w:spacing w:val="-7"/>
          <w:sz w:val="24"/>
          <w:szCs w:val="24"/>
          <w:highlight w:val="none"/>
        </w:rPr>
        <w:t>第二章</w:t>
      </w:r>
      <w:r>
        <w:rPr>
          <w:rFonts w:hint="eastAsia" w:ascii="宋体" w:hAnsi="宋体" w:eastAsia="宋体" w:cs="宋体"/>
          <w:color w:val="auto"/>
          <w:spacing w:val="32"/>
          <w:sz w:val="24"/>
          <w:szCs w:val="24"/>
          <w:highlight w:val="none"/>
        </w:rPr>
        <w:t xml:space="preserve"> </w:t>
      </w:r>
      <w:r>
        <w:rPr>
          <w:rFonts w:hint="eastAsia" w:ascii="宋体" w:hAnsi="宋体" w:eastAsia="宋体" w:cs="宋体"/>
          <w:b/>
          <w:bCs/>
          <w:color w:val="auto"/>
          <w:spacing w:val="-7"/>
          <w:sz w:val="24"/>
          <w:szCs w:val="24"/>
          <w:highlight w:val="none"/>
        </w:rPr>
        <w:t>中标人须知</w:t>
      </w:r>
      <w:bookmarkEnd w:id="155"/>
    </w:p>
    <w:p w14:paraId="73FD4C9A">
      <w:pPr>
        <w:spacing w:before="78" w:line="219" w:lineRule="auto"/>
        <w:ind w:left="582"/>
        <w:outlineLvl w:val="2"/>
        <w:rPr>
          <w:rFonts w:hint="eastAsia" w:ascii="宋体" w:hAnsi="宋体" w:eastAsia="宋体" w:cs="宋体"/>
          <w:color w:val="auto"/>
          <w:sz w:val="24"/>
          <w:szCs w:val="24"/>
          <w:highlight w:val="none"/>
        </w:rPr>
      </w:pPr>
      <w:bookmarkStart w:id="156" w:name="_Toc21697"/>
      <w:r>
        <w:rPr>
          <w:rFonts w:hint="eastAsia" w:ascii="宋体" w:hAnsi="宋体" w:eastAsia="宋体" w:cs="宋体"/>
          <w:b/>
          <w:bCs/>
          <w:color w:val="auto"/>
          <w:spacing w:val="-9"/>
          <w:sz w:val="24"/>
          <w:szCs w:val="24"/>
          <w:highlight w:val="none"/>
        </w:rPr>
        <w:t>1</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9"/>
          <w:sz w:val="24"/>
          <w:szCs w:val="24"/>
          <w:highlight w:val="none"/>
        </w:rPr>
        <w:t>．中标通知书</w:t>
      </w:r>
      <w:bookmarkEnd w:id="156"/>
    </w:p>
    <w:p w14:paraId="72AC753B">
      <w:pPr>
        <w:spacing w:before="152" w:line="332" w:lineRule="auto"/>
        <w:ind w:left="17" w:firstLine="559"/>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招标人确定第一中标候选人为中标人，并在中标人确定之日起</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7日内向中</w:t>
      </w:r>
      <w:r>
        <w:rPr>
          <w:rFonts w:hint="eastAsia" w:ascii="宋体" w:hAnsi="宋体" w:eastAsia="宋体" w:cs="宋体"/>
          <w:color w:val="auto"/>
          <w:sz w:val="24"/>
          <w:szCs w:val="24"/>
          <w:highlight w:val="none"/>
        </w:rPr>
        <w:t>标人发</w:t>
      </w:r>
      <w:r>
        <w:rPr>
          <w:rFonts w:hint="eastAsia" w:ascii="宋体" w:hAnsi="宋体" w:eastAsia="宋体" w:cs="宋体"/>
          <w:color w:val="auto"/>
          <w:spacing w:val="-3"/>
          <w:sz w:val="24"/>
          <w:szCs w:val="24"/>
          <w:highlight w:val="none"/>
        </w:rPr>
        <w:t>出中标通知书，中标人必须按韶关市公共资源交易中心的规定办理相关手续后方可领取。</w:t>
      </w:r>
      <w:r>
        <w:rPr>
          <w:rFonts w:hint="eastAsia" w:ascii="宋体" w:hAnsi="宋体" w:eastAsia="宋体" w:cs="宋体"/>
          <w:color w:val="auto"/>
          <w:spacing w:val="-2"/>
          <w:sz w:val="24"/>
          <w:szCs w:val="24"/>
          <w:highlight w:val="none"/>
        </w:rPr>
        <w:t>中标通知书对招标人和中标人均具有法律约束力。中标通知书发出后，招标人改变中标</w:t>
      </w:r>
      <w:r>
        <w:rPr>
          <w:rFonts w:hint="eastAsia" w:ascii="宋体" w:hAnsi="宋体" w:eastAsia="宋体" w:cs="宋体"/>
          <w:color w:val="auto"/>
          <w:spacing w:val="-1"/>
          <w:sz w:val="24"/>
          <w:szCs w:val="24"/>
          <w:highlight w:val="none"/>
        </w:rPr>
        <w:t>结果和中标人放弃中标的，应当承担法律责任。</w:t>
      </w:r>
    </w:p>
    <w:p w14:paraId="0FA046D1">
      <w:pPr>
        <w:pStyle w:val="5"/>
        <w:spacing w:line="394" w:lineRule="auto"/>
        <w:rPr>
          <w:rFonts w:hint="eastAsia" w:ascii="宋体" w:hAnsi="宋体" w:eastAsia="宋体" w:cs="宋体"/>
          <w:color w:val="auto"/>
          <w:highlight w:val="none"/>
        </w:rPr>
      </w:pPr>
    </w:p>
    <w:p w14:paraId="4EF45B28">
      <w:pPr>
        <w:spacing w:before="78" w:line="221" w:lineRule="auto"/>
        <w:ind w:left="572"/>
        <w:outlineLvl w:val="2"/>
        <w:rPr>
          <w:rFonts w:hint="eastAsia" w:ascii="宋体" w:hAnsi="宋体" w:eastAsia="宋体" w:cs="宋体"/>
          <w:color w:val="auto"/>
          <w:sz w:val="24"/>
          <w:szCs w:val="24"/>
          <w:highlight w:val="none"/>
        </w:rPr>
      </w:pPr>
      <w:bookmarkStart w:id="157" w:name="_Toc979"/>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．中标结果公示</w:t>
      </w:r>
      <w:bookmarkEnd w:id="157"/>
    </w:p>
    <w:p w14:paraId="4213F0D5">
      <w:pPr>
        <w:spacing w:before="115" w:line="316" w:lineRule="auto"/>
        <w:ind w:left="2" w:right="203" w:firstLine="59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中标通知书发出后</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2"/>
          <w:sz w:val="24"/>
          <w:szCs w:val="24"/>
          <w:highlight w:val="none"/>
        </w:rPr>
        <w:t>15日内，招标人应将中标结果在广东省招标投标</w:t>
      </w:r>
      <w:r>
        <w:rPr>
          <w:rFonts w:hint="eastAsia" w:ascii="宋体" w:hAnsi="宋体" w:eastAsia="宋体" w:cs="宋体"/>
          <w:color w:val="auto"/>
          <w:spacing w:val="-3"/>
          <w:sz w:val="24"/>
          <w:szCs w:val="24"/>
          <w:highlight w:val="none"/>
        </w:rPr>
        <w:t>监管网（http:</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//zbtb.gd.gov.cn）、全国公共资源交易平台（广东省</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·韶关市</w:t>
      </w:r>
      <w:r>
        <w:rPr>
          <w:rFonts w:hint="eastAsia" w:ascii="宋体" w:hAnsi="宋体" w:eastAsia="宋体" w:cs="宋体"/>
          <w:color w:val="auto"/>
          <w:spacing w:val="-34"/>
          <w:sz w:val="24"/>
          <w:szCs w:val="24"/>
          <w:highlight w:val="none"/>
        </w:rPr>
        <w:t>）（</w:t>
      </w:r>
      <w:r>
        <w:rPr>
          <w:rFonts w:hint="eastAsia" w:ascii="宋体" w:hAnsi="宋体" w:eastAsia="宋体" w:cs="宋体"/>
          <w:color w:val="auto"/>
          <w:spacing w:val="-2"/>
          <w:sz w:val="24"/>
          <w:szCs w:val="24"/>
          <w:highlight w:val="none"/>
        </w:rPr>
        <w:t>https://ygp.</w:t>
      </w:r>
      <w:r>
        <w:rPr>
          <w:rFonts w:hint="eastAsia" w:ascii="宋体" w:hAnsi="宋体" w:eastAsia="宋体" w:cs="宋体"/>
          <w:color w:val="auto"/>
          <w:spacing w:val="-3"/>
          <w:sz w:val="24"/>
          <w:szCs w:val="24"/>
          <w:highlight w:val="none"/>
        </w:rPr>
        <w:t>gdzwfw.gov.</w:t>
      </w:r>
      <w:r>
        <w:rPr>
          <w:rFonts w:hint="eastAsia" w:ascii="宋体" w:hAnsi="宋体" w:eastAsia="宋体" w:cs="宋体"/>
          <w:color w:val="auto"/>
          <w:sz w:val="24"/>
          <w:szCs w:val="24"/>
          <w:highlight w:val="none"/>
        </w:rPr>
        <w:t xml:space="preserve"> cn/ggzy-portal/#/440200/index）进行公示。</w:t>
      </w:r>
    </w:p>
    <w:p w14:paraId="3E0F2192">
      <w:pPr>
        <w:pStyle w:val="5"/>
        <w:spacing w:line="475" w:lineRule="auto"/>
        <w:rPr>
          <w:rFonts w:hint="eastAsia" w:ascii="宋体" w:hAnsi="宋体" w:eastAsia="宋体" w:cs="宋体"/>
          <w:color w:val="auto"/>
          <w:highlight w:val="none"/>
        </w:rPr>
      </w:pPr>
    </w:p>
    <w:p w14:paraId="0D126311">
      <w:pPr>
        <w:spacing w:before="79" w:line="221" w:lineRule="auto"/>
        <w:ind w:left="570"/>
        <w:outlineLvl w:val="2"/>
        <w:rPr>
          <w:rFonts w:hint="eastAsia" w:ascii="宋体" w:hAnsi="宋体" w:eastAsia="宋体" w:cs="宋体"/>
          <w:color w:val="auto"/>
          <w:sz w:val="24"/>
          <w:szCs w:val="24"/>
          <w:highlight w:val="none"/>
        </w:rPr>
      </w:pPr>
      <w:bookmarkStart w:id="158" w:name="_Toc13145"/>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．履约保证</w:t>
      </w:r>
      <w:bookmarkEnd w:id="158"/>
    </w:p>
    <w:p w14:paraId="768BD984">
      <w:pPr>
        <w:keepNext w:val="0"/>
        <w:keepLines w:val="0"/>
        <w:pageBreakBefore w:val="0"/>
        <w:widowControl/>
        <w:kinsoku w:val="0"/>
        <w:wordWrap/>
        <w:overflowPunct/>
        <w:topLinePunct w:val="0"/>
        <w:autoSpaceDE w:val="0"/>
        <w:autoSpaceDN w:val="0"/>
        <w:bidi w:val="0"/>
        <w:adjustRightInd w:val="0"/>
        <w:snapToGrid w:val="0"/>
        <w:spacing w:before="153" w:line="312" w:lineRule="auto"/>
        <w:ind w:firstLine="47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3.1</w:t>
      </w:r>
      <w:r>
        <w:rPr>
          <w:rFonts w:hint="eastAsia" w:ascii="宋体" w:hAnsi="宋体" w:eastAsia="宋体" w:cs="宋体"/>
          <w:b/>
          <w:bCs/>
          <w:color w:val="auto"/>
          <w:spacing w:val="17"/>
          <w:sz w:val="24"/>
          <w:szCs w:val="24"/>
          <w:highlight w:val="none"/>
        </w:rPr>
        <w:t xml:space="preserve">  </w:t>
      </w:r>
      <w:r>
        <w:rPr>
          <w:rFonts w:hint="eastAsia" w:ascii="宋体" w:hAnsi="宋体" w:eastAsia="宋体" w:cs="宋体"/>
          <w:color w:val="auto"/>
          <w:spacing w:val="-3"/>
          <w:sz w:val="24"/>
          <w:szCs w:val="24"/>
          <w:highlight w:val="none"/>
        </w:rPr>
        <w:t>中标人须在领取中标通知书之日起</w:t>
      </w:r>
      <w:r>
        <w:rPr>
          <w:rFonts w:hint="eastAsia" w:ascii="宋体" w:hAnsi="宋体" w:eastAsia="宋体" w:cs="宋体"/>
          <w:color w:val="auto"/>
          <w:spacing w:val="-3"/>
          <w:sz w:val="24"/>
          <w:szCs w:val="24"/>
          <w:highlight w:val="none"/>
          <w:u w:val="single"/>
          <w:lang w:val="en-US" w:eastAsia="zh-CN"/>
        </w:rPr>
        <w:t xml:space="preserve"> 10 </w:t>
      </w:r>
      <w:r>
        <w:rPr>
          <w:rFonts w:hint="eastAsia" w:ascii="宋体" w:hAnsi="宋体" w:eastAsia="宋体" w:cs="宋体"/>
          <w:color w:val="auto"/>
          <w:spacing w:val="-3"/>
          <w:sz w:val="24"/>
          <w:szCs w:val="24"/>
          <w:highlight w:val="none"/>
        </w:rPr>
        <w:t>个工作日内、签订合同前向招标人提交金额</w:t>
      </w:r>
      <w:r>
        <w:rPr>
          <w:rFonts w:hint="eastAsia" w:ascii="宋体" w:hAnsi="宋体" w:eastAsia="宋体" w:cs="宋体"/>
          <w:color w:val="auto"/>
          <w:spacing w:val="-1"/>
          <w:position w:val="2"/>
          <w:sz w:val="24"/>
          <w:szCs w:val="24"/>
          <w:highlight w:val="none"/>
        </w:rPr>
        <w:t>为中标价</w:t>
      </w:r>
      <w:r>
        <w:rPr>
          <w:rFonts w:hint="eastAsia" w:ascii="宋体" w:hAnsi="宋体" w:eastAsia="宋体" w:cs="宋体"/>
          <w:color w:val="auto"/>
          <w:spacing w:val="-1"/>
          <w:position w:val="2"/>
          <w:sz w:val="24"/>
          <w:szCs w:val="24"/>
          <w:highlight w:val="none"/>
          <w:u w:val="single"/>
          <w:lang w:val="en-US" w:eastAsia="zh-CN"/>
        </w:rPr>
        <w:t xml:space="preserve"> 5</w:t>
      </w:r>
      <w:r>
        <w:rPr>
          <w:rFonts w:hint="eastAsia" w:ascii="宋体" w:hAnsi="宋体" w:eastAsia="宋体" w:cs="宋体"/>
          <w:color w:val="auto"/>
          <w:spacing w:val="-1"/>
          <w:position w:val="2"/>
          <w:sz w:val="24"/>
          <w:szCs w:val="24"/>
          <w:highlight w:val="none"/>
          <w:u w:val="single"/>
        </w:rPr>
        <w:t xml:space="preserve">%  </w:t>
      </w:r>
      <w:r>
        <w:rPr>
          <w:rFonts w:hint="eastAsia" w:ascii="宋体" w:hAnsi="宋体" w:eastAsia="宋体" w:cs="宋体"/>
          <w:color w:val="auto"/>
          <w:spacing w:val="-1"/>
          <w:position w:val="2"/>
          <w:sz w:val="24"/>
          <w:szCs w:val="24"/>
          <w:highlight w:val="none"/>
        </w:rPr>
        <w:t>的履约保证。联合体中标的，由联合体牵头人提交。</w:t>
      </w:r>
    </w:p>
    <w:p w14:paraId="49C84C93">
      <w:pPr>
        <w:spacing w:before="89" w:line="286" w:lineRule="auto"/>
        <w:ind w:left="12" w:right="108" w:firstLine="473"/>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3.2</w:t>
      </w:r>
      <w:r>
        <w:rPr>
          <w:rFonts w:hint="eastAsia" w:ascii="宋体" w:hAnsi="宋体" w:eastAsia="宋体" w:cs="宋体"/>
          <w:b/>
          <w:bCs/>
          <w:color w:val="auto"/>
          <w:spacing w:val="34"/>
          <w:w w:val="101"/>
          <w:sz w:val="24"/>
          <w:szCs w:val="24"/>
          <w:highlight w:val="none"/>
        </w:rPr>
        <w:t xml:space="preserve"> </w:t>
      </w:r>
      <w:r>
        <w:rPr>
          <w:rFonts w:hint="eastAsia" w:ascii="宋体" w:hAnsi="宋体" w:eastAsia="宋体" w:cs="宋体"/>
          <w:color w:val="auto"/>
          <w:spacing w:val="-1"/>
          <w:position w:val="2"/>
          <w:sz w:val="24"/>
          <w:szCs w:val="24"/>
          <w:highlight w:val="none"/>
        </w:rPr>
        <w:t>中标人根据《关于统一在市公共资源交易一体化服务平台缴退工程建设项目履约保证金的通知》办理相关手续，履约保证的形式包括履约保证金、履约保证担保、履约保证保险三种，由中标人自主选择</w:t>
      </w:r>
      <w:r>
        <w:rPr>
          <w:rFonts w:hint="eastAsia" w:ascii="宋体" w:hAnsi="宋体" w:eastAsia="宋体" w:cs="宋体"/>
          <w:color w:val="auto"/>
          <w:spacing w:val="-2"/>
          <w:sz w:val="24"/>
          <w:szCs w:val="24"/>
          <w:highlight w:val="none"/>
        </w:rPr>
        <w:t>。商业保函、银行保函或保险合同（或保险单）的</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1"/>
          <w:sz w:val="24"/>
          <w:szCs w:val="24"/>
          <w:highlight w:val="none"/>
        </w:rPr>
        <w:t>有效期应当自合同生效之日起至项目通过竣工验收之日后</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
          <w:sz w:val="24"/>
          <w:szCs w:val="24"/>
          <w:highlight w:val="none"/>
        </w:rPr>
        <w:t>28 天止。</w:t>
      </w:r>
    </w:p>
    <w:p w14:paraId="2796A316">
      <w:pPr>
        <w:wordWrap w:val="0"/>
        <w:spacing w:line="440" w:lineRule="exact"/>
        <w:ind w:firstLine="562"/>
        <w:rPr>
          <w:rFonts w:hint="eastAsia" w:ascii="宋体" w:hAnsi="宋体" w:eastAsia="宋体" w:cs="宋体"/>
          <w:color w:val="auto"/>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position w:val="2"/>
          <w:sz w:val="24"/>
          <w:szCs w:val="24"/>
          <w:highlight w:val="none"/>
          <w:lang w:eastAsia="zh-CN"/>
        </w:rPr>
        <w:t>注：中标通知书发出时，招标人发起收缴履约保证金并填写保证金金额、缴交时限和项目工期；由中标人在建设工程交易系统中自主选择一种进行缴交。项目竣工后，由招标人发起退保。）</w:t>
      </w:r>
    </w:p>
    <w:p w14:paraId="35FFE1C4">
      <w:pPr>
        <w:spacing w:before="145" w:line="319" w:lineRule="auto"/>
        <w:ind w:left="12" w:right="108"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3.3</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4"/>
          <w:sz w:val="24"/>
          <w:szCs w:val="24"/>
          <w:highlight w:val="none"/>
        </w:rPr>
        <w:t>中标人在领取中标通知书之日起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 个工</w:t>
      </w:r>
      <w:r>
        <w:rPr>
          <w:rFonts w:hint="eastAsia" w:ascii="宋体" w:hAnsi="宋体" w:eastAsia="宋体" w:cs="宋体"/>
          <w:color w:val="auto"/>
          <w:spacing w:val="-5"/>
          <w:sz w:val="24"/>
          <w:szCs w:val="24"/>
          <w:highlight w:val="none"/>
        </w:rPr>
        <w:t>作日内仍未提交履约保证的，招标人发</w:t>
      </w:r>
      <w:r>
        <w:rPr>
          <w:rFonts w:hint="eastAsia" w:ascii="宋体" w:hAnsi="宋体" w:eastAsia="宋体" w:cs="宋体"/>
          <w:color w:val="auto"/>
          <w:spacing w:val="1"/>
          <w:sz w:val="24"/>
          <w:szCs w:val="24"/>
          <w:highlight w:val="none"/>
        </w:rPr>
        <w:t>出第一次提醒函；在领取中标通知书之日起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1"/>
          <w:sz w:val="24"/>
          <w:szCs w:val="24"/>
          <w:highlight w:val="none"/>
        </w:rPr>
        <w:t>15 个工作日内仍未提交的</w:t>
      </w:r>
      <w:r>
        <w:rPr>
          <w:rFonts w:hint="eastAsia" w:ascii="宋体" w:hAnsi="宋体" w:eastAsia="宋体" w:cs="宋体"/>
          <w:color w:val="auto"/>
          <w:sz w:val="24"/>
          <w:szCs w:val="24"/>
          <w:highlight w:val="none"/>
        </w:rPr>
        <w:t>，招标人发出第</w:t>
      </w:r>
      <w:r>
        <w:rPr>
          <w:rFonts w:hint="eastAsia" w:ascii="宋体" w:hAnsi="宋体" w:eastAsia="宋体" w:cs="宋体"/>
          <w:color w:val="auto"/>
          <w:spacing w:val="1"/>
          <w:sz w:val="24"/>
          <w:szCs w:val="24"/>
          <w:highlight w:val="none"/>
        </w:rPr>
        <w:t>二次提醒函；在领取中标通知书之日起</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1"/>
          <w:sz w:val="24"/>
          <w:szCs w:val="24"/>
          <w:highlight w:val="none"/>
        </w:rPr>
        <w:t>20 个工作日内仍未提交的，视其放弃中标。并</w:t>
      </w:r>
      <w:r>
        <w:rPr>
          <w:rFonts w:hint="eastAsia" w:ascii="宋体" w:hAnsi="宋体" w:eastAsia="宋体" w:cs="宋体"/>
          <w:color w:val="auto"/>
          <w:spacing w:val="-2"/>
          <w:sz w:val="24"/>
          <w:szCs w:val="24"/>
          <w:highlight w:val="none"/>
        </w:rPr>
        <w:t>由招标人通报建设行政管理部门。如采用商业保函、银行保函或保险合同方式缴纳履约保证金，在保函或保险合同到期前一个月，中标人须主动办理续期手续或提交新的商业</w:t>
      </w:r>
      <w:r>
        <w:rPr>
          <w:rFonts w:hint="eastAsia" w:ascii="宋体" w:hAnsi="宋体" w:eastAsia="宋体" w:cs="宋体"/>
          <w:color w:val="auto"/>
          <w:spacing w:val="-1"/>
          <w:sz w:val="24"/>
          <w:szCs w:val="24"/>
          <w:highlight w:val="none"/>
        </w:rPr>
        <w:t>保函、银行保函或保险合同。</w:t>
      </w:r>
    </w:p>
    <w:p w14:paraId="514C5854">
      <w:pPr>
        <w:spacing w:before="152" w:line="299" w:lineRule="auto"/>
        <w:ind w:left="12"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3.4  </w:t>
      </w:r>
      <w:r>
        <w:rPr>
          <w:rFonts w:hint="eastAsia" w:ascii="宋体" w:hAnsi="宋体" w:eastAsia="宋体" w:cs="宋体"/>
          <w:color w:val="auto"/>
          <w:sz w:val="24"/>
          <w:szCs w:val="24"/>
          <w:highlight w:val="none"/>
        </w:rPr>
        <w:t>在工程实施过程中，如果承包人（即招标阶段的中标人，下同）由于自身的资</w:t>
      </w:r>
      <w:r>
        <w:rPr>
          <w:rFonts w:hint="eastAsia" w:ascii="宋体" w:hAnsi="宋体" w:eastAsia="宋体" w:cs="宋体"/>
          <w:color w:val="auto"/>
          <w:spacing w:val="-2"/>
          <w:sz w:val="24"/>
          <w:szCs w:val="24"/>
          <w:highlight w:val="none"/>
        </w:rPr>
        <w:t>金、技术、质量、非不可抗力等原因给发包人（即招标阶段的招标人，下同）造成经济</w:t>
      </w:r>
      <w:r>
        <w:rPr>
          <w:rFonts w:hint="eastAsia" w:ascii="宋体" w:hAnsi="宋体" w:eastAsia="宋体" w:cs="宋体"/>
          <w:color w:val="auto"/>
          <w:spacing w:val="-1"/>
          <w:sz w:val="24"/>
          <w:szCs w:val="24"/>
          <w:highlight w:val="none"/>
        </w:rPr>
        <w:t>损失，发包人有权扣划相应金额的履约保证。</w:t>
      </w:r>
    </w:p>
    <w:p w14:paraId="0B05782F">
      <w:pPr>
        <w:spacing w:before="154" w:line="220" w:lineRule="auto"/>
        <w:ind w:left="48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3.5  </w:t>
      </w:r>
      <w:r>
        <w:rPr>
          <w:rFonts w:hint="eastAsia" w:ascii="宋体" w:hAnsi="宋体" w:eastAsia="宋体" w:cs="宋体"/>
          <w:color w:val="auto"/>
          <w:sz w:val="24"/>
          <w:szCs w:val="24"/>
          <w:highlight w:val="none"/>
        </w:rPr>
        <w:t>项目通过竣工验收之日后</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28 天内，发包人将履</w:t>
      </w:r>
      <w:r>
        <w:rPr>
          <w:rFonts w:hint="eastAsia" w:ascii="宋体" w:hAnsi="宋体" w:eastAsia="宋体" w:cs="宋体"/>
          <w:color w:val="auto"/>
          <w:spacing w:val="-1"/>
          <w:sz w:val="24"/>
          <w:szCs w:val="24"/>
          <w:highlight w:val="none"/>
        </w:rPr>
        <w:t>约保证退还给承包人。</w:t>
      </w:r>
    </w:p>
    <w:p w14:paraId="5942DFEF">
      <w:pPr>
        <w:pStyle w:val="5"/>
        <w:spacing w:line="256" w:lineRule="auto"/>
        <w:rPr>
          <w:rFonts w:hint="eastAsia" w:ascii="宋体" w:hAnsi="宋体" w:eastAsia="宋体" w:cs="宋体"/>
          <w:color w:val="auto"/>
          <w:highlight w:val="none"/>
        </w:rPr>
      </w:pPr>
    </w:p>
    <w:p w14:paraId="0EC79573">
      <w:pPr>
        <w:pStyle w:val="5"/>
        <w:spacing w:line="257" w:lineRule="auto"/>
        <w:rPr>
          <w:rFonts w:hint="eastAsia" w:ascii="宋体" w:hAnsi="宋体" w:eastAsia="宋体" w:cs="宋体"/>
          <w:color w:val="auto"/>
          <w:highlight w:val="none"/>
        </w:rPr>
      </w:pPr>
    </w:p>
    <w:p w14:paraId="6839761F">
      <w:pPr>
        <w:spacing w:before="78" w:line="222" w:lineRule="auto"/>
        <w:ind w:left="488"/>
        <w:outlineLvl w:val="2"/>
        <w:rPr>
          <w:rFonts w:hint="eastAsia" w:ascii="宋体" w:hAnsi="宋体" w:eastAsia="宋体" w:cs="宋体"/>
          <w:color w:val="auto"/>
          <w:sz w:val="24"/>
          <w:szCs w:val="24"/>
          <w:highlight w:val="none"/>
        </w:rPr>
      </w:pPr>
      <w:bookmarkStart w:id="159" w:name="_Toc133"/>
      <w:r>
        <w:rPr>
          <w:rFonts w:hint="eastAsia" w:ascii="宋体" w:hAnsi="宋体" w:eastAsia="宋体" w:cs="宋体"/>
          <w:b/>
          <w:bCs/>
          <w:color w:val="auto"/>
          <w:spacing w:val="-8"/>
          <w:sz w:val="24"/>
          <w:szCs w:val="24"/>
          <w:highlight w:val="none"/>
        </w:rPr>
        <w:t>4</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8"/>
          <w:sz w:val="24"/>
          <w:szCs w:val="24"/>
          <w:highlight w:val="none"/>
        </w:rPr>
        <w:t>．合同订立</w:t>
      </w:r>
      <w:bookmarkEnd w:id="159"/>
    </w:p>
    <w:p w14:paraId="76D76CF8">
      <w:pPr>
        <w:spacing w:before="150" w:line="279" w:lineRule="auto"/>
        <w:ind w:left="13" w:right="108"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4.1  </w:t>
      </w:r>
      <w:r>
        <w:rPr>
          <w:rFonts w:hint="eastAsia" w:ascii="宋体" w:hAnsi="宋体" w:eastAsia="宋体" w:cs="宋体"/>
          <w:color w:val="auto"/>
          <w:sz w:val="24"/>
          <w:szCs w:val="24"/>
          <w:highlight w:val="none"/>
        </w:rPr>
        <w:t>招标人应当自中标通知书发出之日起</w:t>
      </w:r>
      <w:r>
        <w:rPr>
          <w:rFonts w:hint="eastAsia" w:ascii="宋体" w:hAnsi="宋体" w:eastAsia="宋体" w:cs="宋体"/>
          <w:color w:val="auto"/>
          <w:sz w:val="24"/>
          <w:szCs w:val="24"/>
          <w:highlight w:val="none"/>
          <w:u w:val="single"/>
          <w:lang w:val="en-US" w:eastAsia="zh-CN"/>
        </w:rPr>
        <w:t xml:space="preserve"> 三十 </w:t>
      </w:r>
      <w:r>
        <w:rPr>
          <w:rFonts w:hint="eastAsia" w:ascii="宋体" w:hAnsi="宋体" w:eastAsia="宋体" w:cs="宋体"/>
          <w:color w:val="auto"/>
          <w:sz w:val="24"/>
          <w:szCs w:val="24"/>
          <w:highlight w:val="none"/>
        </w:rPr>
        <w:t>日内，按照招标文件、中标人的投标</w:t>
      </w:r>
      <w:r>
        <w:rPr>
          <w:rFonts w:hint="eastAsia" w:ascii="宋体" w:hAnsi="宋体" w:eastAsia="宋体" w:cs="宋体"/>
          <w:color w:val="auto"/>
          <w:spacing w:val="-1"/>
          <w:sz w:val="24"/>
          <w:szCs w:val="24"/>
          <w:highlight w:val="none"/>
        </w:rPr>
        <w:t>文件与中标人订立书面合同。</w:t>
      </w:r>
    </w:p>
    <w:p w14:paraId="4E43A176">
      <w:pPr>
        <w:spacing w:before="156"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4.2  </w:t>
      </w:r>
      <w:r>
        <w:rPr>
          <w:rFonts w:hint="eastAsia" w:ascii="宋体" w:hAnsi="宋体" w:eastAsia="宋体" w:cs="宋体"/>
          <w:color w:val="auto"/>
          <w:spacing w:val="-1"/>
          <w:sz w:val="24"/>
          <w:szCs w:val="24"/>
          <w:highlight w:val="none"/>
        </w:rPr>
        <w:t>不正常报价的梳理和确认</w:t>
      </w:r>
    </w:p>
    <w:p w14:paraId="648BF508">
      <w:pPr>
        <w:spacing w:before="154" w:line="299" w:lineRule="auto"/>
        <w:ind w:left="14" w:right="64"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4.2.1 合同订立期间，在不改变中标人的投标总价的前提下，招标人应对中标人的</w:t>
      </w:r>
      <w:r>
        <w:rPr>
          <w:rFonts w:hint="eastAsia" w:ascii="宋体" w:hAnsi="宋体" w:eastAsia="宋体" w:cs="宋体"/>
          <w:b/>
          <w:bCs/>
          <w:color w:val="auto"/>
          <w:spacing w:val="-3"/>
          <w:sz w:val="24"/>
          <w:szCs w:val="24"/>
          <w:highlight w:val="none"/>
        </w:rPr>
        <w:t>投标报价进行全面分析和整理，从而发现并提取其中可能存在的算术性错误、错漏项、不平衡报价等不正常报价，并修正其中的算术性错误。</w:t>
      </w:r>
      <w:r>
        <w:rPr>
          <w:rFonts w:hint="eastAsia" w:ascii="宋体" w:hAnsi="宋体" w:eastAsia="宋体" w:cs="宋体"/>
          <w:color w:val="auto"/>
          <w:spacing w:val="-3"/>
          <w:sz w:val="24"/>
          <w:szCs w:val="24"/>
          <w:highlight w:val="none"/>
        </w:rPr>
        <w:t>招标人不具备</w:t>
      </w:r>
      <w:r>
        <w:rPr>
          <w:rFonts w:hint="eastAsia" w:ascii="宋体" w:hAnsi="宋体" w:eastAsia="宋体" w:cs="宋体"/>
          <w:color w:val="auto"/>
          <w:spacing w:val="-4"/>
          <w:sz w:val="24"/>
          <w:szCs w:val="24"/>
          <w:highlight w:val="none"/>
        </w:rPr>
        <w:t>以上能力的，可授</w:t>
      </w:r>
      <w:r>
        <w:rPr>
          <w:rFonts w:hint="eastAsia" w:ascii="宋体" w:hAnsi="宋体" w:eastAsia="宋体" w:cs="宋体"/>
          <w:color w:val="auto"/>
          <w:spacing w:val="-1"/>
          <w:sz w:val="24"/>
          <w:szCs w:val="24"/>
          <w:highlight w:val="none"/>
        </w:rPr>
        <w:t>权编制本项目</w:t>
      </w:r>
      <w:r>
        <w:rPr>
          <w:rFonts w:hint="eastAsia" w:ascii="宋体" w:hAnsi="宋体" w:eastAsia="宋体" w:cs="宋体"/>
          <w:color w:val="auto"/>
          <w:spacing w:val="-1"/>
          <w:sz w:val="24"/>
          <w:szCs w:val="24"/>
          <w:highlight w:val="none"/>
          <w:lang w:eastAsia="zh-CN"/>
        </w:rPr>
        <w:t>最高投标限价</w:t>
      </w:r>
      <w:r>
        <w:rPr>
          <w:rFonts w:hint="eastAsia" w:ascii="宋体" w:hAnsi="宋体" w:eastAsia="宋体" w:cs="宋体"/>
          <w:color w:val="auto"/>
          <w:spacing w:val="-1"/>
          <w:sz w:val="24"/>
          <w:szCs w:val="24"/>
          <w:highlight w:val="none"/>
        </w:rPr>
        <w:t>的造价咨询单位实施。</w:t>
      </w:r>
    </w:p>
    <w:p w14:paraId="7F0442D0">
      <w:pPr>
        <w:spacing w:before="121" w:line="309" w:lineRule="auto"/>
        <w:ind w:left="14" w:right="65" w:firstLine="47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4.2.2  </w:t>
      </w:r>
      <w:r>
        <w:rPr>
          <w:rFonts w:hint="eastAsia" w:ascii="宋体" w:hAnsi="宋体" w:eastAsia="宋体" w:cs="宋体"/>
          <w:color w:val="auto"/>
          <w:spacing w:val="2"/>
          <w:sz w:val="24"/>
          <w:szCs w:val="24"/>
          <w:highlight w:val="none"/>
        </w:rPr>
        <w:t>算术性错误的分析和修正。投标报价汇</w:t>
      </w:r>
      <w:r>
        <w:rPr>
          <w:rFonts w:hint="eastAsia" w:ascii="宋体" w:hAnsi="宋体" w:eastAsia="宋体" w:cs="宋体"/>
          <w:color w:val="auto"/>
          <w:spacing w:val="1"/>
          <w:sz w:val="24"/>
          <w:szCs w:val="24"/>
          <w:highlight w:val="none"/>
        </w:rPr>
        <w:t>总表中，投标总价与各分项费用之和</w:t>
      </w:r>
      <w:r>
        <w:rPr>
          <w:rFonts w:hint="eastAsia" w:ascii="宋体" w:hAnsi="宋体" w:eastAsia="宋体" w:cs="宋体"/>
          <w:color w:val="auto"/>
          <w:spacing w:val="-2"/>
          <w:sz w:val="24"/>
          <w:szCs w:val="24"/>
          <w:highlight w:val="none"/>
        </w:rPr>
        <w:t>不一致的，以投标总价为准修正分项费用；投标报价汇总表的各分项费用与对应分项表中的费用不一致的，以投标报价汇总表中的分项费用为准修正对应分项表中的费用；各</w:t>
      </w:r>
      <w:r>
        <w:rPr>
          <w:rFonts w:hint="eastAsia" w:ascii="宋体" w:hAnsi="宋体" w:eastAsia="宋体" w:cs="宋体"/>
          <w:color w:val="auto"/>
          <w:sz w:val="24"/>
          <w:szCs w:val="24"/>
          <w:highlight w:val="none"/>
        </w:rPr>
        <w:t>分项表中总价金额与依据单价计算出的结果不</w:t>
      </w:r>
      <w:r>
        <w:rPr>
          <w:rFonts w:hint="eastAsia" w:ascii="宋体" w:hAnsi="宋体" w:eastAsia="宋体" w:cs="宋体"/>
          <w:color w:val="auto"/>
          <w:spacing w:val="-1"/>
          <w:sz w:val="24"/>
          <w:szCs w:val="24"/>
          <w:highlight w:val="none"/>
        </w:rPr>
        <w:t>一致的，以总价为准修正单价。</w:t>
      </w:r>
    </w:p>
    <w:p w14:paraId="460300C3">
      <w:pPr>
        <w:spacing w:before="157" w:line="279" w:lineRule="auto"/>
        <w:ind w:left="12" w:right="66"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4.2.3  </w:t>
      </w:r>
      <w:r>
        <w:rPr>
          <w:rFonts w:hint="eastAsia" w:ascii="宋体" w:hAnsi="宋体" w:eastAsia="宋体" w:cs="宋体"/>
          <w:color w:val="auto"/>
          <w:spacing w:val="2"/>
          <w:sz w:val="24"/>
          <w:szCs w:val="24"/>
          <w:highlight w:val="none"/>
        </w:rPr>
        <w:t>错漏项的认定。中标人已标价工程量清</w:t>
      </w:r>
      <w:r>
        <w:rPr>
          <w:rFonts w:hint="eastAsia" w:ascii="宋体" w:hAnsi="宋体" w:eastAsia="宋体" w:cs="宋体"/>
          <w:color w:val="auto"/>
          <w:spacing w:val="1"/>
          <w:sz w:val="24"/>
          <w:szCs w:val="24"/>
          <w:highlight w:val="none"/>
        </w:rPr>
        <w:t>单中，任一清单项目未填报价格或价</w:t>
      </w:r>
      <w:r>
        <w:rPr>
          <w:rFonts w:hint="eastAsia" w:ascii="宋体" w:hAnsi="宋体" w:eastAsia="宋体" w:cs="宋体"/>
          <w:color w:val="auto"/>
          <w:spacing w:val="-1"/>
          <w:sz w:val="24"/>
          <w:szCs w:val="24"/>
          <w:highlight w:val="none"/>
        </w:rPr>
        <w:t>格为零的，视为错漏项。</w:t>
      </w:r>
    </w:p>
    <w:p w14:paraId="15350C8A">
      <w:pPr>
        <w:spacing w:before="121" w:line="360" w:lineRule="auto"/>
        <w:ind w:firstLine="490" w:firstLineChars="2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4.2.4  </w:t>
      </w:r>
      <w:r>
        <w:rPr>
          <w:rFonts w:hint="eastAsia" w:ascii="宋体" w:hAnsi="宋体" w:eastAsia="宋体" w:cs="宋体"/>
          <w:color w:val="auto"/>
          <w:spacing w:val="2"/>
          <w:sz w:val="24"/>
          <w:szCs w:val="24"/>
          <w:highlight w:val="none"/>
        </w:rPr>
        <w:t>不平衡报价的认定。经修正算术性错误后的中标人已标价工程量清单中，</w:t>
      </w:r>
      <w:r>
        <w:rPr>
          <w:rFonts w:hint="eastAsia" w:ascii="宋体" w:hAnsi="宋体" w:eastAsia="宋体" w:cs="宋体"/>
          <w:color w:val="auto"/>
          <w:spacing w:val="2"/>
          <w:sz w:val="24"/>
          <w:szCs w:val="24"/>
          <w:highlight w:val="none"/>
          <w:u w:val="single"/>
        </w:rPr>
        <w:t>对于投标报价中综合单价相对</w:t>
      </w:r>
      <w:r>
        <w:rPr>
          <w:rFonts w:hint="eastAsia" w:ascii="宋体" w:hAnsi="宋体" w:eastAsia="宋体" w:cs="宋体"/>
          <w:color w:val="auto"/>
          <w:spacing w:val="2"/>
          <w:sz w:val="24"/>
          <w:szCs w:val="24"/>
          <w:highlight w:val="none"/>
          <w:u w:val="single"/>
          <w:lang w:eastAsia="zh-CN"/>
        </w:rPr>
        <w:t>最高投标限价</w:t>
      </w:r>
      <w:r>
        <w:rPr>
          <w:rFonts w:hint="eastAsia" w:ascii="宋体" w:hAnsi="宋体" w:eastAsia="宋体" w:cs="宋体"/>
          <w:color w:val="auto"/>
          <w:spacing w:val="2"/>
          <w:sz w:val="24"/>
          <w:szCs w:val="24"/>
          <w:highlight w:val="none"/>
          <w:u w:val="single"/>
        </w:rPr>
        <w:t xml:space="preserve">《分部分项工程和单价措施项目清单与计价表》中对应综合单价的偏差大于±15% </w:t>
      </w:r>
      <w:r>
        <w:rPr>
          <w:rFonts w:hint="eastAsia" w:ascii="宋体" w:hAnsi="宋体" w:eastAsia="宋体" w:cs="宋体"/>
          <w:color w:val="auto"/>
          <w:spacing w:val="2"/>
          <w:sz w:val="24"/>
          <w:szCs w:val="24"/>
          <w:highlight w:val="none"/>
          <w:u w:val="none"/>
        </w:rPr>
        <w:t>的清</w:t>
      </w:r>
      <w:r>
        <w:rPr>
          <w:rFonts w:hint="eastAsia" w:ascii="宋体" w:hAnsi="宋体" w:eastAsia="宋体" w:cs="宋体"/>
          <w:color w:val="auto"/>
          <w:spacing w:val="-3"/>
          <w:sz w:val="24"/>
          <w:szCs w:val="24"/>
          <w:highlight w:val="none"/>
          <w:u w:val="none"/>
        </w:rPr>
        <w:t>单项目</w:t>
      </w:r>
      <w:r>
        <w:rPr>
          <w:rFonts w:hint="eastAsia" w:ascii="宋体" w:hAnsi="宋体" w:eastAsia="宋体" w:cs="宋体"/>
          <w:color w:val="auto"/>
          <w:spacing w:val="-3"/>
          <w:sz w:val="24"/>
          <w:szCs w:val="24"/>
          <w:highlight w:val="none"/>
        </w:rPr>
        <w:t>，视为不平衡报价项目。</w:t>
      </w:r>
    </w:p>
    <w:p w14:paraId="528861A1">
      <w:pPr>
        <w:spacing w:before="146" w:line="330" w:lineRule="auto"/>
        <w:ind w:left="10" w:right="65" w:firstLine="478"/>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4.2.5 </w:t>
      </w:r>
      <w:r>
        <w:rPr>
          <w:rFonts w:hint="eastAsia" w:ascii="宋体" w:hAnsi="宋体" w:eastAsia="宋体" w:cs="宋体"/>
          <w:color w:val="auto"/>
          <w:spacing w:val="-3"/>
          <w:sz w:val="24"/>
          <w:szCs w:val="24"/>
          <w:highlight w:val="none"/>
        </w:rPr>
        <w:t>施工合同签订前，招标人或其授权的造价咨询单位应就发现的以上所有不平衡报价进行修正，形成《不平衡报价修正报告》，并由招标人和中标人共同签章确认，构成施工合同的组成部分。</w:t>
      </w:r>
    </w:p>
    <w:p w14:paraId="096AAFEE">
      <w:pPr>
        <w:spacing w:before="34" w:line="326" w:lineRule="auto"/>
        <w:ind w:left="12" w:right="65" w:firstLine="47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4.2.6 合同履行过程中，被认定为错漏项的清单项目，结算时按照第三章“拟签订</w:t>
      </w:r>
      <w:r>
        <w:rPr>
          <w:rFonts w:hint="eastAsia" w:ascii="宋体" w:hAnsi="宋体" w:eastAsia="宋体" w:cs="宋体"/>
          <w:b/>
          <w:bCs/>
          <w:color w:val="auto"/>
          <w:spacing w:val="-6"/>
          <w:sz w:val="24"/>
          <w:szCs w:val="24"/>
          <w:highlight w:val="none"/>
        </w:rPr>
        <w:t>合同的主要条款</w:t>
      </w:r>
      <w:r>
        <w:rPr>
          <w:rFonts w:hint="eastAsia" w:ascii="宋体" w:hAnsi="宋体" w:eastAsia="宋体" w:cs="宋体"/>
          <w:color w:val="auto"/>
          <w:spacing w:val="-77"/>
          <w:sz w:val="24"/>
          <w:szCs w:val="24"/>
          <w:highlight w:val="none"/>
        </w:rPr>
        <w:t xml:space="preserve"> </w:t>
      </w:r>
      <w:r>
        <w:rPr>
          <w:rFonts w:hint="eastAsia" w:ascii="宋体" w:hAnsi="宋体" w:eastAsia="宋体" w:cs="宋体"/>
          <w:b/>
          <w:bCs/>
          <w:color w:val="auto"/>
          <w:spacing w:val="-6"/>
          <w:sz w:val="24"/>
          <w:szCs w:val="24"/>
          <w:highlight w:val="none"/>
        </w:rPr>
        <w:t>”规定处理。</w:t>
      </w:r>
    </w:p>
    <w:p w14:paraId="3EC03351">
      <w:pPr>
        <w:spacing w:before="33" w:line="317" w:lineRule="auto"/>
        <w:ind w:left="12" w:right="38" w:firstLine="476"/>
        <w:jc w:val="both"/>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4.2.7  合同履行过程中，合同约定的调</w:t>
      </w:r>
      <w:r>
        <w:rPr>
          <w:rFonts w:hint="eastAsia" w:ascii="宋体" w:hAnsi="宋体" w:eastAsia="宋体" w:cs="宋体"/>
          <w:b/>
          <w:bCs/>
          <w:color w:val="auto"/>
          <w:spacing w:val="-1"/>
          <w:sz w:val="24"/>
          <w:szCs w:val="24"/>
          <w:highlight w:val="none"/>
        </w:rPr>
        <w:t>整因素（如工程量偏差、工程变更、项目特</w:t>
      </w:r>
      <w:r>
        <w:rPr>
          <w:rFonts w:hint="eastAsia" w:ascii="宋体" w:hAnsi="宋体" w:eastAsia="宋体" w:cs="宋体"/>
          <w:b/>
          <w:bCs/>
          <w:color w:val="auto"/>
          <w:spacing w:val="-4"/>
          <w:sz w:val="24"/>
          <w:szCs w:val="24"/>
          <w:highlight w:val="none"/>
        </w:rPr>
        <w:t>征不符、招标工程量清单缺项等）出现时，被认定为不平衡报价的清单项目以及</w:t>
      </w:r>
      <w:r>
        <w:rPr>
          <w:rFonts w:hint="eastAsia" w:ascii="宋体" w:hAnsi="宋体" w:eastAsia="宋体" w:cs="宋体"/>
          <w:b/>
          <w:bCs/>
          <w:color w:val="auto"/>
          <w:spacing w:val="-5"/>
          <w:sz w:val="24"/>
          <w:szCs w:val="24"/>
          <w:highlight w:val="none"/>
        </w:rPr>
        <w:t>采用被</w:t>
      </w:r>
      <w:r>
        <w:rPr>
          <w:rFonts w:hint="eastAsia" w:ascii="宋体" w:hAnsi="宋体" w:eastAsia="宋体" w:cs="宋体"/>
          <w:b/>
          <w:bCs/>
          <w:color w:val="auto"/>
          <w:spacing w:val="-3"/>
          <w:sz w:val="24"/>
          <w:szCs w:val="24"/>
          <w:highlight w:val="none"/>
        </w:rPr>
        <w:t>认定为不平衡报价的清单项目的价格作为取价（或参照取</w:t>
      </w:r>
      <w:r>
        <w:rPr>
          <w:rFonts w:hint="eastAsia" w:ascii="宋体" w:hAnsi="宋体" w:eastAsia="宋体" w:cs="宋体"/>
          <w:b/>
          <w:bCs/>
          <w:color w:val="auto"/>
          <w:spacing w:val="-4"/>
          <w:sz w:val="24"/>
          <w:szCs w:val="24"/>
          <w:highlight w:val="none"/>
        </w:rPr>
        <w:t>价）依据的变更、新增项目，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3"/>
          <w:sz w:val="24"/>
          <w:szCs w:val="24"/>
          <w:highlight w:val="none"/>
        </w:rPr>
        <w:t>按照第三章“拟签订合同的主要条款</w:t>
      </w:r>
      <w:r>
        <w:rPr>
          <w:rFonts w:hint="eastAsia" w:ascii="宋体" w:hAnsi="宋体" w:eastAsia="宋体" w:cs="宋体"/>
          <w:color w:val="auto"/>
          <w:spacing w:val="-86"/>
          <w:sz w:val="24"/>
          <w:szCs w:val="24"/>
          <w:highlight w:val="none"/>
        </w:rPr>
        <w:t xml:space="preserve"> </w:t>
      </w:r>
      <w:r>
        <w:rPr>
          <w:rFonts w:hint="eastAsia" w:ascii="宋体" w:hAnsi="宋体" w:eastAsia="宋体" w:cs="宋体"/>
          <w:b/>
          <w:bCs/>
          <w:color w:val="auto"/>
          <w:spacing w:val="-3"/>
          <w:sz w:val="24"/>
          <w:szCs w:val="24"/>
          <w:highlight w:val="none"/>
        </w:rPr>
        <w:t>”有关规定调整</w:t>
      </w:r>
      <w:r>
        <w:rPr>
          <w:rFonts w:hint="eastAsia" w:ascii="宋体" w:hAnsi="宋体" w:eastAsia="宋体" w:cs="宋体"/>
          <w:b/>
          <w:bCs/>
          <w:color w:val="auto"/>
          <w:spacing w:val="-4"/>
          <w:sz w:val="24"/>
          <w:szCs w:val="24"/>
          <w:highlight w:val="none"/>
        </w:rPr>
        <w:t>合同价款。</w:t>
      </w:r>
    </w:p>
    <w:p w14:paraId="2828B542">
      <w:pPr>
        <w:spacing w:before="87" w:line="276"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4.3  </w:t>
      </w:r>
      <w:r>
        <w:rPr>
          <w:rFonts w:hint="eastAsia" w:ascii="宋体" w:hAnsi="宋体" w:eastAsia="宋体" w:cs="宋体"/>
          <w:color w:val="auto"/>
          <w:sz w:val="24"/>
          <w:szCs w:val="24"/>
          <w:highlight w:val="none"/>
        </w:rPr>
        <w:t>本招标项目合同计价方式为：</w:t>
      </w:r>
      <w:r>
        <w:rPr>
          <w:rFonts w:hint="eastAsia" w:ascii="宋体" w:hAnsi="宋体" w:eastAsia="宋体" w:cs="宋体"/>
          <w:color w:val="auto"/>
          <w:sz w:val="24"/>
          <w:szCs w:val="24"/>
          <w:highlight w:val="none"/>
          <w:u w:val="single"/>
        </w:rPr>
        <w:t xml:space="preserve"> 单价 </w:t>
      </w:r>
      <w:r>
        <w:rPr>
          <w:rFonts w:hint="eastAsia" w:ascii="宋体" w:hAnsi="宋体" w:eastAsia="宋体" w:cs="宋体"/>
          <w:color w:val="auto"/>
          <w:spacing w:val="-1"/>
          <w:sz w:val="24"/>
          <w:szCs w:val="24"/>
          <w:highlight w:val="none"/>
        </w:rPr>
        <w:t>合同。</w:t>
      </w:r>
    </w:p>
    <w:p w14:paraId="4BAAE47D">
      <w:pPr>
        <w:spacing w:before="120" w:line="298" w:lineRule="auto"/>
        <w:ind w:left="11" w:right="28"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 xml:space="preserve">4.4  </w:t>
      </w:r>
      <w:r>
        <w:rPr>
          <w:rFonts w:hint="eastAsia" w:ascii="宋体" w:hAnsi="宋体" w:eastAsia="宋体" w:cs="宋体"/>
          <w:color w:val="auto"/>
          <w:spacing w:val="-4"/>
          <w:sz w:val="24"/>
          <w:szCs w:val="24"/>
          <w:highlight w:val="none"/>
        </w:rPr>
        <w:t>合同的标的、质量、履行期限条款和合同的价款、单</w:t>
      </w:r>
      <w:r>
        <w:rPr>
          <w:rFonts w:hint="eastAsia" w:ascii="宋体" w:hAnsi="宋体" w:eastAsia="宋体" w:cs="宋体"/>
          <w:color w:val="auto"/>
          <w:spacing w:val="-5"/>
          <w:sz w:val="24"/>
          <w:szCs w:val="24"/>
          <w:highlight w:val="none"/>
        </w:rPr>
        <w:t>价、比例条款等主要条款，</w:t>
      </w:r>
      <w:r>
        <w:rPr>
          <w:rFonts w:hint="eastAsia" w:ascii="宋体" w:hAnsi="宋体" w:eastAsia="宋体" w:cs="宋体"/>
          <w:color w:val="auto"/>
          <w:spacing w:val="-2"/>
          <w:sz w:val="24"/>
          <w:szCs w:val="24"/>
          <w:highlight w:val="none"/>
        </w:rPr>
        <w:t>应当与招标文件、中标人的投标文件的内容一致。中标人在签订合同时不得向招标人提出附加条件。</w:t>
      </w:r>
    </w:p>
    <w:p w14:paraId="366E90A8">
      <w:pPr>
        <w:spacing w:before="158" w:line="298" w:lineRule="auto"/>
        <w:ind w:left="12" w:right="91" w:firstLine="474"/>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4.5  </w:t>
      </w:r>
      <w:r>
        <w:rPr>
          <w:rFonts w:hint="eastAsia" w:ascii="宋体" w:hAnsi="宋体" w:eastAsia="宋体" w:cs="宋体"/>
          <w:color w:val="auto"/>
          <w:spacing w:val="-3"/>
          <w:sz w:val="24"/>
          <w:szCs w:val="24"/>
          <w:highlight w:val="none"/>
        </w:rPr>
        <w:t>若中标人在领取中标通知书之日起</w:t>
      </w:r>
      <w:r>
        <w:rPr>
          <w:rFonts w:hint="eastAsia" w:ascii="宋体" w:hAnsi="宋体" w:eastAsia="宋体" w:cs="宋体"/>
          <w:color w:val="auto"/>
          <w:spacing w:val="-50"/>
          <w:sz w:val="24"/>
          <w:szCs w:val="24"/>
          <w:highlight w:val="none"/>
        </w:rPr>
        <w:t xml:space="preserve"> </w:t>
      </w:r>
      <w:r>
        <w:rPr>
          <w:rFonts w:hint="eastAsia" w:ascii="宋体" w:hAnsi="宋体" w:eastAsia="宋体" w:cs="宋体"/>
          <w:color w:val="auto"/>
          <w:spacing w:val="-4"/>
          <w:sz w:val="24"/>
          <w:szCs w:val="24"/>
          <w:highlight w:val="none"/>
        </w:rPr>
        <w:t>30天内仍未签订合同，招标人发出第一次提</w:t>
      </w:r>
      <w:r>
        <w:rPr>
          <w:rFonts w:hint="eastAsia" w:ascii="宋体" w:hAnsi="宋体" w:eastAsia="宋体" w:cs="宋体"/>
          <w:color w:val="auto"/>
          <w:spacing w:val="1"/>
          <w:sz w:val="24"/>
          <w:szCs w:val="24"/>
          <w:highlight w:val="none"/>
        </w:rPr>
        <w:t>醒函；在领取中标通知书之日起</w:t>
      </w:r>
      <w:r>
        <w:rPr>
          <w:rFonts w:hint="eastAsia" w:ascii="宋体" w:hAnsi="宋体" w:eastAsia="宋体" w:cs="宋体"/>
          <w:color w:val="auto"/>
          <w:spacing w:val="-53"/>
          <w:sz w:val="24"/>
          <w:szCs w:val="24"/>
          <w:highlight w:val="none"/>
        </w:rPr>
        <w:t xml:space="preserve"> </w:t>
      </w:r>
      <w:r>
        <w:rPr>
          <w:rFonts w:hint="eastAsia" w:ascii="宋体" w:hAnsi="宋体" w:eastAsia="宋体" w:cs="宋体"/>
          <w:color w:val="auto"/>
          <w:spacing w:val="1"/>
          <w:sz w:val="24"/>
          <w:szCs w:val="24"/>
          <w:highlight w:val="none"/>
        </w:rPr>
        <w:t>40天内仍未签订，招标人发出第二次提醒函；在</w:t>
      </w:r>
      <w:r>
        <w:rPr>
          <w:rFonts w:hint="eastAsia" w:ascii="宋体" w:hAnsi="宋体" w:eastAsia="宋体" w:cs="宋体"/>
          <w:color w:val="auto"/>
          <w:sz w:val="24"/>
          <w:szCs w:val="24"/>
          <w:highlight w:val="none"/>
        </w:rPr>
        <w:t>领取</w:t>
      </w:r>
      <w:r>
        <w:rPr>
          <w:rFonts w:hint="eastAsia" w:ascii="宋体" w:hAnsi="宋体" w:eastAsia="宋体" w:cs="宋体"/>
          <w:color w:val="auto"/>
          <w:spacing w:val="-1"/>
          <w:sz w:val="24"/>
          <w:szCs w:val="24"/>
          <w:highlight w:val="none"/>
        </w:rPr>
        <w:t>中标通知书之日起</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rPr>
        <w:t>45天内仍未签订，视其放弃中标。</w:t>
      </w:r>
    </w:p>
    <w:p w14:paraId="3517AD8D">
      <w:pPr>
        <w:spacing w:before="155" w:line="299" w:lineRule="auto"/>
        <w:ind w:left="12" w:right="82"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4.6  </w:t>
      </w:r>
      <w:r>
        <w:rPr>
          <w:rFonts w:hint="eastAsia" w:ascii="宋体" w:hAnsi="宋体" w:eastAsia="宋体" w:cs="宋体"/>
          <w:color w:val="auto"/>
          <w:sz w:val="24"/>
          <w:szCs w:val="24"/>
          <w:highlight w:val="none"/>
        </w:rPr>
        <w:t>在书面合同订立之日起</w:t>
      </w:r>
      <w:r>
        <w:rPr>
          <w:rFonts w:hint="eastAsia" w:ascii="宋体" w:hAnsi="宋体" w:eastAsia="宋体" w:cs="宋体"/>
          <w:color w:val="auto"/>
          <w:spacing w:val="-55"/>
          <w:sz w:val="24"/>
          <w:szCs w:val="24"/>
          <w:highlight w:val="none"/>
        </w:rPr>
        <w:t xml:space="preserve"> </w:t>
      </w:r>
      <w:r>
        <w:rPr>
          <w:rFonts w:hint="eastAsia" w:ascii="宋体" w:hAnsi="宋体" w:eastAsia="宋体" w:cs="宋体"/>
          <w:color w:val="auto"/>
          <w:sz w:val="24"/>
          <w:szCs w:val="24"/>
          <w:highlight w:val="none"/>
        </w:rPr>
        <w:t>2 个工作日内，由中标人或招标代理机构将合同上传至</w:t>
      </w:r>
      <w:r>
        <w:rPr>
          <w:rFonts w:hint="eastAsia" w:ascii="宋体" w:hAnsi="宋体" w:eastAsia="宋体" w:cs="宋体"/>
          <w:color w:val="auto"/>
          <w:spacing w:val="-2"/>
          <w:sz w:val="24"/>
          <w:szCs w:val="24"/>
          <w:highlight w:val="none"/>
        </w:rPr>
        <w:t>建设工程交易系统，并发起退还投标保证的申请。韶关市公共资源交易中心在收到申请之日起</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2"/>
          <w:sz w:val="24"/>
          <w:szCs w:val="24"/>
          <w:highlight w:val="none"/>
        </w:rPr>
        <w:t>3 个工作日内，将投标保证金（或银行保函）退还给中标人和其他中标候选人。</w:t>
      </w:r>
    </w:p>
    <w:p w14:paraId="556FD923">
      <w:pPr>
        <w:spacing w:before="78" w:line="220" w:lineRule="auto"/>
        <w:ind w:left="489"/>
        <w:outlineLvl w:val="2"/>
        <w:rPr>
          <w:rFonts w:hint="eastAsia" w:ascii="宋体" w:hAnsi="宋体" w:eastAsia="宋体" w:cs="宋体"/>
          <w:color w:val="auto"/>
          <w:sz w:val="24"/>
          <w:szCs w:val="24"/>
          <w:highlight w:val="none"/>
        </w:rPr>
      </w:pPr>
      <w:bookmarkStart w:id="160" w:name="_Toc4089"/>
      <w:r>
        <w:rPr>
          <w:rFonts w:hint="eastAsia" w:ascii="宋体" w:hAnsi="宋体" w:eastAsia="宋体" w:cs="宋体"/>
          <w:b/>
          <w:bCs/>
          <w:color w:val="auto"/>
          <w:spacing w:val="-6"/>
          <w:sz w:val="24"/>
          <w:szCs w:val="24"/>
          <w:highlight w:val="none"/>
        </w:rPr>
        <w:t>5</w:t>
      </w:r>
      <w:r>
        <w:rPr>
          <w:rFonts w:hint="eastAsia" w:ascii="宋体" w:hAnsi="宋体" w:eastAsia="宋体" w:cs="宋体"/>
          <w:b/>
          <w:bCs/>
          <w:color w:val="auto"/>
          <w:spacing w:val="-29"/>
          <w:sz w:val="24"/>
          <w:szCs w:val="24"/>
          <w:highlight w:val="none"/>
        </w:rPr>
        <w:t xml:space="preserve"> </w:t>
      </w:r>
      <w:r>
        <w:rPr>
          <w:rFonts w:hint="eastAsia" w:ascii="宋体" w:hAnsi="宋体" w:eastAsia="宋体" w:cs="宋体"/>
          <w:b/>
          <w:bCs/>
          <w:color w:val="auto"/>
          <w:spacing w:val="-6"/>
          <w:sz w:val="24"/>
          <w:szCs w:val="24"/>
          <w:highlight w:val="none"/>
        </w:rPr>
        <w:t>．放弃中标的处理</w:t>
      </w:r>
      <w:bookmarkEnd w:id="160"/>
    </w:p>
    <w:p w14:paraId="68CE2017">
      <w:pPr>
        <w:spacing w:before="150" w:line="319" w:lineRule="auto"/>
        <w:ind w:left="12" w:right="91" w:firstLine="477"/>
        <w:rPr>
          <w:rFonts w:hint="eastAsia" w:ascii="宋体" w:hAnsi="宋体" w:eastAsia="宋体" w:cs="宋体"/>
          <w:color w:val="auto"/>
          <w:highlight w:val="none"/>
        </w:rPr>
      </w:pPr>
      <w:r>
        <w:rPr>
          <w:rFonts w:hint="eastAsia" w:ascii="宋体" w:hAnsi="宋体" w:eastAsia="宋体" w:cs="宋体"/>
          <w:b/>
          <w:bCs/>
          <w:color w:val="auto"/>
          <w:spacing w:val="-1"/>
          <w:sz w:val="24"/>
          <w:szCs w:val="24"/>
          <w:highlight w:val="none"/>
        </w:rPr>
        <w:t>5.1</w:t>
      </w:r>
      <w:r>
        <w:rPr>
          <w:rFonts w:hint="eastAsia" w:ascii="宋体" w:hAnsi="宋体" w:eastAsia="宋体" w:cs="宋体"/>
          <w:b/>
          <w:bCs/>
          <w:color w:val="auto"/>
          <w:spacing w:val="19"/>
          <w:w w:val="101"/>
          <w:sz w:val="24"/>
          <w:szCs w:val="24"/>
          <w:highlight w:val="none"/>
        </w:rPr>
        <w:t xml:space="preserve">  </w:t>
      </w:r>
      <w:r>
        <w:rPr>
          <w:rFonts w:hint="eastAsia" w:ascii="宋体" w:hAnsi="宋体" w:eastAsia="宋体" w:cs="宋体"/>
          <w:color w:val="auto"/>
          <w:spacing w:val="-1"/>
          <w:sz w:val="24"/>
          <w:szCs w:val="24"/>
          <w:highlight w:val="none"/>
        </w:rPr>
        <w:t>中标人无正当理由放弃中标的，取消其中标资格，其投标保证不予退还，给招</w:t>
      </w:r>
      <w:r>
        <w:rPr>
          <w:rFonts w:hint="eastAsia" w:ascii="宋体" w:hAnsi="宋体" w:eastAsia="宋体" w:cs="宋体"/>
          <w:color w:val="auto"/>
          <w:spacing w:val="-2"/>
          <w:sz w:val="24"/>
          <w:szCs w:val="24"/>
          <w:highlight w:val="none"/>
        </w:rPr>
        <w:t>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hint="eastAsia" w:ascii="宋体" w:hAnsi="宋体" w:eastAsia="宋体" w:cs="宋体"/>
          <w:b/>
          <w:bCs/>
          <w:color w:val="auto"/>
          <w:spacing w:val="-2"/>
          <w:sz w:val="24"/>
          <w:szCs w:val="24"/>
          <w:highlight w:val="none"/>
        </w:rPr>
        <w:t>招</w:t>
      </w:r>
      <w:r>
        <w:rPr>
          <w:rFonts w:hint="eastAsia" w:ascii="宋体" w:hAnsi="宋体" w:eastAsia="宋体" w:cs="宋体"/>
          <w:b/>
          <w:bCs/>
          <w:color w:val="auto"/>
          <w:spacing w:val="-3"/>
          <w:sz w:val="24"/>
          <w:szCs w:val="24"/>
          <w:highlight w:val="none"/>
        </w:rPr>
        <w:t>标人应将该弃标人的失信行为向行政监督部门报告。</w:t>
      </w:r>
    </w:p>
    <w:p w14:paraId="00FBD3B6">
      <w:pPr>
        <w:spacing w:before="79" w:line="360" w:lineRule="auto"/>
        <w:ind w:left="10" w:right="91" w:firstLine="479"/>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rPr>
        <w:t>5.2</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5"/>
          <w:sz w:val="24"/>
          <w:szCs w:val="24"/>
          <w:highlight w:val="none"/>
        </w:rPr>
        <w:t>中标人因不可抗力提出不能履行合同的，须在领取中标通知书之日起</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10天</w:t>
      </w:r>
      <w:r>
        <w:rPr>
          <w:rFonts w:hint="eastAsia" w:ascii="宋体" w:hAnsi="宋体" w:eastAsia="宋体" w:cs="宋体"/>
          <w:color w:val="auto"/>
          <w:spacing w:val="-6"/>
          <w:sz w:val="24"/>
          <w:szCs w:val="24"/>
          <w:highlight w:val="none"/>
        </w:rPr>
        <w:t>内提</w:t>
      </w:r>
      <w:r>
        <w:rPr>
          <w:rFonts w:hint="eastAsia" w:ascii="宋体" w:hAnsi="宋体" w:eastAsia="宋体" w:cs="宋体"/>
          <w:color w:val="auto"/>
          <w:spacing w:val="-2"/>
          <w:sz w:val="24"/>
          <w:szCs w:val="24"/>
          <w:highlight w:val="none"/>
        </w:rPr>
        <w:t>供有关证明文件或资料，其投标保证予以退还，招标人可按照评标委员会提出的中标候选人名单排序依次确定其他中标候选人为中标人。如果招标人认为其他中标候选人的条</w:t>
      </w:r>
      <w:bookmarkStart w:id="161" w:name="bookmark84"/>
      <w:bookmarkEnd w:id="161"/>
      <w:r>
        <w:rPr>
          <w:rFonts w:hint="eastAsia" w:ascii="宋体" w:hAnsi="宋体" w:eastAsia="宋体" w:cs="宋体"/>
          <w:color w:val="auto"/>
          <w:spacing w:val="-2"/>
          <w:sz w:val="24"/>
          <w:szCs w:val="24"/>
          <w:highlight w:val="none"/>
        </w:rPr>
        <w:t>件明显不利于招标人的，也可以重新招标</w:t>
      </w:r>
      <w:r>
        <w:rPr>
          <w:rFonts w:hint="eastAsia" w:ascii="宋体" w:hAnsi="宋体" w:eastAsia="宋体" w:cs="宋体"/>
          <w:color w:val="auto"/>
          <w:spacing w:val="-1"/>
          <w:sz w:val="24"/>
          <w:szCs w:val="24"/>
          <w:highlight w:val="none"/>
        </w:rPr>
        <w:t>。</w:t>
      </w:r>
      <w:r>
        <w:rPr>
          <w:rFonts w:hint="eastAsia" w:ascii="宋体" w:hAnsi="宋体" w:eastAsia="宋体" w:cs="宋体"/>
          <w:color w:val="auto"/>
          <w:highlight w:val="none"/>
        </w:rPr>
        <w:br w:type="textWrapping"/>
      </w:r>
      <w:r>
        <w:rPr>
          <w:rFonts w:hint="eastAsia" w:ascii="宋体" w:hAnsi="宋体" w:eastAsia="宋体" w:cs="宋体"/>
          <w:b/>
          <w:bCs/>
          <w:color w:val="auto"/>
          <w:spacing w:val="-5"/>
          <w:sz w:val="24"/>
          <w:szCs w:val="24"/>
          <w:highlight w:val="none"/>
          <w:lang w:val="en-US" w:eastAsia="zh-CN"/>
        </w:rPr>
        <w:t xml:space="preserve">    5.3 </w:t>
      </w:r>
      <w:r>
        <w:rPr>
          <w:rFonts w:hint="eastAsia" w:ascii="宋体" w:hAnsi="宋体" w:eastAsia="宋体" w:cs="宋体"/>
          <w:b w:val="0"/>
          <w:bCs w:val="0"/>
          <w:color w:val="auto"/>
          <w:spacing w:val="-5"/>
          <w:sz w:val="24"/>
          <w:szCs w:val="24"/>
          <w:highlight w:val="none"/>
          <w:lang w:val="en-US" w:eastAsia="zh-CN"/>
        </w:rPr>
        <w:t>根据《广东省住房和城乡建设厅关于印发《广东省在建房屋市政工程项目落实用工实名制和工资支付有关制度标准化管理手册》的通知》（粤建市〔2026〕63号）规定，承包人须对照《手册》要求，从合同签订、开工准备、施工建设到完工的整个工程建设阶段用工实名制和工资支付规范化管理，预防和减少因保障农民工工资支付有关制度落实不严不细引发的欠薪纠纷和隐患，切实维护建筑业企业和建筑工人的合法权益。</w:t>
      </w:r>
    </w:p>
    <w:p w14:paraId="2F68D334">
      <w:pPr>
        <w:spacing w:before="79" w:line="360" w:lineRule="auto"/>
        <w:ind w:left="10" w:right="91" w:firstLine="479"/>
        <w:rPr>
          <w:rFonts w:hint="eastAsia" w:ascii="宋体" w:hAnsi="宋体" w:eastAsia="宋体" w:cs="宋体"/>
          <w:b w:val="0"/>
          <w:bCs w:val="0"/>
          <w:color w:val="auto"/>
          <w:spacing w:val="-5"/>
          <w:sz w:val="24"/>
          <w:szCs w:val="24"/>
          <w:highlight w:val="none"/>
          <w:lang w:val="en-US" w:eastAsia="zh-CN"/>
        </w:rPr>
      </w:pPr>
      <w:r>
        <w:rPr>
          <w:rFonts w:hint="eastAsia" w:ascii="宋体" w:hAnsi="宋体" w:eastAsia="宋体" w:cs="宋体"/>
          <w:b/>
          <w:bCs/>
          <w:color w:val="auto"/>
          <w:spacing w:val="-5"/>
          <w:sz w:val="24"/>
          <w:szCs w:val="24"/>
          <w:highlight w:val="none"/>
          <w:lang w:val="en-US" w:eastAsia="zh-CN"/>
        </w:rPr>
        <w:t xml:space="preserve">5.4 </w:t>
      </w:r>
      <w:r>
        <w:rPr>
          <w:rFonts w:hint="eastAsia" w:ascii="宋体" w:hAnsi="宋体" w:eastAsia="宋体" w:cs="宋体"/>
          <w:b w:val="0"/>
          <w:bCs w:val="0"/>
          <w:color w:val="auto"/>
          <w:spacing w:val="-5"/>
          <w:sz w:val="24"/>
          <w:szCs w:val="24"/>
          <w:highlight w:val="none"/>
          <w:lang w:val="en-US" w:eastAsia="zh-CN"/>
        </w:rPr>
        <w:t>本次招标鼓励投标人积极响应政策号召，充分利用其人才、技术、专业、资源、资金、设备或管理优势，通过技术创新和资源优化，以投标人自愿为原则，助力百千万工程公益性项目。</w:t>
      </w:r>
    </w:p>
    <w:p w14:paraId="55CF849E">
      <w:pPr>
        <w:spacing w:before="79" w:line="360" w:lineRule="auto"/>
        <w:ind w:left="10" w:right="91" w:firstLine="479"/>
        <w:rPr>
          <w:rFonts w:hint="default" w:ascii="宋体" w:hAnsi="宋体" w:eastAsia="宋体" w:cs="宋体"/>
          <w:b w:val="0"/>
          <w:bCs w:val="0"/>
          <w:color w:val="auto"/>
          <w:spacing w:val="-5"/>
          <w:sz w:val="24"/>
          <w:szCs w:val="24"/>
          <w:highlight w:val="none"/>
          <w:lang w:val="en-US" w:eastAsia="zh-CN"/>
        </w:rPr>
        <w:sectPr>
          <w:footerReference r:id="rId1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b w:val="0"/>
          <w:bCs w:val="0"/>
          <w:color w:val="auto"/>
          <w:spacing w:val="-5"/>
          <w:sz w:val="24"/>
          <w:szCs w:val="24"/>
          <w:highlight w:val="none"/>
          <w:lang w:val="en-US" w:eastAsia="zh-CN"/>
        </w:rPr>
        <w:t>投标人需提供自愿助力百千万工程公益性项目公益捐建（捐赠或配建）进度计划及保证措施；以投标人自愿为原则，按招标文件格式格式十五要求提供《助力项目承诺书》。</w:t>
      </w:r>
    </w:p>
    <w:p w14:paraId="7166CD33">
      <w:pPr>
        <w:spacing w:before="78" w:line="219" w:lineRule="auto"/>
        <w:ind w:left="2923"/>
        <w:outlineLvl w:val="0"/>
        <w:rPr>
          <w:rFonts w:hint="eastAsia" w:ascii="宋体" w:hAnsi="宋体" w:eastAsia="宋体" w:cs="宋体"/>
          <w:color w:val="auto"/>
          <w:sz w:val="24"/>
          <w:szCs w:val="24"/>
          <w:highlight w:val="none"/>
        </w:rPr>
      </w:pPr>
      <w:bookmarkStart w:id="162" w:name="bookmark86"/>
      <w:bookmarkEnd w:id="162"/>
      <w:bookmarkStart w:id="163" w:name="_Toc7715"/>
      <w:r>
        <w:rPr>
          <w:rFonts w:hint="eastAsia" w:ascii="宋体" w:hAnsi="宋体" w:eastAsia="宋体" w:cs="宋体"/>
          <w:b/>
          <w:bCs/>
          <w:color w:val="auto"/>
          <w:spacing w:val="-3"/>
          <w:sz w:val="24"/>
          <w:szCs w:val="24"/>
          <w:highlight w:val="none"/>
        </w:rPr>
        <w:t>第三章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拟签订合同的主要条款</w:t>
      </w:r>
      <w:bookmarkEnd w:id="163"/>
    </w:p>
    <w:p w14:paraId="3C6B0B52">
      <w:pPr>
        <w:pStyle w:val="5"/>
        <w:spacing w:line="257" w:lineRule="auto"/>
        <w:rPr>
          <w:rFonts w:hint="eastAsia" w:ascii="宋体" w:hAnsi="宋体" w:eastAsia="宋体" w:cs="宋体"/>
          <w:color w:val="auto"/>
          <w:highlight w:val="none"/>
        </w:rPr>
      </w:pPr>
    </w:p>
    <w:p w14:paraId="6CC8F324">
      <w:pPr>
        <w:pStyle w:val="5"/>
        <w:spacing w:line="257" w:lineRule="auto"/>
        <w:rPr>
          <w:rFonts w:hint="eastAsia" w:ascii="宋体" w:hAnsi="宋体" w:eastAsia="宋体" w:cs="宋体"/>
          <w:color w:val="auto"/>
          <w:highlight w:val="none"/>
        </w:rPr>
      </w:pPr>
    </w:p>
    <w:p w14:paraId="67BF6DEB">
      <w:pPr>
        <w:spacing w:before="78" w:line="220" w:lineRule="auto"/>
        <w:ind w:left="498"/>
        <w:outlineLvl w:val="2"/>
        <w:rPr>
          <w:rFonts w:hint="eastAsia" w:ascii="宋体" w:hAnsi="宋体" w:eastAsia="宋体" w:cs="宋体"/>
          <w:color w:val="auto"/>
          <w:sz w:val="24"/>
          <w:szCs w:val="24"/>
          <w:highlight w:val="none"/>
        </w:rPr>
      </w:pPr>
      <w:bookmarkStart w:id="164" w:name="_Toc6603"/>
      <w:r>
        <w:rPr>
          <w:rFonts w:hint="eastAsia" w:ascii="宋体" w:hAnsi="宋体" w:eastAsia="宋体" w:cs="宋体"/>
          <w:b/>
          <w:bCs/>
          <w:color w:val="auto"/>
          <w:spacing w:val="-8"/>
          <w:sz w:val="24"/>
          <w:szCs w:val="24"/>
          <w:highlight w:val="none"/>
        </w:rPr>
        <w:t>1</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8"/>
          <w:sz w:val="24"/>
          <w:szCs w:val="24"/>
          <w:highlight w:val="none"/>
        </w:rPr>
        <w:t>．工程承包方式</w:t>
      </w:r>
      <w:bookmarkEnd w:id="164"/>
    </w:p>
    <w:p w14:paraId="26524AE3">
      <w:pPr>
        <w:spacing w:before="153" w:line="299" w:lineRule="auto"/>
        <w:ind w:left="11" w:right="295" w:firstLine="487"/>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1.1  </w:t>
      </w:r>
      <w:r>
        <w:rPr>
          <w:rFonts w:hint="eastAsia" w:ascii="宋体" w:hAnsi="宋体" w:eastAsia="宋体" w:cs="宋体"/>
          <w:color w:val="auto"/>
          <w:sz w:val="24"/>
          <w:szCs w:val="24"/>
          <w:highlight w:val="none"/>
        </w:rPr>
        <w:t>承包人以中标价按包工包料、包质量、包安全包文明施工、包工期</w:t>
      </w:r>
      <w:r>
        <w:rPr>
          <w:rFonts w:hint="eastAsia" w:ascii="宋体" w:hAnsi="宋体" w:eastAsia="宋体" w:cs="宋体"/>
          <w:color w:val="auto"/>
          <w:spacing w:val="-1"/>
          <w:sz w:val="24"/>
          <w:szCs w:val="24"/>
          <w:highlight w:val="none"/>
        </w:rPr>
        <w:t>方式总承包</w:t>
      </w:r>
      <w:r>
        <w:rPr>
          <w:rFonts w:hint="eastAsia" w:ascii="宋体" w:hAnsi="宋体" w:eastAsia="宋体" w:cs="宋体"/>
          <w:color w:val="auto"/>
          <w:spacing w:val="-2"/>
          <w:sz w:val="24"/>
          <w:szCs w:val="24"/>
          <w:highlight w:val="none"/>
        </w:rPr>
        <w:t>施工，不允许转包和违法分包，如果确需分包须与发包人协商，在得到发包人和监理单</w:t>
      </w:r>
      <w:r>
        <w:rPr>
          <w:rFonts w:hint="eastAsia" w:ascii="宋体" w:hAnsi="宋体" w:eastAsia="宋体" w:cs="宋体"/>
          <w:color w:val="auto"/>
          <w:spacing w:val="-1"/>
          <w:sz w:val="24"/>
          <w:szCs w:val="24"/>
          <w:highlight w:val="none"/>
        </w:rPr>
        <w:t>位同意后报建设行政主管部门备案。</w:t>
      </w:r>
    </w:p>
    <w:p w14:paraId="258B5D98">
      <w:pPr>
        <w:spacing w:before="153"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1.1.1  </w:t>
      </w:r>
      <w:r>
        <w:rPr>
          <w:rFonts w:hint="eastAsia" w:ascii="宋体" w:hAnsi="宋体" w:eastAsia="宋体" w:cs="宋体"/>
          <w:color w:val="auto"/>
          <w:spacing w:val="-1"/>
          <w:sz w:val="24"/>
          <w:szCs w:val="24"/>
          <w:highlight w:val="none"/>
        </w:rPr>
        <w:t>包工包料：材料符合招标文件要求并报验使用；办理用工保险。</w:t>
      </w:r>
    </w:p>
    <w:p w14:paraId="515689EE">
      <w:pPr>
        <w:spacing w:before="156"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1.1.2  </w:t>
      </w:r>
      <w:r>
        <w:rPr>
          <w:rFonts w:hint="eastAsia" w:ascii="宋体" w:hAnsi="宋体" w:eastAsia="宋体" w:cs="宋体"/>
          <w:color w:val="auto"/>
          <w:spacing w:val="-1"/>
          <w:sz w:val="24"/>
          <w:szCs w:val="24"/>
          <w:highlight w:val="none"/>
        </w:rPr>
        <w:t>包质量：符合招标文件要求。</w:t>
      </w:r>
    </w:p>
    <w:p w14:paraId="58D57A6E">
      <w:pPr>
        <w:spacing w:before="153" w:line="220"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1.1.3  </w:t>
      </w:r>
      <w:r>
        <w:rPr>
          <w:rFonts w:hint="eastAsia" w:ascii="宋体" w:hAnsi="宋体" w:eastAsia="宋体" w:cs="宋体"/>
          <w:color w:val="auto"/>
          <w:spacing w:val="-1"/>
          <w:sz w:val="24"/>
          <w:szCs w:val="24"/>
          <w:highlight w:val="none"/>
        </w:rPr>
        <w:t>包安全包文明施工：符合招标文件要求。</w:t>
      </w:r>
    </w:p>
    <w:p w14:paraId="6A1C9A7C">
      <w:pPr>
        <w:spacing w:before="154" w:line="219" w:lineRule="auto"/>
        <w:ind w:left="58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1.1.4  </w:t>
      </w:r>
      <w:r>
        <w:rPr>
          <w:rFonts w:hint="eastAsia" w:ascii="宋体" w:hAnsi="宋体" w:eastAsia="宋体" w:cs="宋体"/>
          <w:color w:val="auto"/>
          <w:spacing w:val="-1"/>
          <w:sz w:val="24"/>
          <w:szCs w:val="24"/>
          <w:highlight w:val="none"/>
        </w:rPr>
        <w:t>包工期：本招标项目施工必须在招标工期内完成。</w:t>
      </w:r>
    </w:p>
    <w:p w14:paraId="6067FEF5">
      <w:pPr>
        <w:pStyle w:val="5"/>
        <w:spacing w:line="257" w:lineRule="auto"/>
        <w:rPr>
          <w:rFonts w:hint="eastAsia" w:ascii="宋体" w:hAnsi="宋体" w:eastAsia="宋体" w:cs="宋体"/>
          <w:color w:val="auto"/>
          <w:highlight w:val="none"/>
        </w:rPr>
      </w:pPr>
    </w:p>
    <w:p w14:paraId="1A3CB02C">
      <w:pPr>
        <w:pStyle w:val="5"/>
        <w:spacing w:line="257" w:lineRule="auto"/>
        <w:rPr>
          <w:rFonts w:hint="eastAsia" w:ascii="宋体" w:hAnsi="宋体" w:eastAsia="宋体" w:cs="宋体"/>
          <w:color w:val="auto"/>
          <w:highlight w:val="none"/>
        </w:rPr>
      </w:pPr>
    </w:p>
    <w:p w14:paraId="48096343">
      <w:pPr>
        <w:spacing w:before="78" w:line="220" w:lineRule="auto"/>
        <w:ind w:left="488"/>
        <w:outlineLvl w:val="2"/>
        <w:rPr>
          <w:rFonts w:hint="eastAsia" w:ascii="宋体" w:hAnsi="宋体" w:eastAsia="宋体" w:cs="宋体"/>
          <w:color w:val="auto"/>
          <w:sz w:val="24"/>
          <w:szCs w:val="24"/>
          <w:highlight w:val="none"/>
        </w:rPr>
      </w:pPr>
      <w:bookmarkStart w:id="165" w:name="bookmark88"/>
      <w:bookmarkEnd w:id="165"/>
      <w:bookmarkStart w:id="166" w:name="_Toc24910"/>
      <w:r>
        <w:rPr>
          <w:rFonts w:hint="eastAsia" w:ascii="宋体" w:hAnsi="宋体" w:eastAsia="宋体" w:cs="宋体"/>
          <w:b/>
          <w:bCs/>
          <w:color w:val="auto"/>
          <w:spacing w:val="-7"/>
          <w:sz w:val="24"/>
          <w:szCs w:val="24"/>
          <w:highlight w:val="none"/>
        </w:rPr>
        <w:t>2</w:t>
      </w:r>
      <w:r>
        <w:rPr>
          <w:rFonts w:hint="eastAsia" w:ascii="宋体" w:hAnsi="宋体" w:eastAsia="宋体" w:cs="宋体"/>
          <w:b/>
          <w:bCs/>
          <w:color w:val="auto"/>
          <w:spacing w:val="-24"/>
          <w:sz w:val="24"/>
          <w:szCs w:val="24"/>
          <w:highlight w:val="none"/>
        </w:rPr>
        <w:t xml:space="preserve"> </w:t>
      </w:r>
      <w:r>
        <w:rPr>
          <w:rFonts w:hint="eastAsia" w:ascii="宋体" w:hAnsi="宋体" w:eastAsia="宋体" w:cs="宋体"/>
          <w:b/>
          <w:bCs/>
          <w:color w:val="auto"/>
          <w:spacing w:val="-7"/>
          <w:sz w:val="24"/>
          <w:szCs w:val="24"/>
          <w:highlight w:val="none"/>
        </w:rPr>
        <w:t>．工程结算原则</w:t>
      </w:r>
      <w:bookmarkEnd w:id="166"/>
    </w:p>
    <w:p w14:paraId="5F789777">
      <w:pPr>
        <w:spacing w:before="153" w:line="219"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2.1 </w:t>
      </w:r>
      <w:r>
        <w:rPr>
          <w:rFonts w:hint="eastAsia" w:ascii="宋体" w:hAnsi="宋体" w:eastAsia="宋体" w:cs="宋体"/>
          <w:color w:val="auto"/>
          <w:spacing w:val="-1"/>
          <w:sz w:val="24"/>
          <w:szCs w:val="24"/>
          <w:highlight w:val="none"/>
        </w:rPr>
        <w:t>承包人的投标总价为中标价，即为签约合同价。</w:t>
      </w:r>
    </w:p>
    <w:p w14:paraId="7C2B4B88">
      <w:pPr>
        <w:spacing w:before="155" w:line="319" w:lineRule="auto"/>
        <w:ind w:left="12" w:right="231"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2.2 </w:t>
      </w:r>
      <w:r>
        <w:rPr>
          <w:rFonts w:hint="eastAsia" w:ascii="宋体" w:hAnsi="宋体" w:eastAsia="宋体" w:cs="宋体"/>
          <w:color w:val="auto"/>
          <w:spacing w:val="2"/>
          <w:sz w:val="24"/>
          <w:szCs w:val="24"/>
          <w:highlight w:val="none"/>
        </w:rPr>
        <w:t>招标工程量清单标明的工程量是投标人投标报价的</w:t>
      </w:r>
      <w:r>
        <w:rPr>
          <w:rFonts w:hint="eastAsia" w:ascii="宋体" w:hAnsi="宋体" w:eastAsia="宋体" w:cs="宋体"/>
          <w:color w:val="auto"/>
          <w:spacing w:val="1"/>
          <w:sz w:val="24"/>
          <w:szCs w:val="24"/>
          <w:highlight w:val="none"/>
        </w:rPr>
        <w:t>共同基础，竣工结算的工程</w:t>
      </w:r>
      <w:r>
        <w:rPr>
          <w:rFonts w:hint="eastAsia" w:ascii="宋体" w:hAnsi="宋体" w:eastAsia="宋体" w:cs="宋体"/>
          <w:color w:val="auto"/>
          <w:spacing w:val="-5"/>
          <w:sz w:val="24"/>
          <w:szCs w:val="24"/>
          <w:highlight w:val="none"/>
        </w:rPr>
        <w:t>量按</w:t>
      </w:r>
      <w:bookmarkStart w:id="167" w:name="OLE_LINK28"/>
      <w:r>
        <w:rPr>
          <w:rFonts w:hint="eastAsia" w:ascii="宋体" w:hAnsi="宋体" w:eastAsia="宋体" w:cs="宋体"/>
          <w:color w:val="auto"/>
          <w:spacing w:val="-5"/>
          <w:sz w:val="24"/>
          <w:szCs w:val="24"/>
          <w:highlight w:val="none"/>
        </w:rPr>
        <w:t>《建设工程工程量清单计价</w:t>
      </w:r>
      <w:r>
        <w:rPr>
          <w:rFonts w:hint="eastAsia" w:ascii="宋体" w:hAnsi="宋体" w:eastAsia="宋体" w:cs="宋体"/>
          <w:color w:val="auto"/>
          <w:spacing w:val="-5"/>
          <w:sz w:val="24"/>
          <w:szCs w:val="24"/>
          <w:highlight w:val="none"/>
          <w:lang w:val="en-US" w:eastAsia="zh-CN"/>
        </w:rPr>
        <w:t>标准</w:t>
      </w:r>
      <w:r>
        <w:rPr>
          <w:rFonts w:hint="eastAsia" w:ascii="宋体" w:hAnsi="宋体" w:eastAsia="宋体" w:cs="宋体"/>
          <w:color w:val="auto"/>
          <w:spacing w:val="-5"/>
          <w:sz w:val="24"/>
          <w:szCs w:val="24"/>
          <w:highlight w:val="none"/>
        </w:rPr>
        <w:t>》（GB50500—</w:t>
      </w:r>
      <w:r>
        <w:rPr>
          <w:rFonts w:hint="eastAsia" w:ascii="宋体" w:hAnsi="宋体" w:eastAsia="宋体" w:cs="宋体"/>
          <w:color w:val="auto"/>
          <w:spacing w:val="-5"/>
          <w:sz w:val="24"/>
          <w:szCs w:val="24"/>
          <w:highlight w:val="none"/>
          <w:lang w:val="en-US" w:eastAsia="zh-CN"/>
        </w:rPr>
        <w:t>2024</w:t>
      </w:r>
      <w:r>
        <w:rPr>
          <w:rFonts w:hint="eastAsia" w:ascii="宋体" w:hAnsi="宋体" w:eastAsia="宋体" w:cs="宋体"/>
          <w:color w:val="auto"/>
          <w:spacing w:val="-5"/>
          <w:sz w:val="24"/>
          <w:szCs w:val="24"/>
          <w:highlight w:val="none"/>
        </w:rPr>
        <w:t>）对工程计量的规定进行计量，</w:t>
      </w:r>
      <w:r>
        <w:rPr>
          <w:rFonts w:hint="eastAsia" w:ascii="宋体" w:hAnsi="宋体" w:eastAsia="宋体" w:cs="宋体"/>
          <w:color w:val="auto"/>
          <w:spacing w:val="-2"/>
          <w:sz w:val="24"/>
          <w:szCs w:val="24"/>
          <w:highlight w:val="none"/>
        </w:rPr>
        <w:t>必须以承包人完成合同工程应予计量的工程量确定。施</w:t>
      </w:r>
      <w:bookmarkEnd w:id="167"/>
      <w:r>
        <w:rPr>
          <w:rFonts w:hint="eastAsia" w:ascii="宋体" w:hAnsi="宋体" w:eastAsia="宋体" w:cs="宋体"/>
          <w:color w:val="auto"/>
          <w:spacing w:val="-2"/>
          <w:sz w:val="24"/>
          <w:szCs w:val="24"/>
          <w:highlight w:val="none"/>
        </w:rPr>
        <w:t>工中进行工程计量，当发现招标工程量清单中出现缺项、工程量偏差、或因工程变更引起工程量增减时，应按承包人在履行合同义务中完成的工程量计算。因承包人原因造成的超出合同工程范围施工或返工</w:t>
      </w:r>
      <w:r>
        <w:rPr>
          <w:rFonts w:hint="eastAsia" w:ascii="宋体" w:hAnsi="宋体" w:eastAsia="宋体" w:cs="宋体"/>
          <w:color w:val="auto"/>
          <w:spacing w:val="-1"/>
          <w:sz w:val="24"/>
          <w:szCs w:val="24"/>
          <w:highlight w:val="none"/>
        </w:rPr>
        <w:t>的工程量，发包人不予计量。</w:t>
      </w:r>
    </w:p>
    <w:p w14:paraId="01C87EDF">
      <w:pPr>
        <w:spacing w:before="38" w:line="299" w:lineRule="auto"/>
        <w:ind w:left="12" w:right="183" w:firstLine="47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2.3  </w:t>
      </w:r>
      <w:r>
        <w:rPr>
          <w:rFonts w:hint="eastAsia" w:ascii="宋体" w:hAnsi="宋体" w:eastAsia="宋体" w:cs="宋体"/>
          <w:color w:val="auto"/>
          <w:sz w:val="24"/>
          <w:szCs w:val="24"/>
          <w:highlight w:val="none"/>
        </w:rPr>
        <w:t>施工合同履行期间，若出现下列情形的，发、承包双方应当按照以下规定调整</w:t>
      </w:r>
      <w:r>
        <w:rPr>
          <w:rFonts w:hint="eastAsia" w:ascii="宋体" w:hAnsi="宋体" w:eastAsia="宋体" w:cs="宋体"/>
          <w:color w:val="auto"/>
          <w:spacing w:val="-3"/>
          <w:sz w:val="24"/>
          <w:szCs w:val="24"/>
          <w:highlight w:val="none"/>
        </w:rPr>
        <w:t>合同价款：</w:t>
      </w:r>
    </w:p>
    <w:p w14:paraId="50F65D12">
      <w:pPr>
        <w:spacing w:before="227"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2.3.1  </w:t>
      </w:r>
      <w:r>
        <w:rPr>
          <w:rFonts w:hint="eastAsia" w:ascii="宋体" w:hAnsi="宋体" w:eastAsia="宋体" w:cs="宋体"/>
          <w:color w:val="auto"/>
          <w:spacing w:val="-1"/>
          <w:sz w:val="24"/>
          <w:szCs w:val="24"/>
          <w:highlight w:val="none"/>
        </w:rPr>
        <w:t>法律法规变化</w:t>
      </w:r>
    </w:p>
    <w:p w14:paraId="0AC2BD08">
      <w:pPr>
        <w:spacing w:before="156" w:line="298"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2.3.1.1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基准日之后，因国家法律、法规、规章和政策发生变化引起工程造价增减变</w:t>
      </w:r>
      <w:r>
        <w:rPr>
          <w:rFonts w:hint="eastAsia" w:ascii="宋体" w:hAnsi="宋体" w:eastAsia="宋体" w:cs="宋体"/>
          <w:color w:val="auto"/>
          <w:spacing w:val="-2"/>
          <w:sz w:val="24"/>
          <w:szCs w:val="24"/>
          <w:highlight w:val="none"/>
        </w:rPr>
        <w:t>化时，发、承包双方应按照省级建设主管部门（或省级行业主管部门）或其授权的工程</w:t>
      </w:r>
      <w:r>
        <w:rPr>
          <w:rFonts w:hint="eastAsia" w:ascii="宋体" w:hAnsi="宋体" w:eastAsia="宋体" w:cs="宋体"/>
          <w:color w:val="auto"/>
          <w:spacing w:val="-1"/>
          <w:sz w:val="24"/>
          <w:szCs w:val="24"/>
          <w:highlight w:val="none"/>
        </w:rPr>
        <w:t>造价管理机构据此发布的最新规定调整合同价款。</w:t>
      </w:r>
    </w:p>
    <w:p w14:paraId="393945A3">
      <w:pPr>
        <w:spacing w:before="157" w:line="325" w:lineRule="auto"/>
        <w:ind w:left="12" w:right="183" w:firstLine="479"/>
        <w:rPr>
          <w:rFonts w:hint="eastAsia" w:ascii="宋体" w:hAnsi="宋体" w:eastAsia="宋体" w:cs="宋体"/>
          <w:color w:val="auto"/>
          <w:sz w:val="24"/>
          <w:szCs w:val="24"/>
          <w:highlight w:val="none"/>
        </w:rPr>
      </w:pPr>
      <w:r>
        <w:rPr>
          <w:rFonts w:hint="eastAsia" w:ascii="宋体" w:hAnsi="宋体" w:eastAsia="宋体" w:cs="宋体"/>
          <w:b/>
          <w:bCs/>
          <w:color w:val="auto"/>
          <w:spacing w:val="-11"/>
          <w:sz w:val="24"/>
          <w:szCs w:val="24"/>
          <w:highlight w:val="none"/>
        </w:rPr>
        <w:t>注：本招标文件所称“基准日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11"/>
          <w:sz w:val="24"/>
          <w:szCs w:val="24"/>
          <w:highlight w:val="none"/>
        </w:rPr>
        <w:t>”，均指投标文</w:t>
      </w:r>
      <w:r>
        <w:rPr>
          <w:rFonts w:hint="eastAsia" w:ascii="宋体" w:hAnsi="宋体" w:eastAsia="宋体" w:cs="宋体"/>
          <w:b/>
          <w:bCs/>
          <w:color w:val="auto"/>
          <w:spacing w:val="-12"/>
          <w:sz w:val="24"/>
          <w:szCs w:val="24"/>
          <w:highlight w:val="none"/>
        </w:rPr>
        <w:t>件递交截止时间（见第一章第二节“重</w:t>
      </w:r>
      <w:r>
        <w:rPr>
          <w:rFonts w:hint="eastAsia" w:ascii="宋体" w:hAnsi="宋体" w:eastAsia="宋体" w:cs="宋体"/>
          <w:b/>
          <w:bCs/>
          <w:color w:val="auto"/>
          <w:spacing w:val="-5"/>
          <w:sz w:val="24"/>
          <w:szCs w:val="24"/>
          <w:highlight w:val="none"/>
        </w:rPr>
        <w:t>要事项时间地点一览表</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5"/>
          <w:sz w:val="24"/>
          <w:szCs w:val="24"/>
          <w:highlight w:val="none"/>
        </w:rPr>
        <w:t>”）前</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5"/>
          <w:sz w:val="24"/>
          <w:szCs w:val="24"/>
          <w:highlight w:val="none"/>
        </w:rPr>
        <w:t>28 天。</w:t>
      </w:r>
    </w:p>
    <w:p w14:paraId="23643975">
      <w:pPr>
        <w:spacing w:before="33" w:line="299" w:lineRule="auto"/>
        <w:ind w:left="11"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"2.3.1.2"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2.3.1.2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1"/>
          <w:sz w:val="24"/>
          <w:szCs w:val="24"/>
          <w:highlight w:val="none"/>
        </w:rPr>
        <w:t>因承包人原因导致工程延误，本章第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1"/>
          <w:sz w:val="24"/>
          <w:szCs w:val="24"/>
          <w:highlight w:val="none"/>
        </w:rPr>
        <w:t>2</w:t>
      </w:r>
      <w:r>
        <w:rPr>
          <w:rFonts w:hint="eastAsia" w:ascii="宋体" w:hAnsi="宋体" w:eastAsia="宋体" w:cs="宋体"/>
          <w:b/>
          <w:bCs/>
          <w:color w:val="auto"/>
          <w:sz w:val="24"/>
          <w:szCs w:val="24"/>
          <w:highlight w:val="none"/>
        </w:rPr>
        <w:t xml:space="preserve">.3.1.1 </w:t>
      </w:r>
      <w:r>
        <w:rPr>
          <w:rFonts w:hint="eastAsia" w:ascii="宋体" w:hAnsi="宋体" w:eastAsia="宋体" w:cs="宋体"/>
          <w:color w:val="auto"/>
          <w:sz w:val="24"/>
          <w:szCs w:val="24"/>
          <w:highlight w:val="none"/>
        </w:rPr>
        <w:t>子目中的法定机构根据国家法</w:t>
      </w:r>
      <w:r>
        <w:rPr>
          <w:rFonts w:hint="eastAsia" w:ascii="宋体" w:hAnsi="宋体" w:eastAsia="宋体" w:cs="宋体"/>
          <w:color w:val="auto"/>
          <w:spacing w:val="-3"/>
          <w:sz w:val="24"/>
          <w:szCs w:val="24"/>
          <w:highlight w:val="none"/>
        </w:rPr>
        <w:t>律法规变化发布新规的时间在合同工程原定竣工时间之后的，合同价款调增的不予调整，</w:t>
      </w:r>
      <w:r>
        <w:rPr>
          <w:rFonts w:hint="eastAsia" w:ascii="宋体" w:hAnsi="宋体" w:eastAsia="宋体" w:cs="宋体"/>
          <w:color w:val="auto"/>
          <w:spacing w:val="-1"/>
          <w:sz w:val="24"/>
          <w:szCs w:val="24"/>
          <w:highlight w:val="none"/>
        </w:rPr>
        <w:t>合同价款调减的予以调整。</w:t>
      </w:r>
    </w:p>
    <w:p w14:paraId="3BE6F0A0">
      <w:pPr>
        <w:spacing w:before="155" w:line="220" w:lineRule="auto"/>
        <w:ind w:left="48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2.3.2  </w:t>
      </w:r>
      <w:r>
        <w:rPr>
          <w:rFonts w:hint="eastAsia" w:ascii="宋体" w:hAnsi="宋体" w:eastAsia="宋体" w:cs="宋体"/>
          <w:color w:val="auto"/>
          <w:spacing w:val="-1"/>
          <w:sz w:val="24"/>
          <w:szCs w:val="24"/>
          <w:highlight w:val="none"/>
        </w:rPr>
        <w:t>工程量偏差或变化</w:t>
      </w:r>
    </w:p>
    <w:p w14:paraId="53B8677A">
      <w:pPr>
        <w:spacing w:before="158" w:line="309" w:lineRule="auto"/>
        <w:ind w:left="10" w:right="183"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2.3.2.1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合同履行期间，当应予计算的实际工程量与招标工程量清单出现偏差或因工程变更引起已标价工程量清单项目的工程数量发生变化时，工程量偏差或变化在</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3"/>
          <w:sz w:val="24"/>
          <w:szCs w:val="24"/>
          <w:highlight w:val="none"/>
        </w:rPr>
        <w:t>15%以</w:t>
      </w:r>
      <w:r>
        <w:rPr>
          <w:rFonts w:hint="eastAsia" w:ascii="宋体" w:hAnsi="宋体" w:eastAsia="宋体" w:cs="宋体"/>
          <w:color w:val="auto"/>
          <w:spacing w:val="-4"/>
          <w:sz w:val="24"/>
          <w:szCs w:val="24"/>
          <w:highlight w:val="none"/>
        </w:rPr>
        <w:t>内（含</w:t>
      </w:r>
      <w:r>
        <w:rPr>
          <w:rFonts w:hint="eastAsia" w:ascii="宋体" w:hAnsi="宋体" w:eastAsia="宋体" w:cs="宋体"/>
          <w:color w:val="auto"/>
          <w:spacing w:val="-26"/>
          <w:sz w:val="24"/>
          <w:szCs w:val="24"/>
          <w:highlight w:val="none"/>
        </w:rPr>
        <w:t xml:space="preserve"> </w:t>
      </w:r>
      <w:r>
        <w:rPr>
          <w:rFonts w:hint="eastAsia" w:ascii="宋体" w:hAnsi="宋体" w:eastAsia="宋体" w:cs="宋体"/>
          <w:color w:val="auto"/>
          <w:spacing w:val="-4"/>
          <w:sz w:val="24"/>
          <w:szCs w:val="24"/>
          <w:highlight w:val="none"/>
        </w:rPr>
        <w:t>15%）的，其综合单价不予调整；工程量偏差或变化超过</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15%的，按照以下规定</w:t>
      </w:r>
      <w:r>
        <w:rPr>
          <w:rFonts w:hint="eastAsia" w:ascii="宋体" w:hAnsi="宋体" w:eastAsia="宋体" w:cs="宋体"/>
          <w:color w:val="auto"/>
          <w:spacing w:val="-3"/>
          <w:sz w:val="24"/>
          <w:szCs w:val="24"/>
          <w:highlight w:val="none"/>
        </w:rPr>
        <w:t>调整：</w:t>
      </w:r>
    </w:p>
    <w:p w14:paraId="5B55EA75">
      <w:pPr>
        <w:spacing w:before="78" w:line="327" w:lineRule="auto"/>
        <w:ind w:left="12" w:firstLine="478"/>
        <w:jc w:val="both"/>
        <w:rPr>
          <w:rFonts w:hint="eastAsia" w:ascii="宋体" w:hAnsi="宋体" w:eastAsia="宋体" w:cs="宋体"/>
          <w:color w:val="auto"/>
          <w:sz w:val="24"/>
          <w:szCs w:val="24"/>
          <w:highlight w:val="none"/>
        </w:rPr>
      </w:pPr>
      <w:bookmarkStart w:id="168" w:name="bookmark142"/>
      <w:bookmarkEnd w:id="168"/>
      <w:r>
        <w:rPr>
          <w:rFonts w:hint="eastAsia" w:ascii="宋体" w:hAnsi="宋体" w:eastAsia="宋体" w:cs="宋体"/>
          <w:color w:val="auto"/>
          <w:spacing w:val="-3"/>
          <w:sz w:val="24"/>
          <w:szCs w:val="24"/>
          <w:highlight w:val="none"/>
        </w:rPr>
        <w:t>对于合理报价的清单项目，当工程量增加超过</w:t>
      </w:r>
      <w:r>
        <w:rPr>
          <w:rFonts w:hint="eastAsia" w:ascii="宋体" w:hAnsi="宋体" w:eastAsia="宋体" w:cs="宋体"/>
          <w:color w:val="auto"/>
          <w:spacing w:val="-27"/>
          <w:sz w:val="24"/>
          <w:szCs w:val="24"/>
          <w:highlight w:val="none"/>
        </w:rPr>
        <w:t xml:space="preserve"> </w:t>
      </w:r>
      <w:r>
        <w:rPr>
          <w:rFonts w:hint="eastAsia" w:ascii="宋体" w:hAnsi="宋体" w:eastAsia="宋体" w:cs="宋体"/>
          <w:color w:val="auto"/>
          <w:spacing w:val="-3"/>
          <w:sz w:val="24"/>
          <w:szCs w:val="24"/>
          <w:highlight w:val="none"/>
        </w:rPr>
        <w:t>15%时，增加部分的工程量的综合单</w:t>
      </w:r>
      <w:r>
        <w:rPr>
          <w:rFonts w:hint="eastAsia" w:ascii="宋体" w:hAnsi="宋体" w:eastAsia="宋体" w:cs="宋体"/>
          <w:color w:val="auto"/>
          <w:spacing w:val="-7"/>
          <w:sz w:val="24"/>
          <w:szCs w:val="24"/>
          <w:highlight w:val="none"/>
        </w:rPr>
        <w:t>价以</w:t>
      </w:r>
      <w:r>
        <w:rPr>
          <w:rFonts w:hint="eastAsia" w:ascii="宋体" w:hAnsi="宋体" w:eastAsia="宋体" w:cs="宋体"/>
          <w:color w:val="auto"/>
          <w:spacing w:val="-3"/>
          <w:sz w:val="24"/>
          <w:szCs w:val="24"/>
          <w:highlight w:val="none"/>
        </w:rPr>
        <w:t>投标报价《分部分项工程和单价措施项目清单与计价表》中综合单价为基价调低 3%；当工程量减少超过 15%时，减少后剩余部分的工程量的综合单价以投标报价《分部分项工程和单价措施项目清单与计价表》中综合单价为基价调高 3%</w:t>
      </w:r>
      <w:r>
        <w:rPr>
          <w:rFonts w:hint="eastAsia" w:ascii="宋体" w:hAnsi="宋体" w:eastAsia="宋体" w:cs="宋体"/>
          <w:color w:val="auto"/>
          <w:spacing w:val="-1"/>
          <w:sz w:val="24"/>
          <w:szCs w:val="24"/>
          <w:highlight w:val="none"/>
        </w:rPr>
        <w:t>。</w:t>
      </w:r>
    </w:p>
    <w:p w14:paraId="2482612A">
      <w:pPr>
        <w:spacing w:before="97" w:line="324" w:lineRule="auto"/>
        <w:ind w:left="13" w:right="179"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对于按照第二章“</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 条被认定为不平衡报价的清单项目，其综合</w:t>
      </w:r>
      <w:r>
        <w:rPr>
          <w:rFonts w:hint="eastAsia" w:ascii="宋体" w:hAnsi="宋体" w:eastAsia="宋体" w:cs="宋体"/>
          <w:b/>
          <w:bCs/>
          <w:color w:val="auto"/>
          <w:spacing w:val="-3"/>
          <w:sz w:val="24"/>
          <w:szCs w:val="24"/>
          <w:highlight w:val="none"/>
        </w:rPr>
        <w:t>单价按照以下方法调整：</w:t>
      </w:r>
    </w:p>
    <w:p w14:paraId="5A5F1B3C">
      <w:pPr>
        <w:spacing w:before="97" w:line="324" w:lineRule="auto"/>
        <w:ind w:left="13" w:right="179" w:firstLine="477"/>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t>以</w:t>
      </w:r>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中《分部分项工程和单价措施项目清单与计价表》子目相对应综合单价×（1-中标下浮率）。</w:t>
      </w:r>
    </w:p>
    <w:p w14:paraId="51501E43">
      <w:pPr>
        <w:spacing w:before="97" w:line="324" w:lineRule="auto"/>
        <w:ind w:left="13" w:right="179" w:firstLine="477"/>
        <w:rPr>
          <w:rFonts w:hint="eastAsia" w:ascii="宋体" w:hAnsi="宋体" w:eastAsia="宋体" w:cs="宋体"/>
          <w:b/>
          <w:bCs/>
          <w:color w:val="auto"/>
          <w:spacing w:val="-4"/>
          <w:sz w:val="24"/>
          <w:szCs w:val="24"/>
          <w:highlight w:val="none"/>
        </w:rPr>
      </w:pPr>
      <w:bookmarkStart w:id="169" w:name="_Toc12035"/>
      <w:bookmarkStart w:id="170" w:name="_Toc18478"/>
      <w:bookmarkStart w:id="171" w:name="_Toc30068"/>
      <w:r>
        <w:rPr>
          <w:rFonts w:hint="eastAsia" w:ascii="宋体" w:hAnsi="宋体" w:eastAsia="宋体" w:cs="宋体"/>
          <w:b/>
          <w:bCs/>
          <w:color w:val="auto"/>
          <w:spacing w:val="-4"/>
          <w:sz w:val="24"/>
          <w:szCs w:val="24"/>
          <w:highlight w:val="none"/>
        </w:rPr>
        <w:t>中标下浮率=[1-（中标价-</w:t>
      </w:r>
      <w:r>
        <w:rPr>
          <w:rFonts w:hint="eastAsia" w:ascii="宋体" w:hAnsi="宋体" w:eastAsia="宋体" w:cs="宋体"/>
          <w:b/>
          <w:bCs/>
          <w:color w:val="auto"/>
          <w:spacing w:val="-4"/>
          <w:sz w:val="24"/>
          <w:szCs w:val="24"/>
          <w:highlight w:val="none"/>
          <w:lang w:val="en-US" w:eastAsia="zh-CN"/>
        </w:rPr>
        <w:t>中标安全生产措施费</w:t>
      </w:r>
      <w:r>
        <w:rPr>
          <w:rFonts w:hint="eastAsia" w:ascii="宋体" w:hAnsi="宋体" w:eastAsia="宋体" w:cs="宋体"/>
          <w:b/>
          <w:bCs/>
          <w:color w:val="auto"/>
          <w:spacing w:val="-4"/>
          <w:sz w:val="24"/>
          <w:szCs w:val="24"/>
          <w:highlight w:val="none"/>
        </w:rPr>
        <w:t>-暂列金额-暂估价）/（</w:t>
      </w:r>
      <w:bookmarkEnd w:id="169"/>
      <w:bookmarkEnd w:id="170"/>
      <w:bookmarkStart w:id="172" w:name="_Toc15512"/>
      <w:bookmarkStart w:id="173" w:name="_Toc13602"/>
      <w:r>
        <w:rPr>
          <w:rFonts w:hint="eastAsia" w:ascii="宋体" w:hAnsi="宋体" w:eastAsia="宋体" w:cs="宋体"/>
          <w:b/>
          <w:bCs/>
          <w:color w:val="auto"/>
          <w:spacing w:val="-4"/>
          <w:sz w:val="24"/>
          <w:szCs w:val="24"/>
          <w:highlight w:val="none"/>
          <w:lang w:eastAsia="zh-CN"/>
        </w:rPr>
        <w:t>最高投标限价</w:t>
      </w:r>
      <w:r>
        <w:rPr>
          <w:rFonts w:hint="eastAsia" w:ascii="宋体" w:hAnsi="宋体" w:eastAsia="宋体" w:cs="宋体"/>
          <w:b/>
          <w:bCs/>
          <w:color w:val="auto"/>
          <w:spacing w:val="-4"/>
          <w:sz w:val="24"/>
          <w:szCs w:val="24"/>
          <w:highlight w:val="none"/>
        </w:rPr>
        <w:t>-控制价</w:t>
      </w:r>
      <w:r>
        <w:rPr>
          <w:rFonts w:hint="eastAsia" w:ascii="宋体" w:hAnsi="宋体" w:eastAsia="宋体" w:cs="宋体"/>
          <w:b/>
          <w:bCs/>
          <w:color w:val="auto"/>
          <w:spacing w:val="-4"/>
          <w:sz w:val="24"/>
          <w:szCs w:val="24"/>
          <w:highlight w:val="none"/>
          <w:lang w:val="en-US" w:eastAsia="zh-CN"/>
        </w:rPr>
        <w:t>安全生产措施费</w:t>
      </w:r>
      <w:r>
        <w:rPr>
          <w:rFonts w:hint="eastAsia" w:ascii="宋体" w:hAnsi="宋体" w:eastAsia="宋体" w:cs="宋体"/>
          <w:b/>
          <w:bCs/>
          <w:color w:val="auto"/>
          <w:spacing w:val="-4"/>
          <w:sz w:val="24"/>
          <w:szCs w:val="24"/>
          <w:highlight w:val="none"/>
        </w:rPr>
        <w:t>-暂列金额-暂估价）] ×100%</w:t>
      </w:r>
      <w:bookmarkEnd w:id="171"/>
      <w:bookmarkEnd w:id="172"/>
      <w:bookmarkEnd w:id="173"/>
    </w:p>
    <w:p w14:paraId="6393F5EA">
      <w:pPr>
        <w:spacing w:before="123" w:line="301" w:lineRule="auto"/>
        <w:ind w:left="10" w:right="116" w:firstLine="482"/>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若修正后的该部分《分部分项工程和单价措施项目清单与计价表》总金额大于原投</w:t>
      </w:r>
      <w:r>
        <w:rPr>
          <w:rFonts w:hint="eastAsia" w:ascii="宋体" w:hAnsi="宋体" w:eastAsia="宋体" w:cs="宋体"/>
          <w:color w:val="auto"/>
          <w:spacing w:val="-1"/>
          <w:sz w:val="24"/>
          <w:szCs w:val="24"/>
          <w:highlight w:val="none"/>
        </w:rPr>
        <w:t>标报价中的该部分总金额，则从投标报价需</w:t>
      </w:r>
      <w:r>
        <w:rPr>
          <w:rFonts w:hint="eastAsia" w:ascii="宋体" w:hAnsi="宋体" w:eastAsia="宋体" w:cs="宋体"/>
          <w:color w:val="auto"/>
          <w:spacing w:val="-2"/>
          <w:sz w:val="24"/>
          <w:szCs w:val="24"/>
          <w:highlight w:val="none"/>
        </w:rPr>
        <w:t>调高的综合单价中选择偏离最大的清单开始</w:t>
      </w:r>
      <w:r>
        <w:rPr>
          <w:rFonts w:hint="eastAsia" w:ascii="宋体" w:hAnsi="宋体" w:eastAsia="宋体" w:cs="宋体"/>
          <w:color w:val="auto"/>
          <w:spacing w:val="-1"/>
          <w:sz w:val="24"/>
          <w:szCs w:val="24"/>
          <w:highlight w:val="none"/>
        </w:rPr>
        <w:t>调整，调整幅度逐步减少，直至修正后的该</w:t>
      </w:r>
      <w:r>
        <w:rPr>
          <w:rFonts w:hint="eastAsia" w:ascii="宋体" w:hAnsi="宋体" w:eastAsia="宋体" w:cs="宋体"/>
          <w:color w:val="auto"/>
          <w:spacing w:val="-2"/>
          <w:sz w:val="24"/>
          <w:szCs w:val="24"/>
          <w:highlight w:val="none"/>
        </w:rPr>
        <w:t>部分《分部分项工程和单价措施项目清单与</w:t>
      </w:r>
      <w:r>
        <w:rPr>
          <w:rFonts w:hint="eastAsia" w:ascii="宋体" w:hAnsi="宋体" w:eastAsia="宋体" w:cs="宋体"/>
          <w:color w:val="auto"/>
          <w:spacing w:val="-1"/>
          <w:sz w:val="24"/>
          <w:szCs w:val="24"/>
          <w:highlight w:val="none"/>
        </w:rPr>
        <w:t>计价表》总金额与原投标报价中的该部分总</w:t>
      </w:r>
      <w:r>
        <w:rPr>
          <w:rFonts w:hint="eastAsia" w:ascii="宋体" w:hAnsi="宋体" w:eastAsia="宋体" w:cs="宋体"/>
          <w:color w:val="auto"/>
          <w:spacing w:val="-2"/>
          <w:sz w:val="24"/>
          <w:szCs w:val="24"/>
          <w:highlight w:val="none"/>
        </w:rPr>
        <w:t>金额一致；若修正后的该部分《分部分项工</w:t>
      </w:r>
      <w:r>
        <w:rPr>
          <w:rFonts w:hint="eastAsia" w:ascii="宋体" w:hAnsi="宋体" w:eastAsia="宋体" w:cs="宋体"/>
          <w:color w:val="auto"/>
          <w:spacing w:val="-1"/>
          <w:sz w:val="24"/>
          <w:szCs w:val="24"/>
          <w:highlight w:val="none"/>
        </w:rPr>
        <w:t>程和单价措施项目清单与计价表》总金额小</w:t>
      </w:r>
      <w:r>
        <w:rPr>
          <w:rFonts w:hint="eastAsia" w:ascii="宋体" w:hAnsi="宋体" w:eastAsia="宋体" w:cs="宋体"/>
          <w:color w:val="auto"/>
          <w:spacing w:val="-2"/>
          <w:sz w:val="24"/>
          <w:szCs w:val="24"/>
          <w:highlight w:val="none"/>
        </w:rPr>
        <w:t>于原投标报价中的该部分总金额，则从投标</w:t>
      </w:r>
      <w:r>
        <w:rPr>
          <w:rFonts w:hint="eastAsia" w:ascii="宋体" w:hAnsi="宋体" w:eastAsia="宋体" w:cs="宋体"/>
          <w:color w:val="auto"/>
          <w:spacing w:val="-1"/>
          <w:sz w:val="24"/>
          <w:szCs w:val="24"/>
          <w:highlight w:val="none"/>
        </w:rPr>
        <w:t>报价需调低的综合单价中选择偏离最大的清</w:t>
      </w:r>
      <w:r>
        <w:rPr>
          <w:rFonts w:hint="eastAsia" w:ascii="宋体" w:hAnsi="宋体" w:eastAsia="宋体" w:cs="宋体"/>
          <w:color w:val="auto"/>
          <w:spacing w:val="-2"/>
          <w:sz w:val="24"/>
          <w:szCs w:val="24"/>
          <w:highlight w:val="none"/>
        </w:rPr>
        <w:t>单开始调整，调整幅度逐步减少，直至修正</w:t>
      </w:r>
      <w:r>
        <w:rPr>
          <w:rFonts w:hint="eastAsia" w:ascii="宋体" w:hAnsi="宋体" w:eastAsia="宋体" w:cs="宋体"/>
          <w:color w:val="auto"/>
          <w:spacing w:val="-1"/>
          <w:sz w:val="24"/>
          <w:szCs w:val="24"/>
          <w:highlight w:val="none"/>
        </w:rPr>
        <w:t>后的该部分《分部分项工程和单价措施项目</w:t>
      </w:r>
      <w:r>
        <w:rPr>
          <w:rFonts w:hint="eastAsia" w:ascii="宋体" w:hAnsi="宋体" w:eastAsia="宋体" w:cs="宋体"/>
          <w:color w:val="auto"/>
          <w:spacing w:val="-2"/>
          <w:sz w:val="24"/>
          <w:szCs w:val="24"/>
          <w:highlight w:val="none"/>
        </w:rPr>
        <w:t>清单与计价表》总金额与原投标报价中的该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2"/>
          <w:sz w:val="24"/>
          <w:szCs w:val="24"/>
          <w:highlight w:val="none"/>
        </w:rPr>
        <w:t>部分总金额一致。修正后的总造价应与总中标价保持一致，形成《不平衡报价修正报告》，</w:t>
      </w:r>
      <w:r>
        <w:rPr>
          <w:rFonts w:hint="eastAsia" w:ascii="宋体" w:hAnsi="宋体" w:eastAsia="宋体" w:cs="宋体"/>
          <w:color w:val="auto"/>
          <w:spacing w:val="-1"/>
          <w:sz w:val="24"/>
          <w:szCs w:val="24"/>
          <w:highlight w:val="none"/>
        </w:rPr>
        <w:t>并由招标人和中标人共同签章确认。</w:t>
      </w:r>
    </w:p>
    <w:p w14:paraId="68FBC4E8">
      <w:pPr>
        <w:spacing w:before="129" w:line="299" w:lineRule="auto"/>
        <w:ind w:left="12" w:right="17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"2.3.2.2"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2.3.2.2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如果工程量出现本章第</w:t>
      </w:r>
      <w:r>
        <w:rPr>
          <w:rFonts w:hint="eastAsia" w:ascii="宋体" w:hAnsi="宋体" w:eastAsia="宋体" w:cs="宋体"/>
          <w:color w:val="auto"/>
          <w:spacing w:val="-41"/>
          <w:sz w:val="24"/>
          <w:szCs w:val="24"/>
          <w:highlight w:val="none"/>
        </w:rPr>
        <w:t xml:space="preserve"> </w:t>
      </w:r>
      <w:r>
        <w:rPr>
          <w:rFonts w:hint="eastAsia" w:ascii="宋体" w:hAnsi="宋体" w:eastAsia="宋体" w:cs="宋体"/>
          <w:b/>
          <w:bCs/>
          <w:color w:val="auto"/>
          <w:spacing w:val="1"/>
          <w:sz w:val="24"/>
          <w:szCs w:val="24"/>
          <w:highlight w:val="none"/>
        </w:rPr>
        <w:t xml:space="preserve">2.3.2.1 </w:t>
      </w:r>
      <w:r>
        <w:rPr>
          <w:rFonts w:hint="eastAsia" w:ascii="宋体" w:hAnsi="宋体" w:eastAsia="宋体" w:cs="宋体"/>
          <w:color w:val="auto"/>
          <w:spacing w:val="1"/>
          <w:sz w:val="24"/>
          <w:szCs w:val="24"/>
          <w:highlight w:val="none"/>
        </w:rPr>
        <w:t>子目的变化，且该变化引起相关措施项目相</w:t>
      </w:r>
      <w:r>
        <w:rPr>
          <w:rFonts w:hint="eastAsia" w:ascii="宋体" w:hAnsi="宋体" w:eastAsia="宋体" w:cs="宋体"/>
          <w:color w:val="auto"/>
          <w:spacing w:val="-2"/>
          <w:sz w:val="24"/>
          <w:szCs w:val="24"/>
          <w:highlight w:val="none"/>
        </w:rPr>
        <w:t>应发生变化时，按系数或单一总价方式计价的，工程量增加的措施项目费调增，工程量</w:t>
      </w:r>
      <w:r>
        <w:rPr>
          <w:rFonts w:hint="eastAsia" w:ascii="宋体" w:hAnsi="宋体" w:eastAsia="宋体" w:cs="宋体"/>
          <w:color w:val="auto"/>
          <w:spacing w:val="-1"/>
          <w:sz w:val="24"/>
          <w:szCs w:val="24"/>
          <w:highlight w:val="none"/>
        </w:rPr>
        <w:t>减少的措施项目费调减。</w:t>
      </w:r>
    </w:p>
    <w:p w14:paraId="3EF8AFC3">
      <w:pPr>
        <w:spacing w:before="154" w:line="221" w:lineRule="auto"/>
        <w:ind w:left="488"/>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2.3.3  </w:t>
      </w:r>
      <w:r>
        <w:rPr>
          <w:rFonts w:hint="eastAsia" w:ascii="宋体" w:hAnsi="宋体" w:eastAsia="宋体" w:cs="宋体"/>
          <w:color w:val="auto"/>
          <w:spacing w:val="-1"/>
          <w:sz w:val="24"/>
          <w:szCs w:val="24"/>
          <w:highlight w:val="none"/>
        </w:rPr>
        <w:t>工程变更</w:t>
      </w:r>
    </w:p>
    <w:p w14:paraId="662453EE">
      <w:pPr>
        <w:spacing w:before="153" w:line="279" w:lineRule="auto"/>
        <w:ind w:left="19" w:right="179" w:firstLine="468"/>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合同履行期间，因工程变更引起已标价工程量清单项目发生变化时，按照以下规定调整：</w:t>
      </w:r>
    </w:p>
    <w:p w14:paraId="5EF0AACD">
      <w:pPr>
        <w:numPr>
          <w:ilvl w:val="0"/>
          <w:numId w:val="1"/>
        </w:numPr>
        <w:spacing w:before="78" w:line="360" w:lineRule="auto"/>
        <w:ind w:firstLine="242" w:firstLineChars="100"/>
        <w:rPr>
          <w:rFonts w:hint="eastAsia" w:ascii="宋体" w:hAnsi="宋体" w:eastAsia="宋体" w:cs="宋体"/>
          <w:b/>
          <w:bCs/>
          <w:color w:val="auto"/>
          <w:spacing w:val="-2"/>
          <w:sz w:val="24"/>
          <w:szCs w:val="24"/>
          <w:highlight w:val="none"/>
        </w:rPr>
      </w:pPr>
      <w:r>
        <w:rPr>
          <w:rFonts w:hint="eastAsia" w:ascii="宋体" w:hAnsi="宋体" w:eastAsia="宋体" w:cs="宋体"/>
          <w:color w:val="auto"/>
          <w:spacing w:val="1"/>
          <w:sz w:val="24"/>
          <w:szCs w:val="24"/>
          <w:highlight w:val="none"/>
        </w:rPr>
        <w:t>已标价工程量清单中有适用于变更工程项目的，采用该项目的单价。</w:t>
      </w:r>
      <w:r>
        <w:rPr>
          <w:rFonts w:hint="eastAsia" w:ascii="宋体" w:hAnsi="宋体" w:eastAsia="宋体" w:cs="宋体"/>
          <w:b/>
          <w:bCs/>
          <w:color w:val="auto"/>
          <w:spacing w:val="1"/>
          <w:sz w:val="24"/>
          <w:szCs w:val="24"/>
          <w:highlight w:val="none"/>
        </w:rPr>
        <w:t>但如果</w:t>
      </w:r>
      <w:bookmarkStart w:id="174" w:name="bookmark143"/>
      <w:bookmarkEnd w:id="174"/>
      <w:r>
        <w:rPr>
          <w:rFonts w:hint="eastAsia" w:ascii="宋体" w:hAnsi="宋体" w:eastAsia="宋体" w:cs="宋体"/>
          <w:b/>
          <w:bCs/>
          <w:color w:val="auto"/>
          <w:spacing w:val="-7"/>
          <w:sz w:val="24"/>
          <w:szCs w:val="24"/>
          <w:highlight w:val="none"/>
        </w:rPr>
        <w:t>被采用的项目属于按照第二章“中标人须知</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7"/>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8"/>
          <w:sz w:val="24"/>
          <w:szCs w:val="24"/>
          <w:highlight w:val="none"/>
        </w:rPr>
        <w:t>4.2 条被认定为不平衡报价的清单项目，</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2"/>
          <w:sz w:val="24"/>
          <w:szCs w:val="24"/>
          <w:highlight w:val="none"/>
        </w:rPr>
        <w:t>变更工程项目的单价按照</w:t>
      </w:r>
      <w:r>
        <w:rPr>
          <w:rFonts w:hint="eastAsia" w:ascii="宋体" w:hAnsi="宋体" w:eastAsia="宋体" w:cs="宋体"/>
          <w:b/>
          <w:bCs/>
          <w:color w:val="auto"/>
          <w:spacing w:val="-7"/>
          <w:sz w:val="24"/>
          <w:szCs w:val="24"/>
          <w:highlight w:val="none"/>
        </w:rPr>
        <w:t>本章 2.3.2.1 的</w:t>
      </w:r>
      <w:r>
        <w:rPr>
          <w:rFonts w:hint="eastAsia" w:ascii="宋体" w:hAnsi="宋体" w:eastAsia="宋体" w:cs="宋体"/>
          <w:b/>
          <w:bCs/>
          <w:color w:val="auto"/>
          <w:spacing w:val="-2"/>
          <w:sz w:val="24"/>
          <w:szCs w:val="24"/>
          <w:highlight w:val="none"/>
        </w:rPr>
        <w:t>方法调整。】</w:t>
      </w:r>
    </w:p>
    <w:p w14:paraId="2C5B3DDC">
      <w:pPr>
        <w:numPr>
          <w:ilvl w:val="0"/>
          <w:numId w:val="0"/>
        </w:numPr>
        <w:spacing w:before="78" w:line="360" w:lineRule="auto"/>
        <w:ind w:firstLine="237" w:firstLineChars="100"/>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2"/>
          <w:sz w:val="24"/>
          <w:szCs w:val="24"/>
          <w:highlight w:val="none"/>
          <w:lang w:val="en-US" w:eastAsia="zh-CN"/>
        </w:rPr>
        <w:t>2</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已标价工程量清单中没有适用但有类似于变更工程项目的，可在合理范围内</w:t>
      </w:r>
      <w:r>
        <w:rPr>
          <w:rFonts w:hint="eastAsia" w:ascii="宋体" w:hAnsi="宋体" w:eastAsia="宋体" w:cs="宋体"/>
          <w:color w:val="auto"/>
          <w:spacing w:val="-3"/>
          <w:sz w:val="24"/>
          <w:szCs w:val="24"/>
          <w:highlight w:val="none"/>
        </w:rPr>
        <w:t>参照类似项目的单价。</w:t>
      </w:r>
      <w:r>
        <w:rPr>
          <w:rFonts w:hint="eastAsia" w:ascii="宋体" w:hAnsi="宋体" w:eastAsia="宋体" w:cs="宋体"/>
          <w:b/>
          <w:bCs/>
          <w:color w:val="auto"/>
          <w:spacing w:val="-3"/>
          <w:sz w:val="24"/>
          <w:szCs w:val="24"/>
          <w:highlight w:val="none"/>
        </w:rPr>
        <w:t>但如果被参考的类似项目属于按照第二章“</w:t>
      </w:r>
      <w:r>
        <w:rPr>
          <w:rFonts w:hint="eastAsia" w:ascii="宋体" w:hAnsi="宋体" w:eastAsia="宋体" w:cs="宋体"/>
          <w:color w:val="auto"/>
          <w:spacing w:val="-88"/>
          <w:sz w:val="24"/>
          <w:szCs w:val="24"/>
          <w:highlight w:val="none"/>
        </w:rPr>
        <w:t xml:space="preserve"> </w:t>
      </w:r>
      <w:r>
        <w:rPr>
          <w:rFonts w:hint="eastAsia" w:ascii="宋体" w:hAnsi="宋体" w:eastAsia="宋体" w:cs="宋体"/>
          <w:b/>
          <w:bCs/>
          <w:color w:val="auto"/>
          <w:spacing w:val="-4"/>
          <w:sz w:val="24"/>
          <w:szCs w:val="24"/>
          <w:highlight w:val="none"/>
        </w:rPr>
        <w:t>中标人须知</w:t>
      </w:r>
      <w:r>
        <w:rPr>
          <w:rFonts w:hint="eastAsia" w:ascii="宋体" w:hAnsi="宋体" w:eastAsia="宋体" w:cs="宋体"/>
          <w:color w:val="auto"/>
          <w:spacing w:val="-85"/>
          <w:sz w:val="24"/>
          <w:szCs w:val="24"/>
          <w:highlight w:val="none"/>
        </w:rPr>
        <w:t xml:space="preserve"> </w:t>
      </w:r>
      <w:r>
        <w:rPr>
          <w:rFonts w:hint="eastAsia" w:ascii="宋体" w:hAnsi="宋体" w:eastAsia="宋体" w:cs="宋体"/>
          <w:b/>
          <w:bCs/>
          <w:color w:val="auto"/>
          <w:spacing w:val="-4"/>
          <w:sz w:val="24"/>
          <w:szCs w:val="24"/>
          <w:highlight w:val="none"/>
        </w:rPr>
        <w:t>”第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4"/>
          <w:sz w:val="24"/>
          <w:szCs w:val="24"/>
          <w:highlight w:val="none"/>
        </w:rPr>
        <w:t>4.2</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pacing w:val="-4"/>
          <w:sz w:val="24"/>
          <w:szCs w:val="24"/>
          <w:highlight w:val="none"/>
        </w:rPr>
        <w:t>条被认定为不平衡报价的清单项目，变更工程项目的单价按照本章2.3.2.1 的方法调整。</w:t>
      </w:r>
    </w:p>
    <w:p w14:paraId="044009E5">
      <w:pPr>
        <w:numPr>
          <w:ilvl w:val="0"/>
          <w:numId w:val="0"/>
        </w:numPr>
        <w:spacing w:before="38" w:line="310" w:lineRule="auto"/>
        <w:ind w:right="81" w:rightChars="0" w:firstLine="242" w:firstLineChars="100"/>
        <w:jc w:val="both"/>
        <w:rPr>
          <w:rFonts w:hint="eastAsia" w:ascii="宋体" w:hAnsi="宋体" w:eastAsia="宋体" w:cs="宋体"/>
          <w:color w:val="auto"/>
          <w:spacing w:val="-2"/>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3</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已标价工程量清单中没有适用也没有类似于变更工程项目的，由承包人根据</w:t>
      </w:r>
      <w:r>
        <w:rPr>
          <w:rFonts w:hint="eastAsia" w:ascii="宋体" w:hAnsi="宋体" w:eastAsia="宋体" w:cs="宋体"/>
          <w:color w:val="auto"/>
          <w:spacing w:val="-2"/>
          <w:sz w:val="24"/>
          <w:szCs w:val="24"/>
          <w:highlight w:val="none"/>
        </w:rPr>
        <w:t>变更工程资料、计量规则、计价办法、施工当月项目所在地工程造价管理机构发布的价格信息和中标下浮率提出变更工程项目的单价，报发包人确认后调整。中标下浮率的计算公式如下：</w:t>
      </w:r>
    </w:p>
    <w:p w14:paraId="5388631A">
      <w:pPr>
        <w:spacing w:before="126" w:line="314" w:lineRule="auto"/>
        <w:ind w:left="29" w:right="21" w:firstLine="503"/>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中标下浮率=[1-（中标价-中标</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2"/>
          <w:sz w:val="24"/>
          <w:szCs w:val="24"/>
          <w:highlight w:val="none"/>
        </w:rPr>
        <w:t>-暂列</w:t>
      </w:r>
      <w:r>
        <w:rPr>
          <w:rFonts w:hint="eastAsia" w:ascii="宋体" w:hAnsi="宋体" w:eastAsia="宋体" w:cs="宋体"/>
          <w:b/>
          <w:bCs/>
          <w:color w:val="auto"/>
          <w:spacing w:val="-3"/>
          <w:sz w:val="24"/>
          <w:szCs w:val="24"/>
          <w:highlight w:val="none"/>
        </w:rPr>
        <w:t>金额-暂估价）/（</w:t>
      </w:r>
      <w:r>
        <w:rPr>
          <w:rFonts w:hint="eastAsia" w:ascii="宋体" w:hAnsi="宋体" w:eastAsia="宋体" w:cs="宋体"/>
          <w:b/>
          <w:bCs/>
          <w:color w:val="auto"/>
          <w:spacing w:val="-3"/>
          <w:sz w:val="24"/>
          <w:szCs w:val="24"/>
          <w:highlight w:val="none"/>
          <w:lang w:eastAsia="zh-CN"/>
        </w:rPr>
        <w:t>最高投标限价</w:t>
      </w:r>
      <w:r>
        <w:rPr>
          <w:rFonts w:hint="eastAsia" w:ascii="宋体" w:hAnsi="宋体" w:eastAsia="宋体" w:cs="宋体"/>
          <w:b/>
          <w:bCs/>
          <w:color w:val="auto"/>
          <w:spacing w:val="-3"/>
          <w:sz w:val="24"/>
          <w:szCs w:val="24"/>
          <w:highlight w:val="none"/>
        </w:rPr>
        <w:t>-控制价</w:t>
      </w:r>
      <w:r>
        <w:rPr>
          <w:rFonts w:hint="eastAsia" w:ascii="宋体" w:hAnsi="宋体" w:eastAsia="宋体" w:cs="宋体"/>
          <w:b/>
          <w:bCs/>
          <w:color w:val="auto"/>
          <w:spacing w:val="-2"/>
          <w:sz w:val="24"/>
          <w:szCs w:val="24"/>
          <w:highlight w:val="none"/>
          <w:lang w:val="en-US" w:eastAsia="zh-CN"/>
        </w:rPr>
        <w:t>安全生产措施费</w:t>
      </w:r>
      <w:r>
        <w:rPr>
          <w:rFonts w:hint="eastAsia" w:ascii="宋体" w:hAnsi="宋体" w:eastAsia="宋体" w:cs="宋体"/>
          <w:b/>
          <w:bCs/>
          <w:color w:val="auto"/>
          <w:spacing w:val="-3"/>
          <w:sz w:val="24"/>
          <w:szCs w:val="24"/>
          <w:highlight w:val="none"/>
        </w:rPr>
        <w:t>-暂列金额-暂估价）]</w:t>
      </w:r>
      <w:r>
        <w:rPr>
          <w:rFonts w:hint="eastAsia" w:ascii="宋体" w:hAnsi="宋体" w:eastAsia="宋体" w:cs="宋体"/>
          <w:color w:val="auto"/>
          <w:spacing w:val="-73"/>
          <w:sz w:val="24"/>
          <w:szCs w:val="24"/>
          <w:highlight w:val="none"/>
        </w:rPr>
        <w:t xml:space="preserve"> </w:t>
      </w:r>
      <w:r>
        <w:rPr>
          <w:rFonts w:hint="eastAsia" w:ascii="宋体" w:hAnsi="宋体" w:eastAsia="宋体" w:cs="宋体"/>
          <w:b/>
          <w:bCs/>
          <w:color w:val="auto"/>
          <w:spacing w:val="-3"/>
          <w:sz w:val="24"/>
          <w:szCs w:val="24"/>
          <w:highlight w:val="none"/>
        </w:rPr>
        <w:t>×100%</w:t>
      </w:r>
    </w:p>
    <w:p w14:paraId="3EAAA9C2">
      <w:pPr>
        <w:spacing w:before="145" w:line="309" w:lineRule="auto"/>
        <w:ind w:right="81" w:firstLine="242"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snapToGrid w:val="0"/>
          <w:color w:val="auto"/>
          <w:kern w:val="0"/>
          <w:sz w:val="24"/>
          <w:szCs w:val="24"/>
          <w:highlight w:val="none"/>
          <w:lang w:eastAsia="zh-CN"/>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14:paraId="11F70C36">
      <w:pPr>
        <w:spacing w:before="156" w:line="309" w:lineRule="auto"/>
        <w:ind w:left="7" w:right="81"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2.3.3.2</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工程变更引起施工方案改变并使措施项目发生变化时，承包人提出调整措施</w:t>
      </w:r>
      <w:r>
        <w:rPr>
          <w:rFonts w:hint="eastAsia" w:ascii="宋体" w:hAnsi="宋体" w:eastAsia="宋体" w:cs="宋体"/>
          <w:color w:val="auto"/>
          <w:spacing w:val="-2"/>
          <w:sz w:val="24"/>
          <w:szCs w:val="24"/>
          <w:highlight w:val="none"/>
        </w:rPr>
        <w:t>项目费的，应事先将拟实施的方案提交发包人确认，并应详细说明与原方案措施项目相比的变化情况。拟实施的方案经发、承包双方确认后执行，并按照本章下列规定调整措施项目费：</w:t>
      </w:r>
    </w:p>
    <w:p w14:paraId="531604AE">
      <w:pPr>
        <w:spacing w:before="152" w:line="220" w:lineRule="auto"/>
        <w:ind w:left="499"/>
        <w:rPr>
          <w:rFonts w:hint="eastAsia" w:ascii="宋体" w:hAnsi="宋体" w:eastAsia="宋体" w:cs="宋体"/>
          <w:b w:val="0"/>
          <w:bCs w:val="0"/>
          <w:color w:val="auto"/>
          <w:sz w:val="24"/>
          <w:szCs w:val="24"/>
          <w:highlight w:val="none"/>
        </w:rPr>
      </w:pPr>
      <w:r>
        <w:rPr>
          <w:rFonts w:hint="eastAsia" w:ascii="宋体" w:hAnsi="宋体" w:eastAsia="宋体" w:cs="宋体"/>
          <w:color w:val="auto"/>
          <w:spacing w:val="-1"/>
          <w:sz w:val="24"/>
          <w:szCs w:val="24"/>
          <w:highlight w:val="none"/>
        </w:rPr>
        <w:t>（1</w:t>
      </w:r>
      <w:r>
        <w:rPr>
          <w:rFonts w:hint="eastAsia" w:ascii="宋体" w:hAnsi="宋体" w:eastAsia="宋体" w:cs="宋体"/>
          <w:b/>
          <w:bCs/>
          <w:color w:val="auto"/>
          <w:spacing w:val="-1"/>
          <w:sz w:val="24"/>
          <w:szCs w:val="24"/>
          <w:highlight w:val="none"/>
        </w:rPr>
        <w:t>）</w:t>
      </w:r>
      <w:r>
        <w:rPr>
          <w:rFonts w:hint="eastAsia" w:ascii="宋体" w:hAnsi="宋体" w:eastAsia="宋体" w:cs="宋体"/>
          <w:b w:val="0"/>
          <w:bCs w:val="0"/>
          <w:color w:val="auto"/>
          <w:spacing w:val="-1"/>
          <w:sz w:val="24"/>
          <w:szCs w:val="24"/>
          <w:highlight w:val="none"/>
        </w:rPr>
        <w:t>安全生产措施费应按照实际发生变化的措施项目计算。</w:t>
      </w:r>
    </w:p>
    <w:p w14:paraId="601BC492">
      <w:pPr>
        <w:spacing w:before="156" w:line="309" w:lineRule="auto"/>
        <w:ind w:left="7" w:right="81" w:firstLine="477"/>
        <w:rPr>
          <w:rFonts w:hint="eastAsia" w:ascii="宋体" w:hAnsi="宋体" w:eastAsia="宋体" w:cs="宋体"/>
          <w:color w:val="auto"/>
          <w:spacing w:val="-3"/>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3"/>
          <w:sz w:val="24"/>
          <w:szCs w:val="24"/>
          <w:highlight w:val="none"/>
        </w:rPr>
        <w:t>采用单价计算的措施项目费，应按照实际发生变化的措施项目，按本章第 2.3.3.1 子目的规定确定单价。</w:t>
      </w:r>
    </w:p>
    <w:p w14:paraId="4D9326AB">
      <w:pPr>
        <w:spacing w:before="154" w:line="360" w:lineRule="auto"/>
        <w:ind w:left="8" w:right="81" w:firstLine="491"/>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（3）按总价或系数计算的措施项目费，应按照实际发生变化的措施项目费调整并</w:t>
      </w:r>
      <w:r>
        <w:rPr>
          <w:rFonts w:hint="eastAsia" w:ascii="宋体" w:hAnsi="宋体" w:eastAsia="宋体" w:cs="宋体"/>
          <w:color w:val="auto"/>
          <w:spacing w:val="-3"/>
          <w:sz w:val="24"/>
          <w:szCs w:val="24"/>
          <w:highlight w:val="none"/>
        </w:rPr>
        <w:t>考虑中标下浮率因素，即调整金额＝按照实际变化调整后的金额×（ 1-中标下浮率）。</w:t>
      </w:r>
    </w:p>
    <w:p w14:paraId="0F4567BC">
      <w:pPr>
        <w:spacing w:before="157" w:line="324" w:lineRule="auto"/>
        <w:ind w:left="21" w:right="81" w:firstLine="47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如果承包人未事先将拟实施的方案提交发包人确认，视为工程变更不引起措施项目费的调整或承包人放弃调整措施项目费的权利。</w:t>
      </w:r>
    </w:p>
    <w:p w14:paraId="09FC9918">
      <w:pPr>
        <w:spacing w:before="35" w:line="309" w:lineRule="auto"/>
        <w:ind w:right="81"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"2.3.3.3"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2.3.3.3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当因非承包人原因，发包人提出的工程变更删减了合同中的某项原定工作或</w:t>
      </w:r>
      <w:r>
        <w:rPr>
          <w:rFonts w:hint="eastAsia" w:ascii="宋体" w:hAnsi="宋体" w:eastAsia="宋体" w:cs="宋体"/>
          <w:color w:val="auto"/>
          <w:spacing w:val="-2"/>
          <w:sz w:val="24"/>
          <w:szCs w:val="24"/>
          <w:highlight w:val="none"/>
        </w:rPr>
        <w:t>工程，致使承包人发生的费用或（和）得到的收益不能被包括在其他已支付或应支付的项目中，也未被包含在任何替代的工作或工程中时，承包人有权提出并应得到合理的费用及利润补偿。</w:t>
      </w:r>
    </w:p>
    <w:p w14:paraId="768E8515">
      <w:pPr>
        <w:spacing w:before="155" w:line="220"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2.3.4  </w:t>
      </w:r>
      <w:r>
        <w:rPr>
          <w:rFonts w:hint="eastAsia" w:ascii="宋体" w:hAnsi="宋体" w:eastAsia="宋体" w:cs="宋体"/>
          <w:color w:val="auto"/>
          <w:spacing w:val="-1"/>
          <w:sz w:val="24"/>
          <w:szCs w:val="24"/>
          <w:highlight w:val="none"/>
        </w:rPr>
        <w:t>项目特征不符</w:t>
      </w:r>
    </w:p>
    <w:p w14:paraId="76795D8D">
      <w:pPr>
        <w:spacing w:before="78" w:line="331" w:lineRule="auto"/>
        <w:ind w:left="8" w:right="108" w:firstLine="480"/>
        <w:jc w:val="both"/>
        <w:rPr>
          <w:rFonts w:hint="eastAsia" w:ascii="宋体" w:hAnsi="宋体" w:eastAsia="宋体" w:cs="宋体"/>
          <w:color w:val="auto"/>
          <w:sz w:val="24"/>
          <w:szCs w:val="24"/>
          <w:highlight w:val="none"/>
        </w:rPr>
      </w:pPr>
      <w:bookmarkStart w:id="175" w:name="bookmark144"/>
      <w:bookmarkEnd w:id="175"/>
      <w:r>
        <w:rPr>
          <w:rFonts w:hint="eastAsia" w:ascii="宋体" w:hAnsi="宋体" w:eastAsia="宋体" w:cs="宋体"/>
          <w:color w:val="auto"/>
          <w:spacing w:val="-2"/>
          <w:sz w:val="24"/>
          <w:szCs w:val="24"/>
          <w:highlight w:val="none"/>
        </w:rPr>
        <w:t>承包人应按照发包人提供的设计图纸实施合同工程，若在合同履行期间出现设计图纸（含设计变更）与招标工程量清单任一项目的特征描述不符，且该变化引起该项目工</w:t>
      </w:r>
      <w:r>
        <w:rPr>
          <w:rFonts w:hint="eastAsia" w:ascii="宋体" w:hAnsi="宋体" w:eastAsia="宋体" w:cs="宋体"/>
          <w:color w:val="auto"/>
          <w:sz w:val="24"/>
          <w:szCs w:val="24"/>
          <w:highlight w:val="none"/>
        </w:rPr>
        <w:t>程造价增减变化的，应按照实际施工的项目特征，并按本章第</w:t>
      </w:r>
      <w:r>
        <w:rPr>
          <w:rFonts w:hint="eastAsia" w:ascii="宋体" w:hAnsi="宋体" w:eastAsia="宋体" w:cs="宋体"/>
          <w:color w:val="auto"/>
          <w:spacing w:val="-52"/>
          <w:sz w:val="24"/>
          <w:szCs w:val="24"/>
          <w:highlight w:val="none"/>
        </w:rPr>
        <w:t xml:space="preserve"> </w:t>
      </w:r>
      <w:r>
        <w:rPr>
          <w:rFonts w:hint="eastAsia" w:ascii="宋体" w:hAnsi="宋体" w:eastAsia="宋体" w:cs="宋体"/>
          <w:b/>
          <w:bCs/>
          <w:color w:val="auto"/>
          <w:sz w:val="24"/>
          <w:szCs w:val="24"/>
          <w:highlight w:val="none"/>
        </w:rPr>
        <w:t xml:space="preserve">2.3.3 </w:t>
      </w:r>
      <w:r>
        <w:rPr>
          <w:rFonts w:hint="eastAsia" w:ascii="宋体" w:hAnsi="宋体" w:eastAsia="宋体" w:cs="宋体"/>
          <w:color w:val="auto"/>
          <w:sz w:val="24"/>
          <w:szCs w:val="24"/>
          <w:highlight w:val="none"/>
        </w:rPr>
        <w:t>目相</w:t>
      </w:r>
      <w:r>
        <w:rPr>
          <w:rFonts w:hint="eastAsia" w:ascii="宋体" w:hAnsi="宋体" w:eastAsia="宋体" w:cs="宋体"/>
          <w:color w:val="auto"/>
          <w:spacing w:val="-1"/>
          <w:sz w:val="24"/>
          <w:szCs w:val="24"/>
          <w:highlight w:val="none"/>
        </w:rPr>
        <w:t>关条款的规定重新确定相应工程量清单项目的综合单价，并调整合同价款。</w:t>
      </w:r>
    </w:p>
    <w:p w14:paraId="668F6256">
      <w:pPr>
        <w:spacing w:before="38" w:line="221"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2.3.5  </w:t>
      </w:r>
      <w:r>
        <w:rPr>
          <w:rFonts w:hint="eastAsia" w:ascii="宋体" w:hAnsi="宋体" w:eastAsia="宋体" w:cs="宋体"/>
          <w:color w:val="auto"/>
          <w:spacing w:val="-1"/>
          <w:sz w:val="24"/>
          <w:szCs w:val="24"/>
          <w:highlight w:val="none"/>
        </w:rPr>
        <w:t>招标工程量清单缺项</w:t>
      </w:r>
    </w:p>
    <w:p w14:paraId="12962E2B">
      <w:pPr>
        <w:spacing w:before="152" w:line="278" w:lineRule="auto"/>
        <w:ind w:left="9" w:right="56"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2.3.5.1</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合同履行期间，由于招标</w:t>
      </w:r>
      <w:r>
        <w:rPr>
          <w:rFonts w:hint="eastAsia" w:ascii="宋体" w:hAnsi="宋体" w:eastAsia="宋体" w:cs="宋体"/>
          <w:color w:val="auto"/>
          <w:spacing w:val="-2"/>
          <w:sz w:val="24"/>
          <w:szCs w:val="24"/>
          <w:highlight w:val="none"/>
        </w:rPr>
        <w:t>工程量清单中缺项，新增分部分项工程清单项目，</w:t>
      </w:r>
      <w:r>
        <w:rPr>
          <w:rFonts w:hint="eastAsia" w:ascii="宋体" w:hAnsi="宋体" w:eastAsia="宋体" w:cs="宋体"/>
          <w:color w:val="auto"/>
          <w:spacing w:val="-1"/>
          <w:sz w:val="24"/>
          <w:szCs w:val="24"/>
          <w:highlight w:val="none"/>
        </w:rPr>
        <w:t>应按照本章第</w:t>
      </w:r>
      <w:r>
        <w:rPr>
          <w:rFonts w:hint="eastAsia" w:ascii="宋体" w:hAnsi="宋体" w:eastAsia="宋体" w:cs="宋体"/>
          <w:color w:val="auto"/>
          <w:spacing w:val="-39"/>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子目的规定确定单价，并调整合同价款。</w:t>
      </w:r>
    </w:p>
    <w:p w14:paraId="1CCA4EE2">
      <w:pPr>
        <w:spacing w:before="157" w:line="219"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1"/>
          <w:sz w:val="24"/>
          <w:szCs w:val="24"/>
          <w:highlight w:val="none"/>
        </w:rPr>
        <w:t>2.3.5.2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新增分部分项工程清单项目后，引起</w:t>
      </w:r>
      <w:r>
        <w:rPr>
          <w:rFonts w:hint="eastAsia" w:ascii="宋体" w:hAnsi="宋体" w:eastAsia="宋体" w:cs="宋体"/>
          <w:color w:val="auto"/>
          <w:spacing w:val="-2"/>
          <w:sz w:val="24"/>
          <w:szCs w:val="24"/>
          <w:highlight w:val="none"/>
        </w:rPr>
        <w:t>措施项目发生变化的，应按照本章第</w:t>
      </w:r>
      <w:r>
        <w:rPr>
          <w:rFonts w:hint="eastAsia" w:ascii="宋体" w:hAnsi="宋体" w:eastAsia="宋体" w:cs="宋体"/>
          <w:color w:val="auto"/>
          <w:spacing w:val="-54"/>
          <w:sz w:val="24"/>
          <w:szCs w:val="24"/>
          <w:highlight w:val="none"/>
        </w:rPr>
        <w:t xml:space="preserve"> </w:t>
      </w:r>
      <w:r>
        <w:rPr>
          <w:rFonts w:hint="eastAsia" w:ascii="宋体" w:hAnsi="宋体" w:eastAsia="宋体" w:cs="宋体"/>
          <w:b/>
          <w:bCs/>
          <w:color w:val="auto"/>
          <w:spacing w:val="-2"/>
          <w:sz w:val="24"/>
          <w:szCs w:val="24"/>
          <w:highlight w:val="none"/>
        </w:rPr>
        <w:t>2.</w:t>
      </w:r>
      <w:r>
        <w:rPr>
          <w:rFonts w:hint="eastAsia" w:ascii="宋体" w:hAnsi="宋体" w:eastAsia="宋体" w:cs="宋体"/>
          <w:b/>
          <w:bCs/>
          <w:color w:val="auto"/>
          <w:sz w:val="24"/>
          <w:szCs w:val="24"/>
          <w:highlight w:val="none"/>
        </w:rPr>
        <w:t xml:space="preserve">3.3.2 </w:t>
      </w:r>
      <w:r>
        <w:rPr>
          <w:rFonts w:hint="eastAsia" w:ascii="宋体" w:hAnsi="宋体" w:eastAsia="宋体" w:cs="宋体"/>
          <w:color w:val="auto"/>
          <w:sz w:val="24"/>
          <w:szCs w:val="24"/>
          <w:highlight w:val="none"/>
        </w:rPr>
        <w:t>子目的规定，在承包人提交的实施方案被发包人批准后调整</w:t>
      </w:r>
      <w:r>
        <w:rPr>
          <w:rFonts w:hint="eastAsia" w:ascii="宋体" w:hAnsi="宋体" w:eastAsia="宋体" w:cs="宋体"/>
          <w:color w:val="auto"/>
          <w:spacing w:val="-1"/>
          <w:sz w:val="24"/>
          <w:szCs w:val="24"/>
          <w:highlight w:val="none"/>
        </w:rPr>
        <w:t>合同价款。</w:t>
      </w:r>
    </w:p>
    <w:p w14:paraId="0B453D5A">
      <w:pPr>
        <w:spacing w:before="156" w:line="279" w:lineRule="auto"/>
        <w:ind w:left="13" w:right="108" w:firstLine="471"/>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"2.3.5.3"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4"/>
          <w:sz w:val="24"/>
          <w:szCs w:val="24"/>
          <w:highlight w:val="none"/>
        </w:rPr>
        <w:t>2.3.5.3</w:t>
      </w:r>
      <w:r>
        <w:rPr>
          <w:rFonts w:hint="eastAsia" w:ascii="宋体" w:hAnsi="宋体" w:eastAsia="宋体" w:cs="宋体"/>
          <w:b/>
          <w:bCs/>
          <w:color w:val="auto"/>
          <w:spacing w:val="-4"/>
          <w:sz w:val="24"/>
          <w:szCs w:val="24"/>
          <w:highlight w:val="none"/>
        </w:rPr>
        <w:fldChar w:fldCharType="end"/>
      </w:r>
      <w:r>
        <w:rPr>
          <w:rFonts w:hint="eastAsia" w:ascii="宋体" w:hAnsi="宋体" w:eastAsia="宋体" w:cs="宋体"/>
          <w:b/>
          <w:bCs/>
          <w:color w:val="auto"/>
          <w:spacing w:val="22"/>
          <w:w w:val="101"/>
          <w:sz w:val="24"/>
          <w:szCs w:val="24"/>
          <w:highlight w:val="none"/>
        </w:rPr>
        <w:t xml:space="preserve">  </w:t>
      </w:r>
      <w:r>
        <w:rPr>
          <w:rFonts w:hint="eastAsia" w:ascii="宋体" w:hAnsi="宋体" w:eastAsia="宋体" w:cs="宋体"/>
          <w:color w:val="auto"/>
          <w:spacing w:val="-4"/>
          <w:sz w:val="24"/>
          <w:szCs w:val="24"/>
          <w:highlight w:val="none"/>
        </w:rPr>
        <w:t>由于招标工程量清单中措施项目缺项，承包人应将新增措施项目实施方案提</w:t>
      </w:r>
      <w:r>
        <w:rPr>
          <w:rFonts w:hint="eastAsia" w:ascii="宋体" w:hAnsi="宋体" w:eastAsia="宋体" w:cs="宋体"/>
          <w:color w:val="auto"/>
          <w:spacing w:val="-1"/>
          <w:sz w:val="24"/>
          <w:szCs w:val="24"/>
          <w:highlight w:val="none"/>
        </w:rPr>
        <w:t>交发包人批准后，按照本章第</w:t>
      </w:r>
      <w:r>
        <w:rPr>
          <w:rFonts w:hint="eastAsia" w:ascii="宋体" w:hAnsi="宋体" w:eastAsia="宋体" w:cs="宋体"/>
          <w:color w:val="auto"/>
          <w:spacing w:val="-36"/>
          <w:sz w:val="24"/>
          <w:szCs w:val="24"/>
          <w:highlight w:val="none"/>
        </w:rPr>
        <w:t xml:space="preserve"> </w:t>
      </w:r>
      <w:r>
        <w:rPr>
          <w:rFonts w:hint="eastAsia" w:ascii="宋体" w:hAnsi="宋体" w:eastAsia="宋体" w:cs="宋体"/>
          <w:b/>
          <w:bCs/>
          <w:color w:val="auto"/>
          <w:spacing w:val="-1"/>
          <w:sz w:val="24"/>
          <w:szCs w:val="24"/>
          <w:highlight w:val="none"/>
        </w:rPr>
        <w:t xml:space="preserve">2.3.3.1 </w:t>
      </w:r>
      <w:r>
        <w:rPr>
          <w:rFonts w:hint="eastAsia" w:ascii="宋体" w:hAnsi="宋体" w:eastAsia="宋体" w:cs="宋体"/>
          <w:color w:val="auto"/>
          <w:spacing w:val="-1"/>
          <w:sz w:val="24"/>
          <w:szCs w:val="24"/>
          <w:highlight w:val="none"/>
        </w:rPr>
        <w:t>子目、第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 xml:space="preserve">2.3.3.2 </w:t>
      </w:r>
      <w:r>
        <w:rPr>
          <w:rFonts w:hint="eastAsia" w:ascii="宋体" w:hAnsi="宋体" w:eastAsia="宋体" w:cs="宋体"/>
          <w:color w:val="auto"/>
          <w:spacing w:val="-1"/>
          <w:sz w:val="24"/>
          <w:szCs w:val="24"/>
          <w:highlight w:val="none"/>
        </w:rPr>
        <w:t>子目的规定调整合同价款。</w:t>
      </w:r>
    </w:p>
    <w:p w14:paraId="1B89C915">
      <w:pPr>
        <w:spacing w:before="154" w:line="219" w:lineRule="auto"/>
        <w:ind w:left="485"/>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2.3.6  </w:t>
      </w:r>
      <w:r>
        <w:rPr>
          <w:rFonts w:hint="eastAsia" w:ascii="宋体" w:hAnsi="宋体" w:eastAsia="宋体" w:cs="宋体"/>
          <w:color w:val="auto"/>
          <w:spacing w:val="-1"/>
          <w:sz w:val="24"/>
          <w:szCs w:val="24"/>
          <w:highlight w:val="none"/>
        </w:rPr>
        <w:t>物价变化</w:t>
      </w:r>
    </w:p>
    <w:p w14:paraId="431259BB">
      <w:pPr>
        <w:spacing w:before="156" w:line="315" w:lineRule="auto"/>
        <w:ind w:left="8" w:right="108"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2.3.6.1</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合同履行期间，项目所在地工程造价管理机构发布的动态人工调整系数发生变化时，如果承包人投标报价中人工费（以下简称“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中标人工费</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4"/>
          <w:sz w:val="24"/>
          <w:szCs w:val="24"/>
          <w:highlight w:val="none"/>
        </w:rPr>
        <w:t>等于或超过施工当</w:t>
      </w:r>
      <w:r>
        <w:rPr>
          <w:rFonts w:hint="eastAsia" w:ascii="宋体" w:hAnsi="宋体" w:eastAsia="宋体" w:cs="宋体"/>
          <w:color w:val="auto"/>
          <w:spacing w:val="-2"/>
          <w:sz w:val="24"/>
          <w:szCs w:val="24"/>
          <w:highlight w:val="none"/>
        </w:rPr>
        <w:t>月经动态调整后的定额人工费，该清单项目中标人工费不予调整；如果中标人工费低于施工当月经动态调整后的定额人工费，该清单项目中标人工费可以调整，相关费用按有</w:t>
      </w:r>
      <w:r>
        <w:rPr>
          <w:rFonts w:hint="eastAsia" w:ascii="宋体" w:hAnsi="宋体" w:eastAsia="宋体" w:cs="宋体"/>
          <w:color w:val="auto"/>
          <w:spacing w:val="-1"/>
          <w:sz w:val="24"/>
          <w:szCs w:val="24"/>
          <w:highlight w:val="none"/>
        </w:rPr>
        <w:t>关规定进行相应调整。结算人工费调整公式为：</w:t>
      </w:r>
    </w:p>
    <w:p w14:paraId="584E8AC9">
      <w:pPr>
        <w:spacing w:before="153" w:line="220" w:lineRule="auto"/>
        <w:ind w:left="494"/>
        <w:rPr>
          <w:rFonts w:hint="eastAsia" w:ascii="宋体" w:hAnsi="宋体" w:eastAsia="宋体" w:cs="宋体"/>
          <w:color w:val="auto"/>
          <w:sz w:val="15"/>
          <w:szCs w:val="15"/>
          <w:highlight w:val="none"/>
        </w:rPr>
      </w:pPr>
      <w:r>
        <w:rPr>
          <w:rFonts w:hint="eastAsia" w:ascii="宋体" w:hAnsi="宋体" w:eastAsia="宋体" w:cs="宋体"/>
          <w:color w:val="auto"/>
          <w:spacing w:val="-1"/>
          <w:sz w:val="24"/>
          <w:szCs w:val="24"/>
          <w:highlight w:val="none"/>
        </w:rPr>
        <w:t>结算人工费＝中标人工费×F</w:t>
      </w:r>
      <w:r>
        <w:rPr>
          <w:rFonts w:hint="eastAsia" w:ascii="宋体" w:hAnsi="宋体" w:eastAsia="宋体" w:cs="宋体"/>
          <w:color w:val="auto"/>
          <w:spacing w:val="-1"/>
          <w:position w:val="-1"/>
          <w:sz w:val="15"/>
          <w:szCs w:val="15"/>
          <w:highlight w:val="none"/>
        </w:rPr>
        <w:t>1</w:t>
      </w:r>
    </w:p>
    <w:p w14:paraId="48504F9D">
      <w:pPr>
        <w:spacing w:before="152"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式中，F</w:t>
      </w:r>
      <w:r>
        <w:rPr>
          <w:rFonts w:hint="eastAsia" w:ascii="宋体" w:hAnsi="宋体" w:eastAsia="宋体" w:cs="宋体"/>
          <w:color w:val="auto"/>
          <w:spacing w:val="-1"/>
          <w:position w:val="-1"/>
          <w:sz w:val="15"/>
          <w:szCs w:val="15"/>
          <w:highlight w:val="none"/>
        </w:rPr>
        <w:t>1</w:t>
      </w:r>
      <w:r>
        <w:rPr>
          <w:rFonts w:hint="eastAsia" w:ascii="宋体" w:hAnsi="宋体" w:eastAsia="宋体" w:cs="宋体"/>
          <w:color w:val="auto"/>
          <w:spacing w:val="23"/>
          <w:w w:val="101"/>
          <w:position w:val="-1"/>
          <w:sz w:val="15"/>
          <w:szCs w:val="15"/>
          <w:highlight w:val="none"/>
        </w:rPr>
        <w:t xml:space="preserve"> </w:t>
      </w:r>
      <w:r>
        <w:rPr>
          <w:rFonts w:hint="eastAsia" w:ascii="宋体" w:hAnsi="宋体" w:eastAsia="宋体" w:cs="宋体"/>
          <w:color w:val="auto"/>
          <w:spacing w:val="-1"/>
          <w:sz w:val="24"/>
          <w:szCs w:val="24"/>
          <w:highlight w:val="none"/>
        </w:rPr>
        <w:t>为施工当月项目所在地工程造价管理机构发布的动态人工调整系数。</w:t>
      </w:r>
    </w:p>
    <w:p w14:paraId="620B4A06">
      <w:pPr>
        <w:spacing w:before="119" w:line="324" w:lineRule="auto"/>
        <w:ind w:left="1" w:right="108" w:firstLine="483"/>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fldChar w:fldCharType="begin"/>
      </w:r>
      <w:r>
        <w:rPr>
          <w:rFonts w:hint="eastAsia" w:ascii="宋体" w:hAnsi="宋体" w:eastAsia="宋体" w:cs="宋体"/>
          <w:b/>
          <w:bCs/>
          <w:color w:val="auto"/>
          <w:spacing w:val="-1"/>
          <w:sz w:val="24"/>
          <w:szCs w:val="24"/>
          <w:highlight w:val="none"/>
        </w:rPr>
        <w:instrText xml:space="preserve"> HYPERLINK "2.3.6.2" </w:instrText>
      </w:r>
      <w:r>
        <w:rPr>
          <w:rFonts w:hint="eastAsia" w:ascii="宋体" w:hAnsi="宋体" w:eastAsia="宋体" w:cs="宋体"/>
          <w:b/>
          <w:bCs/>
          <w:color w:val="auto"/>
          <w:spacing w:val="-1"/>
          <w:sz w:val="24"/>
          <w:szCs w:val="24"/>
          <w:highlight w:val="none"/>
        </w:rPr>
        <w:fldChar w:fldCharType="separate"/>
      </w:r>
      <w:r>
        <w:rPr>
          <w:rFonts w:hint="eastAsia" w:ascii="宋体" w:hAnsi="宋体" w:eastAsia="宋体" w:cs="宋体"/>
          <w:b/>
          <w:bCs/>
          <w:color w:val="auto"/>
          <w:spacing w:val="-1"/>
          <w:sz w:val="24"/>
          <w:szCs w:val="24"/>
          <w:highlight w:val="none"/>
        </w:rPr>
        <w:t>2.3.6.2</w:t>
      </w:r>
      <w:r>
        <w:rPr>
          <w:rFonts w:hint="eastAsia" w:ascii="宋体" w:hAnsi="宋体" w:eastAsia="宋体" w:cs="宋体"/>
          <w:b/>
          <w:bCs/>
          <w:color w:val="auto"/>
          <w:spacing w:val="-1"/>
          <w:sz w:val="24"/>
          <w:szCs w:val="24"/>
          <w:highlight w:val="none"/>
        </w:rPr>
        <w:fldChar w:fldCharType="end"/>
      </w:r>
      <w:r>
        <w:rPr>
          <w:rFonts w:hint="eastAsia" w:ascii="宋体" w:hAnsi="宋体" w:eastAsia="宋体" w:cs="宋体"/>
          <w:b/>
          <w:bCs/>
          <w:color w:val="auto"/>
          <w:spacing w:val="-1"/>
          <w:sz w:val="24"/>
          <w:szCs w:val="24"/>
          <w:highlight w:val="none"/>
        </w:rPr>
        <w:t xml:space="preserve">  </w:t>
      </w:r>
      <w:r>
        <w:rPr>
          <w:rFonts w:hint="eastAsia" w:ascii="宋体" w:hAnsi="宋体" w:eastAsia="宋体" w:cs="宋体"/>
          <w:color w:val="auto"/>
          <w:spacing w:val="-1"/>
          <w:sz w:val="24"/>
          <w:szCs w:val="24"/>
          <w:highlight w:val="none"/>
        </w:rPr>
        <w:t>本招标项目约定，材料、工程设备</w:t>
      </w:r>
      <w:r>
        <w:rPr>
          <w:rFonts w:hint="eastAsia" w:ascii="宋体" w:hAnsi="宋体" w:eastAsia="宋体" w:cs="宋体"/>
          <w:color w:val="auto"/>
          <w:spacing w:val="-2"/>
          <w:sz w:val="24"/>
          <w:szCs w:val="24"/>
          <w:highlight w:val="none"/>
        </w:rPr>
        <w:t>单价涨跌风险幅度值</w:t>
      </w:r>
      <w:r>
        <w:rPr>
          <w:rFonts w:hint="eastAsia" w:ascii="宋体" w:hAnsi="宋体" w:eastAsia="宋体" w:cs="宋体"/>
          <w:color w:val="auto"/>
          <w:spacing w:val="-59"/>
          <w:sz w:val="24"/>
          <w:szCs w:val="24"/>
          <w:highlight w:val="none"/>
        </w:rPr>
        <w:t xml:space="preserve"> </w:t>
      </w:r>
      <w:r>
        <w:rPr>
          <w:rFonts w:hint="eastAsia" w:ascii="宋体" w:hAnsi="宋体" w:eastAsia="宋体" w:cs="宋体"/>
          <w:color w:val="auto"/>
          <w:spacing w:val="-2"/>
          <w:sz w:val="24"/>
          <w:szCs w:val="24"/>
          <w:highlight w:val="none"/>
        </w:rPr>
        <w:t>A 为</w:t>
      </w:r>
      <w:r>
        <w:rPr>
          <w:rFonts w:hint="eastAsia" w:ascii="宋体" w:hAnsi="宋体" w:eastAsia="宋体" w:cs="宋体"/>
          <w:color w:val="auto"/>
          <w:spacing w:val="-2"/>
          <w:sz w:val="24"/>
          <w:szCs w:val="24"/>
          <w:highlight w:val="none"/>
          <w:u w:val="single"/>
        </w:rPr>
        <w:t xml:space="preserve">  5%   </w:t>
      </w:r>
      <w:r>
        <w:rPr>
          <w:rFonts w:hint="eastAsia" w:ascii="宋体" w:hAnsi="宋体" w:eastAsia="宋体" w:cs="宋体"/>
          <w:color w:val="auto"/>
          <w:spacing w:val="-2"/>
          <w:sz w:val="24"/>
          <w:szCs w:val="24"/>
          <w:highlight w:val="none"/>
        </w:rPr>
        <w:t>。合同履</w:t>
      </w:r>
      <w:r>
        <w:rPr>
          <w:rFonts w:hint="eastAsia" w:ascii="宋体" w:hAnsi="宋体" w:eastAsia="宋体" w:cs="宋体"/>
          <w:color w:val="auto"/>
          <w:spacing w:val="-1"/>
          <w:sz w:val="24"/>
          <w:szCs w:val="24"/>
          <w:highlight w:val="none"/>
        </w:rPr>
        <w:t>行期间，当《承包人提供主要材料和工程设备一览表》（</w:t>
      </w:r>
      <w:r>
        <w:rPr>
          <w:rFonts w:hint="eastAsia" w:ascii="宋体" w:hAnsi="宋体" w:eastAsia="宋体" w:cs="宋体"/>
          <w:color w:val="auto"/>
          <w:spacing w:val="-2"/>
          <w:sz w:val="24"/>
          <w:szCs w:val="24"/>
          <w:highlight w:val="none"/>
        </w:rPr>
        <w:t>详见招标工程量清单）中的材</w:t>
      </w:r>
      <w:r>
        <w:rPr>
          <w:rFonts w:hint="eastAsia" w:ascii="宋体" w:hAnsi="宋体" w:eastAsia="宋体" w:cs="宋体"/>
          <w:color w:val="auto"/>
          <w:spacing w:val="-3"/>
          <w:sz w:val="24"/>
          <w:szCs w:val="24"/>
          <w:highlight w:val="none"/>
        </w:rPr>
        <w:t>料、工程设备单价涨跌幅度等于或低于</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3"/>
          <w:sz w:val="24"/>
          <w:szCs w:val="24"/>
          <w:highlight w:val="none"/>
        </w:rPr>
        <w:t>A 值时，该材料、工程设备单价不予调整；超过</w:t>
      </w:r>
      <w:r>
        <w:rPr>
          <w:rFonts w:hint="eastAsia" w:ascii="宋体" w:hAnsi="宋体" w:eastAsia="宋体" w:cs="宋体"/>
          <w:color w:val="auto"/>
          <w:sz w:val="24"/>
          <w:szCs w:val="24"/>
          <w:highlight w:val="none"/>
        </w:rPr>
        <w:t>A 值时，其超过部分可以调整。相关费用按有关规定进行相</w:t>
      </w:r>
      <w:r>
        <w:rPr>
          <w:rFonts w:hint="eastAsia" w:ascii="宋体" w:hAnsi="宋体" w:eastAsia="宋体" w:cs="宋体"/>
          <w:color w:val="auto"/>
          <w:spacing w:val="-1"/>
          <w:sz w:val="24"/>
          <w:szCs w:val="24"/>
          <w:highlight w:val="none"/>
        </w:rPr>
        <w:t>应调整。</w:t>
      </w:r>
    </w:p>
    <w:p w14:paraId="7A5EF1AF">
      <w:pPr>
        <w:spacing w:before="126" w:line="295" w:lineRule="auto"/>
        <w:ind w:left="11" w:right="108" w:firstLine="477"/>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lang w:eastAsia="zh-CN"/>
        </w:rPr>
        <w:t>a ．如果承包人投标报价中材料、工程设备单价（以下简称“ 中标单价 ”）低于基准日当月项目所在地工程造价管理机构发布的对应材料、工程设备单价（以下简称“基准单价 ”），该材料、工程设备的结算单价调整公式为：</w:t>
      </w:r>
    </w:p>
    <w:p w14:paraId="030C848A">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a．涨价时，</w:t>
      </w:r>
      <w:r>
        <w:rPr>
          <w:rFonts w:hint="eastAsia" w:ascii="宋体" w:hAnsi="宋体" w:eastAsia="宋体" w:cs="宋体"/>
          <w:snapToGrid w:val="0"/>
          <w:color w:val="auto"/>
          <w:kern w:val="0"/>
          <w:position w:val="-30"/>
          <w:sz w:val="24"/>
          <w:szCs w:val="24"/>
          <w:highlight w:val="none"/>
        </w:rPr>
        <w:object>
          <v:shape id="_x0000_i1025" o:spt="75" type="#_x0000_t75" style="height:33.95pt;width:200.95pt;" o:ole="t" filled="f" o:preferrelative="t" stroked="f" coordsize="21600,21600">
            <v:path/>
            <v:fill on="f" focussize="0,0"/>
            <v:stroke on="f"/>
            <v:imagedata r:id="rId29" embosscolor="#FFFFFF" o:title=""/>
            <o:lock v:ext="edit" grouping="f" rotation="f" text="f" aspectratio="t"/>
            <w10:wrap type="none"/>
            <w10:anchorlock/>
          </v:shape>
          <o:OLEObject Type="Embed" ProgID="Equation.KSEE3" ShapeID="_x0000_i1025" DrawAspect="Content" ObjectID="_1468075725" r:id="rId28">
            <o:LockedField>false</o:LockedField>
          </o:OLEObject>
        </w:object>
      </w:r>
    </w:p>
    <w:p w14:paraId="4D49203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6" o:spt="75" type="#_x0000_t75" style="height:33.95pt;width:198.95pt;" o:ole="t" filled="f" o:preferrelative="t" stroked="f" coordsize="21600,21600">
            <v:path/>
            <v:fill on="f" focussize="0,0"/>
            <v:stroke on="f"/>
            <v:imagedata r:id="rId31" embosscolor="#FFFFFF" o:title=""/>
            <o:lock v:ext="edit" grouping="f" rotation="f" text="f" aspectratio="t"/>
            <w10:wrap type="none"/>
            <w10:anchorlock/>
          </v:shape>
          <o:OLEObject Type="Embed" ProgID="Equation.KSEE3" ShapeID="_x0000_i1026" DrawAspect="Content" ObjectID="_1468075726" r:id="rId30">
            <o:LockedField>false</o:LockedField>
          </o:OLEObject>
        </w:object>
      </w:r>
    </w:p>
    <w:p w14:paraId="608B9F5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b．涨价时，</w:t>
      </w:r>
      <w:r>
        <w:rPr>
          <w:rFonts w:hint="eastAsia" w:ascii="宋体" w:hAnsi="宋体" w:eastAsia="宋体" w:cs="宋体"/>
          <w:snapToGrid w:val="0"/>
          <w:color w:val="auto"/>
          <w:kern w:val="0"/>
          <w:position w:val="-30"/>
          <w:sz w:val="24"/>
          <w:szCs w:val="24"/>
          <w:highlight w:val="none"/>
        </w:rPr>
        <w:object>
          <v:shape id="_x0000_i1027" o:spt="75" type="#_x0000_t75" style="height:33.95pt;width:198.95pt;" o:ole="t" filled="f" o:preferrelative="t" stroked="f" coordsize="21600,21600">
            <v:path/>
            <v:fill on="f" focussize="0,0"/>
            <v:stroke on="f"/>
            <v:imagedata r:id="rId33" embosscolor="#FFFFFF" o:title=""/>
            <o:lock v:ext="edit" grouping="f" rotation="f" text="f" aspectratio="t"/>
            <w10:wrap type="none"/>
            <w10:anchorlock/>
          </v:shape>
          <o:OLEObject Type="Embed" ProgID="Equation.KSEE3" ShapeID="_x0000_i1027" DrawAspect="Content" ObjectID="_1468075727" r:id="rId32">
            <o:LockedField>false</o:LockedField>
          </o:OLEObject>
        </w:object>
      </w:r>
    </w:p>
    <w:p w14:paraId="5CDA4E90">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28" o:spt="75" type="#_x0000_t75" style="height:33.95pt;width:200.95pt;" o:ole="t" filled="f" o:preferrelative="t" stroked="f" coordsize="21600,21600">
            <v:path/>
            <v:fill on="f" focussize="0,0"/>
            <v:stroke on="f"/>
            <v:imagedata r:id="rId35" embosscolor="#FFFFFF" o:title=""/>
            <o:lock v:ext="edit" grouping="f" rotation="f" text="f" aspectratio="t"/>
            <w10:wrap type="none"/>
            <w10:anchorlock/>
          </v:shape>
          <o:OLEObject Type="Embed" ProgID="Equation.KSEE3" ShapeID="_x0000_i1028" DrawAspect="Content" ObjectID="_1468075728" r:id="rId34">
            <o:LockedField>false</o:LockedField>
          </o:OLEObject>
        </w:object>
      </w:r>
    </w:p>
    <w:p w14:paraId="5FA62F9D">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c．涨价时，</w:t>
      </w:r>
      <w:r>
        <w:rPr>
          <w:rFonts w:hint="eastAsia" w:ascii="宋体" w:hAnsi="宋体" w:eastAsia="宋体" w:cs="宋体"/>
          <w:snapToGrid w:val="0"/>
          <w:color w:val="auto"/>
          <w:kern w:val="0"/>
          <w:position w:val="-30"/>
          <w:sz w:val="24"/>
          <w:szCs w:val="24"/>
          <w:highlight w:val="none"/>
        </w:rPr>
        <w:object>
          <v:shape id="_x0000_i1029" o:spt="75" type="#_x0000_t75" style="height:33.95pt;width:200.95pt;" o:ole="t" filled="f" o:preferrelative="t" stroked="f" coordsize="21600,21600">
            <v:path/>
            <v:fill on="f" focussize="0,0"/>
            <v:stroke on="f"/>
            <v:imagedata r:id="rId37" embosscolor="#FFFFFF" o:title=""/>
            <o:lock v:ext="edit" grouping="f" rotation="f" text="f" aspectratio="t"/>
            <w10:wrap type="none"/>
            <w10:anchorlock/>
          </v:shape>
          <o:OLEObject Type="Embed" ProgID="Equation.KSEE3" ShapeID="_x0000_i1029" DrawAspect="Content" ObjectID="_1468075729" r:id="rId36">
            <o:LockedField>false</o:LockedField>
          </o:OLEObject>
        </w:object>
      </w:r>
    </w:p>
    <w:p w14:paraId="23DD8A28">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0" o:spt="75" type="#_x0000_t75" style="height:33.95pt;width:200.95pt;" o:ole="t" filled="f" o:preferrelative="t" stroked="f" coordsize="21600,21600">
            <v:path/>
            <v:fill on="f" focussize="0,0"/>
            <v:stroke on="f"/>
            <v:imagedata r:id="rId39" embosscolor="#FFFFFF" o:title=""/>
            <o:lock v:ext="edit" grouping="f" rotation="f" text="f" aspectratio="t"/>
            <w10:wrap type="none"/>
            <w10:anchorlock/>
          </v:shape>
          <o:OLEObject Type="Embed" ProgID="Equation.KSEE3" ShapeID="_x0000_i1030" DrawAspect="Content" ObjectID="_1468075730" r:id="rId38">
            <o:LockedField>false</o:LockedField>
          </o:OLEObject>
        </w:object>
      </w:r>
    </w:p>
    <w:p w14:paraId="6D7EB0A5">
      <w:pPr>
        <w:spacing w:before="78"/>
        <w:ind w:left="330"/>
        <w:rPr>
          <w:rFonts w:hint="eastAsia" w:ascii="宋体" w:hAnsi="宋体" w:eastAsia="宋体" w:cs="宋体"/>
          <w:color w:val="auto"/>
          <w:sz w:val="24"/>
          <w:szCs w:val="24"/>
          <w:highlight w:val="none"/>
        </w:rPr>
      </w:pPr>
    </w:p>
    <w:p w14:paraId="06069E38">
      <w:pPr>
        <w:spacing w:before="140" w:line="196" w:lineRule="auto"/>
        <w:ind w:left="3758"/>
        <w:rPr>
          <w:rFonts w:hint="eastAsia" w:ascii="宋体" w:hAnsi="宋体" w:eastAsia="宋体" w:cs="宋体"/>
          <w:color w:val="auto"/>
          <w:sz w:val="13"/>
          <w:szCs w:val="13"/>
          <w:highlight w:val="none"/>
        </w:rPr>
      </w:pPr>
      <w:r>
        <w:rPr>
          <w:rFonts w:hint="eastAsia" w:ascii="宋体" w:hAnsi="宋体" w:eastAsia="宋体" w:cs="宋体"/>
          <w:color w:val="auto"/>
          <w:spacing w:val="-2"/>
          <w:position w:val="1"/>
          <w:sz w:val="24"/>
          <w:szCs w:val="24"/>
          <w:highlight w:val="none"/>
        </w:rPr>
        <w:t>F</w:t>
      </w:r>
      <w:r>
        <w:rPr>
          <w:rFonts w:hint="eastAsia" w:ascii="宋体" w:hAnsi="宋体" w:eastAsia="宋体" w:cs="宋体"/>
          <w:color w:val="auto"/>
          <w:spacing w:val="-2"/>
          <w:position w:val="-4"/>
          <w:sz w:val="13"/>
          <w:szCs w:val="13"/>
          <w:highlight w:val="none"/>
        </w:rPr>
        <w:t>0</w:t>
      </w:r>
    </w:p>
    <w:p w14:paraId="3B8337F3">
      <w:pPr>
        <w:spacing w:before="78" w:line="330" w:lineRule="auto"/>
        <w:ind w:right="59" w:firstLine="507"/>
        <w:jc w:val="both"/>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理机构发布的材料、工程设备单价；A 为合同约定的材料</w:t>
      </w:r>
      <w:r>
        <w:rPr>
          <w:rFonts w:hint="eastAsia" w:ascii="宋体" w:hAnsi="宋体" w:eastAsia="宋体" w:cs="宋体"/>
          <w:color w:val="auto"/>
          <w:spacing w:val="-2"/>
          <w:sz w:val="24"/>
          <w:szCs w:val="24"/>
          <w:highlight w:val="none"/>
        </w:rPr>
        <w:t>、工程设备单价涨跌风险幅度</w:t>
      </w:r>
      <w:r>
        <w:rPr>
          <w:rFonts w:hint="eastAsia" w:ascii="宋体" w:hAnsi="宋体" w:eastAsia="宋体" w:cs="宋体"/>
          <w:color w:val="auto"/>
          <w:spacing w:val="-5"/>
          <w:sz w:val="24"/>
          <w:szCs w:val="24"/>
          <w:highlight w:val="none"/>
        </w:rPr>
        <w:t>值。</w:t>
      </w:r>
    </w:p>
    <w:p w14:paraId="2FCF1F16">
      <w:pPr>
        <w:spacing w:before="33" w:line="299" w:lineRule="auto"/>
        <w:ind w:right="59" w:firstLine="476"/>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"2.3.6.3"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2.3.6.3</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合同履行期间，当《发包人提供材料和工程设备一览表》（详见招标工程量</w:t>
      </w:r>
      <w:r>
        <w:rPr>
          <w:rFonts w:hint="eastAsia" w:ascii="宋体" w:hAnsi="宋体" w:eastAsia="宋体" w:cs="宋体"/>
          <w:color w:val="auto"/>
          <w:spacing w:val="-2"/>
          <w:sz w:val="24"/>
          <w:szCs w:val="24"/>
          <w:highlight w:val="none"/>
        </w:rPr>
        <w:t>清单）中的材料、工程设备单价发生变化时，由发包人按照实际变化调整，并列入合同</w:t>
      </w:r>
      <w:r>
        <w:rPr>
          <w:rFonts w:hint="eastAsia" w:ascii="宋体" w:hAnsi="宋体" w:eastAsia="宋体" w:cs="宋体"/>
          <w:color w:val="auto"/>
          <w:spacing w:val="-4"/>
          <w:sz w:val="24"/>
          <w:szCs w:val="24"/>
          <w:highlight w:val="none"/>
        </w:rPr>
        <w:t>价款。</w:t>
      </w:r>
    </w:p>
    <w:p w14:paraId="081F7290">
      <w:pPr>
        <w:spacing w:before="121" w:line="308" w:lineRule="auto"/>
        <w:ind w:firstLine="477"/>
        <w:rPr>
          <w:rFonts w:hint="eastAsia" w:ascii="宋体" w:hAnsi="宋体" w:eastAsia="宋体" w:cs="宋体"/>
          <w:color w:val="auto"/>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"2.3.6.4"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3"/>
          <w:sz w:val="24"/>
          <w:szCs w:val="24"/>
          <w:highlight w:val="none"/>
        </w:rPr>
        <w:t>2.3.6.4</w:t>
      </w:r>
      <w:r>
        <w:rPr>
          <w:rFonts w:hint="eastAsia" w:ascii="宋体" w:hAnsi="宋体" w:eastAsia="宋体" w:cs="宋体"/>
          <w:b/>
          <w:bCs/>
          <w:color w:val="auto"/>
          <w:spacing w:val="-3"/>
          <w:sz w:val="24"/>
          <w:szCs w:val="24"/>
          <w:highlight w:val="none"/>
        </w:rPr>
        <w:fldChar w:fldCharType="end"/>
      </w:r>
      <w:r>
        <w:rPr>
          <w:rFonts w:hint="eastAsia" w:ascii="宋体" w:hAnsi="宋体" w:eastAsia="宋体" w:cs="宋体"/>
          <w:b/>
          <w:bCs/>
          <w:color w:val="auto"/>
          <w:spacing w:val="-3"/>
          <w:sz w:val="24"/>
          <w:szCs w:val="24"/>
          <w:highlight w:val="none"/>
        </w:rPr>
        <w:t xml:space="preserve">  </w:t>
      </w:r>
      <w:r>
        <w:rPr>
          <w:rFonts w:hint="eastAsia" w:ascii="宋体" w:hAnsi="宋体" w:eastAsia="宋体" w:cs="宋体"/>
          <w:color w:val="auto"/>
          <w:spacing w:val="-3"/>
          <w:sz w:val="24"/>
          <w:szCs w:val="24"/>
          <w:highlight w:val="none"/>
        </w:rPr>
        <w:t>本招标项目约定，施工机具台班单价涨跌风险幅度值</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3"/>
          <w:sz w:val="24"/>
          <w:szCs w:val="24"/>
          <w:highlight w:val="none"/>
        </w:rPr>
        <w:t>B</w:t>
      </w:r>
      <w:r>
        <w:rPr>
          <w:rFonts w:hint="eastAsia" w:ascii="宋体" w:hAnsi="宋体" w:eastAsia="宋体" w:cs="宋体"/>
          <w:color w:val="auto"/>
          <w:spacing w:val="-4"/>
          <w:sz w:val="24"/>
          <w:szCs w:val="24"/>
          <w:highlight w:val="none"/>
        </w:rPr>
        <w:t xml:space="preserve"> 为</w:t>
      </w:r>
      <w:r>
        <w:rPr>
          <w:rFonts w:hint="eastAsia" w:ascii="宋体" w:hAnsi="宋体" w:eastAsia="宋体" w:cs="宋体"/>
          <w:color w:val="auto"/>
          <w:spacing w:val="14"/>
          <w:sz w:val="24"/>
          <w:szCs w:val="24"/>
          <w:highlight w:val="none"/>
          <w:u w:val="single"/>
        </w:rPr>
        <w:t xml:space="preserve">  </w:t>
      </w:r>
      <w:r>
        <w:rPr>
          <w:rFonts w:hint="eastAsia" w:ascii="宋体" w:hAnsi="宋体" w:eastAsia="宋体" w:cs="宋体"/>
          <w:color w:val="auto"/>
          <w:spacing w:val="-4"/>
          <w:sz w:val="24"/>
          <w:szCs w:val="24"/>
          <w:highlight w:val="none"/>
          <w:u w:val="single"/>
        </w:rPr>
        <w:t xml:space="preserve">10%  </w:t>
      </w:r>
      <w:r>
        <w:rPr>
          <w:rFonts w:hint="eastAsia" w:ascii="宋体" w:hAnsi="宋体" w:eastAsia="宋体" w:cs="宋体"/>
          <w:color w:val="auto"/>
          <w:spacing w:val="-4"/>
          <w:sz w:val="24"/>
          <w:szCs w:val="24"/>
          <w:highlight w:val="none"/>
        </w:rPr>
        <w:t>。合同履行</w:t>
      </w:r>
      <w:r>
        <w:rPr>
          <w:rFonts w:hint="eastAsia" w:ascii="宋体" w:hAnsi="宋体" w:eastAsia="宋体" w:cs="宋体"/>
          <w:color w:val="auto"/>
          <w:spacing w:val="-7"/>
          <w:sz w:val="24"/>
          <w:szCs w:val="24"/>
          <w:highlight w:val="none"/>
        </w:rPr>
        <w:t>期间，当施工机具台班单价涨跌幅度等于或低于</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pacing w:val="-7"/>
          <w:sz w:val="24"/>
          <w:szCs w:val="24"/>
          <w:highlight w:val="none"/>
        </w:rPr>
        <w:t>B 值时，该施工机具台班单价不予调</w:t>
      </w:r>
      <w:r>
        <w:rPr>
          <w:rFonts w:hint="eastAsia" w:ascii="宋体" w:hAnsi="宋体" w:eastAsia="宋体" w:cs="宋体"/>
          <w:color w:val="auto"/>
          <w:spacing w:val="-8"/>
          <w:sz w:val="24"/>
          <w:szCs w:val="24"/>
          <w:highlight w:val="none"/>
        </w:rPr>
        <w:t>整；</w:t>
      </w:r>
      <w:r>
        <w:rPr>
          <w:rFonts w:hint="eastAsia" w:ascii="宋体" w:hAnsi="宋体" w:eastAsia="宋体" w:cs="宋体"/>
          <w:color w:val="auto"/>
          <w:sz w:val="24"/>
          <w:szCs w:val="24"/>
          <w:highlight w:val="none"/>
        </w:rPr>
        <w:t>超过</w:t>
      </w:r>
      <w:r>
        <w:rPr>
          <w:rFonts w:hint="eastAsia" w:ascii="宋体" w:hAnsi="宋体" w:eastAsia="宋体" w:cs="宋体"/>
          <w:color w:val="auto"/>
          <w:spacing w:val="-56"/>
          <w:sz w:val="24"/>
          <w:szCs w:val="24"/>
          <w:highlight w:val="none"/>
        </w:rPr>
        <w:t xml:space="preserve"> </w:t>
      </w:r>
      <w:r>
        <w:rPr>
          <w:rFonts w:hint="eastAsia" w:ascii="宋体" w:hAnsi="宋体" w:eastAsia="宋体" w:cs="宋体"/>
          <w:color w:val="auto"/>
          <w:sz w:val="24"/>
          <w:szCs w:val="24"/>
          <w:highlight w:val="none"/>
        </w:rPr>
        <w:t>B 值时，其超过部分可以调整。相关费</w:t>
      </w:r>
      <w:r>
        <w:rPr>
          <w:rFonts w:hint="eastAsia" w:ascii="宋体" w:hAnsi="宋体" w:eastAsia="宋体" w:cs="宋体"/>
          <w:color w:val="auto"/>
          <w:spacing w:val="-1"/>
          <w:sz w:val="24"/>
          <w:szCs w:val="24"/>
          <w:highlight w:val="none"/>
        </w:rPr>
        <w:t>用按有关规定进行相应调整。</w:t>
      </w:r>
    </w:p>
    <w:p w14:paraId="182F86EE">
      <w:pPr>
        <w:spacing w:before="153" w:line="278" w:lineRule="auto"/>
        <w:ind w:left="42" w:right="59" w:firstLine="440"/>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a</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color w:val="auto"/>
          <w:spacing w:val="-1"/>
          <w:sz w:val="24"/>
          <w:szCs w:val="24"/>
          <w:highlight w:val="none"/>
        </w:rPr>
        <w:t>．如果承包人投标报价中施工机具台班单价（以下简称“</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1"/>
          <w:sz w:val="24"/>
          <w:szCs w:val="24"/>
          <w:highlight w:val="none"/>
        </w:rPr>
        <w:t>中标单价</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pacing w:val="-1"/>
          <w:sz w:val="24"/>
          <w:szCs w:val="24"/>
          <w:highlight w:val="none"/>
        </w:rPr>
        <w:t>”</w:t>
      </w:r>
      <w:r>
        <w:rPr>
          <w:rFonts w:hint="eastAsia" w:ascii="宋体" w:hAnsi="宋体" w:eastAsia="宋体" w:cs="宋体"/>
          <w:color w:val="auto"/>
          <w:spacing w:val="-2"/>
          <w:sz w:val="24"/>
          <w:szCs w:val="24"/>
          <w:highlight w:val="none"/>
        </w:rPr>
        <w:t>）低于基准</w:t>
      </w:r>
      <w:r>
        <w:rPr>
          <w:rFonts w:hint="eastAsia" w:ascii="宋体" w:hAnsi="宋体" w:eastAsia="宋体" w:cs="宋体"/>
          <w:color w:val="auto"/>
          <w:spacing w:val="-3"/>
          <w:sz w:val="24"/>
          <w:szCs w:val="24"/>
          <w:highlight w:val="none"/>
        </w:rPr>
        <w:t>日当月项目所在地工程造价管理机构发布的对应施工机具台班单价（以下简称“基准单</w:t>
      </w:r>
      <w:r>
        <w:rPr>
          <w:rFonts w:hint="eastAsia" w:ascii="宋体" w:hAnsi="宋体" w:eastAsia="宋体" w:cs="宋体"/>
          <w:color w:val="auto"/>
          <w:spacing w:val="-2"/>
          <w:sz w:val="24"/>
          <w:szCs w:val="24"/>
          <w:highlight w:val="none"/>
        </w:rPr>
        <w:t>价</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”），该施工机具台班的结算单价调整公式为：</w:t>
      </w:r>
    </w:p>
    <w:p w14:paraId="5B588461">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1" o:spt="75" type="#_x0000_t75" style="height:33.95pt;width:200.95pt;" o:ole="t" filled="f" o:preferrelative="t" stroked="f" coordsize="21600,21600">
            <v:path/>
            <v:fill on="f" focussize="0,0"/>
            <v:stroke on="f"/>
            <v:imagedata r:id="rId41" embosscolor="#FFFFFF" o:title=""/>
            <o:lock v:ext="edit" grouping="f" rotation="f" text="f" aspectratio="t"/>
            <w10:wrap type="none"/>
            <w10:anchorlock/>
          </v:shape>
          <o:OLEObject Type="Embed" ProgID="Equation.KSEE3" ShapeID="_x0000_i1031" DrawAspect="Content" ObjectID="_1468075731" r:id="rId40">
            <o:LockedField>false</o:LockedField>
          </o:OLEObject>
        </w:object>
      </w:r>
    </w:p>
    <w:p w14:paraId="5A143971">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2" o:spt="75" type="#_x0000_t75" style="height:33.95pt;width:198pt;" o:ole="t" filled="f" o:preferrelative="t" stroked="f" coordsize="21600,21600">
            <v:path/>
            <v:fill on="f" focussize="0,0"/>
            <v:stroke on="f"/>
            <v:imagedata r:id="rId43" embosscolor="#FFFFFF" o:title=""/>
            <o:lock v:ext="edit" grouping="f" rotation="f" text="f" aspectratio="t"/>
            <w10:wrap type="none"/>
            <w10:anchorlock/>
          </v:shape>
          <o:OLEObject Type="Embed" ProgID="Equation.KSEE3" ShapeID="_x0000_i1032" DrawAspect="Content" ObjectID="_1468075732" r:id="rId42">
            <o:LockedField>false</o:LockedField>
          </o:OLEObject>
        </w:object>
      </w:r>
    </w:p>
    <w:p w14:paraId="71DA5EDB">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b</w:t>
      </w:r>
      <w:r>
        <w:rPr>
          <w:rFonts w:hint="eastAsia" w:ascii="宋体" w:hAnsi="宋体" w:eastAsia="宋体" w:cs="宋体"/>
          <w:snapToGrid w:val="0"/>
          <w:color w:val="auto"/>
          <w:kern w:val="0"/>
          <w:sz w:val="24"/>
          <w:szCs w:val="24"/>
          <w:highlight w:val="none"/>
        </w:rPr>
        <w:t>．如果中标单价高于基准单价，该施工机具台班的结算单价调整公式为：</w:t>
      </w:r>
    </w:p>
    <w:p w14:paraId="73DAD1F4">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3" o:spt="75" type="#_x0000_t75" style="height:33.95pt;width:198pt;" o:ole="t" filled="f" o:preferrelative="t" stroked="f" coordsize="21600,21600">
            <v:path/>
            <v:fill on="f" focussize="0,0"/>
            <v:stroke on="f"/>
            <v:imagedata r:id="rId45" embosscolor="#FFFFFF" o:title=""/>
            <o:lock v:ext="edit" grouping="f" rotation="f" text="f" aspectratio="t"/>
            <w10:wrap type="none"/>
            <w10:anchorlock/>
          </v:shape>
          <o:OLEObject Type="Embed" ProgID="Equation.KSEE3" ShapeID="_x0000_i1033" DrawAspect="Content" ObjectID="_1468075733" r:id="rId44">
            <o:LockedField>false</o:LockedField>
          </o:OLEObject>
        </w:object>
      </w:r>
    </w:p>
    <w:p w14:paraId="0DF37DD9">
      <w:pPr>
        <w:wordWrap w:val="0"/>
        <w:adjustRightIn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4" o:spt="75" type="#_x0000_t75" style="height:33.95pt;width:200.95pt;" o:ole="t" filled="f" o:preferrelative="t" stroked="f" coordsize="21600,21600">
            <v:path/>
            <v:fill on="f" focussize="0,0"/>
            <v:stroke on="f"/>
            <v:imagedata r:id="rId47" embosscolor="#FFFFFF" o:title=""/>
            <o:lock v:ext="edit" grouping="f" rotation="f" text="f" aspectratio="t"/>
            <w10:wrap type="none"/>
            <w10:anchorlock/>
          </v:shape>
          <o:OLEObject Type="Embed" ProgID="Equation.KSEE3" ShapeID="_x0000_i1034" DrawAspect="Content" ObjectID="_1468075734" r:id="rId46">
            <o:LockedField>false</o:LockedField>
          </o:OLEObject>
        </w:object>
      </w:r>
    </w:p>
    <w:p w14:paraId="3A18FCB0">
      <w:pPr>
        <w:wordWrap w:val="0"/>
        <w:adjustRightInd w:val="0"/>
        <w:snapToGrid w:val="0"/>
        <w:spacing w:line="440" w:lineRule="exact"/>
        <w:ind w:firstLine="482"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c</w:t>
      </w:r>
      <w:r>
        <w:rPr>
          <w:rFonts w:hint="eastAsia" w:ascii="宋体" w:hAnsi="宋体" w:eastAsia="宋体" w:cs="宋体"/>
          <w:snapToGrid w:val="0"/>
          <w:color w:val="auto"/>
          <w:kern w:val="0"/>
          <w:sz w:val="24"/>
          <w:szCs w:val="24"/>
          <w:highlight w:val="none"/>
        </w:rPr>
        <w:t>．如果中标单价等于基准单价，该施工机具台班的结算单价调整公式为：</w:t>
      </w:r>
    </w:p>
    <w:p w14:paraId="43BF53D3">
      <w:pPr>
        <w:wordWrap w:val="0"/>
        <w:adjustRightInd w:val="0"/>
        <w:snapToGrid w:val="0"/>
        <w:spacing w:before="360" w:beforeLines="150" w:after="240" w:afterLines="100" w:line="440" w:lineRule="exact"/>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涨价时，</w:t>
      </w:r>
      <w:r>
        <w:rPr>
          <w:rFonts w:hint="eastAsia" w:ascii="宋体" w:hAnsi="宋体" w:eastAsia="宋体" w:cs="宋体"/>
          <w:snapToGrid w:val="0"/>
          <w:color w:val="auto"/>
          <w:kern w:val="0"/>
          <w:position w:val="-30"/>
          <w:sz w:val="24"/>
          <w:szCs w:val="24"/>
          <w:highlight w:val="none"/>
        </w:rPr>
        <w:object>
          <v:shape id="_x0000_i1035" o:spt="75" type="#_x0000_t75" style="height:33.95pt;width:200.95pt;" o:ole="t" filled="f" o:preferrelative="t" stroked="f" coordsize="21600,21600">
            <v:path/>
            <v:fill on="f" focussize="0,0"/>
            <v:stroke on="f"/>
            <v:imagedata r:id="rId49" embosscolor="#FFFFFF" o:title=""/>
            <o:lock v:ext="edit" grouping="f" rotation="f" text="f" aspectratio="t"/>
            <w10:wrap type="none"/>
            <w10:anchorlock/>
          </v:shape>
          <o:OLEObject Type="Embed" ProgID="Equation.KSEE3" ShapeID="_x0000_i1035" DrawAspect="Content" ObjectID="_1468075735" r:id="rId48">
            <o:LockedField>false</o:LockedField>
          </o:OLEObject>
        </w:object>
      </w:r>
    </w:p>
    <w:p w14:paraId="4B570A77">
      <w:pPr>
        <w:spacing w:before="79" w:line="324" w:lineRule="auto"/>
        <w:ind w:left="11" w:right="65" w:firstLine="504"/>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跌价时，</w:t>
      </w:r>
      <w:r>
        <w:rPr>
          <w:rFonts w:hint="eastAsia" w:ascii="宋体" w:hAnsi="宋体" w:eastAsia="宋体" w:cs="宋体"/>
          <w:snapToGrid w:val="0"/>
          <w:color w:val="auto"/>
          <w:kern w:val="0"/>
          <w:position w:val="-30"/>
          <w:sz w:val="24"/>
          <w:szCs w:val="24"/>
          <w:highlight w:val="none"/>
        </w:rPr>
        <w:object>
          <v:shape id="_x0000_i1036" o:spt="75" type="#_x0000_t75" style="height:33.95pt;width:200.95pt;" o:ole="t" filled="f" o:preferrelative="t" stroked="f" coordsize="21600,21600">
            <v:path/>
            <v:fill on="f" focussize="0,0"/>
            <v:stroke on="f"/>
            <v:imagedata r:id="rId51" embosscolor="#FFFFFF" o:title=""/>
            <o:lock v:ext="edit" grouping="f" rotation="f" text="f" aspectratio="t"/>
            <w10:wrap type="none"/>
            <w10:anchorlock/>
          </v:shape>
          <o:OLEObject Type="Embed" ProgID="Equation.KSEE3" ShapeID="_x0000_i1036" DrawAspect="Content" ObjectID="_1468075736" r:id="rId50">
            <o:LockedField>false</o:LockedField>
          </o:OLEObject>
        </w:object>
      </w:r>
    </w:p>
    <w:p w14:paraId="21C1C499">
      <w:pPr>
        <w:spacing w:before="79" w:line="324" w:lineRule="auto"/>
        <w:ind w:left="11" w:right="65" w:firstLine="50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以上公式中，F</w:t>
      </w:r>
      <w:r>
        <w:rPr>
          <w:rFonts w:hint="eastAsia" w:ascii="宋体" w:hAnsi="宋体" w:eastAsia="宋体" w:cs="宋体"/>
          <w:color w:val="auto"/>
          <w:spacing w:val="-4"/>
          <w:position w:val="-1"/>
          <w:sz w:val="15"/>
          <w:szCs w:val="15"/>
          <w:highlight w:val="none"/>
        </w:rPr>
        <w:t>1</w:t>
      </w:r>
      <w:r>
        <w:rPr>
          <w:rFonts w:hint="eastAsia" w:ascii="宋体" w:hAnsi="宋体" w:eastAsia="宋体" w:cs="宋体"/>
          <w:color w:val="auto"/>
          <w:spacing w:val="26"/>
          <w:position w:val="-1"/>
          <w:sz w:val="15"/>
          <w:szCs w:val="15"/>
          <w:highlight w:val="none"/>
        </w:rPr>
        <w:t xml:space="preserve"> </w:t>
      </w:r>
      <w:r>
        <w:rPr>
          <w:rFonts w:hint="eastAsia" w:ascii="宋体" w:hAnsi="宋体" w:eastAsia="宋体" w:cs="宋体"/>
          <w:color w:val="auto"/>
          <w:spacing w:val="-4"/>
          <w:sz w:val="24"/>
          <w:szCs w:val="24"/>
          <w:highlight w:val="none"/>
        </w:rPr>
        <w:t>为中标单价；F</w:t>
      </w:r>
      <w:r>
        <w:rPr>
          <w:rFonts w:hint="eastAsia" w:ascii="宋体" w:hAnsi="宋体" w:eastAsia="宋体" w:cs="宋体"/>
          <w:color w:val="auto"/>
          <w:spacing w:val="-4"/>
          <w:position w:val="-1"/>
          <w:sz w:val="15"/>
          <w:szCs w:val="15"/>
          <w:highlight w:val="none"/>
        </w:rPr>
        <w:t>0</w:t>
      </w:r>
      <w:r>
        <w:rPr>
          <w:rFonts w:hint="eastAsia" w:ascii="宋体" w:hAnsi="宋体" w:eastAsia="宋体" w:cs="宋体"/>
          <w:color w:val="auto"/>
          <w:spacing w:val="14"/>
          <w:w w:val="101"/>
          <w:position w:val="-1"/>
          <w:sz w:val="15"/>
          <w:szCs w:val="15"/>
          <w:highlight w:val="none"/>
        </w:rPr>
        <w:t xml:space="preserve"> </w:t>
      </w:r>
      <w:r>
        <w:rPr>
          <w:rFonts w:hint="eastAsia" w:ascii="宋体" w:hAnsi="宋体" w:eastAsia="宋体" w:cs="宋体"/>
          <w:color w:val="auto"/>
          <w:spacing w:val="-4"/>
          <w:sz w:val="24"/>
          <w:szCs w:val="24"/>
          <w:highlight w:val="none"/>
        </w:rPr>
        <w:t>为基准单价；F</w:t>
      </w:r>
      <w:r>
        <w:rPr>
          <w:rFonts w:hint="eastAsia" w:ascii="宋体" w:hAnsi="宋体" w:eastAsia="宋体" w:cs="宋体"/>
          <w:color w:val="auto"/>
          <w:spacing w:val="-4"/>
          <w:position w:val="-1"/>
          <w:sz w:val="15"/>
          <w:szCs w:val="15"/>
          <w:highlight w:val="none"/>
        </w:rPr>
        <w:t>2</w:t>
      </w:r>
      <w:r>
        <w:rPr>
          <w:rFonts w:hint="eastAsia" w:ascii="宋体" w:hAnsi="宋体" w:eastAsia="宋体" w:cs="宋体"/>
          <w:color w:val="auto"/>
          <w:spacing w:val="12"/>
          <w:position w:val="-1"/>
          <w:sz w:val="15"/>
          <w:szCs w:val="15"/>
          <w:highlight w:val="none"/>
        </w:rPr>
        <w:t xml:space="preserve"> </w:t>
      </w:r>
      <w:r>
        <w:rPr>
          <w:rFonts w:hint="eastAsia" w:ascii="宋体" w:hAnsi="宋体" w:eastAsia="宋体" w:cs="宋体"/>
          <w:color w:val="auto"/>
          <w:spacing w:val="-4"/>
          <w:sz w:val="24"/>
          <w:szCs w:val="24"/>
          <w:highlight w:val="none"/>
        </w:rPr>
        <w:t>为施工当月项目所在地工程造价管</w:t>
      </w:r>
      <w:r>
        <w:rPr>
          <w:rFonts w:hint="eastAsia" w:ascii="宋体" w:hAnsi="宋体" w:eastAsia="宋体" w:cs="宋体"/>
          <w:color w:val="auto"/>
          <w:spacing w:val="-1"/>
          <w:sz w:val="24"/>
          <w:szCs w:val="24"/>
          <w:highlight w:val="none"/>
        </w:rPr>
        <w:t>理机构发布的施工机具台班单价；B 为合同约定的施工机具台班单价</w:t>
      </w:r>
      <w:r>
        <w:rPr>
          <w:rFonts w:hint="eastAsia" w:ascii="宋体" w:hAnsi="宋体" w:eastAsia="宋体" w:cs="宋体"/>
          <w:color w:val="auto"/>
          <w:spacing w:val="-2"/>
          <w:sz w:val="24"/>
          <w:szCs w:val="24"/>
          <w:highlight w:val="none"/>
        </w:rPr>
        <w:t>涨跌风险幅度值。</w:t>
      </w:r>
    </w:p>
    <w:p w14:paraId="6BEA2F3E">
      <w:pPr>
        <w:spacing w:before="39" w:line="219" w:lineRule="auto"/>
        <w:ind w:left="48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2.3.7  </w:t>
      </w:r>
      <w:r>
        <w:rPr>
          <w:rFonts w:hint="eastAsia" w:ascii="宋体" w:hAnsi="宋体" w:eastAsia="宋体" w:cs="宋体"/>
          <w:color w:val="auto"/>
          <w:spacing w:val="-1"/>
          <w:sz w:val="24"/>
          <w:szCs w:val="24"/>
          <w:highlight w:val="none"/>
        </w:rPr>
        <w:t>暂估价和暂列金额</w:t>
      </w:r>
    </w:p>
    <w:p w14:paraId="0EB572A7">
      <w:pPr>
        <w:spacing w:before="154" w:line="299" w:lineRule="auto"/>
        <w:ind w:left="7" w:right="57" w:firstLine="477"/>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"2.3.7.1"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2"/>
          <w:sz w:val="24"/>
          <w:szCs w:val="24"/>
          <w:highlight w:val="none"/>
        </w:rPr>
        <w:t>2.3.7.1</w:t>
      </w:r>
      <w:r>
        <w:rPr>
          <w:rFonts w:hint="eastAsia" w:ascii="宋体" w:hAnsi="宋体" w:eastAsia="宋体" w:cs="宋体"/>
          <w:b/>
          <w:bCs/>
          <w:color w:val="auto"/>
          <w:spacing w:val="-2"/>
          <w:sz w:val="24"/>
          <w:szCs w:val="24"/>
          <w:highlight w:val="none"/>
        </w:rPr>
        <w:fldChar w:fldCharType="end"/>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snapToGrid w:val="0"/>
          <w:color w:val="auto"/>
          <w:kern w:val="0"/>
          <w:sz w:val="24"/>
          <w:szCs w:val="24"/>
          <w:highlight w:val="none"/>
          <w:lang w:eastAsia="zh-CN"/>
        </w:rPr>
        <w:t xml:space="preserve">暂估价项目按第一章第三节“投标人须知正文 ”第 </w:t>
      </w:r>
      <w:r>
        <w:rPr>
          <w:rFonts w:hint="eastAsia" w:ascii="宋体" w:hAnsi="宋体" w:eastAsia="宋体" w:cs="宋体"/>
          <w:b/>
          <w:bCs/>
          <w:snapToGrid w:val="0"/>
          <w:color w:val="auto"/>
          <w:kern w:val="0"/>
          <w:sz w:val="24"/>
          <w:szCs w:val="24"/>
          <w:highlight w:val="none"/>
          <w:lang w:eastAsia="zh-CN"/>
        </w:rPr>
        <w:t>8.5</w:t>
      </w:r>
      <w:r>
        <w:rPr>
          <w:rFonts w:hint="eastAsia" w:ascii="宋体" w:hAnsi="宋体" w:eastAsia="宋体" w:cs="宋体"/>
          <w:snapToGrid w:val="0"/>
          <w:color w:val="auto"/>
          <w:kern w:val="0"/>
          <w:sz w:val="24"/>
          <w:szCs w:val="24"/>
          <w:highlight w:val="none"/>
          <w:lang w:eastAsia="zh-CN"/>
        </w:rPr>
        <w:t xml:space="preserve"> 条的规定确定专业工程承包人（或材料供应商、工程设备供应商）后，将专业工程合同价款（或材料单价、工程设备单价）取代相应暂估价，并调整合同价款。</w:t>
      </w:r>
    </w:p>
    <w:p w14:paraId="13FAEFE8">
      <w:pPr>
        <w:spacing w:before="153" w:line="315" w:lineRule="auto"/>
        <w:ind w:left="8" w:right="2" w:firstLine="476"/>
        <w:rPr>
          <w:rFonts w:hint="eastAsia" w:ascii="宋体" w:hAnsi="宋体" w:eastAsia="宋体" w:cs="宋体"/>
          <w:color w:val="auto"/>
          <w:spacing w:val="-3"/>
          <w:sz w:val="24"/>
          <w:szCs w:val="24"/>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"2.3.7.2" </w:instrText>
      </w:r>
      <w:r>
        <w:rPr>
          <w:rFonts w:hint="eastAsia" w:ascii="宋体" w:hAnsi="宋体" w:eastAsia="宋体" w:cs="宋体"/>
          <w:color w:val="auto"/>
          <w:highlight w:val="none"/>
        </w:rPr>
        <w:fldChar w:fldCharType="separate"/>
      </w:r>
      <w:r>
        <w:rPr>
          <w:rFonts w:hint="eastAsia" w:ascii="宋体" w:hAnsi="宋体" w:eastAsia="宋体" w:cs="宋体"/>
          <w:b/>
          <w:bCs/>
          <w:color w:val="auto"/>
          <w:spacing w:val="-8"/>
          <w:sz w:val="24"/>
          <w:szCs w:val="24"/>
          <w:highlight w:val="none"/>
        </w:rPr>
        <w:t>2.3.7.2</w:t>
      </w:r>
      <w:r>
        <w:rPr>
          <w:rFonts w:hint="eastAsia" w:ascii="宋体" w:hAnsi="宋体" w:eastAsia="宋体" w:cs="宋体"/>
          <w:b/>
          <w:bCs/>
          <w:color w:val="auto"/>
          <w:spacing w:val="-8"/>
          <w:sz w:val="24"/>
          <w:szCs w:val="24"/>
          <w:highlight w:val="none"/>
        </w:rPr>
        <w:fldChar w:fldCharType="end"/>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暂列金额由发包人掌握和使用。暂列金额项目若有发</w:t>
      </w:r>
      <w:r>
        <w:rPr>
          <w:rFonts w:hint="eastAsia" w:ascii="宋体" w:hAnsi="宋体" w:eastAsia="宋体" w:cs="宋体"/>
          <w:color w:val="auto"/>
          <w:spacing w:val="-9"/>
          <w:sz w:val="24"/>
          <w:szCs w:val="24"/>
          <w:highlight w:val="none"/>
        </w:rPr>
        <w:t>生，按第一章第三节“投</w:t>
      </w:r>
      <w:r>
        <w:rPr>
          <w:rFonts w:hint="eastAsia" w:ascii="宋体" w:hAnsi="宋体" w:eastAsia="宋体" w:cs="宋体"/>
          <w:color w:val="auto"/>
          <w:spacing w:val="-5"/>
          <w:sz w:val="24"/>
          <w:szCs w:val="24"/>
          <w:highlight w:val="none"/>
        </w:rPr>
        <w:t>标人须知正文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”第</w:t>
      </w:r>
      <w:r>
        <w:rPr>
          <w:rFonts w:hint="eastAsia" w:ascii="宋体" w:hAnsi="宋体" w:eastAsia="宋体" w:cs="宋体"/>
          <w:color w:val="auto"/>
          <w:spacing w:val="-51"/>
          <w:sz w:val="24"/>
          <w:szCs w:val="24"/>
          <w:highlight w:val="none"/>
        </w:rPr>
        <w:t xml:space="preserve"> </w:t>
      </w:r>
      <w:r>
        <w:rPr>
          <w:rFonts w:hint="eastAsia" w:ascii="宋体" w:hAnsi="宋体" w:eastAsia="宋体" w:cs="宋体"/>
          <w:b/>
          <w:bCs/>
          <w:color w:val="auto"/>
          <w:spacing w:val="-5"/>
          <w:sz w:val="24"/>
          <w:szCs w:val="24"/>
          <w:highlight w:val="none"/>
        </w:rPr>
        <w:t xml:space="preserve">8.6 </w:t>
      </w:r>
      <w:r>
        <w:rPr>
          <w:rFonts w:hint="eastAsia" w:ascii="宋体" w:hAnsi="宋体" w:eastAsia="宋体" w:cs="宋体"/>
          <w:color w:val="auto"/>
          <w:spacing w:val="-5"/>
          <w:sz w:val="24"/>
          <w:szCs w:val="24"/>
          <w:highlight w:val="none"/>
        </w:rPr>
        <w:t>条的规定确定材料供应商（或工程设备供</w:t>
      </w:r>
      <w:r>
        <w:rPr>
          <w:rFonts w:hint="eastAsia" w:ascii="宋体" w:hAnsi="宋体" w:eastAsia="宋体" w:cs="宋体"/>
          <w:color w:val="auto"/>
          <w:spacing w:val="-6"/>
          <w:sz w:val="24"/>
          <w:szCs w:val="24"/>
          <w:highlight w:val="none"/>
        </w:rPr>
        <w:t>应商、服务供应商）后，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材料（或工程设备、服务）的合同价款从暂列金额中支付。暂列金额扣除已发生的暂列金额项目合同价款、已发生的合同约定调整因素出现时的调整价款、已发生的索赔以及</w:t>
      </w:r>
      <w:r>
        <w:rPr>
          <w:rFonts w:hint="eastAsia" w:ascii="宋体" w:hAnsi="宋体" w:eastAsia="宋体" w:cs="宋体"/>
          <w:color w:val="auto"/>
          <w:spacing w:val="-1"/>
          <w:sz w:val="24"/>
          <w:szCs w:val="24"/>
          <w:highlight w:val="none"/>
        </w:rPr>
        <w:t>现场签证确认等的费用后，余额（若有）归发包人所有。</w:t>
      </w:r>
    </w:p>
    <w:p w14:paraId="5F0733E8">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2.3.8</w:t>
      </w:r>
      <w:r>
        <w:rPr>
          <w:rFonts w:hint="eastAsia" w:ascii="宋体" w:hAnsi="宋体" w:eastAsia="宋体" w:cs="宋体"/>
          <w:color w:val="auto"/>
          <w:spacing w:val="-8"/>
          <w:sz w:val="24"/>
          <w:szCs w:val="24"/>
          <w:highlight w:val="none"/>
        </w:rPr>
        <w:t xml:space="preserve"> 预算包干费：根据《市政工程工程量计算标准》（GB/T 50857-2024）、《房屋建筑与装饰工程工程量计算标准》（GB/T 50854-2024）、《通用安装工程工程量计算标准》（GB/T 50856-2024）、《园林绿化工程工程量计算标准》（GB/T 50858-2024），以各专业分部分项的人工费与施工机具费之和为基础计算预算包干费。本工程的预算包干内容包括：按《广东省建设工程计价依据（2024）》相关规定。若发生工程签证变更，应按合同约定计取预算包干费。</w:t>
      </w:r>
    </w:p>
    <w:p w14:paraId="7F10FE20">
      <w:pPr>
        <w:spacing w:before="153" w:line="315" w:lineRule="auto"/>
        <w:ind w:left="8" w:right="2" w:firstLine="476"/>
        <w:rPr>
          <w:rFonts w:hint="eastAsia" w:ascii="宋体" w:hAnsi="宋体" w:eastAsia="宋体" w:cs="宋体"/>
          <w:color w:val="auto"/>
          <w:spacing w:val="-8"/>
          <w:sz w:val="24"/>
          <w:szCs w:val="24"/>
          <w:highlight w:val="none"/>
        </w:rPr>
      </w:pPr>
      <w:r>
        <w:rPr>
          <w:rFonts w:hint="eastAsia" w:ascii="宋体" w:hAnsi="宋体" w:eastAsia="宋体" w:cs="宋体"/>
          <w:b/>
          <w:bCs/>
          <w:color w:val="auto"/>
          <w:spacing w:val="-8"/>
          <w:sz w:val="24"/>
          <w:szCs w:val="24"/>
          <w:highlight w:val="none"/>
        </w:rPr>
        <w:t>2.3.</w:t>
      </w:r>
      <w:r>
        <w:rPr>
          <w:rFonts w:hint="eastAsia" w:ascii="宋体" w:hAnsi="宋体" w:eastAsia="宋体" w:cs="宋体"/>
          <w:b/>
          <w:bCs/>
          <w:color w:val="auto"/>
          <w:spacing w:val="-8"/>
          <w:sz w:val="24"/>
          <w:szCs w:val="24"/>
          <w:highlight w:val="none"/>
          <w:lang w:val="en-US" w:eastAsia="zh-CN"/>
        </w:rPr>
        <w:t>9</w:t>
      </w:r>
      <w:r>
        <w:rPr>
          <w:rFonts w:hint="eastAsia" w:ascii="宋体" w:hAnsi="宋体" w:eastAsia="宋体" w:cs="宋体"/>
          <w:b/>
          <w:bCs/>
          <w:color w:val="auto"/>
          <w:spacing w:val="-8"/>
          <w:sz w:val="24"/>
          <w:szCs w:val="24"/>
          <w:highlight w:val="none"/>
        </w:rPr>
        <w:t xml:space="preserve"> </w:t>
      </w:r>
      <w:r>
        <w:rPr>
          <w:rFonts w:hint="eastAsia" w:ascii="宋体" w:hAnsi="宋体" w:eastAsia="宋体" w:cs="宋体"/>
          <w:color w:val="auto"/>
          <w:spacing w:val="-8"/>
          <w:sz w:val="24"/>
          <w:szCs w:val="24"/>
          <w:highlight w:val="none"/>
        </w:rPr>
        <w:t>其余事项（如不可抗力、索赔、现场签证等）的调整原则按照《建设工程工程量清单计价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8"/>
          <w:sz w:val="24"/>
          <w:szCs w:val="24"/>
          <w:highlight w:val="none"/>
        </w:rPr>
        <w:t>》（GB50500—20</w:t>
      </w:r>
      <w:r>
        <w:rPr>
          <w:rFonts w:hint="eastAsia" w:ascii="宋体" w:hAnsi="宋体" w:eastAsia="宋体" w:cs="宋体"/>
          <w:color w:val="auto"/>
          <w:spacing w:val="-8"/>
          <w:sz w:val="24"/>
          <w:szCs w:val="24"/>
          <w:highlight w:val="none"/>
          <w:lang w:val="en-US" w:eastAsia="zh-CN"/>
        </w:rPr>
        <w:t>24</w:t>
      </w:r>
      <w:r>
        <w:rPr>
          <w:rFonts w:hint="eastAsia" w:ascii="宋体" w:hAnsi="宋体" w:eastAsia="宋体" w:cs="宋体"/>
          <w:color w:val="auto"/>
          <w:spacing w:val="-8"/>
          <w:sz w:val="24"/>
          <w:szCs w:val="24"/>
          <w:highlight w:val="none"/>
        </w:rPr>
        <w:t>）有关规定执行。</w:t>
      </w:r>
    </w:p>
    <w:p w14:paraId="50EB52AA">
      <w:pPr>
        <w:spacing w:before="156" w:line="299" w:lineRule="auto"/>
        <w:ind w:left="12" w:right="65" w:firstLine="556"/>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2.4  </w:t>
      </w:r>
      <w:r>
        <w:rPr>
          <w:rFonts w:hint="eastAsia" w:ascii="宋体" w:hAnsi="宋体" w:eastAsia="宋体" w:cs="宋体"/>
          <w:color w:val="auto"/>
          <w:sz w:val="24"/>
          <w:szCs w:val="24"/>
          <w:highlight w:val="none"/>
        </w:rPr>
        <w:t>凡将引起合同价款调增的事项，承包人必须于拟实施</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z w:val="24"/>
          <w:szCs w:val="24"/>
          <w:highlight w:val="none"/>
        </w:rPr>
        <w:t>14</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z w:val="24"/>
          <w:szCs w:val="24"/>
          <w:highlight w:val="none"/>
        </w:rPr>
        <w:t>天前，将详细的</w:t>
      </w:r>
      <w:r>
        <w:rPr>
          <w:rFonts w:hint="eastAsia" w:ascii="宋体" w:hAnsi="宋体" w:eastAsia="宋体" w:cs="宋体"/>
          <w:color w:val="auto"/>
          <w:spacing w:val="-1"/>
          <w:sz w:val="24"/>
          <w:szCs w:val="24"/>
          <w:highlight w:val="none"/>
        </w:rPr>
        <w:t>报价</w:t>
      </w:r>
      <w:r>
        <w:rPr>
          <w:rFonts w:hint="eastAsia" w:ascii="宋体" w:hAnsi="宋体" w:eastAsia="宋体" w:cs="宋体"/>
          <w:color w:val="auto"/>
          <w:spacing w:val="-2"/>
          <w:sz w:val="24"/>
          <w:szCs w:val="24"/>
          <w:highlight w:val="none"/>
        </w:rPr>
        <w:t>书（含拟实施项目名称、变更部位、理由、预计造价等）报监理单位审核和发包人批准后方可实施。</w:t>
      </w:r>
    </w:p>
    <w:p w14:paraId="19DA12CE">
      <w:pPr>
        <w:spacing w:before="153" w:line="279" w:lineRule="auto"/>
        <w:ind w:left="9" w:right="102" w:firstLine="477"/>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2.5 </w:t>
      </w:r>
      <w:r>
        <w:rPr>
          <w:rFonts w:hint="eastAsia" w:ascii="宋体" w:hAnsi="宋体" w:eastAsia="宋体" w:cs="宋体"/>
          <w:color w:val="auto"/>
          <w:spacing w:val="1"/>
          <w:sz w:val="24"/>
          <w:szCs w:val="24"/>
          <w:highlight w:val="none"/>
        </w:rPr>
        <w:t>承包人不得以不完全了解现场情况为理由，提出额外付</w:t>
      </w:r>
      <w:r>
        <w:rPr>
          <w:rFonts w:hint="eastAsia" w:ascii="宋体" w:hAnsi="宋体" w:eastAsia="宋体" w:cs="宋体"/>
          <w:color w:val="auto"/>
          <w:sz w:val="24"/>
          <w:szCs w:val="24"/>
          <w:highlight w:val="none"/>
        </w:rPr>
        <w:t>款或延长工期等要求。</w:t>
      </w:r>
      <w:r>
        <w:rPr>
          <w:rFonts w:hint="eastAsia" w:ascii="宋体" w:hAnsi="宋体" w:eastAsia="宋体" w:cs="宋体"/>
          <w:color w:val="auto"/>
          <w:spacing w:val="-1"/>
          <w:sz w:val="24"/>
          <w:szCs w:val="24"/>
          <w:highlight w:val="none"/>
        </w:rPr>
        <w:t>对此类要求，发包人不作任何考虑及答复。</w:t>
      </w:r>
    </w:p>
    <w:p w14:paraId="01E94B7B">
      <w:pPr>
        <w:spacing w:before="154" w:line="279" w:lineRule="auto"/>
        <w:ind w:left="10" w:right="63" w:firstLine="476"/>
        <w:rPr>
          <w:rFonts w:hint="eastAsia" w:ascii="宋体" w:hAnsi="宋体" w:eastAsia="宋体" w:cs="宋体"/>
          <w:color w:val="auto"/>
          <w:sz w:val="24"/>
          <w:szCs w:val="24"/>
          <w:highlight w:val="none"/>
        </w:rPr>
      </w:pPr>
      <w:r>
        <w:rPr>
          <w:rFonts w:hint="eastAsia" w:ascii="宋体" w:hAnsi="宋体" w:eastAsia="宋体" w:cs="宋体"/>
          <w:b/>
          <w:bCs/>
          <w:color w:val="auto"/>
          <w:spacing w:val="2"/>
          <w:sz w:val="24"/>
          <w:szCs w:val="24"/>
          <w:highlight w:val="none"/>
        </w:rPr>
        <w:t xml:space="preserve">2.6 </w:t>
      </w:r>
      <w:r>
        <w:rPr>
          <w:rFonts w:hint="eastAsia" w:ascii="宋体" w:hAnsi="宋体" w:eastAsia="宋体" w:cs="宋体"/>
          <w:color w:val="auto"/>
          <w:spacing w:val="2"/>
          <w:sz w:val="24"/>
          <w:szCs w:val="24"/>
          <w:highlight w:val="none"/>
        </w:rPr>
        <w:t>承包人已标价工程量清单中漏报、错报或少报的清单项目</w:t>
      </w:r>
      <w:r>
        <w:rPr>
          <w:rFonts w:hint="eastAsia" w:ascii="宋体" w:hAnsi="宋体" w:eastAsia="宋体" w:cs="宋体"/>
          <w:color w:val="auto"/>
          <w:spacing w:val="1"/>
          <w:sz w:val="24"/>
          <w:szCs w:val="24"/>
          <w:highlight w:val="none"/>
        </w:rPr>
        <w:t>，其价格均视为已经</w:t>
      </w:r>
      <w:r>
        <w:rPr>
          <w:rFonts w:hint="eastAsia" w:ascii="宋体" w:hAnsi="宋体" w:eastAsia="宋体" w:cs="宋体"/>
          <w:color w:val="auto"/>
          <w:spacing w:val="-1"/>
          <w:sz w:val="24"/>
          <w:szCs w:val="24"/>
          <w:highlight w:val="none"/>
        </w:rPr>
        <w:t>包含在其它清单项目中，竣工结算时不得重新组价和调整。</w:t>
      </w:r>
    </w:p>
    <w:p w14:paraId="42772186">
      <w:pPr>
        <w:spacing w:before="155" w:line="299" w:lineRule="auto"/>
        <w:ind w:left="12" w:right="65" w:firstLine="474"/>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2.7  </w:t>
      </w:r>
      <w:r>
        <w:rPr>
          <w:rFonts w:hint="eastAsia" w:ascii="宋体" w:hAnsi="宋体" w:eastAsia="宋体" w:cs="宋体"/>
          <w:color w:val="auto"/>
          <w:sz w:val="24"/>
          <w:szCs w:val="24"/>
          <w:highlight w:val="none"/>
        </w:rPr>
        <w:t>项目完工后，发、承包双方和受其委托具备相应资质的工程造价咨询单位必须</w:t>
      </w:r>
      <w:r>
        <w:rPr>
          <w:rFonts w:hint="eastAsia" w:ascii="宋体" w:hAnsi="宋体" w:eastAsia="宋体" w:cs="宋体"/>
          <w:color w:val="auto"/>
          <w:spacing w:val="-1"/>
          <w:sz w:val="24"/>
          <w:szCs w:val="24"/>
          <w:highlight w:val="none"/>
        </w:rPr>
        <w:t>按照《建设工程工程量清单计价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1"/>
          <w:sz w:val="24"/>
          <w:szCs w:val="24"/>
          <w:highlight w:val="none"/>
        </w:rPr>
        <w:t>）和国家、省、市的有关规定</w:t>
      </w:r>
      <w:r>
        <w:rPr>
          <w:rFonts w:hint="eastAsia" w:ascii="宋体" w:hAnsi="宋体" w:eastAsia="宋体" w:cs="宋体"/>
          <w:color w:val="auto"/>
          <w:spacing w:val="-2"/>
          <w:sz w:val="24"/>
          <w:szCs w:val="24"/>
          <w:highlight w:val="none"/>
        </w:rPr>
        <w:t>办理竣工结算。</w:t>
      </w:r>
    </w:p>
    <w:p w14:paraId="4212D90A">
      <w:pPr>
        <w:spacing w:before="152" w:line="319" w:lineRule="auto"/>
        <w:ind w:left="8" w:right="38" w:firstLine="559"/>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 xml:space="preserve">2.8  </w:t>
      </w:r>
      <w:r>
        <w:rPr>
          <w:rFonts w:hint="eastAsia" w:ascii="宋体" w:hAnsi="宋体" w:eastAsia="宋体" w:cs="宋体"/>
          <w:color w:val="auto"/>
          <w:spacing w:val="-1"/>
          <w:sz w:val="24"/>
          <w:szCs w:val="24"/>
          <w:highlight w:val="none"/>
        </w:rPr>
        <w:t>承包人已标价工程量清单中没有的材料（或工程设备</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1"/>
          <w:sz w:val="24"/>
          <w:szCs w:val="24"/>
          <w:highlight w:val="none"/>
        </w:rPr>
        <w:t>承包人在使</w:t>
      </w:r>
      <w:r>
        <w:rPr>
          <w:rFonts w:hint="eastAsia" w:ascii="宋体" w:hAnsi="宋体" w:eastAsia="宋体" w:cs="宋体"/>
          <w:color w:val="auto"/>
          <w:spacing w:val="-2"/>
          <w:sz w:val="24"/>
          <w:szCs w:val="24"/>
          <w:highlight w:val="none"/>
        </w:rPr>
        <w:t>用前必须</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将材料（或工程设备）样板、材料合格证明（或产品合格证书）、材料（或工程设备）检验报告提交给监理单位和发包人审核。发</w:t>
      </w:r>
      <w:r>
        <w:rPr>
          <w:rFonts w:hint="eastAsia" w:ascii="宋体" w:hAnsi="宋体" w:eastAsia="宋体" w:cs="宋体"/>
          <w:color w:val="auto"/>
          <w:spacing w:val="-2"/>
          <w:sz w:val="24"/>
          <w:szCs w:val="24"/>
          <w:highlight w:val="none"/>
        </w:rPr>
        <w:t>包人审定并确定价格后，承包人方可采购和</w:t>
      </w:r>
      <w:r>
        <w:rPr>
          <w:rFonts w:hint="eastAsia" w:ascii="宋体" w:hAnsi="宋体" w:eastAsia="宋体" w:cs="宋体"/>
          <w:color w:val="auto"/>
          <w:spacing w:val="-1"/>
          <w:sz w:val="24"/>
          <w:szCs w:val="24"/>
          <w:highlight w:val="none"/>
        </w:rPr>
        <w:t>使用。如果在交货验收和使用过程中发现货</w:t>
      </w:r>
      <w:r>
        <w:rPr>
          <w:rFonts w:hint="eastAsia" w:ascii="宋体" w:hAnsi="宋体" w:eastAsia="宋体" w:cs="宋体"/>
          <w:color w:val="auto"/>
          <w:spacing w:val="-2"/>
          <w:sz w:val="24"/>
          <w:szCs w:val="24"/>
          <w:highlight w:val="none"/>
        </w:rPr>
        <w:t>不对板，监理单位和发包人有权拒用，并要</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求承包人立即进行更换。更换后的材料（或</w:t>
      </w:r>
      <w:r>
        <w:rPr>
          <w:rFonts w:hint="eastAsia" w:ascii="宋体" w:hAnsi="宋体" w:eastAsia="宋体" w:cs="宋体"/>
          <w:color w:val="auto"/>
          <w:spacing w:val="-2"/>
          <w:sz w:val="24"/>
          <w:szCs w:val="24"/>
          <w:highlight w:val="none"/>
        </w:rPr>
        <w:t>工程设备）应再次进行检查和检验。由此增</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加的费用和（或）工期延误由承包人承担。</w:t>
      </w:r>
    </w:p>
    <w:p w14:paraId="300DDFC8">
      <w:pPr>
        <w:spacing w:before="152" w:line="319" w:lineRule="auto"/>
        <w:ind w:left="8" w:right="38" w:firstLine="559"/>
        <w:rPr>
          <w:rFonts w:hint="eastAsia" w:ascii="宋体" w:hAnsi="宋体" w:eastAsia="宋体" w:cs="宋体"/>
          <w:color w:val="auto"/>
          <w:spacing w:val="-1"/>
          <w:sz w:val="24"/>
          <w:szCs w:val="24"/>
          <w:highlight w:val="none"/>
        </w:rPr>
      </w:pPr>
      <w:r>
        <w:rPr>
          <w:rFonts w:hint="eastAsia" w:ascii="宋体" w:hAnsi="宋体" w:eastAsia="宋体" w:cs="宋体"/>
          <w:b/>
          <w:bCs/>
          <w:color w:val="auto"/>
          <w:spacing w:val="-1"/>
          <w:sz w:val="24"/>
          <w:szCs w:val="24"/>
          <w:highlight w:val="none"/>
        </w:rPr>
        <w:t xml:space="preserve">2.9 </w:t>
      </w:r>
      <w:r>
        <w:rPr>
          <w:rFonts w:hint="eastAsia" w:ascii="宋体" w:hAnsi="宋体" w:eastAsia="宋体" w:cs="宋体"/>
          <w:color w:val="auto"/>
          <w:spacing w:val="-1"/>
          <w:sz w:val="24"/>
          <w:szCs w:val="24"/>
          <w:highlight w:val="none"/>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w:t>
      </w:r>
      <w:r>
        <w:rPr>
          <w:rFonts w:hint="eastAsia" w:ascii="宋体" w:hAnsi="宋体" w:eastAsia="宋体" w:cs="宋体"/>
          <w:color w:val="auto"/>
          <w:spacing w:val="-1"/>
          <w:sz w:val="24"/>
          <w:szCs w:val="24"/>
          <w:highlight w:val="none"/>
          <w:lang w:val="en-US" w:eastAsia="zh-CN"/>
        </w:rPr>
        <w:t>造价通、</w:t>
      </w:r>
      <w:r>
        <w:rPr>
          <w:rFonts w:hint="eastAsia" w:ascii="宋体" w:hAnsi="宋体" w:eastAsia="宋体" w:cs="宋体"/>
          <w:color w:val="auto"/>
          <w:spacing w:val="-1"/>
          <w:sz w:val="24"/>
          <w:szCs w:val="24"/>
          <w:highlight w:val="none"/>
        </w:rPr>
        <w:t>电商平台价格（优先从京东、国美、苏宁等大型电商平台查询取其平均价）；若以上方式均无法确定材料价格 的，则采用厂商报价或市场询价等方式取得有合法依据的市场价格，报发包人确认。</w:t>
      </w:r>
    </w:p>
    <w:p w14:paraId="6245169A">
      <w:pPr>
        <w:pStyle w:val="29"/>
        <w:snapToGrid w:val="0"/>
        <w:spacing w:line="440" w:lineRule="exact"/>
        <w:ind w:firstLine="480"/>
        <w:jc w:val="both"/>
        <w:outlineLvl w:val="2"/>
        <w:rPr>
          <w:rStyle w:val="20"/>
          <w:rFonts w:hint="eastAsia" w:ascii="宋体" w:hAnsi="宋体" w:eastAsia="宋体" w:cs="宋体"/>
          <w:b/>
          <w:bCs/>
          <w:color w:val="auto"/>
          <w:sz w:val="24"/>
          <w:szCs w:val="24"/>
          <w:highlight w:val="none"/>
        </w:rPr>
      </w:pPr>
      <w:bookmarkStart w:id="176" w:name="_Toc5247"/>
      <w:bookmarkStart w:id="177" w:name="_Toc1816"/>
      <w:r>
        <w:rPr>
          <w:rStyle w:val="20"/>
          <w:rFonts w:hint="eastAsia" w:ascii="宋体" w:hAnsi="宋体" w:eastAsia="宋体" w:cs="宋体"/>
          <w:b/>
          <w:bCs/>
          <w:color w:val="auto"/>
          <w:sz w:val="24"/>
          <w:szCs w:val="24"/>
          <w:highlight w:val="none"/>
        </w:rPr>
        <w:t>3. 工程付款办法</w:t>
      </w:r>
      <w:bookmarkEnd w:id="176"/>
      <w:bookmarkEnd w:id="177"/>
    </w:p>
    <w:p w14:paraId="47DD6CF3">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3.1</w:t>
      </w:r>
      <w:r>
        <w:rPr>
          <w:rFonts w:hint="eastAsia" w:ascii="宋体" w:hAnsi="宋体" w:eastAsia="宋体" w:cs="宋体"/>
          <w:snapToGrid w:val="0"/>
          <w:color w:val="auto"/>
          <w:kern w:val="0"/>
          <w:sz w:val="24"/>
          <w:szCs w:val="20"/>
          <w:highlight w:val="none"/>
          <w:lang w:eastAsia="zh-CN"/>
        </w:rPr>
        <w:t xml:space="preserve"> 本工程 </w:t>
      </w:r>
      <w:r>
        <w:rPr>
          <w:rFonts w:hint="eastAsia" w:ascii="宋体" w:hAnsi="宋体" w:eastAsia="宋体" w:cs="宋体"/>
          <w:snapToGrid w:val="0"/>
          <w:color w:val="auto"/>
          <w:kern w:val="0"/>
          <w:sz w:val="24"/>
          <w:szCs w:val="20"/>
          <w:highlight w:val="none"/>
          <w:u w:val="single"/>
          <w:lang w:eastAsia="zh-CN"/>
        </w:rPr>
        <w:t>支付</w:t>
      </w:r>
      <w:r>
        <w:rPr>
          <w:rFonts w:hint="eastAsia" w:ascii="宋体" w:hAnsi="宋体" w:eastAsia="宋体" w:cs="宋体"/>
          <w:snapToGrid w:val="0"/>
          <w:color w:val="auto"/>
          <w:kern w:val="0"/>
          <w:sz w:val="24"/>
          <w:szCs w:val="20"/>
          <w:highlight w:val="none"/>
          <w:lang w:eastAsia="zh-CN"/>
        </w:rPr>
        <w:t xml:space="preserve"> 施工预付款。</w:t>
      </w:r>
    </w:p>
    <w:p w14:paraId="034C055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snapToGrid w:val="0"/>
          <w:color w:val="auto"/>
          <w:kern w:val="0"/>
          <w:sz w:val="24"/>
          <w:szCs w:val="20"/>
          <w:highlight w:val="none"/>
          <w:lang w:eastAsia="zh-CN"/>
        </w:rPr>
        <w:t xml:space="preserve"> 施工预付款必须专用于合同工程，并按以下原则支付和抵扣：</w:t>
      </w:r>
    </w:p>
    <w:p w14:paraId="1606CF3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3.2.1</w:t>
      </w:r>
      <w:r>
        <w:rPr>
          <w:rFonts w:hint="eastAsia" w:ascii="宋体" w:hAnsi="宋体" w:eastAsia="宋体" w:cs="宋体"/>
          <w:snapToGrid w:val="0"/>
          <w:color w:val="auto"/>
          <w:kern w:val="0"/>
          <w:sz w:val="24"/>
          <w:szCs w:val="20"/>
          <w:highlight w:val="none"/>
          <w:lang w:eastAsia="zh-CN"/>
        </w:rPr>
        <w:t xml:space="preserve"> 施工预付款支付比例为：</w:t>
      </w:r>
      <w:r>
        <w:rPr>
          <w:rFonts w:hint="eastAsia" w:ascii="宋体" w:hAnsi="宋体" w:eastAsia="宋体" w:cs="宋体"/>
          <w:snapToGrid w:val="0"/>
          <w:color w:val="auto"/>
          <w:kern w:val="0"/>
          <w:sz w:val="24"/>
          <w:szCs w:val="20"/>
          <w:highlight w:val="none"/>
          <w:lang w:val="en-US" w:eastAsia="zh-CN"/>
        </w:rPr>
        <w:t>按施工合同价扣除“暂列金额、计日工价款、专业工程暂估价”后的30%支付。</w:t>
      </w:r>
    </w:p>
    <w:p w14:paraId="2AB46FF0">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3.2.2</w:t>
      </w:r>
      <w:r>
        <w:rPr>
          <w:rFonts w:hint="eastAsia" w:ascii="宋体" w:hAnsi="宋体" w:eastAsia="宋体" w:cs="宋体"/>
          <w:snapToGrid w:val="0"/>
          <w:color w:val="auto"/>
          <w:kern w:val="0"/>
          <w:sz w:val="24"/>
          <w:szCs w:val="20"/>
          <w:highlight w:val="none"/>
          <w:lang w:eastAsia="zh-CN"/>
        </w:rPr>
        <w:t xml:space="preserve"> 本招标项目</w:t>
      </w:r>
      <w:r>
        <w:rPr>
          <w:rFonts w:hint="eastAsia" w:ascii="宋体" w:hAnsi="宋体" w:eastAsia="宋体" w:cs="宋体"/>
          <w:b/>
          <w:bCs/>
          <w:snapToGrid w:val="0"/>
          <w:color w:val="auto"/>
          <w:kern w:val="0"/>
          <w:sz w:val="24"/>
          <w:szCs w:val="20"/>
          <w:highlight w:val="none"/>
          <w:u w:val="single"/>
          <w:lang w:eastAsia="zh-CN"/>
        </w:rPr>
        <w:t xml:space="preserve"> </w:t>
      </w:r>
      <w:r>
        <w:rPr>
          <w:rFonts w:hint="eastAsia" w:ascii="宋体" w:hAnsi="宋体" w:eastAsia="宋体" w:cs="宋体"/>
          <w:b/>
          <w:bCs/>
          <w:snapToGrid w:val="0"/>
          <w:color w:val="auto"/>
          <w:kern w:val="0"/>
          <w:sz w:val="24"/>
          <w:szCs w:val="20"/>
          <w:highlight w:val="none"/>
          <w:u w:val="single"/>
          <w:lang w:val="en-US" w:eastAsia="zh-CN"/>
        </w:rPr>
        <w:t>不</w:t>
      </w:r>
      <w:r>
        <w:rPr>
          <w:rFonts w:hint="eastAsia" w:ascii="宋体" w:hAnsi="宋体" w:eastAsia="宋体" w:cs="宋体"/>
          <w:b/>
          <w:bCs/>
          <w:snapToGrid w:val="0"/>
          <w:color w:val="auto"/>
          <w:kern w:val="0"/>
          <w:sz w:val="24"/>
          <w:szCs w:val="20"/>
          <w:highlight w:val="none"/>
          <w:u w:val="single"/>
          <w:lang w:eastAsia="zh-CN"/>
        </w:rPr>
        <w:t xml:space="preserve">要求 </w:t>
      </w:r>
      <w:r>
        <w:rPr>
          <w:rFonts w:hint="eastAsia" w:ascii="宋体" w:hAnsi="宋体" w:eastAsia="宋体" w:cs="宋体"/>
          <w:snapToGrid w:val="0"/>
          <w:color w:val="auto"/>
          <w:kern w:val="0"/>
          <w:sz w:val="24"/>
          <w:szCs w:val="20"/>
          <w:highlight w:val="none"/>
          <w:lang w:eastAsia="zh-CN"/>
        </w:rPr>
        <w:t>承包人提供与预付款等额的预付款保函。</w:t>
      </w:r>
    </w:p>
    <w:p w14:paraId="31DF017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 xml:space="preserve">3.2.3 </w:t>
      </w:r>
      <w:r>
        <w:rPr>
          <w:rFonts w:hint="eastAsia" w:ascii="宋体" w:hAnsi="宋体" w:eastAsia="宋体" w:cs="宋体"/>
          <w:b w:val="0"/>
          <w:bCs w:val="0"/>
          <w:snapToGrid w:val="0"/>
          <w:color w:val="auto"/>
          <w:kern w:val="0"/>
          <w:sz w:val="24"/>
          <w:szCs w:val="20"/>
          <w:highlight w:val="none"/>
          <w:lang w:eastAsia="zh-CN"/>
        </w:rPr>
        <w:t>承包人应在签订合同后，在具备施工条件的前提下，向发包人提交预付款支付申请。发包人应对在收到支付申请的15天内进行核实后向承包人发出预付款支付证书，并在签发支付证书后的按实际财政审核时间为准向承包人支付预付款。凡未签订合同或不具备施工条件的工程，发包人不得预付工程款。</w:t>
      </w:r>
    </w:p>
    <w:p w14:paraId="4CA55248">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3.2.</w:t>
      </w:r>
      <w:r>
        <w:rPr>
          <w:rFonts w:hint="eastAsia" w:ascii="宋体" w:hAnsi="宋体" w:eastAsia="宋体" w:cs="宋体"/>
          <w:b/>
          <w:bCs/>
          <w:snapToGrid w:val="0"/>
          <w:color w:val="auto"/>
          <w:kern w:val="0"/>
          <w:sz w:val="24"/>
          <w:szCs w:val="20"/>
          <w:highlight w:val="none"/>
          <w:lang w:val="en-US" w:eastAsia="zh-CN"/>
        </w:rPr>
        <w:t>4</w:t>
      </w:r>
      <w:r>
        <w:rPr>
          <w:rFonts w:hint="eastAsia" w:ascii="宋体" w:hAnsi="宋体" w:eastAsia="宋体" w:cs="宋体"/>
          <w:snapToGrid w:val="0"/>
          <w:color w:val="auto"/>
          <w:kern w:val="0"/>
          <w:sz w:val="24"/>
          <w:szCs w:val="20"/>
          <w:highlight w:val="none"/>
          <w:lang w:eastAsia="zh-CN"/>
        </w:rPr>
        <w:t xml:space="preserve"> 预付款的抵扣方式、抵扣比例和抵扣时间安排：预付款应从每个支付期应支付给承包人的工程进度款中扣回，每次按实收进度款的40%扣回，直到扣回的金额达到合同约定的预付款金额为止</w:t>
      </w:r>
      <w:r>
        <w:rPr>
          <w:rFonts w:hint="eastAsia" w:ascii="宋体" w:hAnsi="宋体" w:eastAsia="宋体" w:cs="宋体"/>
          <w:snapToGrid w:val="0"/>
          <w:color w:val="auto"/>
          <w:kern w:val="0"/>
          <w:sz w:val="24"/>
          <w:szCs w:val="20"/>
          <w:highlight w:val="none"/>
          <w:lang w:val="en-US" w:eastAsia="zh-CN"/>
        </w:rPr>
        <w:t>。</w:t>
      </w:r>
    </w:p>
    <w:p w14:paraId="666F7C71">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3.3</w:t>
      </w:r>
      <w:r>
        <w:rPr>
          <w:rFonts w:hint="eastAsia" w:ascii="宋体" w:hAnsi="宋体" w:eastAsia="宋体" w:cs="宋体"/>
          <w:snapToGrid w:val="0"/>
          <w:color w:val="auto"/>
          <w:kern w:val="0"/>
          <w:sz w:val="24"/>
          <w:szCs w:val="20"/>
          <w:highlight w:val="none"/>
          <w:lang w:eastAsia="zh-CN"/>
        </w:rPr>
        <w:t xml:space="preserve"> 施工过程中按月支付工程进度款：承包人每月按工程实际完成工程量（含变更及增加工程）申报，承包人必须将《已完成工程量报表》和《工程付款申请书》于当月26 日前报监理单位核实。经监理单位审核、发包人审定后的工程进度款（指已经按照合同约定，扣除该支付期内因承包人违约而应扣除的管理费），于申报次月支付。</w:t>
      </w:r>
    </w:p>
    <w:p w14:paraId="2DC592B4">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3.4</w:t>
      </w:r>
      <w:r>
        <w:rPr>
          <w:rFonts w:hint="eastAsia" w:ascii="宋体" w:hAnsi="宋体" w:eastAsia="宋体" w:cs="宋体"/>
          <w:snapToGrid w:val="0"/>
          <w:color w:val="auto"/>
          <w:kern w:val="0"/>
          <w:sz w:val="24"/>
          <w:szCs w:val="20"/>
          <w:highlight w:val="none"/>
          <w:lang w:eastAsia="zh-CN"/>
        </w:rPr>
        <w:t xml:space="preserve"> 每月的工程进度款按工程实际完成工程量的</w:t>
      </w:r>
      <w:r>
        <w:rPr>
          <w:rFonts w:hint="eastAsia" w:ascii="宋体" w:hAnsi="宋体" w:eastAsia="宋体" w:cs="宋体"/>
          <w:snapToGrid w:val="0"/>
          <w:color w:val="auto"/>
          <w:kern w:val="0"/>
          <w:sz w:val="24"/>
          <w:szCs w:val="20"/>
          <w:highlight w:val="none"/>
          <w:u w:val="single"/>
          <w:lang w:eastAsia="zh-CN"/>
        </w:rPr>
        <w:t xml:space="preserve"> 80% </w:t>
      </w:r>
      <w:r>
        <w:rPr>
          <w:rFonts w:hint="eastAsia" w:ascii="宋体" w:hAnsi="宋体" w:eastAsia="宋体" w:cs="宋体"/>
          <w:snapToGrid w:val="0"/>
          <w:color w:val="auto"/>
          <w:kern w:val="0"/>
          <w:sz w:val="24"/>
          <w:szCs w:val="20"/>
          <w:highlight w:val="none"/>
          <w:lang w:eastAsia="zh-CN"/>
        </w:rPr>
        <w:t>申请支付，工程进度款中的作业工人工资款项由发包人单独足额拨付到承包人的工资专户。</w:t>
      </w:r>
    </w:p>
    <w:p w14:paraId="04331B1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5</w:t>
      </w:r>
      <w:r>
        <w:rPr>
          <w:rFonts w:hint="eastAsia" w:ascii="宋体" w:hAnsi="宋体" w:eastAsia="宋体" w:cs="宋体"/>
          <w:snapToGrid w:val="0"/>
          <w:color w:val="auto"/>
          <w:kern w:val="0"/>
          <w:sz w:val="24"/>
          <w:szCs w:val="20"/>
          <w:highlight w:val="none"/>
          <w:lang w:eastAsia="zh-CN"/>
        </w:rPr>
        <w:t xml:space="preserve"> 措施项目费中的“</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”拨付按照《广东省建设工程计价依据（20</w:t>
      </w:r>
      <w:r>
        <w:rPr>
          <w:rFonts w:hint="eastAsia" w:ascii="宋体" w:hAnsi="宋体" w:eastAsia="宋体" w:cs="宋体"/>
          <w:snapToGrid w:val="0"/>
          <w:color w:val="auto"/>
          <w:kern w:val="0"/>
          <w:sz w:val="24"/>
          <w:szCs w:val="20"/>
          <w:highlight w:val="none"/>
          <w:lang w:val="en-US" w:eastAsia="zh-CN"/>
        </w:rPr>
        <w:t>24</w:t>
      </w:r>
      <w:r>
        <w:rPr>
          <w:rFonts w:hint="eastAsia" w:ascii="宋体" w:hAnsi="宋体" w:eastAsia="宋体" w:cs="宋体"/>
          <w:snapToGrid w:val="0"/>
          <w:color w:val="auto"/>
          <w:kern w:val="0"/>
          <w:sz w:val="24"/>
          <w:szCs w:val="20"/>
          <w:highlight w:val="none"/>
          <w:lang w:eastAsia="zh-CN"/>
        </w:rPr>
        <w:t>）》执行，按照项目所在地的建设行政主管部门有关规定支付。发生一般事故及以上等级重大安全事故的，发包人可扣除承包人金额相当于所有“</w:t>
      </w:r>
      <w:r>
        <w:rPr>
          <w:rFonts w:hint="eastAsia" w:ascii="宋体" w:hAnsi="宋体" w:eastAsia="宋体" w:cs="宋体"/>
          <w:snapToGrid w:val="0"/>
          <w:color w:val="auto"/>
          <w:kern w:val="0"/>
          <w:sz w:val="24"/>
          <w:szCs w:val="20"/>
          <w:highlight w:val="none"/>
          <w:lang w:val="en-US" w:eastAsia="zh-CN"/>
        </w:rPr>
        <w:t>安全生产措施费</w:t>
      </w:r>
      <w:r>
        <w:rPr>
          <w:rFonts w:hint="eastAsia" w:ascii="宋体" w:hAnsi="宋体" w:eastAsia="宋体" w:cs="宋体"/>
          <w:snapToGrid w:val="0"/>
          <w:color w:val="auto"/>
          <w:kern w:val="0"/>
          <w:sz w:val="24"/>
          <w:szCs w:val="20"/>
          <w:highlight w:val="none"/>
          <w:lang w:eastAsia="zh-CN"/>
        </w:rPr>
        <w:t>”的工程管理费。</w:t>
      </w:r>
    </w:p>
    <w:p w14:paraId="4CF02F9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6</w:t>
      </w:r>
      <w:r>
        <w:rPr>
          <w:rFonts w:hint="eastAsia" w:ascii="宋体" w:hAnsi="宋体" w:eastAsia="宋体" w:cs="宋体"/>
          <w:snapToGrid w:val="0"/>
          <w:color w:val="auto"/>
          <w:kern w:val="0"/>
          <w:sz w:val="24"/>
          <w:szCs w:val="20"/>
          <w:highlight w:val="none"/>
          <w:lang w:eastAsia="zh-CN"/>
        </w:rPr>
        <w:t xml:space="preserve"> 变更工程造价必须经监理单位核实，并经发包人核定后方可支付。</w:t>
      </w:r>
    </w:p>
    <w:p w14:paraId="360CA251">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7</w:t>
      </w:r>
      <w:r>
        <w:rPr>
          <w:rFonts w:hint="eastAsia" w:ascii="宋体" w:hAnsi="宋体" w:eastAsia="宋体" w:cs="宋体"/>
          <w:snapToGrid w:val="0"/>
          <w:color w:val="auto"/>
          <w:kern w:val="0"/>
          <w:sz w:val="24"/>
          <w:szCs w:val="20"/>
          <w:highlight w:val="none"/>
          <w:lang w:eastAsia="zh-CN"/>
        </w:rPr>
        <w:t xml:space="preserve"> 结算审核完成后，</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支付至合同价格的97%，剩余3%转为质量保证金；承包人提交了等额质量保证担保或质量保证保险的，</w:t>
      </w:r>
      <w:r>
        <w:rPr>
          <w:rFonts w:hint="eastAsia" w:ascii="宋体" w:hAnsi="宋体" w:eastAsia="宋体" w:cs="宋体"/>
          <w:snapToGrid w:val="0"/>
          <w:color w:val="auto"/>
          <w:kern w:val="0"/>
          <w:sz w:val="24"/>
          <w:szCs w:val="20"/>
          <w:highlight w:val="none"/>
          <w:lang w:val="en-US" w:eastAsia="zh-CN"/>
        </w:rPr>
        <w:t>可</w:t>
      </w:r>
      <w:r>
        <w:rPr>
          <w:rFonts w:hint="eastAsia" w:ascii="宋体" w:hAnsi="宋体" w:eastAsia="宋体" w:cs="宋体"/>
          <w:snapToGrid w:val="0"/>
          <w:color w:val="auto"/>
          <w:kern w:val="0"/>
          <w:sz w:val="24"/>
          <w:szCs w:val="20"/>
          <w:highlight w:val="none"/>
          <w:lang w:eastAsia="zh-CN"/>
        </w:rPr>
        <w:t>一次性结清合同价格。</w:t>
      </w:r>
    </w:p>
    <w:p w14:paraId="7614AF5C">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8</w:t>
      </w:r>
      <w:r>
        <w:rPr>
          <w:rFonts w:hint="eastAsia" w:ascii="宋体" w:hAnsi="宋体" w:eastAsia="宋体" w:cs="宋体"/>
          <w:snapToGrid w:val="0"/>
          <w:color w:val="auto"/>
          <w:kern w:val="0"/>
          <w:sz w:val="24"/>
          <w:szCs w:val="20"/>
          <w:highlight w:val="none"/>
          <w:lang w:eastAsia="zh-CN"/>
        </w:rPr>
        <w:t>本招标项目缺陷责任期为</w:t>
      </w:r>
      <w:r>
        <w:rPr>
          <w:rFonts w:hint="eastAsia" w:ascii="宋体" w:hAnsi="宋体" w:eastAsia="宋体" w:cs="宋体"/>
          <w:snapToGrid w:val="0"/>
          <w:color w:val="auto"/>
          <w:kern w:val="0"/>
          <w:sz w:val="24"/>
          <w:szCs w:val="20"/>
          <w:highlight w:val="none"/>
          <w:u w:val="single"/>
          <w:lang w:val="en-US" w:eastAsia="zh-CN"/>
        </w:rPr>
        <w:t>2</w:t>
      </w:r>
      <w:r>
        <w:rPr>
          <w:rFonts w:hint="eastAsia" w:ascii="宋体" w:hAnsi="宋体" w:eastAsia="宋体" w:cs="宋体"/>
          <w:snapToGrid w:val="0"/>
          <w:color w:val="auto"/>
          <w:kern w:val="0"/>
          <w:sz w:val="24"/>
          <w:szCs w:val="20"/>
          <w:highlight w:val="none"/>
          <w:lang w:eastAsia="zh-CN"/>
        </w:rPr>
        <w:t xml:space="preserve"> 年（自通过竣工验收之日起计）。缺陷责任期到期后，承包人向发包人申请退还质量保证。发包人收到退还申请后，于</w:t>
      </w:r>
      <w:r>
        <w:rPr>
          <w:rFonts w:hint="eastAsia" w:ascii="宋体" w:hAnsi="宋体" w:eastAsia="宋体" w:cs="宋体"/>
          <w:snapToGrid w:val="0"/>
          <w:color w:val="auto"/>
          <w:kern w:val="0"/>
          <w:sz w:val="24"/>
          <w:szCs w:val="20"/>
          <w:highlight w:val="none"/>
          <w:u w:val="single"/>
          <w:lang w:eastAsia="zh-CN"/>
        </w:rPr>
        <w:t>14</w:t>
      </w:r>
      <w:r>
        <w:rPr>
          <w:rFonts w:hint="eastAsia" w:ascii="宋体" w:hAnsi="宋体" w:eastAsia="宋体" w:cs="宋体"/>
          <w:snapToGrid w:val="0"/>
          <w:color w:val="auto"/>
          <w:kern w:val="0"/>
          <w:sz w:val="24"/>
          <w:szCs w:val="20"/>
          <w:highlight w:val="none"/>
          <w:lang w:eastAsia="zh-CN"/>
        </w:rPr>
        <w:t>天内会同承包人进行核实。经双方核实且均无异议后，发包人在核实之日起</w:t>
      </w:r>
      <w:r>
        <w:rPr>
          <w:rFonts w:hint="eastAsia" w:ascii="宋体" w:hAnsi="宋体" w:eastAsia="宋体" w:cs="宋体"/>
          <w:snapToGrid w:val="0"/>
          <w:color w:val="auto"/>
          <w:kern w:val="0"/>
          <w:sz w:val="24"/>
          <w:szCs w:val="20"/>
          <w:highlight w:val="none"/>
          <w:u w:val="single"/>
          <w:lang w:eastAsia="zh-CN"/>
        </w:rPr>
        <w:t xml:space="preserve"> 14 </w:t>
      </w:r>
      <w:r>
        <w:rPr>
          <w:rFonts w:hint="eastAsia" w:ascii="宋体" w:hAnsi="宋体" w:eastAsia="宋体" w:cs="宋体"/>
          <w:snapToGrid w:val="0"/>
          <w:color w:val="auto"/>
          <w:kern w:val="0"/>
          <w:sz w:val="24"/>
          <w:szCs w:val="20"/>
          <w:highlight w:val="none"/>
          <w:lang w:eastAsia="zh-CN"/>
        </w:rPr>
        <w:t>天内将应返保证金（或银行保函）退还承包人。</w:t>
      </w:r>
    </w:p>
    <w:p w14:paraId="508CCD75">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3.9</w:t>
      </w:r>
      <w:r>
        <w:rPr>
          <w:rFonts w:hint="eastAsia" w:ascii="宋体" w:hAnsi="宋体" w:eastAsia="宋体" w:cs="宋体"/>
          <w:snapToGrid w:val="0"/>
          <w:color w:val="auto"/>
          <w:kern w:val="0"/>
          <w:sz w:val="24"/>
          <w:szCs w:val="20"/>
          <w:highlight w:val="none"/>
          <w:lang w:eastAsia="zh-CN"/>
        </w:rPr>
        <w:t xml:space="preserve"> </w:t>
      </w:r>
      <w:r>
        <w:rPr>
          <w:rFonts w:hint="eastAsia" w:ascii="宋体" w:hAnsi="宋体" w:eastAsia="宋体" w:cs="宋体"/>
          <w:b/>
          <w:bCs/>
          <w:snapToGrid w:val="0"/>
          <w:color w:val="auto"/>
          <w:kern w:val="0"/>
          <w:sz w:val="24"/>
          <w:szCs w:val="20"/>
          <w:highlight w:val="none"/>
          <w:lang w:eastAsia="zh-CN"/>
        </w:rPr>
        <w:t>发包人每次支付工程款前，承包人均应提供有效的增值税专用发票。如果承包人无法提供符合要求的发票，由此造成的相应损失由承包人承担。</w:t>
      </w:r>
    </w:p>
    <w:p w14:paraId="144BDDDA">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lang w:eastAsia="zh-CN"/>
        </w:rPr>
      </w:pPr>
      <w:r>
        <w:rPr>
          <w:rFonts w:hint="eastAsia" w:ascii="宋体" w:hAnsi="宋体" w:eastAsia="宋体" w:cs="宋体"/>
          <w:b/>
          <w:bCs/>
          <w:snapToGrid w:val="0"/>
          <w:color w:val="auto"/>
          <w:kern w:val="0"/>
          <w:sz w:val="24"/>
          <w:szCs w:val="20"/>
          <w:highlight w:val="none"/>
          <w:lang w:eastAsia="zh-CN"/>
        </w:rPr>
        <w:t>3.</w:t>
      </w:r>
      <w:r>
        <w:rPr>
          <w:rFonts w:hint="eastAsia" w:ascii="宋体" w:hAnsi="宋体" w:eastAsia="宋体" w:cs="宋体"/>
          <w:b/>
          <w:bCs/>
          <w:snapToGrid w:val="0"/>
          <w:color w:val="auto"/>
          <w:kern w:val="0"/>
          <w:sz w:val="24"/>
          <w:szCs w:val="20"/>
          <w:highlight w:val="none"/>
          <w:lang w:val="en-US" w:eastAsia="zh-CN"/>
        </w:rPr>
        <w:t>10</w:t>
      </w:r>
      <w:r>
        <w:rPr>
          <w:rFonts w:hint="eastAsia" w:ascii="宋体" w:hAnsi="宋体" w:eastAsia="宋体" w:cs="宋体"/>
          <w:snapToGrid w:val="0"/>
          <w:color w:val="auto"/>
          <w:kern w:val="0"/>
          <w:sz w:val="24"/>
          <w:szCs w:val="20"/>
          <w:highlight w:val="none"/>
          <w:lang w:eastAsia="zh-CN"/>
        </w:rPr>
        <w:t>暂列金额支付方式：</w:t>
      </w:r>
      <w:r>
        <w:rPr>
          <w:rFonts w:hint="eastAsia" w:ascii="宋体" w:hAnsi="宋体" w:eastAsia="宋体" w:cs="宋体"/>
          <w:snapToGrid w:val="0"/>
          <w:color w:val="auto"/>
          <w:kern w:val="0"/>
          <w:sz w:val="24"/>
          <w:szCs w:val="20"/>
          <w:highlight w:val="none"/>
          <w:u w:val="single"/>
          <w:lang w:val="en-US" w:eastAsia="zh-CN"/>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中的变更签证部分暂停拨付。在暂列金额的范围内，最终经发包人委托的全过程造价咨询公司审核、发包人确认后支付至该部分实际完成工程量的80％，其余部分待结算完成审核后支付至97%，剩余3%为工程质量保修金。</w:t>
      </w:r>
    </w:p>
    <w:p w14:paraId="2EF0E0E7">
      <w:pPr>
        <w:widowControl w:val="0"/>
        <w:kinsoku/>
        <w:wordWrap w:val="0"/>
        <w:autoSpaceDE/>
        <w:autoSpaceDN/>
        <w:adjustRightInd w:val="0"/>
        <w:snapToGrid w:val="0"/>
        <w:spacing w:line="440" w:lineRule="exact"/>
        <w:ind w:firstLine="482" w:firstLineChars="200"/>
        <w:jc w:val="both"/>
        <w:textAlignment w:val="auto"/>
        <w:rPr>
          <w:rFonts w:hint="eastAsia" w:ascii="宋体" w:hAnsi="宋体" w:eastAsia="宋体" w:cs="宋体"/>
          <w:snapToGrid w:val="0"/>
          <w:color w:val="auto"/>
          <w:kern w:val="0"/>
          <w:sz w:val="24"/>
          <w:szCs w:val="20"/>
          <w:highlight w:val="none"/>
          <w:u w:val="single"/>
          <w:lang w:eastAsia="zh-CN"/>
        </w:rPr>
      </w:pPr>
      <w:r>
        <w:rPr>
          <w:rFonts w:hint="eastAsia" w:ascii="宋体" w:hAnsi="宋体" w:eastAsia="宋体" w:cs="宋体"/>
          <w:b/>
          <w:bCs/>
          <w:snapToGrid w:val="0"/>
          <w:color w:val="auto"/>
          <w:kern w:val="0"/>
          <w:sz w:val="24"/>
          <w:szCs w:val="20"/>
          <w:highlight w:val="none"/>
          <w:lang w:eastAsia="zh-CN"/>
        </w:rPr>
        <w:t>3.11</w:t>
      </w:r>
      <w:r>
        <w:rPr>
          <w:rFonts w:hint="eastAsia" w:ascii="宋体" w:hAnsi="宋体" w:eastAsia="宋体" w:cs="宋体"/>
          <w:snapToGrid w:val="0"/>
          <w:color w:val="auto"/>
          <w:kern w:val="0"/>
          <w:sz w:val="24"/>
          <w:szCs w:val="20"/>
          <w:highlight w:val="none"/>
          <w:lang w:eastAsia="zh-CN"/>
        </w:rPr>
        <w:t xml:space="preserve"> 材料暂估价、专业工程暂估价支付方式：</w:t>
      </w:r>
      <w:r>
        <w:rPr>
          <w:rFonts w:hint="eastAsia" w:ascii="宋体" w:hAnsi="宋体" w:eastAsia="宋体" w:cs="宋体"/>
          <w:snapToGrid w:val="0"/>
          <w:color w:val="auto"/>
          <w:kern w:val="0"/>
          <w:sz w:val="24"/>
          <w:szCs w:val="20"/>
          <w:highlight w:val="none"/>
          <w:u w:val="single"/>
          <w:lang w:eastAsia="zh-CN"/>
        </w:rPr>
        <w:t>材料暂估价、专业工程暂估价与每个月的工程进度款一并报送，但需要列明详细项目内容，该部分材料暂估价、专业工程暂估价按该部分实际完成工程量的50%支付，工程竣工验收合格后支付至8</w:t>
      </w:r>
      <w:r>
        <w:rPr>
          <w:rFonts w:hint="eastAsia" w:ascii="宋体" w:hAnsi="宋体" w:eastAsia="宋体" w:cs="宋体"/>
          <w:snapToGrid w:val="0"/>
          <w:color w:val="auto"/>
          <w:kern w:val="0"/>
          <w:sz w:val="24"/>
          <w:szCs w:val="20"/>
          <w:highlight w:val="none"/>
          <w:u w:val="single"/>
          <w:lang w:val="en-US" w:eastAsia="zh-CN"/>
        </w:rPr>
        <w:t>0</w:t>
      </w:r>
      <w:r>
        <w:rPr>
          <w:rFonts w:hint="eastAsia" w:ascii="宋体" w:hAnsi="宋体" w:eastAsia="宋体" w:cs="宋体"/>
          <w:snapToGrid w:val="0"/>
          <w:color w:val="auto"/>
          <w:kern w:val="0"/>
          <w:sz w:val="24"/>
          <w:szCs w:val="20"/>
          <w:highlight w:val="none"/>
          <w:u w:val="single"/>
          <w:lang w:eastAsia="zh-CN"/>
        </w:rPr>
        <w:t>%，剩余部分结算完成后支付至审定造价的97%，剩余3%为工程质量保修金。</w:t>
      </w:r>
    </w:p>
    <w:p w14:paraId="0EBC91D6">
      <w:pPr>
        <w:spacing w:before="154" w:line="212" w:lineRule="auto"/>
        <w:ind w:left="486"/>
        <w:outlineLvl w:val="2"/>
        <w:rPr>
          <w:rFonts w:hint="eastAsia" w:ascii="宋体" w:hAnsi="宋体" w:eastAsia="宋体" w:cs="宋体"/>
          <w:b/>
          <w:bCs/>
          <w:color w:val="auto"/>
          <w:spacing w:val="-7"/>
          <w:sz w:val="24"/>
          <w:szCs w:val="24"/>
          <w:highlight w:val="none"/>
        </w:rPr>
      </w:pPr>
      <w:bookmarkStart w:id="178" w:name="_Toc29229"/>
      <w:r>
        <w:rPr>
          <w:rFonts w:hint="eastAsia" w:ascii="宋体" w:hAnsi="宋体" w:eastAsia="宋体" w:cs="宋体"/>
          <w:b/>
          <w:bCs/>
          <w:color w:val="auto"/>
          <w:spacing w:val="-7"/>
          <w:sz w:val="24"/>
          <w:szCs w:val="24"/>
          <w:highlight w:val="none"/>
        </w:rPr>
        <w:t>4</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7"/>
          <w:sz w:val="24"/>
          <w:szCs w:val="24"/>
          <w:highlight w:val="none"/>
        </w:rPr>
        <w:t>．其他专用合同条款</w:t>
      </w:r>
      <w:bookmarkEnd w:id="178"/>
    </w:p>
    <w:p w14:paraId="54E7AEA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 </w:t>
      </w:r>
      <w:r>
        <w:rPr>
          <w:rFonts w:hint="eastAsia" w:ascii="宋体" w:hAnsi="宋体" w:eastAsia="宋体" w:cs="宋体"/>
          <w:bCs/>
          <w:snapToGrid w:val="0"/>
          <w:color w:val="auto"/>
          <w:kern w:val="0"/>
          <w:sz w:val="24"/>
          <w:szCs w:val="24"/>
          <w:highlight w:val="none"/>
          <w:lang w:val="en-US" w:eastAsia="zh-CN"/>
        </w:rPr>
        <w:t xml:space="preserve">专业工程分包 </w:t>
      </w:r>
    </w:p>
    <w:p w14:paraId="3816928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 </w:t>
      </w:r>
    </w:p>
    <w:p w14:paraId="2EB65E3E">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w:t>
      </w:r>
      <w:r>
        <w:rPr>
          <w:rFonts w:hint="eastAsia" w:ascii="宋体" w:hAnsi="宋体" w:eastAsia="宋体" w:cs="宋体"/>
          <w:bCs/>
          <w:snapToGrid w:val="0"/>
          <w:color w:val="auto"/>
          <w:kern w:val="0"/>
          <w:sz w:val="24"/>
          <w:szCs w:val="24"/>
          <w:highlight w:val="none"/>
          <w:lang w:val="en-US" w:eastAsia="zh-CN"/>
        </w:rPr>
        <w:t xml:space="preserve"> </w:t>
      </w:r>
      <w:r>
        <w:rPr>
          <w:rFonts w:hint="eastAsia" w:ascii="宋体" w:hAnsi="宋体" w:eastAsia="宋体" w:cs="宋体"/>
          <w:b/>
          <w:bCs w:val="0"/>
          <w:snapToGrid w:val="0"/>
          <w:color w:val="auto"/>
          <w:kern w:val="0"/>
          <w:sz w:val="24"/>
          <w:szCs w:val="24"/>
          <w:highlight w:val="none"/>
          <w:lang w:val="en-US" w:eastAsia="zh-CN"/>
        </w:rPr>
        <w:t xml:space="preserve">工人工资支付专用账户 </w:t>
      </w:r>
    </w:p>
    <w:p w14:paraId="40FC688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  </w:t>
      </w:r>
    </w:p>
    <w:p w14:paraId="2596162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 </w:t>
      </w:r>
    </w:p>
    <w:p w14:paraId="7EE2CD9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按韶关市人力资源和社会保障局、韶关市住房和城乡建设管理局、韶关市交通运输局韶关市水务局、韶关市金融工作局、国家金融监督管理总局韶关监管分局关于印发《韶关市工程建设领域农民工工资保证金管理实施细则》的通知(韶人社规〔2023〕2 号) 及《韶关市工程建设领域农民工工资保证金管理实施细则》（韶法审〔2023〕19 号）规定执行。承包人在签订工程施工承包合同后一个月内必须办妥该事项，并将办妥回执交发包人。 </w:t>
      </w:r>
    </w:p>
    <w:p w14:paraId="44FDAC8E">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 </w:t>
      </w:r>
    </w:p>
    <w:p w14:paraId="0BD3BD0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4.2.3 承包人应在工资专户开立后 2 个工作日内，将开户银行及其账号、开户协议等资料提交给发包人。 </w:t>
      </w:r>
    </w:p>
    <w:p w14:paraId="34DB5DE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（1）用人单位应当在建设项目动工前，在建设项目所在地商业银行设立工人工资支付专用账户。 </w:t>
      </w:r>
    </w:p>
    <w:p w14:paraId="63131C8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（2）用人单位应当在用工之日起 15 日内为每一位工人办理个人银行账户。</w:t>
      </w:r>
    </w:p>
    <w:p w14:paraId="148B1306">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（3）用人单位应当指定专人负责建设项目施工现场台账管理，真实、准确记录工人名册、劳务合同、劳动合同、工程进度、工时台账、劳务承包款和工人工资支付等信息， 并保存两年以上备查。 </w:t>
      </w:r>
    </w:p>
    <w:p w14:paraId="7DF8F264">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（4）用人单位应当按照“及时支付，按实结算”的原则，在规定日期前通过银行工人 工资支付专用账户将工人工资直接支付到工人的个人银行账户，并按月将工人工资支付 明细表报施工总承包单位和建设单位备案。</w:t>
      </w:r>
    </w:p>
    <w:p w14:paraId="34FC3195">
      <w:pPr>
        <w:adjustRightInd w:val="0"/>
        <w:snapToGrid w:val="0"/>
        <w:spacing w:line="440" w:lineRule="exact"/>
        <w:ind w:firstLine="480"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 用人单位未建立、保存用工管理台账，或者伪造相关台账的，按照《广东省劳动保障监察条例》第五十条的规定，由人力资源社会保障部门责令改正，并可处以二千元以上二万元以下的人民币罚款。</w:t>
      </w:r>
    </w:p>
    <w:p w14:paraId="4392A62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Cs/>
          <w:snapToGrid w:val="0"/>
          <w:color w:val="auto"/>
          <w:kern w:val="0"/>
          <w:sz w:val="24"/>
          <w:szCs w:val="24"/>
          <w:highlight w:val="none"/>
          <w:lang w:val="en-US" w:eastAsia="zh-CN"/>
        </w:rPr>
        <w:t xml:space="preserve"> 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 </w:t>
      </w:r>
    </w:p>
    <w:p w14:paraId="61348DB3">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4.3</w:t>
      </w:r>
      <w:r>
        <w:rPr>
          <w:rFonts w:hint="eastAsia" w:ascii="宋体" w:hAnsi="宋体" w:eastAsia="宋体" w:cs="宋体"/>
          <w:bCs/>
          <w:snapToGrid w:val="0"/>
          <w:color w:val="auto"/>
          <w:kern w:val="0"/>
          <w:sz w:val="24"/>
          <w:szCs w:val="24"/>
          <w:highlight w:val="none"/>
          <w:lang w:val="en-US" w:eastAsia="zh-CN"/>
        </w:rPr>
        <w:t xml:space="preserve"> 诚信登记 /</w:t>
      </w:r>
    </w:p>
    <w:p w14:paraId="78D75DE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w:t>
      </w:r>
      <w:r>
        <w:rPr>
          <w:rFonts w:hint="eastAsia" w:ascii="宋体" w:hAnsi="宋体" w:eastAsia="宋体" w:cs="宋体"/>
          <w:bCs/>
          <w:snapToGrid w:val="0"/>
          <w:color w:val="auto"/>
          <w:kern w:val="0"/>
          <w:sz w:val="24"/>
          <w:szCs w:val="24"/>
          <w:highlight w:val="none"/>
          <w:lang w:val="en-US" w:eastAsia="zh-CN"/>
        </w:rPr>
        <w:t xml:space="preserve"> 工期进度 </w:t>
      </w:r>
    </w:p>
    <w:p w14:paraId="5453241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4.4.1</w:t>
      </w:r>
      <w:r>
        <w:rPr>
          <w:rFonts w:hint="eastAsia" w:ascii="宋体" w:hAnsi="宋体" w:eastAsia="宋体" w:cs="宋体"/>
          <w:bCs/>
          <w:snapToGrid w:val="0"/>
          <w:color w:val="auto"/>
          <w:kern w:val="0"/>
          <w:sz w:val="24"/>
          <w:szCs w:val="24"/>
          <w:highlight w:val="none"/>
          <w:lang w:val="en-US" w:eastAsia="zh-CN"/>
        </w:rPr>
        <w:t xml:space="preserve"> 本招标项目施工工期为</w:t>
      </w:r>
      <w:r>
        <w:rPr>
          <w:rFonts w:hint="eastAsia" w:ascii="宋体" w:hAnsi="宋体" w:eastAsia="宋体" w:cs="宋体"/>
          <w:bCs/>
          <w:snapToGrid w:val="0"/>
          <w:color w:val="auto"/>
          <w:kern w:val="0"/>
          <w:sz w:val="24"/>
          <w:szCs w:val="24"/>
          <w:highlight w:val="none"/>
          <w:u w:val="single"/>
          <w:lang w:val="en-US" w:eastAsia="zh-CN"/>
        </w:rPr>
        <w:t>180个日历天</w:t>
      </w:r>
      <w:r>
        <w:rPr>
          <w:rFonts w:hint="eastAsia" w:ascii="宋体" w:hAnsi="宋体" w:eastAsia="宋体" w:cs="宋体"/>
          <w:bCs/>
          <w:snapToGrid w:val="0"/>
          <w:color w:val="auto"/>
          <w:kern w:val="0"/>
          <w:sz w:val="24"/>
          <w:szCs w:val="24"/>
          <w:highlight w:val="none"/>
          <w:lang w:val="en-US" w:eastAsia="zh-CN"/>
        </w:rPr>
        <w:t xml:space="preserve">，承包人必须在招标工期内完成招标范围内的全部内容。 </w:t>
      </w:r>
    </w:p>
    <w:p w14:paraId="23855B0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4.4.2</w:t>
      </w:r>
      <w:r>
        <w:rPr>
          <w:rFonts w:hint="eastAsia" w:ascii="宋体" w:hAnsi="宋体" w:eastAsia="宋体" w:cs="宋体"/>
          <w:bCs/>
          <w:snapToGrid w:val="0"/>
          <w:color w:val="auto"/>
          <w:kern w:val="0"/>
          <w:sz w:val="24"/>
          <w:szCs w:val="24"/>
          <w:highlight w:val="none"/>
          <w:lang w:val="en-US" w:eastAsia="zh-CN"/>
        </w:rPr>
        <w:t xml:space="preserve"> 施工工期从承包人收到监理单位签发的开工令之日起计，至竣工验收合格之日止。 </w:t>
      </w:r>
    </w:p>
    <w:p w14:paraId="6F05BEE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4.4.3</w:t>
      </w:r>
      <w:r>
        <w:rPr>
          <w:rFonts w:hint="eastAsia" w:ascii="宋体" w:hAnsi="宋体" w:eastAsia="宋体" w:cs="宋体"/>
          <w:bCs/>
          <w:snapToGrid w:val="0"/>
          <w:color w:val="auto"/>
          <w:kern w:val="0"/>
          <w:sz w:val="24"/>
          <w:szCs w:val="24"/>
          <w:highlight w:val="none"/>
          <w:lang w:val="en-US" w:eastAsia="zh-CN"/>
        </w:rPr>
        <w:t xml:space="preserve"> 工期奖罚 </w:t>
      </w:r>
    </w:p>
    <w:p w14:paraId="3BB590C9">
      <w:pPr>
        <w:adjustRightInd w:val="0"/>
        <w:snapToGrid w:val="0"/>
        <w:spacing w:line="440" w:lineRule="exact"/>
        <w:ind w:firstLine="480" w:firstLineChars="200"/>
        <w:rPr>
          <w:rFonts w:hint="default" w:ascii="宋体" w:hAnsi="宋体" w:eastAsia="宋体" w:cs="宋体"/>
          <w:bCs/>
          <w:snapToGrid w:val="0"/>
          <w:color w:val="auto"/>
          <w:kern w:val="0"/>
          <w:sz w:val="24"/>
          <w:szCs w:val="24"/>
          <w:highlight w:val="none"/>
          <w:u w:val="single"/>
          <w:lang w:val="en-US"/>
        </w:rPr>
      </w:pPr>
      <w:r>
        <w:rPr>
          <w:rFonts w:hint="eastAsia" w:ascii="宋体" w:hAnsi="宋体" w:eastAsia="宋体" w:cs="宋体"/>
          <w:bCs/>
          <w:snapToGrid w:val="0"/>
          <w:color w:val="auto"/>
          <w:kern w:val="0"/>
          <w:sz w:val="24"/>
          <w:szCs w:val="24"/>
          <w:highlight w:val="none"/>
          <w:lang w:val="en-US" w:eastAsia="zh-CN"/>
        </w:rPr>
        <w:t>□竣工验收合格交付使用每提前</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天竣工；奖</w:t>
      </w:r>
      <w:r>
        <w:rPr>
          <w:rFonts w:hint="eastAsia" w:ascii="宋体" w:hAnsi="宋体" w:eastAsia="宋体" w:cs="宋体"/>
          <w:bCs/>
          <w:snapToGrid w:val="0"/>
          <w:color w:val="auto"/>
          <w:kern w:val="0"/>
          <w:sz w:val="24"/>
          <w:szCs w:val="24"/>
          <w:highlight w:val="none"/>
          <w:u w:val="single"/>
          <w:lang w:val="en-US" w:eastAsia="zh-CN"/>
        </w:rPr>
        <w:t>/</w:t>
      </w:r>
    </w:p>
    <w:p w14:paraId="20D88E6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元，奖励金额不超过合同价款的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4E15628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元。 </w:t>
      </w:r>
    </w:p>
    <w:p w14:paraId="10EA615B">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□按施工合同期约定,因承包人原因延误工期</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天内不处罚， 自第壹天起每延误</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天竣工,罚元。处罚金额不超过合同价款的</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%（一般为 2%～5%）且不超过万元，累计延误工期达到</w:t>
      </w:r>
      <w:r>
        <w:rPr>
          <w:rFonts w:hint="eastAsia" w:ascii="宋体" w:hAnsi="宋体" w:eastAsia="宋体" w:cs="宋体"/>
          <w:bCs/>
          <w:snapToGrid w:val="0"/>
          <w:color w:val="auto"/>
          <w:kern w:val="0"/>
          <w:sz w:val="24"/>
          <w:szCs w:val="24"/>
          <w:highlight w:val="none"/>
          <w:u w:val="single"/>
          <w:lang w:val="en-US" w:eastAsia="zh-CN"/>
        </w:rPr>
        <w:t>/</w:t>
      </w:r>
      <w:r>
        <w:rPr>
          <w:rFonts w:hint="eastAsia" w:ascii="宋体" w:hAnsi="宋体" w:eastAsia="宋体" w:cs="宋体"/>
          <w:bCs/>
          <w:snapToGrid w:val="0"/>
          <w:color w:val="auto"/>
          <w:kern w:val="0"/>
          <w:sz w:val="24"/>
          <w:szCs w:val="24"/>
          <w:highlight w:val="none"/>
          <w:lang w:val="en-US" w:eastAsia="zh-CN"/>
        </w:rPr>
        <w:t xml:space="preserve">天，报请建设行政主管部门作不良行为记录，非承包方原因或不可抗力造成延误的除外。 </w:t>
      </w:r>
    </w:p>
    <w:p w14:paraId="0EE3583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☑其它说明：（1）因承包人原因，工程没有按期竣工时，承包人须在逾期第壹天起每天按合同价的 1‰ 向发包人返纳逾期竣工违约金。逾期竣工违约金的最高限额为合同价款的3%。</w:t>
      </w:r>
    </w:p>
    <w:p w14:paraId="59C9751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2）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14:paraId="2988B5F8">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（3）承包人在进场后7天内提交施工进度计划，并注明主要施工节点时间，送监理单位及发包人审核后，作为工期考核的阶段性指标。</w:t>
      </w:r>
    </w:p>
    <w:p w14:paraId="09C6C3A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w:t>
      </w:r>
      <w:r>
        <w:rPr>
          <w:rFonts w:hint="eastAsia" w:ascii="宋体" w:hAnsi="宋体" w:eastAsia="宋体" w:cs="宋体"/>
          <w:bCs/>
          <w:snapToGrid w:val="0"/>
          <w:color w:val="auto"/>
          <w:kern w:val="0"/>
          <w:sz w:val="24"/>
          <w:szCs w:val="24"/>
          <w:highlight w:val="none"/>
          <w:lang w:val="en-US" w:eastAsia="zh-CN"/>
        </w:rPr>
        <w:t xml:space="preserve"> 项目管理机构 </w:t>
      </w:r>
    </w:p>
    <w:p w14:paraId="29BDD3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4.5.1</w:t>
      </w:r>
      <w:r>
        <w:rPr>
          <w:rFonts w:hint="eastAsia" w:ascii="宋体" w:hAnsi="宋体" w:eastAsia="宋体" w:cs="宋体"/>
          <w:bCs/>
          <w:snapToGrid w:val="0"/>
          <w:color w:val="auto"/>
          <w:kern w:val="0"/>
          <w:sz w:val="24"/>
          <w:szCs w:val="24"/>
          <w:highlight w:val="none"/>
          <w:lang w:val="en-US" w:eastAsia="zh-CN"/>
        </w:rPr>
        <w:t xml:space="preserve"> 承包人派驻的项目管理班子成员必须为其投标文件确定的人员，否则发包人有权终止合同。 </w:t>
      </w:r>
    </w:p>
    <w:p w14:paraId="1122052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4.5.2</w:t>
      </w:r>
      <w:r>
        <w:rPr>
          <w:rFonts w:hint="eastAsia" w:ascii="宋体" w:hAnsi="宋体" w:eastAsia="宋体" w:cs="宋体"/>
          <w:bCs/>
          <w:snapToGrid w:val="0"/>
          <w:color w:val="auto"/>
          <w:kern w:val="0"/>
          <w:sz w:val="24"/>
          <w:szCs w:val="24"/>
          <w:highlight w:val="none"/>
          <w:lang w:val="en-US" w:eastAsia="zh-CN"/>
        </w:rPr>
        <w:t xml:space="preserve"> 项目管理班子成员不得擅自变更。其中，项目经理若有《广东省住房和城乡建设厅关于建设工程项目招标中标后监督检查的办法》（粤建市〔2009〕8 号，以下简称“《办法》”）第九条所述除外情形之一确需变更的，承包人应填写《建设工程项目管理班子变更情况报告表》（《办法》附件 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 </w:t>
      </w:r>
    </w:p>
    <w:p w14:paraId="47BEC3C1">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w:t>
      </w:r>
      <w:r>
        <w:rPr>
          <w:rFonts w:hint="eastAsia" w:ascii="宋体" w:hAnsi="宋体" w:eastAsia="宋体" w:cs="宋体"/>
          <w:bCs/>
          <w:snapToGrid w:val="0"/>
          <w:color w:val="auto"/>
          <w:kern w:val="0"/>
          <w:sz w:val="24"/>
          <w:szCs w:val="24"/>
          <w:highlight w:val="none"/>
          <w:lang w:val="en-US" w:eastAsia="zh-CN"/>
        </w:rPr>
        <w:t xml:space="preserve"> 现场管理 </w:t>
      </w:r>
    </w:p>
    <w:p w14:paraId="069D26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4.6.1</w:t>
      </w:r>
      <w:r>
        <w:rPr>
          <w:rFonts w:hint="eastAsia" w:ascii="宋体" w:hAnsi="宋体" w:eastAsia="宋体" w:cs="宋体"/>
          <w:bCs/>
          <w:snapToGrid w:val="0"/>
          <w:color w:val="auto"/>
          <w:kern w:val="0"/>
          <w:sz w:val="24"/>
          <w:szCs w:val="24"/>
          <w:highlight w:val="none"/>
          <w:lang w:val="en-US" w:eastAsia="zh-CN"/>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 </w:t>
      </w:r>
    </w:p>
    <w:p w14:paraId="10D28C8B">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4.6.2</w:t>
      </w:r>
      <w:r>
        <w:rPr>
          <w:rFonts w:hint="eastAsia" w:ascii="宋体" w:hAnsi="宋体" w:eastAsia="宋体" w:cs="宋体"/>
          <w:bCs/>
          <w:snapToGrid w:val="0"/>
          <w:color w:val="auto"/>
          <w:kern w:val="0"/>
          <w:sz w:val="24"/>
          <w:szCs w:val="24"/>
          <w:highlight w:val="none"/>
          <w:lang w:val="en-US" w:eastAsia="zh-CN"/>
        </w:rPr>
        <w:t xml:space="preserve"> 承包人应按安全施工有关规定，采取严格、科学的安全防护措施，确保施工和人员（包括第三者）的安全，承担由于自身安全防护措施不力所造成的安全事故责任和发生的费用。 </w:t>
      </w:r>
    </w:p>
    <w:p w14:paraId="17733AC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4.6.3</w:t>
      </w:r>
      <w:r>
        <w:rPr>
          <w:rFonts w:hint="eastAsia" w:ascii="宋体" w:hAnsi="宋体" w:eastAsia="宋体" w:cs="宋体"/>
          <w:bCs/>
          <w:snapToGrid w:val="0"/>
          <w:color w:val="auto"/>
          <w:kern w:val="0"/>
          <w:sz w:val="24"/>
          <w:szCs w:val="24"/>
          <w:highlight w:val="none"/>
          <w:lang w:val="en-US" w:eastAsia="zh-CN"/>
        </w:rPr>
        <w:t xml:space="preserve"> 为保证施工现场的环境卫生，承包人在本招标项目施工过程中，所有的车辆必须按发包人规定的行车路线行驶。 </w:t>
      </w:r>
    </w:p>
    <w:p w14:paraId="070720B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4.7</w:t>
      </w:r>
      <w:r>
        <w:rPr>
          <w:rFonts w:hint="eastAsia" w:ascii="宋体" w:hAnsi="宋体" w:eastAsia="宋体" w:cs="宋体"/>
          <w:bCs/>
          <w:snapToGrid w:val="0"/>
          <w:color w:val="auto"/>
          <w:kern w:val="0"/>
          <w:sz w:val="24"/>
          <w:szCs w:val="24"/>
          <w:highlight w:val="none"/>
          <w:lang w:val="en-US" w:eastAsia="zh-CN"/>
        </w:rPr>
        <w:t xml:space="preserve"> 监督实施 </w:t>
      </w:r>
    </w:p>
    <w:p w14:paraId="51B9B6B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须服从发包人对工程质量、进度、成本的全方位监督，施工中的年度计划、季度计划、月度计划、施工方案等应报送监理单位审批和发包人备案。施工中的质量保措施等资料均应及时报送监理单位和发包人备案。 </w:t>
      </w:r>
    </w:p>
    <w:p w14:paraId="2EF9F2E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4.8</w:t>
      </w:r>
      <w:r>
        <w:rPr>
          <w:rFonts w:hint="eastAsia" w:ascii="宋体" w:hAnsi="宋体" w:eastAsia="宋体" w:cs="宋体"/>
          <w:bCs/>
          <w:snapToGrid w:val="0"/>
          <w:color w:val="auto"/>
          <w:kern w:val="0"/>
          <w:sz w:val="24"/>
          <w:szCs w:val="24"/>
          <w:highlight w:val="none"/>
          <w:lang w:val="en-US" w:eastAsia="zh-CN"/>
        </w:rPr>
        <w:t xml:space="preserve"> 主材的采购和使用 </w:t>
      </w:r>
    </w:p>
    <w:p w14:paraId="16261CF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 </w:t>
      </w:r>
    </w:p>
    <w:p w14:paraId="65B2F5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4.9 </w:t>
      </w:r>
      <w:r>
        <w:rPr>
          <w:rFonts w:hint="eastAsia" w:ascii="宋体" w:hAnsi="宋体" w:eastAsia="宋体" w:cs="宋体"/>
          <w:bCs/>
          <w:snapToGrid w:val="0"/>
          <w:color w:val="auto"/>
          <w:kern w:val="0"/>
          <w:sz w:val="24"/>
          <w:szCs w:val="24"/>
          <w:highlight w:val="none"/>
          <w:lang w:val="en-US" w:eastAsia="zh-CN"/>
        </w:rPr>
        <w:t xml:space="preserve">竣工资料移交 </w:t>
      </w:r>
    </w:p>
    <w:p w14:paraId="5323BC6A">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项目竣工验收时，承包人应向监理单位和发包人提供符合国家档案部门备案要求的，编制成册的竣工图及有关的技术档案资料（含声像档案）一式份。 </w:t>
      </w:r>
    </w:p>
    <w:p w14:paraId="6BAE596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w:t>
      </w:r>
      <w:r>
        <w:rPr>
          <w:rFonts w:hint="eastAsia" w:ascii="宋体" w:hAnsi="宋体" w:eastAsia="宋体" w:cs="宋体"/>
          <w:bCs/>
          <w:snapToGrid w:val="0"/>
          <w:color w:val="auto"/>
          <w:kern w:val="0"/>
          <w:sz w:val="24"/>
          <w:szCs w:val="24"/>
          <w:highlight w:val="none"/>
          <w:lang w:val="en-US" w:eastAsia="zh-CN"/>
        </w:rPr>
        <w:t xml:space="preserve"> 质量保证</w:t>
      </w:r>
    </w:p>
    <w:p w14:paraId="6B2E1FB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4.10.1</w:t>
      </w:r>
      <w:r>
        <w:rPr>
          <w:rFonts w:hint="eastAsia" w:ascii="宋体" w:hAnsi="宋体" w:eastAsia="宋体" w:cs="宋体"/>
          <w:bCs/>
          <w:snapToGrid w:val="0"/>
          <w:color w:val="auto"/>
          <w:kern w:val="0"/>
          <w:sz w:val="24"/>
          <w:szCs w:val="24"/>
          <w:highlight w:val="none"/>
          <w:lang w:val="en-US" w:eastAsia="zh-CN"/>
        </w:rPr>
        <w:t xml:space="preserve"> 本招标项目缺陷责任期为</w:t>
      </w:r>
      <w:r>
        <w:rPr>
          <w:rFonts w:hint="eastAsia" w:ascii="宋体" w:hAnsi="宋体" w:eastAsia="宋体" w:cs="宋体"/>
          <w:bCs/>
          <w:snapToGrid w:val="0"/>
          <w:color w:val="auto"/>
          <w:kern w:val="0"/>
          <w:sz w:val="24"/>
          <w:szCs w:val="24"/>
          <w:highlight w:val="none"/>
          <w:u w:val="single"/>
          <w:lang w:val="en-US" w:eastAsia="zh-CN"/>
        </w:rPr>
        <w:t>2</w:t>
      </w:r>
      <w:r>
        <w:rPr>
          <w:rFonts w:hint="eastAsia" w:ascii="宋体" w:hAnsi="宋体" w:eastAsia="宋体" w:cs="宋体"/>
          <w:bCs/>
          <w:snapToGrid w:val="0"/>
          <w:color w:val="auto"/>
          <w:kern w:val="0"/>
          <w:sz w:val="24"/>
          <w:szCs w:val="24"/>
          <w:highlight w:val="none"/>
          <w:lang w:val="en-US" w:eastAsia="zh-CN"/>
        </w:rPr>
        <w:t>年（自通过竣工验收之日起计），在此期间预留金额为结算价</w:t>
      </w:r>
      <w:r>
        <w:rPr>
          <w:rFonts w:hint="eastAsia" w:ascii="宋体" w:hAnsi="宋体" w:eastAsia="宋体" w:cs="宋体"/>
          <w:bCs/>
          <w:snapToGrid w:val="0"/>
          <w:color w:val="auto"/>
          <w:kern w:val="0"/>
          <w:sz w:val="24"/>
          <w:szCs w:val="24"/>
          <w:highlight w:val="none"/>
          <w:u w:val="single"/>
          <w:lang w:val="en-US" w:eastAsia="zh-CN"/>
        </w:rPr>
        <w:t>3%</w:t>
      </w:r>
      <w:r>
        <w:rPr>
          <w:rFonts w:hint="eastAsia" w:ascii="宋体" w:hAnsi="宋体" w:eastAsia="宋体" w:cs="宋体"/>
          <w:bCs/>
          <w:snapToGrid w:val="0"/>
          <w:color w:val="auto"/>
          <w:kern w:val="0"/>
          <w:sz w:val="24"/>
          <w:szCs w:val="24"/>
          <w:highlight w:val="none"/>
          <w:lang w:val="en-US" w:eastAsia="zh-CN"/>
        </w:rPr>
        <w:t xml:space="preserve">的质量保证。 </w:t>
      </w:r>
    </w:p>
    <w:p w14:paraId="3A99F327">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4.10.2</w:t>
      </w:r>
      <w:r>
        <w:rPr>
          <w:rFonts w:hint="eastAsia" w:ascii="宋体" w:hAnsi="宋体" w:eastAsia="宋体" w:cs="宋体"/>
          <w:bCs/>
          <w:snapToGrid w:val="0"/>
          <w:color w:val="auto"/>
          <w:kern w:val="0"/>
          <w:sz w:val="24"/>
          <w:szCs w:val="24"/>
          <w:highlight w:val="none"/>
          <w:lang w:val="en-US" w:eastAsia="zh-CN"/>
        </w:rPr>
        <w:t xml:space="preserve"> 质量保证的形式包括质量保证金、质量保证担保、质量保证保险三种，由承包人自主选择。 </w:t>
      </w:r>
    </w:p>
    <w:p w14:paraId="5D920F1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（1）采用质量保证金形式的，在结清审定总造价时一次性扣留相应金额作为质量保证金。 </w:t>
      </w:r>
    </w:p>
    <w:p w14:paraId="1AD697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14:paraId="1730509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4.10.3</w:t>
      </w:r>
      <w:r>
        <w:rPr>
          <w:rFonts w:hint="eastAsia" w:ascii="宋体" w:hAnsi="宋体" w:eastAsia="宋体" w:cs="宋体"/>
          <w:bCs/>
          <w:snapToGrid w:val="0"/>
          <w:color w:val="auto"/>
          <w:kern w:val="0"/>
          <w:sz w:val="24"/>
          <w:szCs w:val="24"/>
          <w:highlight w:val="none"/>
          <w:lang w:val="en-US" w:eastAsia="zh-CN"/>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 </w:t>
      </w:r>
    </w:p>
    <w:p w14:paraId="08CB7003">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由他人原因造成的缺陷，发包人负责组织维修，承包人不承担费用，且发包人不得从质量保证中扣除费用。 </w:t>
      </w:r>
    </w:p>
    <w:p w14:paraId="0D58C84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4.10.4</w:t>
      </w:r>
      <w:r>
        <w:rPr>
          <w:rFonts w:hint="eastAsia" w:ascii="宋体" w:hAnsi="宋体" w:eastAsia="宋体" w:cs="宋体"/>
          <w:bCs/>
          <w:snapToGrid w:val="0"/>
          <w:color w:val="auto"/>
          <w:kern w:val="0"/>
          <w:sz w:val="24"/>
          <w:szCs w:val="24"/>
          <w:highlight w:val="none"/>
          <w:lang w:val="en-US" w:eastAsia="zh-CN"/>
        </w:rPr>
        <w:t xml:space="preserve"> 缺陷责任期内，承包人应认真履行合同约定的责任。缺陷责任期到期后，承包人向发包人申请退还质量保证，发包人应按照《建设工程质量保证金管理办法》有关规定将质量保证退还给承包人。  </w:t>
      </w:r>
    </w:p>
    <w:p w14:paraId="10A1CAC9">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4.11</w:t>
      </w:r>
      <w:r>
        <w:rPr>
          <w:rFonts w:hint="eastAsia" w:ascii="宋体" w:hAnsi="宋体" w:eastAsia="宋体" w:cs="宋体"/>
          <w:bCs/>
          <w:snapToGrid w:val="0"/>
          <w:color w:val="auto"/>
          <w:kern w:val="0"/>
          <w:sz w:val="24"/>
          <w:szCs w:val="24"/>
          <w:highlight w:val="none"/>
          <w:lang w:val="en-US" w:eastAsia="zh-CN"/>
        </w:rPr>
        <w:t xml:space="preserve"> 不良行为处理 </w:t>
      </w:r>
    </w:p>
    <w:p w14:paraId="123021E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及其有关人员有下列行为之一的，发包人应及时向建设行政主管部门报告。除按照有关法律、法规进行处罚外，不良行为将计入企业及有关个人诚信档案，并在韶关市住房和城乡建设管理局网站（http://zgj.sg.gov.cn）公示。 </w:t>
      </w:r>
    </w:p>
    <w:p w14:paraId="0937845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（1）转包、违法分包或违反投标承诺分包工程的； </w:t>
      </w:r>
    </w:p>
    <w:p w14:paraId="63B86F2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（2）非原参加投标中标的项目经理负责组织施工或在实施过程中擅自更换项目经理的、项目的其他主要管理人员与中标文件确定的人员不相符的；</w:t>
      </w:r>
    </w:p>
    <w:p w14:paraId="61FB760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（3）投标文件确定的大型机械设备没有进入施工现场的； </w:t>
      </w:r>
    </w:p>
    <w:p w14:paraId="119C6BA7">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（4）与建设单位、监理单位串通，签认虚假工程量或工程造价的； </w:t>
      </w:r>
    </w:p>
    <w:p w14:paraId="3B141AD1">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（5）项目经理施工现场管理不到位的； </w:t>
      </w:r>
    </w:p>
    <w:p w14:paraId="7D64282D">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（6）项目经理在非本人资格证书注册单位从事工程项目施工管理的； </w:t>
      </w:r>
    </w:p>
    <w:p w14:paraId="3F15E956">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（7）项目经理同时承担超过一项工程项目的； </w:t>
      </w:r>
    </w:p>
    <w:p w14:paraId="48708BC2">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（8）违反有关法律、法规、规章规定的其它行为。 </w:t>
      </w:r>
    </w:p>
    <w:p w14:paraId="50664A1C">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4.12 </w:t>
      </w:r>
      <w:r>
        <w:rPr>
          <w:rFonts w:hint="eastAsia" w:ascii="宋体" w:hAnsi="宋体" w:eastAsia="宋体" w:cs="宋体"/>
          <w:bCs/>
          <w:snapToGrid w:val="0"/>
          <w:color w:val="auto"/>
          <w:kern w:val="0"/>
          <w:sz w:val="24"/>
          <w:szCs w:val="24"/>
          <w:highlight w:val="none"/>
          <w:lang w:val="en-US" w:eastAsia="zh-CN"/>
        </w:rPr>
        <w:t xml:space="preserve">信用评价条款内容 </w:t>
      </w:r>
    </w:p>
    <w:p w14:paraId="6E91B1FC">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由发包人决定是否对施工单位的履约情况进行信用评价。若进行信用评价，评价条款由发包人自拟，条款内容可参考人员到位情况、服务配合程度、服务成果质量、项目后期服务及信用评价结果的运用等。 </w:t>
      </w:r>
    </w:p>
    <w:p w14:paraId="60480FE6">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4.13</w:t>
      </w:r>
      <w:r>
        <w:rPr>
          <w:rFonts w:hint="eastAsia" w:ascii="宋体" w:hAnsi="宋体" w:eastAsia="宋体" w:cs="宋体"/>
          <w:bCs/>
          <w:snapToGrid w:val="0"/>
          <w:color w:val="auto"/>
          <w:kern w:val="0"/>
          <w:sz w:val="24"/>
          <w:szCs w:val="24"/>
          <w:highlight w:val="none"/>
          <w:lang w:val="en-US" w:eastAsia="zh-CN"/>
        </w:rPr>
        <w:t xml:space="preserve"> 危险性较大的分部分项工程安全管理约定 。对危险性较大的工程必须按《危险性较大的分部分项工程安全管理规定》（中华人民共和国住房和城乡建设部令第37号）的规定编制专项施工方案。同时，从承包人必须按照《危险性较大的分部分项工程安全管理规定》的规定和经审批的专项施工方案履行安全职责，严格执行国家、地方政府有关施工安全管理方面的法律、法规及规章制度，同时严格执行发包人制订的本项目安全生产管理方面的规章制度、安全检查程序及施工安全管理要求，以及监理人有关安全工作的指令。 </w:t>
      </w:r>
    </w:p>
    <w:p w14:paraId="64786CF9">
      <w:pPr>
        <w:adjustRightInd w:val="0"/>
        <w:snapToGrid w:val="0"/>
        <w:spacing w:line="440" w:lineRule="exact"/>
        <w:ind w:firstLine="480"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 xml:space="preserve">承包人应根据《危险性较大的分部分项工程安全管理规定》（住房城乡建设部令第 37 号）、《住房城乡建设部办公厅关于实施&lt;危险性较大的分部分项工程安全管理规定&gt;有关问题的通知》（建办质〔2018〕31 号）、《广东省住房和城乡建设厅关于房屋市政工程危险性较大的分部分项工程安全管理的实施细则的通知》(粤建规范〔2019〕2 号) 和《广东省安全生产委员会办公室 广东省住房和城乡建设厅关于&lt;严格落实危险性较大的分部分项工程“六不施工”要求的通知&gt;》（粤安办〔2020〕151 号）等有关危险性较大的分部分项工程的法规规定通知，履行建设工程安全生产管理职责。 </w:t>
      </w:r>
    </w:p>
    <w:p w14:paraId="28025C0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4.14</w:t>
      </w:r>
      <w:r>
        <w:rPr>
          <w:rFonts w:hint="eastAsia" w:ascii="宋体" w:hAnsi="宋体" w:eastAsia="宋体" w:cs="宋体"/>
          <w:bCs/>
          <w:snapToGrid w:val="0"/>
          <w:color w:val="auto"/>
          <w:kern w:val="0"/>
          <w:sz w:val="24"/>
          <w:szCs w:val="24"/>
          <w:highlight w:val="none"/>
          <w:lang w:val="en-US" w:eastAsia="zh-CN"/>
        </w:rPr>
        <w:t xml:space="preserve"> 承包人在工程实施过程中，按照国家、省、市的相关规定制定相关的专项安全施工方案（如高支模、基坑支护、沉井等），编制专项施工方案报监理人、发包人审批后方可开展专项工程的施工。 </w:t>
      </w:r>
    </w:p>
    <w:p w14:paraId="53E0767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4.15</w:t>
      </w:r>
      <w:r>
        <w:rPr>
          <w:rFonts w:hint="eastAsia" w:ascii="宋体" w:hAnsi="宋体" w:eastAsia="宋体" w:cs="宋体"/>
          <w:bCs/>
          <w:snapToGrid w:val="0"/>
          <w:color w:val="auto"/>
          <w:kern w:val="0"/>
          <w:sz w:val="24"/>
          <w:szCs w:val="24"/>
          <w:highlight w:val="none"/>
          <w:lang w:val="en-US" w:eastAsia="zh-CN"/>
        </w:rPr>
        <w:t xml:space="preserve"> 承包人须按照《韶关市建筑垃圾管理条例》（2021 年 5 月 1 日起施行），将弃土运至发包人指定的场所，否则发包人有权要求承包人无条件将弃土从违约弃土点运至发包人指定的场所并扣除违约金人民币</w:t>
      </w:r>
      <w:r>
        <w:rPr>
          <w:rFonts w:hint="eastAsia" w:ascii="宋体" w:hAnsi="宋体" w:eastAsia="宋体" w:cs="宋体"/>
          <w:color w:val="auto"/>
          <w:kern w:val="2"/>
          <w:sz w:val="24"/>
          <w:szCs w:val="24"/>
          <w:highlight w:val="none"/>
          <w:u w:val="single"/>
          <w:shd w:val="clear" w:color="auto" w:fill="FFFFFF"/>
          <w:lang w:val="en-US" w:eastAsia="zh-CN" w:bidi="ar-SA"/>
        </w:rPr>
        <w:t xml:space="preserve"> 壹 </w:t>
      </w:r>
      <w:r>
        <w:rPr>
          <w:rFonts w:hint="eastAsia" w:ascii="宋体" w:hAnsi="宋体" w:eastAsia="宋体" w:cs="宋体"/>
          <w:bCs/>
          <w:snapToGrid w:val="0"/>
          <w:color w:val="auto"/>
          <w:kern w:val="0"/>
          <w:sz w:val="24"/>
          <w:szCs w:val="24"/>
          <w:highlight w:val="none"/>
          <w:lang w:val="en-US" w:eastAsia="zh-CN"/>
        </w:rPr>
        <w:t xml:space="preserve">万元/次。承包人对建筑垃圾须按《韶关市建筑垃圾管理条例》（2021 年 5 月 1 日起施行）的相关规定进行排放和运输，投标人在投标报价时综合考虑在报价内。承包人应在施工现场建立洗车槽和临时排水系统等确保外运车辆（土方运输车辆应符合韶关市相关规定）不带泥上路，投标人在投标报价时综合考虑在报价内，发包人不另行支付该部分费用）。建设单位、施工单位应当在施工工地出入口显著位置公示建筑垃圾处理方案主要信息，包括建设工程垃圾种类、产生量、外运处置去向等信息及各相关单位名称、联系人及联系电话等。 </w:t>
      </w:r>
    </w:p>
    <w:p w14:paraId="6E43280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4.16 </w:t>
      </w:r>
      <w:r>
        <w:rPr>
          <w:rFonts w:hint="eastAsia" w:ascii="宋体" w:hAnsi="宋体" w:eastAsia="宋体" w:cs="宋体"/>
          <w:bCs/>
          <w:snapToGrid w:val="0"/>
          <w:color w:val="auto"/>
          <w:kern w:val="0"/>
          <w:sz w:val="24"/>
          <w:szCs w:val="24"/>
          <w:highlight w:val="none"/>
          <w:lang w:val="en-US" w:eastAsia="zh-CN"/>
        </w:rPr>
        <w:t xml:space="preserve">工程竣工验收后 15 日内，承包人应按市城建档案馆的要求（质量、数量），将编制成册的施工档案资料（含声像档案和电子档案）提供给发包人、市城建档案馆、市住建管理局、管养单位及监理单位，并承担档案涉及的所有费用（制作标准和相关要求按市城建档案馆的有关规定执行）。承包人提交符合城建档案馆要求的竣工资料经发包人确认签收后，即可办理工程结算手续。 </w:t>
      </w:r>
    </w:p>
    <w:p w14:paraId="350F8A6A">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4.17</w:t>
      </w:r>
      <w:r>
        <w:rPr>
          <w:rFonts w:hint="eastAsia" w:ascii="宋体" w:hAnsi="宋体" w:eastAsia="宋体" w:cs="宋体"/>
          <w:bCs/>
          <w:snapToGrid w:val="0"/>
          <w:color w:val="auto"/>
          <w:kern w:val="0"/>
          <w:sz w:val="24"/>
          <w:szCs w:val="24"/>
          <w:highlight w:val="none"/>
          <w:lang w:val="en-US" w:eastAsia="zh-CN"/>
        </w:rPr>
        <w:t xml:space="preserve"> 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w:t>
      </w:r>
    </w:p>
    <w:p w14:paraId="201BAC2F">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 xml:space="preserve">4.17.1 </w:t>
      </w:r>
      <w:r>
        <w:rPr>
          <w:rFonts w:hint="eastAsia" w:ascii="宋体" w:hAnsi="宋体" w:eastAsia="宋体" w:cs="宋体"/>
          <w:bCs/>
          <w:snapToGrid w:val="0"/>
          <w:color w:val="auto"/>
          <w:kern w:val="0"/>
          <w:sz w:val="24"/>
          <w:szCs w:val="24"/>
          <w:highlight w:val="none"/>
          <w:lang w:val="en-US" w:eastAsia="zh-CN"/>
        </w:rPr>
        <w:t>承包人在施工阶段应做好水土保持工作，相关费用承包人自行考虑在投标报价中。</w:t>
      </w:r>
    </w:p>
    <w:p w14:paraId="5C1CBB15">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4.18</w:t>
      </w:r>
      <w:r>
        <w:rPr>
          <w:rFonts w:hint="eastAsia" w:ascii="宋体" w:hAnsi="宋体" w:eastAsia="宋体" w:cs="宋体"/>
          <w:bCs/>
          <w:snapToGrid w:val="0"/>
          <w:color w:val="auto"/>
          <w:kern w:val="0"/>
          <w:sz w:val="24"/>
          <w:szCs w:val="24"/>
          <w:highlight w:val="none"/>
          <w:lang w:val="en-US" w:eastAsia="zh-CN"/>
        </w:rPr>
        <w:t xml:space="preserve"> 承包人中标后必须按规定及时缴交工人工资保证金、环保噪声排污费等。 </w:t>
      </w:r>
    </w:p>
    <w:p w14:paraId="24255D5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4.19</w:t>
      </w:r>
      <w:r>
        <w:rPr>
          <w:rFonts w:hint="eastAsia" w:ascii="宋体" w:hAnsi="宋体" w:eastAsia="宋体" w:cs="宋体"/>
          <w:bCs/>
          <w:snapToGrid w:val="0"/>
          <w:color w:val="auto"/>
          <w:kern w:val="0"/>
          <w:sz w:val="24"/>
          <w:szCs w:val="24"/>
          <w:highlight w:val="none"/>
          <w:lang w:val="en-US" w:eastAsia="zh-CN"/>
        </w:rPr>
        <w:t xml:space="preserve"> 工程质量保修期按《中华人民共和国建筑法》、《建设工程质量管理条例》等相关规定实施。 </w:t>
      </w:r>
    </w:p>
    <w:p w14:paraId="01712E4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4.20</w:t>
      </w:r>
      <w:r>
        <w:rPr>
          <w:rFonts w:hint="eastAsia" w:ascii="宋体" w:hAnsi="宋体" w:eastAsia="宋体" w:cs="宋体"/>
          <w:bCs/>
          <w:snapToGrid w:val="0"/>
          <w:color w:val="auto"/>
          <w:kern w:val="0"/>
          <w:sz w:val="24"/>
          <w:szCs w:val="24"/>
          <w:highlight w:val="none"/>
          <w:lang w:val="en-US" w:eastAsia="zh-CN"/>
        </w:rPr>
        <w:t xml:space="preserve"> 如项目实施过程中发生了工程变更及工程签证，承包人需根据发包人发布的《工程变更管理办法》和《工程签证管理办法》完善工程变更签证相关程序。 </w:t>
      </w:r>
    </w:p>
    <w:p w14:paraId="5093B6E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lang w:val="en-US" w:eastAsia="zh-CN"/>
        </w:rPr>
        <w:t>4.21</w:t>
      </w:r>
      <w:r>
        <w:rPr>
          <w:rFonts w:hint="eastAsia" w:ascii="宋体" w:hAnsi="宋体" w:eastAsia="宋体" w:cs="宋体"/>
          <w:bCs/>
          <w:snapToGrid w:val="0"/>
          <w:color w:val="auto"/>
          <w:kern w:val="0"/>
          <w:sz w:val="24"/>
          <w:szCs w:val="24"/>
          <w:highlight w:val="none"/>
          <w:lang w:val="en-US" w:eastAsia="zh-CN"/>
        </w:rPr>
        <w:t xml:space="preserve"> 承包人需按相关规定要求，设置本工程符合相关要求的永久性标牌及规划公示牌，投标人在投标报价时综合考虑在报价内，发包人不另行支付该部分费用。 </w:t>
      </w:r>
    </w:p>
    <w:p w14:paraId="26BA7A8D">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4.22</w:t>
      </w:r>
      <w:r>
        <w:rPr>
          <w:rFonts w:hint="eastAsia" w:ascii="宋体" w:hAnsi="宋体" w:eastAsia="宋体" w:cs="宋体"/>
          <w:bCs/>
          <w:snapToGrid w:val="0"/>
          <w:color w:val="auto"/>
          <w:kern w:val="0"/>
          <w:sz w:val="24"/>
          <w:szCs w:val="24"/>
          <w:highlight w:val="none"/>
          <w:lang w:val="en-US" w:eastAsia="zh-CN"/>
        </w:rPr>
        <w:t xml:space="preserve"> 承包人应按韶关市住房和城乡建设管理局、韶关市人力资源和社会保障局等职能部门对用工实名制的相关规定,落实工人及相关软硬件设施要求。</w:t>
      </w:r>
    </w:p>
    <w:p w14:paraId="75DBFEC8">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w:t>
      </w:r>
      <w:r>
        <w:rPr>
          <w:rFonts w:hint="eastAsia" w:ascii="宋体" w:hAnsi="宋体" w:eastAsia="宋体" w:cs="宋体"/>
          <w:bCs/>
          <w:snapToGrid w:val="0"/>
          <w:color w:val="auto"/>
          <w:kern w:val="0"/>
          <w:sz w:val="24"/>
          <w:szCs w:val="24"/>
          <w:highlight w:val="none"/>
          <w:lang w:val="en-US" w:eastAsia="zh-CN"/>
        </w:rPr>
        <w:t xml:space="preserve"> 质量违约</w:t>
      </w:r>
    </w:p>
    <w:p w14:paraId="4C10CC80">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w:t>
      </w:r>
      <w:r>
        <w:rPr>
          <w:rFonts w:hint="eastAsia" w:ascii="宋体" w:hAnsi="宋体" w:eastAsia="宋体" w:cs="宋体"/>
          <w:bCs/>
          <w:snapToGrid w:val="0"/>
          <w:color w:val="auto"/>
          <w:kern w:val="0"/>
          <w:sz w:val="24"/>
          <w:szCs w:val="24"/>
          <w:highlight w:val="none"/>
          <w:lang w:val="en-US" w:eastAsia="zh-CN"/>
        </w:rPr>
        <w:t xml:space="preserve">材料违约处理：若发现材料不符合国家标准或发包人在技术规范中规定的标准， </w:t>
      </w:r>
    </w:p>
    <w:p w14:paraId="484BD5F3">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视为承包人违约，按现行《建设工程质量管理条例》处理。 </w:t>
      </w:r>
    </w:p>
    <w:p w14:paraId="1C688EB2">
      <w:pPr>
        <w:adjustRightInd w:val="0"/>
        <w:snapToGrid w:val="0"/>
        <w:spacing w:line="440" w:lineRule="exact"/>
        <w:ind w:firstLine="482" w:firstLineChars="20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4.23.1.1</w:t>
      </w:r>
      <w:r>
        <w:rPr>
          <w:rFonts w:hint="eastAsia" w:ascii="宋体" w:hAnsi="宋体" w:eastAsia="宋体" w:cs="宋体"/>
          <w:bCs/>
          <w:snapToGrid w:val="0"/>
          <w:color w:val="auto"/>
          <w:kern w:val="0"/>
          <w:sz w:val="24"/>
          <w:szCs w:val="24"/>
          <w:highlight w:val="none"/>
          <w:lang w:val="en-US" w:eastAsia="zh-CN"/>
        </w:rPr>
        <w:t xml:space="preserve"> 成品采购项目在采购前，承包人必须先行书面征求监理人、发包人的同意并 </w:t>
      </w:r>
    </w:p>
    <w:p w14:paraId="5ECE507A">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 xml:space="preserve">一起看样定版后方能实施。未经监理人、发包人同意擅自先行采购和实施的，否则因不符 </w:t>
      </w:r>
    </w:p>
    <w:p w14:paraId="1B3D9443">
      <w:pPr>
        <w:adjustRightInd w:val="0"/>
        <w:snapToGrid w:val="0"/>
        <w:spacing w:line="440" w:lineRule="exact"/>
        <w:ind w:left="0" w:leftChars="0" w:firstLine="0" w:firstLineChars="0"/>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合设计要求返工造成的费用由承包人承担。</w:t>
      </w:r>
    </w:p>
    <w:p w14:paraId="11F19938">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w:t>
      </w:r>
      <w:r>
        <w:rPr>
          <w:rFonts w:hint="eastAsia" w:ascii="宋体" w:hAnsi="宋体" w:eastAsia="宋体" w:cs="宋体"/>
          <w:b w:val="0"/>
          <w:bCs/>
          <w:snapToGrid w:val="0"/>
          <w:color w:val="auto"/>
          <w:kern w:val="0"/>
          <w:sz w:val="24"/>
          <w:szCs w:val="24"/>
          <w:highlight w:val="none"/>
          <w:lang w:val="en-US" w:eastAsia="zh-CN"/>
        </w:rPr>
        <w:t xml:space="preserve">工程质量违约： </w:t>
      </w:r>
    </w:p>
    <w:p w14:paraId="2889235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4.23.2.1</w:t>
      </w:r>
      <w:r>
        <w:rPr>
          <w:rFonts w:hint="eastAsia" w:ascii="宋体" w:hAnsi="宋体" w:eastAsia="宋体" w:cs="宋体"/>
          <w:b w:val="0"/>
          <w:bCs/>
          <w:snapToGrid w:val="0"/>
          <w:color w:val="auto"/>
          <w:kern w:val="0"/>
          <w:sz w:val="24"/>
          <w:szCs w:val="24"/>
          <w:highlight w:val="none"/>
          <w:lang w:val="en-US" w:eastAsia="zh-CN"/>
        </w:rPr>
        <w:t xml:space="preserve"> 在施工过程中经监理单位日常巡查或抽检发现未达到合格标准，责令承包人进 </w:t>
      </w:r>
    </w:p>
    <w:p w14:paraId="57442AAE">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行整改，如未按规定时间进行整改或整改不到位的，每次按 5000元缴纳违约金给发包人，在进度款或结算款中一并扣除。 </w:t>
      </w:r>
    </w:p>
    <w:p w14:paraId="209B3536">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4.23.2.2</w:t>
      </w:r>
      <w:r>
        <w:rPr>
          <w:rFonts w:hint="eastAsia" w:ascii="宋体" w:hAnsi="宋体" w:eastAsia="宋体" w:cs="宋体"/>
          <w:b w:val="0"/>
          <w:bCs/>
          <w:snapToGrid w:val="0"/>
          <w:color w:val="auto"/>
          <w:kern w:val="0"/>
          <w:sz w:val="24"/>
          <w:szCs w:val="24"/>
          <w:highlight w:val="none"/>
          <w:lang w:val="en-US" w:eastAsia="zh-CN"/>
        </w:rPr>
        <w:t xml:space="preserve"> 工程质量标准须达到国家验收合格标准。如未达到合格标准，除无偿返工至合 </w:t>
      </w:r>
    </w:p>
    <w:p w14:paraId="3887220F">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格外，还要按合同价款的 1%向招标人支付质量违约金，工期不予顺延。 </w:t>
      </w:r>
    </w:p>
    <w:p w14:paraId="5F52F55E">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4.24</w:t>
      </w:r>
      <w:r>
        <w:rPr>
          <w:rFonts w:hint="eastAsia" w:ascii="宋体" w:hAnsi="宋体" w:eastAsia="宋体" w:cs="宋体"/>
          <w:b w:val="0"/>
          <w:bCs/>
          <w:snapToGrid w:val="0"/>
          <w:color w:val="auto"/>
          <w:kern w:val="0"/>
          <w:sz w:val="24"/>
          <w:szCs w:val="24"/>
          <w:highlight w:val="none"/>
          <w:lang w:val="en-US" w:eastAsia="zh-CN"/>
        </w:rPr>
        <w:t xml:space="preserve"> 重大责任事故违约 </w:t>
      </w:r>
    </w:p>
    <w:p w14:paraId="1E0EC601">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4.254.1</w:t>
      </w:r>
      <w:r>
        <w:rPr>
          <w:rFonts w:hint="eastAsia" w:ascii="宋体" w:hAnsi="宋体" w:eastAsia="宋体" w:cs="宋体"/>
          <w:b w:val="0"/>
          <w:bCs/>
          <w:snapToGrid w:val="0"/>
          <w:color w:val="auto"/>
          <w:kern w:val="0"/>
          <w:sz w:val="24"/>
          <w:szCs w:val="24"/>
          <w:highlight w:val="none"/>
          <w:lang w:val="en-US" w:eastAsia="zh-CN"/>
        </w:rPr>
        <w:t xml:space="preserve"> 承包人因违反国家安全质量法规及合同有关条款约定,出现火灾、坍塌、人员重 </w:t>
      </w:r>
    </w:p>
    <w:p w14:paraId="6EFEB0A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伤、死亡等重大责任事故,则承包人应承担全部损失,并按相关法规接受行政处罚；如造成发 </w:t>
      </w:r>
    </w:p>
    <w:p w14:paraId="2C5E6227">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包人及对第三人利益的损害,该等损害赔偿责任均由承包人承担。 </w:t>
      </w:r>
    </w:p>
    <w:p w14:paraId="702C49BF">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w:t>
      </w:r>
      <w:r>
        <w:rPr>
          <w:rFonts w:hint="eastAsia" w:ascii="宋体" w:hAnsi="宋体" w:eastAsia="宋体" w:cs="宋体"/>
          <w:b w:val="0"/>
          <w:bCs/>
          <w:snapToGrid w:val="0"/>
          <w:color w:val="auto"/>
          <w:kern w:val="0"/>
          <w:sz w:val="24"/>
          <w:szCs w:val="24"/>
          <w:highlight w:val="none"/>
          <w:lang w:val="en-US" w:eastAsia="zh-CN"/>
        </w:rPr>
        <w:t xml:space="preserve"> 用工违约 </w:t>
      </w:r>
    </w:p>
    <w:p w14:paraId="12840E0D">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4.25.1</w:t>
      </w:r>
      <w:r>
        <w:rPr>
          <w:rFonts w:hint="eastAsia" w:ascii="宋体" w:hAnsi="宋体" w:eastAsia="宋体" w:cs="宋体"/>
          <w:b w:val="0"/>
          <w:bCs/>
          <w:snapToGrid w:val="0"/>
          <w:color w:val="auto"/>
          <w:kern w:val="0"/>
          <w:sz w:val="24"/>
          <w:szCs w:val="24"/>
          <w:highlight w:val="none"/>
          <w:lang w:val="en-US" w:eastAsia="zh-CN"/>
        </w:rPr>
        <w:t xml:space="preserve"> 在合同履行期间，如经查实承包人拖欠或克扣农民工或劳务工工资，导致劳资纠纷或发生危及公共安全或正常社会秩序的事件的，按承包人违约处理，承包人应按拖欠或克 </w:t>
      </w:r>
    </w:p>
    <w:p w14:paraId="37C3DC99">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扣农民工工资总金额 2 倍的标准向发包人缴纳惩罚性违约金。 </w:t>
      </w:r>
    </w:p>
    <w:p w14:paraId="0CD1AFAA">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w:t>
      </w:r>
      <w:r>
        <w:rPr>
          <w:rFonts w:hint="eastAsia" w:ascii="宋体" w:hAnsi="宋体" w:eastAsia="宋体" w:cs="宋体"/>
          <w:b w:val="0"/>
          <w:bCs/>
          <w:snapToGrid w:val="0"/>
          <w:color w:val="auto"/>
          <w:kern w:val="0"/>
          <w:sz w:val="24"/>
          <w:szCs w:val="24"/>
          <w:highlight w:val="none"/>
          <w:lang w:val="en-US" w:eastAsia="zh-CN"/>
        </w:rPr>
        <w:t xml:space="preserve"> 安全文明施工违约 </w:t>
      </w:r>
    </w:p>
    <w:p w14:paraId="29F815FC">
      <w:pPr>
        <w:adjustRightInd w:val="0"/>
        <w:snapToGrid w:val="0"/>
        <w:spacing w:line="440" w:lineRule="exact"/>
        <w:ind w:firstLine="482" w:firstLineChars="20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4.26.1</w:t>
      </w:r>
      <w:r>
        <w:rPr>
          <w:rFonts w:hint="eastAsia" w:ascii="宋体" w:hAnsi="宋体" w:eastAsia="宋体" w:cs="宋体"/>
          <w:b w:val="0"/>
          <w:bCs/>
          <w:snapToGrid w:val="0"/>
          <w:color w:val="auto"/>
          <w:kern w:val="0"/>
          <w:sz w:val="24"/>
          <w:szCs w:val="24"/>
          <w:highlight w:val="none"/>
          <w:lang w:val="en-US" w:eastAsia="zh-CN"/>
        </w:rPr>
        <w:t xml:space="preserve"> 如承包人违反国家、广东省、发包人及合同关于安全文明施工的规定，但尚未造 </w:t>
      </w:r>
    </w:p>
    <w:p w14:paraId="7EE49ED3">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 xml:space="preserve">成安全责任事故，承包人应及时改正行为并赔偿相关方的损失，如未及时整改，针对每一违约 </w:t>
      </w:r>
    </w:p>
    <w:p w14:paraId="5455CEAD">
      <w:pPr>
        <w:adjustRightInd w:val="0"/>
        <w:snapToGrid w:val="0"/>
        <w:spacing w:line="440" w:lineRule="exact"/>
        <w:ind w:left="0" w:leftChars="0" w:firstLine="0" w:firstLineChars="0"/>
        <w:rPr>
          <w:rFonts w:hint="eastAsia" w:ascii="宋体" w:hAnsi="宋体" w:eastAsia="宋体" w:cs="宋体"/>
          <w:b w:val="0"/>
          <w:bCs/>
          <w:snapToGrid w:val="0"/>
          <w:color w:val="auto"/>
          <w:kern w:val="0"/>
          <w:sz w:val="24"/>
          <w:szCs w:val="24"/>
          <w:highlight w:val="none"/>
          <w:lang w:val="en-US" w:eastAsia="zh-CN"/>
        </w:rPr>
      </w:pPr>
      <w:r>
        <w:rPr>
          <w:rFonts w:hint="eastAsia" w:ascii="宋体" w:hAnsi="宋体" w:eastAsia="宋体" w:cs="宋体"/>
          <w:b w:val="0"/>
          <w:bCs/>
          <w:snapToGrid w:val="0"/>
          <w:color w:val="auto"/>
          <w:kern w:val="0"/>
          <w:sz w:val="24"/>
          <w:szCs w:val="24"/>
          <w:highlight w:val="none"/>
          <w:lang w:val="en-US" w:eastAsia="zh-CN"/>
        </w:rPr>
        <w:t>行为每持续一天应缴纳违约金1000元。</w:t>
      </w:r>
    </w:p>
    <w:p w14:paraId="572FD953">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承包人必须接受发包人及监理单位组织的安全、文明施工的检查，检查中的不合 </w:t>
      </w:r>
    </w:p>
    <w:p w14:paraId="7885807C">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格项目、安全隐患必须在规定的时间内整改完成，否则每拖延一天处以2000元人民币违约金，直至整改合格。</w:t>
      </w:r>
    </w:p>
    <w:p w14:paraId="2D3AC461">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 xml:space="preserve"> </w:t>
      </w:r>
      <w:r>
        <w:rPr>
          <w:rFonts w:hint="eastAsia" w:ascii="宋体" w:hAnsi="宋体" w:eastAsia="宋体" w:cs="宋体"/>
          <w:b w:val="0"/>
          <w:bCs/>
          <w:snapToGrid w:val="0"/>
          <w:color w:val="auto"/>
          <w:kern w:val="0"/>
          <w:sz w:val="24"/>
          <w:szCs w:val="24"/>
          <w:highlight w:val="none"/>
          <w:lang w:val="en-US" w:eastAsia="zh-CN"/>
        </w:rPr>
        <w:t xml:space="preserve">   </w:t>
      </w: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26</w:t>
      </w:r>
      <w:r>
        <w:rPr>
          <w:rFonts w:hint="default" w:ascii="宋体" w:hAnsi="宋体" w:eastAsia="宋体" w:cs="宋体"/>
          <w:b/>
          <w:bCs w:val="0"/>
          <w:snapToGrid w:val="0"/>
          <w:color w:val="auto"/>
          <w:kern w:val="0"/>
          <w:sz w:val="24"/>
          <w:szCs w:val="24"/>
          <w:highlight w:val="none"/>
          <w:lang w:val="en-US" w:eastAsia="zh-CN"/>
        </w:rPr>
        <w:t>.</w:t>
      </w:r>
      <w:r>
        <w:rPr>
          <w:rFonts w:hint="eastAsia" w:ascii="宋体" w:hAnsi="宋体" w:eastAsia="宋体" w:cs="宋体"/>
          <w:b/>
          <w:bCs w:val="0"/>
          <w:snapToGrid w:val="0"/>
          <w:color w:val="auto"/>
          <w:kern w:val="0"/>
          <w:sz w:val="24"/>
          <w:szCs w:val="24"/>
          <w:highlight w:val="none"/>
          <w:lang w:val="en-US" w:eastAsia="zh-CN"/>
        </w:rPr>
        <w:t xml:space="preserve">3 </w:t>
      </w:r>
      <w:r>
        <w:rPr>
          <w:rFonts w:hint="eastAsia" w:ascii="宋体" w:hAnsi="宋体" w:eastAsia="宋体" w:cs="宋体"/>
          <w:b w:val="0"/>
          <w:bCs/>
          <w:snapToGrid w:val="0"/>
          <w:color w:val="auto"/>
          <w:kern w:val="0"/>
          <w:sz w:val="24"/>
          <w:szCs w:val="24"/>
          <w:highlight w:val="none"/>
          <w:lang w:val="en-US" w:eastAsia="zh-CN"/>
        </w:rPr>
        <w:t>承包人现场施工人员未按相关规定佩戴安全帽和反光衣进入施工区域的，经现场发包人（监理单位）管理人员确认后，承包人须按100元/人/次缴纳违约金。</w:t>
      </w:r>
    </w:p>
    <w:p w14:paraId="3B3B65A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val="0"/>
          <w:bCs/>
          <w:snapToGrid w:val="0"/>
          <w:color w:val="auto"/>
          <w:kern w:val="0"/>
          <w:sz w:val="24"/>
          <w:szCs w:val="24"/>
          <w:highlight w:val="none"/>
          <w:lang w:val="en-US" w:eastAsia="zh-CN"/>
        </w:rPr>
        <w:t xml:space="preserve"> 其他违约 </w:t>
      </w:r>
    </w:p>
    <w:p w14:paraId="514CC0EC">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.1</w:t>
      </w:r>
      <w:r>
        <w:rPr>
          <w:rFonts w:hint="default" w:ascii="宋体" w:hAnsi="宋体" w:eastAsia="宋体" w:cs="宋体"/>
          <w:b w:val="0"/>
          <w:bCs/>
          <w:snapToGrid w:val="0"/>
          <w:color w:val="auto"/>
          <w:kern w:val="0"/>
          <w:sz w:val="24"/>
          <w:szCs w:val="24"/>
          <w:highlight w:val="none"/>
          <w:lang w:val="en-US" w:eastAsia="zh-CN"/>
        </w:rPr>
        <w:t xml:space="preserve"> 承包人安排在施工场地的主要管理人员（主要指项目经理、项目技术负责人和专 </w:t>
      </w:r>
    </w:p>
    <w:p w14:paraId="0A153623">
      <w:pPr>
        <w:adjustRightInd w:val="0"/>
        <w:snapToGrid w:val="0"/>
        <w:spacing w:line="440" w:lineRule="exact"/>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val="0"/>
          <w:bCs/>
          <w:snapToGrid w:val="0"/>
          <w:color w:val="auto"/>
          <w:kern w:val="0"/>
          <w:sz w:val="24"/>
          <w:szCs w:val="24"/>
          <w:highlight w:val="none"/>
          <w:lang w:val="en-US" w:eastAsia="zh-CN"/>
        </w:rPr>
        <w:t>职安全生产管理人员）应与承包人投标文件承诺的名单一致，并保持相对稳定。未经总监理工程师批准，上述人员不应无故不到位或被替换。若确实无法到位或需替换，需经总监理工程师审核并报发包人批准后，承包人可安排同等资历的人员替换；</w:t>
      </w:r>
      <w:r>
        <w:rPr>
          <w:rFonts w:hint="eastAsia" w:ascii="宋体" w:hAnsi="宋体" w:eastAsia="宋体" w:cs="宋体"/>
          <w:b w:val="0"/>
          <w:bCs/>
          <w:snapToGrid w:val="0"/>
          <w:color w:val="auto"/>
          <w:kern w:val="0"/>
          <w:sz w:val="24"/>
          <w:szCs w:val="24"/>
          <w:highlight w:val="none"/>
          <w:lang w:val="en-US" w:eastAsia="zh-CN"/>
        </w:rPr>
        <w:t>在日常检查及相关会议中主要管理人员不到岗，按 500元/人/次缴纳违约金给发包人。</w:t>
      </w:r>
    </w:p>
    <w:p w14:paraId="7516FA2F">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.2</w:t>
      </w:r>
      <w:r>
        <w:rPr>
          <w:rFonts w:hint="default" w:ascii="宋体" w:hAnsi="宋体" w:eastAsia="宋体" w:cs="宋体"/>
          <w:b w:val="0"/>
          <w:bCs/>
          <w:snapToGrid w:val="0"/>
          <w:color w:val="auto"/>
          <w:kern w:val="0"/>
          <w:sz w:val="24"/>
          <w:szCs w:val="24"/>
          <w:highlight w:val="none"/>
          <w:lang w:val="en-US" w:eastAsia="zh-CN"/>
        </w:rPr>
        <w:t xml:space="preserve"> 中标人施工资料必须与形象进度同步</w:t>
      </w:r>
      <w:r>
        <w:rPr>
          <w:rFonts w:hint="eastAsia" w:ascii="宋体" w:hAnsi="宋体" w:eastAsia="宋体" w:cs="宋体"/>
          <w:b w:val="0"/>
          <w:bCs/>
          <w:snapToGrid w:val="0"/>
          <w:color w:val="auto"/>
          <w:kern w:val="0"/>
          <w:sz w:val="24"/>
          <w:szCs w:val="24"/>
          <w:highlight w:val="none"/>
          <w:lang w:val="en-US" w:eastAsia="zh-CN"/>
        </w:rPr>
        <w:t>，如发包人在日常检查中发现不同步的现象的，视为违约并扣除违约金2000元/每次</w:t>
      </w:r>
      <w:r>
        <w:rPr>
          <w:rFonts w:hint="default" w:ascii="宋体" w:hAnsi="宋体" w:eastAsia="宋体" w:cs="宋体"/>
          <w:b w:val="0"/>
          <w:bCs/>
          <w:snapToGrid w:val="0"/>
          <w:color w:val="auto"/>
          <w:kern w:val="0"/>
          <w:sz w:val="24"/>
          <w:szCs w:val="24"/>
          <w:highlight w:val="none"/>
          <w:lang w:val="en-US" w:eastAsia="zh-CN"/>
        </w:rPr>
        <w:t xml:space="preserve">。 </w:t>
      </w:r>
    </w:p>
    <w:p w14:paraId="77585534">
      <w:pPr>
        <w:adjustRightInd w:val="0"/>
        <w:snapToGrid w:val="0"/>
        <w:spacing w:line="440" w:lineRule="exact"/>
        <w:ind w:firstLine="482" w:firstLineChars="200"/>
        <w:rPr>
          <w:rFonts w:hint="default" w:ascii="宋体" w:hAnsi="宋体" w:eastAsia="宋体" w:cs="宋体"/>
          <w:b w:val="0"/>
          <w:bCs/>
          <w:snapToGrid w:val="0"/>
          <w:color w:val="auto"/>
          <w:kern w:val="0"/>
          <w:sz w:val="24"/>
          <w:szCs w:val="24"/>
          <w:highlight w:val="none"/>
          <w:lang w:val="en-US" w:eastAsia="zh-CN"/>
        </w:rPr>
      </w:pPr>
      <w:r>
        <w:rPr>
          <w:rFonts w:hint="default" w:ascii="宋体" w:hAnsi="宋体" w:eastAsia="宋体" w:cs="宋体"/>
          <w:b/>
          <w:bCs w:val="0"/>
          <w:snapToGrid w:val="0"/>
          <w:color w:val="auto"/>
          <w:kern w:val="0"/>
          <w:sz w:val="24"/>
          <w:szCs w:val="24"/>
          <w:highlight w:val="none"/>
          <w:lang w:val="en-US" w:eastAsia="zh-CN"/>
        </w:rPr>
        <w:t>4.</w:t>
      </w:r>
      <w:r>
        <w:rPr>
          <w:rFonts w:hint="eastAsia" w:ascii="宋体" w:hAnsi="宋体" w:eastAsia="宋体" w:cs="宋体"/>
          <w:b/>
          <w:bCs w:val="0"/>
          <w:snapToGrid w:val="0"/>
          <w:color w:val="auto"/>
          <w:kern w:val="0"/>
          <w:sz w:val="24"/>
          <w:szCs w:val="24"/>
          <w:highlight w:val="none"/>
          <w:lang w:val="en-US" w:eastAsia="zh-CN"/>
        </w:rPr>
        <w:t>27</w:t>
      </w:r>
      <w:r>
        <w:rPr>
          <w:rFonts w:hint="default" w:ascii="宋体" w:hAnsi="宋体" w:eastAsia="宋体" w:cs="宋体"/>
          <w:b/>
          <w:bCs w:val="0"/>
          <w:snapToGrid w:val="0"/>
          <w:color w:val="auto"/>
          <w:kern w:val="0"/>
          <w:sz w:val="24"/>
          <w:szCs w:val="24"/>
          <w:highlight w:val="none"/>
          <w:lang w:val="en-US" w:eastAsia="zh-CN"/>
        </w:rPr>
        <w:t>.3</w:t>
      </w:r>
      <w:r>
        <w:rPr>
          <w:rFonts w:hint="default" w:ascii="宋体" w:hAnsi="宋体" w:eastAsia="宋体" w:cs="宋体"/>
          <w:b w:val="0"/>
          <w:bCs/>
          <w:snapToGrid w:val="0"/>
          <w:color w:val="auto"/>
          <w:kern w:val="0"/>
          <w:sz w:val="24"/>
          <w:szCs w:val="24"/>
          <w:highlight w:val="none"/>
          <w:lang w:val="en-US" w:eastAsia="zh-CN"/>
        </w:rPr>
        <w:t xml:space="preserve"> 承包人没有正当合理的理由中途退场，可扣除承包人已递交的所有履约风险保证 </w:t>
      </w:r>
    </w:p>
    <w:p w14:paraId="5CF3AF74">
      <w:pPr>
        <w:adjustRightInd w:val="0"/>
        <w:snapToGrid w:val="0"/>
        <w:spacing w:line="440" w:lineRule="exact"/>
        <w:rPr>
          <w:rFonts w:hint="default" w:ascii="宋体" w:hAnsi="宋体" w:eastAsia="宋体" w:cs="宋体"/>
          <w:bCs/>
          <w:snapToGrid w:val="0"/>
          <w:color w:val="auto"/>
          <w:kern w:val="0"/>
          <w:sz w:val="24"/>
          <w:szCs w:val="24"/>
          <w:highlight w:val="none"/>
          <w:lang w:val="en-US" w:eastAsia="zh-CN" w:bidi="ar-SA"/>
        </w:rPr>
      </w:pPr>
      <w:r>
        <w:rPr>
          <w:rFonts w:hint="default" w:ascii="宋体" w:hAnsi="宋体" w:eastAsia="宋体" w:cs="宋体"/>
          <w:b w:val="0"/>
          <w:bCs/>
          <w:snapToGrid w:val="0"/>
          <w:color w:val="auto"/>
          <w:kern w:val="0"/>
          <w:sz w:val="24"/>
          <w:szCs w:val="24"/>
          <w:highlight w:val="none"/>
          <w:lang w:val="en-US" w:eastAsia="zh-CN"/>
        </w:rPr>
        <w:t>金。承包人因上述违约行为而须缴纳的违约金在工程进度款中或结算时一并扣除。</w:t>
      </w:r>
    </w:p>
    <w:p w14:paraId="7B415C9D">
      <w:pPr>
        <w:adjustRightInd w:val="0"/>
        <w:snapToGrid w:val="0"/>
        <w:spacing w:line="440" w:lineRule="exact"/>
        <w:ind w:firstLine="482" w:firstLineChars="200"/>
        <w:rPr>
          <w:rFonts w:hint="eastAsia" w:ascii="宋体" w:hAnsi="宋体" w:eastAsia="宋体" w:cs="宋体"/>
          <w:b/>
          <w:bCs w:val="0"/>
          <w:snapToGrid w:val="0"/>
          <w:color w:val="auto"/>
          <w:kern w:val="0"/>
          <w:sz w:val="24"/>
          <w:szCs w:val="24"/>
          <w:highlight w:val="none"/>
          <w:lang w:val="en-US" w:eastAsia="zh-CN"/>
        </w:rPr>
      </w:pPr>
      <w:r>
        <w:rPr>
          <w:rFonts w:hint="eastAsia" w:ascii="宋体" w:hAnsi="宋体" w:eastAsia="宋体" w:cs="宋体"/>
          <w:b/>
          <w:bCs w:val="0"/>
          <w:snapToGrid w:val="0"/>
          <w:color w:val="auto"/>
          <w:kern w:val="0"/>
          <w:sz w:val="24"/>
          <w:szCs w:val="24"/>
          <w:highlight w:val="none"/>
          <w:lang w:val="en-US" w:eastAsia="zh-CN"/>
        </w:rPr>
        <w:t>5.其他合同条款由招标人与中标人自行协商约定。</w:t>
      </w:r>
    </w:p>
    <w:p w14:paraId="7B42BE5C">
      <w:pPr>
        <w:pStyle w:val="13"/>
        <w:rPr>
          <w:rFonts w:hint="eastAsia" w:ascii="宋体" w:hAnsi="宋体" w:eastAsia="宋体" w:cs="宋体"/>
          <w:color w:val="auto"/>
          <w:sz w:val="24"/>
          <w:szCs w:val="24"/>
          <w:highlight w:val="none"/>
          <w:lang w:eastAsia="zh-CN"/>
        </w:rPr>
      </w:pPr>
    </w:p>
    <w:p w14:paraId="14082562">
      <w:pPr>
        <w:pStyle w:val="13"/>
        <w:rPr>
          <w:rFonts w:hint="eastAsia" w:ascii="宋体" w:hAnsi="宋体" w:eastAsia="宋体" w:cs="宋体"/>
          <w:color w:val="auto"/>
          <w:sz w:val="24"/>
          <w:szCs w:val="24"/>
          <w:highlight w:val="none"/>
          <w:lang w:eastAsia="zh-CN"/>
        </w:rPr>
      </w:pPr>
    </w:p>
    <w:p w14:paraId="03DFF6C5">
      <w:pPr>
        <w:pStyle w:val="13"/>
        <w:rPr>
          <w:rFonts w:hint="eastAsia" w:ascii="宋体" w:hAnsi="宋体" w:eastAsia="宋体" w:cs="宋体"/>
          <w:color w:val="auto"/>
          <w:sz w:val="24"/>
          <w:szCs w:val="24"/>
          <w:highlight w:val="none"/>
          <w:lang w:eastAsia="zh-CN"/>
        </w:rPr>
      </w:pPr>
    </w:p>
    <w:p w14:paraId="31C0AB24">
      <w:pPr>
        <w:pStyle w:val="13"/>
        <w:rPr>
          <w:rFonts w:hint="eastAsia" w:ascii="宋体" w:hAnsi="宋体" w:eastAsia="宋体" w:cs="宋体"/>
          <w:color w:val="auto"/>
          <w:sz w:val="24"/>
          <w:szCs w:val="24"/>
          <w:highlight w:val="none"/>
          <w:lang w:eastAsia="zh-CN"/>
        </w:rPr>
      </w:pPr>
    </w:p>
    <w:p w14:paraId="6B4788E3">
      <w:pPr>
        <w:pStyle w:val="13"/>
        <w:rPr>
          <w:rFonts w:hint="eastAsia" w:ascii="宋体" w:hAnsi="宋体" w:eastAsia="宋体" w:cs="宋体"/>
          <w:color w:val="auto"/>
          <w:sz w:val="24"/>
          <w:szCs w:val="24"/>
          <w:highlight w:val="none"/>
          <w:lang w:eastAsia="zh-CN"/>
        </w:rPr>
      </w:pPr>
    </w:p>
    <w:p w14:paraId="3D014C73">
      <w:pPr>
        <w:pStyle w:val="13"/>
        <w:rPr>
          <w:rFonts w:hint="eastAsia" w:ascii="宋体" w:hAnsi="宋体" w:eastAsia="宋体" w:cs="宋体"/>
          <w:color w:val="auto"/>
          <w:sz w:val="24"/>
          <w:szCs w:val="24"/>
          <w:highlight w:val="none"/>
          <w:lang w:eastAsia="zh-CN"/>
        </w:rPr>
      </w:pPr>
    </w:p>
    <w:p w14:paraId="134E41C0">
      <w:pPr>
        <w:pStyle w:val="13"/>
        <w:rPr>
          <w:rFonts w:hint="eastAsia" w:ascii="宋体" w:hAnsi="宋体" w:eastAsia="宋体" w:cs="宋体"/>
          <w:color w:val="auto"/>
          <w:sz w:val="24"/>
          <w:szCs w:val="24"/>
          <w:highlight w:val="none"/>
          <w:lang w:eastAsia="zh-CN"/>
        </w:rPr>
      </w:pPr>
    </w:p>
    <w:p w14:paraId="07C56ECD">
      <w:pPr>
        <w:pStyle w:val="13"/>
        <w:rPr>
          <w:rFonts w:hint="eastAsia" w:ascii="宋体" w:hAnsi="宋体" w:eastAsia="宋体" w:cs="宋体"/>
          <w:color w:val="auto"/>
          <w:sz w:val="24"/>
          <w:szCs w:val="24"/>
          <w:highlight w:val="none"/>
          <w:lang w:eastAsia="zh-CN"/>
        </w:rPr>
      </w:pPr>
    </w:p>
    <w:p w14:paraId="72C8E0EF">
      <w:pPr>
        <w:pStyle w:val="13"/>
        <w:rPr>
          <w:rFonts w:hint="eastAsia" w:ascii="宋体" w:hAnsi="宋体" w:eastAsia="宋体" w:cs="宋体"/>
          <w:color w:val="auto"/>
          <w:sz w:val="24"/>
          <w:szCs w:val="24"/>
          <w:highlight w:val="none"/>
          <w:lang w:eastAsia="zh-CN"/>
        </w:rPr>
      </w:pPr>
    </w:p>
    <w:p w14:paraId="66AF3AAF">
      <w:pPr>
        <w:spacing w:before="78" w:line="219" w:lineRule="auto"/>
        <w:outlineLvl w:val="9"/>
        <w:rPr>
          <w:rFonts w:hint="eastAsia" w:ascii="宋体" w:hAnsi="宋体" w:eastAsia="宋体" w:cs="宋体"/>
          <w:b/>
          <w:bCs/>
          <w:color w:val="auto"/>
          <w:spacing w:val="-3"/>
          <w:sz w:val="24"/>
          <w:szCs w:val="24"/>
          <w:highlight w:val="none"/>
        </w:rPr>
      </w:pPr>
      <w:bookmarkStart w:id="179" w:name="bookmark96"/>
      <w:bookmarkEnd w:id="179"/>
    </w:p>
    <w:p w14:paraId="48462BAF">
      <w:pPr>
        <w:rPr>
          <w:rFonts w:hint="eastAsia" w:ascii="宋体" w:hAnsi="宋体" w:eastAsia="宋体" w:cs="宋体"/>
          <w:b/>
          <w:bCs/>
          <w:color w:val="auto"/>
          <w:spacing w:val="-3"/>
          <w:sz w:val="24"/>
          <w:szCs w:val="24"/>
          <w:highlight w:val="none"/>
        </w:rPr>
      </w:pPr>
      <w:r>
        <w:rPr>
          <w:rFonts w:hint="eastAsia" w:ascii="宋体" w:hAnsi="宋体" w:eastAsia="宋体" w:cs="宋体"/>
          <w:b/>
          <w:bCs/>
          <w:color w:val="auto"/>
          <w:spacing w:val="-3"/>
          <w:sz w:val="24"/>
          <w:szCs w:val="24"/>
          <w:highlight w:val="none"/>
        </w:rPr>
        <w:br w:type="page"/>
      </w:r>
    </w:p>
    <w:p w14:paraId="6956492B">
      <w:pPr>
        <w:spacing w:before="78" w:line="219" w:lineRule="auto"/>
        <w:ind w:left="3273"/>
        <w:outlineLvl w:val="0"/>
        <w:rPr>
          <w:rFonts w:hint="eastAsia" w:ascii="宋体" w:hAnsi="宋体" w:eastAsia="宋体" w:cs="宋体"/>
          <w:color w:val="auto"/>
          <w:highlight w:val="none"/>
        </w:rPr>
      </w:pPr>
      <w:bookmarkStart w:id="180" w:name="_Toc30225"/>
      <w:r>
        <w:rPr>
          <w:rFonts w:hint="eastAsia" w:ascii="宋体" w:hAnsi="宋体" w:eastAsia="宋体" w:cs="宋体"/>
          <w:b/>
          <w:bCs/>
          <w:color w:val="auto"/>
          <w:spacing w:val="-3"/>
          <w:sz w:val="24"/>
          <w:szCs w:val="24"/>
          <w:highlight w:val="none"/>
        </w:rPr>
        <w:t>第四章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技术要求</w:t>
      </w:r>
      <w:bookmarkEnd w:id="180"/>
    </w:p>
    <w:p w14:paraId="65DD417D">
      <w:pPr>
        <w:pStyle w:val="5"/>
        <w:spacing w:line="257" w:lineRule="auto"/>
        <w:rPr>
          <w:rFonts w:hint="eastAsia" w:ascii="宋体" w:hAnsi="宋体" w:eastAsia="宋体" w:cs="宋体"/>
          <w:color w:val="auto"/>
          <w:highlight w:val="none"/>
        </w:rPr>
      </w:pPr>
    </w:p>
    <w:p w14:paraId="676D9B16">
      <w:pPr>
        <w:spacing w:before="78" w:line="221" w:lineRule="auto"/>
        <w:ind w:left="125"/>
        <w:outlineLvl w:val="2"/>
        <w:rPr>
          <w:rFonts w:hint="eastAsia" w:ascii="宋体" w:hAnsi="宋体" w:eastAsia="宋体" w:cs="宋体"/>
          <w:color w:val="auto"/>
          <w:sz w:val="24"/>
          <w:szCs w:val="24"/>
          <w:highlight w:val="none"/>
        </w:rPr>
      </w:pPr>
      <w:bookmarkStart w:id="181" w:name="_Toc10155"/>
      <w:bookmarkStart w:id="182" w:name="_Toc19340"/>
      <w:r>
        <w:rPr>
          <w:rFonts w:hint="eastAsia" w:ascii="宋体" w:hAnsi="宋体" w:eastAsia="宋体" w:cs="宋体"/>
          <w:b/>
          <w:bCs/>
          <w:color w:val="auto"/>
          <w:spacing w:val="-6"/>
          <w:sz w:val="24"/>
          <w:szCs w:val="24"/>
          <w:highlight w:val="none"/>
        </w:rPr>
        <w:t>1</w:t>
      </w:r>
      <w:r>
        <w:rPr>
          <w:rFonts w:hint="eastAsia" w:ascii="宋体" w:hAnsi="宋体" w:eastAsia="宋体" w:cs="宋体"/>
          <w:b/>
          <w:bCs/>
          <w:color w:val="auto"/>
          <w:spacing w:val="-23"/>
          <w:sz w:val="24"/>
          <w:szCs w:val="24"/>
          <w:highlight w:val="none"/>
        </w:rPr>
        <w:t xml:space="preserve"> </w:t>
      </w:r>
      <w:r>
        <w:rPr>
          <w:rFonts w:hint="eastAsia" w:ascii="宋体" w:hAnsi="宋体" w:eastAsia="宋体" w:cs="宋体"/>
          <w:b/>
          <w:bCs/>
          <w:color w:val="auto"/>
          <w:spacing w:val="-6"/>
          <w:sz w:val="24"/>
          <w:szCs w:val="24"/>
          <w:highlight w:val="none"/>
        </w:rPr>
        <w:t>．</w:t>
      </w:r>
      <w:r>
        <w:rPr>
          <w:rFonts w:hint="eastAsia" w:ascii="宋体" w:hAnsi="宋体" w:eastAsia="宋体" w:cs="宋体"/>
          <w:b/>
          <w:bCs/>
          <w:color w:val="auto"/>
          <w:spacing w:val="-1"/>
          <w:sz w:val="24"/>
          <w:szCs w:val="24"/>
          <w:highlight w:val="none"/>
        </w:rPr>
        <w:t>房屋建筑工程建设项目</w:t>
      </w:r>
      <w:bookmarkEnd w:id="181"/>
      <w:bookmarkEnd w:id="182"/>
    </w:p>
    <w:p w14:paraId="207C7161">
      <w:pPr>
        <w:spacing w:before="152"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房屋建筑工程建设项目必须执行的现行技术规范，包括且不限于：</w:t>
      </w:r>
    </w:p>
    <w:p w14:paraId="16F9CF9A">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（1）《建筑工程施工质量验收统一标准》；</w:t>
      </w:r>
    </w:p>
    <w:p w14:paraId="3C988F20">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（2）《建筑地基基础工程施工质量验收规范》；</w:t>
      </w:r>
    </w:p>
    <w:p w14:paraId="57B6CCBB">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（3）《砌体工程施工质量验收规范》；</w:t>
      </w:r>
    </w:p>
    <w:p w14:paraId="79D03B83">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（4）《混凝土结构工程施工质量验收规范》；</w:t>
      </w:r>
    </w:p>
    <w:p w14:paraId="78A259CE">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（5）《屋面工程质量验收规范》；</w:t>
      </w:r>
    </w:p>
    <w:p w14:paraId="5D84CC9B">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（6）《地下防水工程质量验收规范》；</w:t>
      </w:r>
    </w:p>
    <w:p w14:paraId="01A4325E">
      <w:pPr>
        <w:spacing w:before="156"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（7）《建筑地面工程施工质量验收规范》；</w:t>
      </w:r>
    </w:p>
    <w:p w14:paraId="7C054B73">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（8）《建筑装饰装修工程施工质量验收规范》；</w:t>
      </w:r>
    </w:p>
    <w:p w14:paraId="09CCD543">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（9）《建筑给排水及采暖工程施工质量验收规范》；</w:t>
      </w:r>
    </w:p>
    <w:p w14:paraId="2BF32395">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（10）《建筑电气工程施工质量验收规范》；</w:t>
      </w:r>
    </w:p>
    <w:p w14:paraId="444A78F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（11）《住建部绿色建筑评价标准》；</w:t>
      </w:r>
    </w:p>
    <w:p w14:paraId="03F83826">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（12）《建筑节能与可再生能源利用通用规范》（GB55015-2021）；</w:t>
      </w:r>
    </w:p>
    <w:p w14:paraId="151CB418">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（13）《建筑环境通用规范》；</w:t>
      </w:r>
    </w:p>
    <w:p w14:paraId="345E5448">
      <w:pPr>
        <w:spacing w:before="153" w:line="219" w:lineRule="auto"/>
        <w:ind w:left="130"/>
        <w:rPr>
          <w:rFonts w:hint="eastAsia" w:ascii="宋体" w:hAnsi="宋体" w:eastAsia="宋体" w:cs="宋体"/>
          <w:color w:val="auto"/>
          <w:spacing w:val="-1"/>
          <w:sz w:val="24"/>
          <w:szCs w:val="24"/>
          <w:highlight w:val="none"/>
        </w:rPr>
      </w:pPr>
      <w:bookmarkStart w:id="183" w:name="_Toc16294"/>
      <w:bookmarkStart w:id="184" w:name="_Toc12084"/>
      <w:r>
        <w:rPr>
          <w:rFonts w:hint="eastAsia" w:ascii="宋体" w:hAnsi="宋体" w:eastAsia="宋体" w:cs="宋体"/>
          <w:color w:val="auto"/>
          <w:spacing w:val="-1"/>
          <w:sz w:val="24"/>
          <w:szCs w:val="24"/>
          <w:highlight w:val="none"/>
        </w:rPr>
        <w:t>（14）《建筑与市政工程无障碍通用规范》 GB 55019-2021；</w:t>
      </w:r>
      <w:bookmarkEnd w:id="183"/>
      <w:bookmarkEnd w:id="184"/>
    </w:p>
    <w:p w14:paraId="7BF01187">
      <w:pPr>
        <w:spacing w:before="153" w:line="219" w:lineRule="auto"/>
        <w:ind w:left="130"/>
        <w:rPr>
          <w:rFonts w:hint="eastAsia" w:ascii="宋体" w:hAnsi="宋体" w:eastAsia="宋体" w:cs="宋体"/>
          <w:color w:val="auto"/>
          <w:spacing w:val="-1"/>
          <w:sz w:val="24"/>
          <w:szCs w:val="24"/>
          <w:highlight w:val="none"/>
        </w:rPr>
      </w:pPr>
      <w:bookmarkStart w:id="185" w:name="_Toc1177"/>
      <w:bookmarkStart w:id="186" w:name="_Toc15158"/>
      <w:r>
        <w:rPr>
          <w:rFonts w:hint="eastAsia" w:ascii="宋体" w:hAnsi="宋体" w:eastAsia="宋体" w:cs="宋体"/>
          <w:color w:val="auto"/>
          <w:spacing w:val="-1"/>
          <w:sz w:val="24"/>
          <w:szCs w:val="24"/>
          <w:highlight w:val="none"/>
        </w:rPr>
        <w:t>（15）《建筑防火通用规范》GB 55037-2022;</w:t>
      </w:r>
      <w:bookmarkEnd w:id="185"/>
      <w:bookmarkEnd w:id="186"/>
    </w:p>
    <w:p w14:paraId="29E4C8FC">
      <w:pPr>
        <w:spacing w:before="153" w:line="219" w:lineRule="auto"/>
        <w:ind w:left="130"/>
        <w:rPr>
          <w:rFonts w:hint="eastAsia" w:ascii="宋体" w:hAnsi="宋体" w:eastAsia="宋体" w:cs="宋体"/>
          <w:color w:val="auto"/>
          <w:spacing w:val="-1"/>
          <w:sz w:val="24"/>
          <w:szCs w:val="24"/>
          <w:highlight w:val="none"/>
        </w:rPr>
      </w:pPr>
      <w:bookmarkStart w:id="187" w:name="_Toc2461"/>
      <w:bookmarkStart w:id="188" w:name="_Toc24233"/>
      <w:r>
        <w:rPr>
          <w:rFonts w:hint="eastAsia" w:ascii="宋体" w:hAnsi="宋体" w:eastAsia="宋体" w:cs="宋体"/>
          <w:color w:val="auto"/>
          <w:spacing w:val="-1"/>
          <w:sz w:val="24"/>
          <w:szCs w:val="24"/>
          <w:highlight w:val="none"/>
        </w:rPr>
        <w:t>（16）《建筑与市政工程抗震通用规范》GB55002-2001;</w:t>
      </w:r>
      <w:bookmarkEnd w:id="187"/>
      <w:bookmarkEnd w:id="188"/>
    </w:p>
    <w:p w14:paraId="0A06A566">
      <w:pPr>
        <w:spacing w:before="153" w:line="219" w:lineRule="auto"/>
        <w:ind w:left="130"/>
        <w:rPr>
          <w:rFonts w:hint="eastAsia" w:ascii="宋体" w:hAnsi="宋体" w:eastAsia="宋体" w:cs="宋体"/>
          <w:color w:val="auto"/>
          <w:spacing w:val="-1"/>
          <w:sz w:val="24"/>
          <w:szCs w:val="24"/>
          <w:highlight w:val="none"/>
        </w:rPr>
      </w:pPr>
      <w:bookmarkStart w:id="189" w:name="_Toc5777"/>
      <w:bookmarkStart w:id="190" w:name="_Toc8109"/>
      <w:r>
        <w:rPr>
          <w:rFonts w:hint="eastAsia" w:ascii="宋体" w:hAnsi="宋体" w:eastAsia="宋体" w:cs="宋体"/>
          <w:color w:val="auto"/>
          <w:spacing w:val="-1"/>
          <w:sz w:val="24"/>
          <w:szCs w:val="24"/>
          <w:highlight w:val="none"/>
        </w:rPr>
        <w:t>（17）《建筑与市政地基基础通用规范》GB55003-2001;</w:t>
      </w:r>
      <w:bookmarkEnd w:id="189"/>
      <w:bookmarkEnd w:id="190"/>
    </w:p>
    <w:p w14:paraId="5AAC3403">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（18）《广东省住房和城乡建设厅绿色施工导则》；</w:t>
      </w:r>
    </w:p>
    <w:p w14:paraId="67D644AD">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（19）《广东省建筑工程绿色施工评价标准》；</w:t>
      </w:r>
    </w:p>
    <w:p w14:paraId="1057494F">
      <w:pPr>
        <w:spacing w:before="153" w:line="219" w:lineRule="auto"/>
        <w:ind w:left="130"/>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（20）《广东省建筑节能与绿色建筑工程施工质量验收规范》</w:t>
      </w:r>
    </w:p>
    <w:p w14:paraId="6DDC636B">
      <w:pPr>
        <w:spacing w:before="153" w:line="219"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（21）其他现行国家、广东省关于房建工程的施工及验收规范、定额</w:t>
      </w:r>
      <w:r>
        <w:rPr>
          <w:rFonts w:hint="eastAsia" w:ascii="宋体" w:hAnsi="宋体" w:eastAsia="宋体" w:cs="宋体"/>
          <w:color w:val="auto"/>
          <w:spacing w:val="-6"/>
          <w:sz w:val="24"/>
          <w:szCs w:val="24"/>
          <w:highlight w:val="none"/>
        </w:rPr>
        <w:t>、规程、标准。</w:t>
      </w:r>
    </w:p>
    <w:p w14:paraId="6651FAFB">
      <w:pPr>
        <w:pStyle w:val="5"/>
        <w:spacing w:line="257" w:lineRule="auto"/>
        <w:rPr>
          <w:rFonts w:hint="eastAsia" w:ascii="宋体" w:hAnsi="宋体" w:eastAsia="宋体" w:cs="宋体"/>
          <w:color w:val="auto"/>
          <w:highlight w:val="none"/>
        </w:rPr>
      </w:pPr>
    </w:p>
    <w:p w14:paraId="6689F434">
      <w:pPr>
        <w:spacing w:before="78" w:line="220" w:lineRule="auto"/>
        <w:ind w:left="115"/>
        <w:outlineLvl w:val="2"/>
        <w:rPr>
          <w:rFonts w:hint="eastAsia" w:ascii="宋体" w:hAnsi="宋体" w:eastAsia="宋体" w:cs="宋体"/>
          <w:color w:val="auto"/>
          <w:sz w:val="24"/>
          <w:szCs w:val="24"/>
          <w:highlight w:val="none"/>
        </w:rPr>
      </w:pPr>
      <w:bookmarkStart w:id="191" w:name="_Toc16340"/>
      <w:bookmarkStart w:id="192" w:name="_Toc15652"/>
      <w:r>
        <w:rPr>
          <w:rFonts w:hint="eastAsia" w:ascii="宋体" w:hAnsi="宋体" w:eastAsia="宋体" w:cs="宋体"/>
          <w:b/>
          <w:bCs/>
          <w:color w:val="auto"/>
          <w:spacing w:val="-5"/>
          <w:sz w:val="24"/>
          <w:szCs w:val="24"/>
          <w:highlight w:val="none"/>
        </w:rPr>
        <w:t>2</w:t>
      </w:r>
      <w:r>
        <w:rPr>
          <w:rFonts w:hint="eastAsia" w:ascii="宋体" w:hAnsi="宋体" w:eastAsia="宋体" w:cs="宋体"/>
          <w:b/>
          <w:bCs/>
          <w:color w:val="auto"/>
          <w:spacing w:val="-18"/>
          <w:sz w:val="24"/>
          <w:szCs w:val="24"/>
          <w:highlight w:val="none"/>
        </w:rPr>
        <w:t xml:space="preserve"> </w:t>
      </w:r>
      <w:r>
        <w:rPr>
          <w:rFonts w:hint="eastAsia" w:ascii="宋体" w:hAnsi="宋体" w:eastAsia="宋体" w:cs="宋体"/>
          <w:b/>
          <w:bCs/>
          <w:color w:val="auto"/>
          <w:spacing w:val="-5"/>
          <w:sz w:val="24"/>
          <w:szCs w:val="24"/>
          <w:highlight w:val="none"/>
        </w:rPr>
        <w:t>．市政基础设施工程建设项目</w:t>
      </w:r>
      <w:bookmarkEnd w:id="191"/>
      <w:bookmarkEnd w:id="192"/>
    </w:p>
    <w:p w14:paraId="4745335C">
      <w:pPr>
        <w:spacing w:before="154" w:line="220" w:lineRule="auto"/>
        <w:ind w:left="12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市政基础设施工程建设项目必须执行的现行技术规范，包括且不限于：</w:t>
      </w:r>
    </w:p>
    <w:p w14:paraId="7BB5E0FE">
      <w:pPr>
        <w:spacing w:before="155"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（1）《公路路基施工技术规范》；</w:t>
      </w:r>
    </w:p>
    <w:p w14:paraId="15195069">
      <w:pPr>
        <w:spacing w:before="153"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（2）《市政道路工程质量检验评定标准》；</w:t>
      </w:r>
    </w:p>
    <w:p w14:paraId="5B7C38D8">
      <w:pPr>
        <w:spacing w:before="154" w:line="220"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（3）《市政排水管渠工程质量检验评定标准》；</w:t>
      </w:r>
    </w:p>
    <w:p w14:paraId="5D25ACA6">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13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（4）《给水排水管道工程施工及验收规范》；</w:t>
      </w:r>
    </w:p>
    <w:p w14:paraId="3EBB3B65">
      <w:pPr>
        <w:keepNext w:val="0"/>
        <w:keepLines w:val="0"/>
        <w:pageBreakBefore w:val="0"/>
        <w:widowControl w:val="0"/>
        <w:kinsoku w:val="0"/>
        <w:wordWrap/>
        <w:overflowPunct/>
        <w:topLinePunct w:val="0"/>
        <w:autoSpaceDE w:val="0"/>
        <w:autoSpaceDN w:val="0"/>
        <w:bidi w:val="0"/>
        <w:adjustRightInd w:val="0"/>
        <w:snapToGrid w:val="0"/>
        <w:spacing w:before="78"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（5）《城市道路路基工程施工及验收规范》；</w:t>
      </w:r>
    </w:p>
    <w:p w14:paraId="53D30BA2">
      <w:pPr>
        <w:keepNext w:val="0"/>
        <w:keepLines w:val="0"/>
        <w:pageBreakBefore w:val="0"/>
        <w:widowControl w:val="0"/>
        <w:kinsoku w:val="0"/>
        <w:wordWrap/>
        <w:overflowPunct/>
        <w:topLinePunct w:val="0"/>
        <w:autoSpaceDE w:val="0"/>
        <w:autoSpaceDN w:val="0"/>
        <w:bidi w:val="0"/>
        <w:adjustRightInd w:val="0"/>
        <w:snapToGrid w:val="0"/>
        <w:spacing w:before="155"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（6）《水泥砼路面施工及验收规范》；</w:t>
      </w:r>
    </w:p>
    <w:p w14:paraId="6708A72B">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（7）《公路水泥砼路面施工技术规范》；</w:t>
      </w:r>
    </w:p>
    <w:p w14:paraId="43BE96D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（8）《埋地硬聚氯乙烯排水管道工程技术规程》；</w:t>
      </w:r>
    </w:p>
    <w:p w14:paraId="48BC2942">
      <w:pPr>
        <w:keepNext w:val="0"/>
        <w:keepLines w:val="0"/>
        <w:pageBreakBefore w:val="0"/>
        <w:widowControl w:val="0"/>
        <w:kinsoku w:val="0"/>
        <w:wordWrap/>
        <w:overflowPunct/>
        <w:topLinePunct w:val="0"/>
        <w:autoSpaceDE w:val="0"/>
        <w:autoSpaceDN w:val="0"/>
        <w:bidi w:val="0"/>
        <w:adjustRightInd w:val="0"/>
        <w:snapToGrid w:val="0"/>
        <w:spacing w:before="122" w:line="219" w:lineRule="auto"/>
        <w:ind w:left="216" w:leftChars="103"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（9）《沥青路面施工及验收规范》；</w:t>
      </w:r>
    </w:p>
    <w:p w14:paraId="2BB34F75">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（10）《广东省市政工程施工质量技术资料统一用表》。</w:t>
      </w:r>
    </w:p>
    <w:p w14:paraId="47CB8D54">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3" w:name="_Toc30781"/>
      <w:bookmarkStart w:id="194" w:name="_Toc8494"/>
      <w:r>
        <w:rPr>
          <w:rFonts w:hint="eastAsia" w:ascii="宋体" w:hAnsi="宋体" w:eastAsia="宋体" w:cs="宋体"/>
          <w:color w:val="auto"/>
          <w:spacing w:val="-2"/>
          <w:sz w:val="24"/>
          <w:szCs w:val="24"/>
          <w:highlight w:val="none"/>
        </w:rPr>
        <w:t>（11）《建筑与市政工程无障碍通用规范》 GB 55019-2021；</w:t>
      </w:r>
      <w:bookmarkEnd w:id="193"/>
      <w:bookmarkEnd w:id="194"/>
    </w:p>
    <w:p w14:paraId="763C31E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5" w:name="_Toc31143"/>
      <w:bookmarkStart w:id="196" w:name="_Toc17383"/>
      <w:r>
        <w:rPr>
          <w:rFonts w:hint="eastAsia" w:ascii="宋体" w:hAnsi="宋体" w:eastAsia="宋体" w:cs="宋体"/>
          <w:color w:val="auto"/>
          <w:spacing w:val="-2"/>
          <w:sz w:val="24"/>
          <w:szCs w:val="24"/>
          <w:highlight w:val="none"/>
        </w:rPr>
        <w:t>（12）《建筑防火通用规范》GB 55037-2022;</w:t>
      </w:r>
      <w:bookmarkEnd w:id="195"/>
      <w:bookmarkEnd w:id="196"/>
    </w:p>
    <w:p w14:paraId="12CCBEA6">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7" w:name="_Toc954"/>
      <w:bookmarkStart w:id="198" w:name="_Toc32476"/>
      <w:r>
        <w:rPr>
          <w:rFonts w:hint="eastAsia" w:ascii="宋体" w:hAnsi="宋体" w:eastAsia="宋体" w:cs="宋体"/>
          <w:color w:val="auto"/>
          <w:spacing w:val="-2"/>
          <w:sz w:val="24"/>
          <w:szCs w:val="24"/>
          <w:highlight w:val="none"/>
        </w:rPr>
        <w:t>（13）《建筑与市政工程抗震通用规范》GB55002-2001;</w:t>
      </w:r>
      <w:bookmarkEnd w:id="197"/>
      <w:bookmarkEnd w:id="198"/>
    </w:p>
    <w:p w14:paraId="7FEC7858">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199" w:name="_Toc7185"/>
      <w:bookmarkStart w:id="200" w:name="_Toc27898"/>
      <w:r>
        <w:rPr>
          <w:rFonts w:hint="eastAsia" w:ascii="宋体" w:hAnsi="宋体" w:eastAsia="宋体" w:cs="宋体"/>
          <w:color w:val="auto"/>
          <w:spacing w:val="-2"/>
          <w:sz w:val="24"/>
          <w:szCs w:val="24"/>
          <w:highlight w:val="none"/>
        </w:rPr>
        <w:t>（14）《建筑与市政地基基础通用规范》GB55003-2001;</w:t>
      </w:r>
      <w:bookmarkEnd w:id="199"/>
      <w:bookmarkEnd w:id="200"/>
    </w:p>
    <w:p w14:paraId="585A05C2">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1" w:name="_Toc17281"/>
      <w:bookmarkStart w:id="202" w:name="_Toc29669"/>
      <w:r>
        <w:rPr>
          <w:rFonts w:hint="eastAsia" w:ascii="宋体" w:hAnsi="宋体" w:eastAsia="宋体" w:cs="宋体"/>
          <w:color w:val="auto"/>
          <w:spacing w:val="-2"/>
          <w:sz w:val="24"/>
          <w:szCs w:val="24"/>
          <w:highlight w:val="none"/>
        </w:rPr>
        <w:t>（15）《城市道路照明设计标准》（CJJ45-2015）；</w:t>
      </w:r>
      <w:bookmarkEnd w:id="201"/>
      <w:bookmarkEnd w:id="202"/>
    </w:p>
    <w:p w14:paraId="1F9D3360">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3" w:name="_Toc9161"/>
      <w:bookmarkStart w:id="204" w:name="_Toc31812"/>
      <w:r>
        <w:rPr>
          <w:rFonts w:hint="eastAsia" w:ascii="宋体" w:hAnsi="宋体" w:eastAsia="宋体" w:cs="宋体"/>
          <w:color w:val="auto"/>
          <w:spacing w:val="-2"/>
          <w:sz w:val="24"/>
          <w:szCs w:val="24"/>
          <w:highlight w:val="none"/>
        </w:rPr>
        <w:t>（16）《低压配电设计规范》（GB50054-2011）；</w:t>
      </w:r>
      <w:bookmarkEnd w:id="203"/>
      <w:bookmarkEnd w:id="204"/>
    </w:p>
    <w:p w14:paraId="2235F9F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bookmarkStart w:id="205" w:name="_Toc6405"/>
      <w:bookmarkStart w:id="206" w:name="_Toc18255"/>
      <w:r>
        <w:rPr>
          <w:rFonts w:hint="eastAsia" w:ascii="宋体" w:hAnsi="宋体" w:eastAsia="宋体" w:cs="宋体"/>
          <w:color w:val="auto"/>
          <w:spacing w:val="-2"/>
          <w:sz w:val="24"/>
          <w:szCs w:val="24"/>
          <w:highlight w:val="none"/>
        </w:rPr>
        <w:t>（17）《城市道路照明工程施工及验收规程》（CJJ89-2012）；</w:t>
      </w:r>
      <w:bookmarkEnd w:id="205"/>
      <w:bookmarkEnd w:id="206"/>
    </w:p>
    <w:p w14:paraId="1133F1A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（18）《LED 道路照明工程技术规范》（DB44/T 1898-2016）；</w:t>
      </w:r>
    </w:p>
    <w:p w14:paraId="0184B88E">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（19）《灯具第 1 部分：一般要求与试验》（GB7000.1-2015）；</w:t>
      </w:r>
    </w:p>
    <w:p w14:paraId="2C735567">
      <w:pPr>
        <w:keepNext w:val="0"/>
        <w:keepLines w:val="0"/>
        <w:pageBreakBefore w:val="0"/>
        <w:widowControl w:val="0"/>
        <w:kinsoku w:val="0"/>
        <w:wordWrap/>
        <w:overflowPunct/>
        <w:topLinePunct w:val="0"/>
        <w:autoSpaceDE w:val="0"/>
        <w:autoSpaceDN w:val="0"/>
        <w:bidi w:val="0"/>
        <w:adjustRightInd w:val="0"/>
        <w:snapToGrid w:val="0"/>
        <w:spacing w:before="153" w:line="220" w:lineRule="auto"/>
        <w:ind w:left="216" w:leftChars="103" w:firstLine="0" w:firstLineChars="0"/>
        <w:textAlignment w:val="baseline"/>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（20）《电缆工程电缆设计标准》（GB50217-2018）；</w:t>
      </w:r>
    </w:p>
    <w:p w14:paraId="29D152C9">
      <w:pPr>
        <w:keepNext w:val="0"/>
        <w:keepLines w:val="0"/>
        <w:pageBreakBefore w:val="0"/>
        <w:widowControl w:val="0"/>
        <w:kinsoku w:val="0"/>
        <w:wordWrap/>
        <w:overflowPunct/>
        <w:topLinePunct w:val="0"/>
        <w:autoSpaceDE w:val="0"/>
        <w:autoSpaceDN w:val="0"/>
        <w:bidi w:val="0"/>
        <w:adjustRightInd w:val="0"/>
        <w:snapToGrid w:val="0"/>
        <w:spacing w:before="146" w:line="220" w:lineRule="auto"/>
        <w:ind w:left="216" w:leftChars="103" w:firstLine="0" w:firstLineChars="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（21）其他现行国家、广东省关于市政工程的技术及验收规范、定额、规程、标准。</w:t>
      </w:r>
    </w:p>
    <w:p w14:paraId="66D001D5">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08F9D645">
      <w:pPr>
        <w:pStyle w:val="5"/>
        <w:keepNext w:val="0"/>
        <w:keepLines w:val="0"/>
        <w:pageBreakBefore w:val="0"/>
        <w:widowControl w:val="0"/>
        <w:kinsoku w:val="0"/>
        <w:wordWrap/>
        <w:overflowPunct/>
        <w:topLinePunct w:val="0"/>
        <w:autoSpaceDE w:val="0"/>
        <w:autoSpaceDN w:val="0"/>
        <w:bidi w:val="0"/>
        <w:adjustRightInd w:val="0"/>
        <w:snapToGrid w:val="0"/>
        <w:spacing w:line="255" w:lineRule="auto"/>
        <w:textAlignment w:val="baseline"/>
        <w:rPr>
          <w:rFonts w:hint="eastAsia" w:ascii="宋体" w:hAnsi="宋体" w:eastAsia="宋体" w:cs="宋体"/>
          <w:color w:val="auto"/>
          <w:highlight w:val="none"/>
        </w:rPr>
      </w:pPr>
    </w:p>
    <w:p w14:paraId="5896DC22">
      <w:pPr>
        <w:keepNext w:val="0"/>
        <w:keepLines w:val="0"/>
        <w:pageBreakBefore w:val="0"/>
        <w:widowControl w:val="0"/>
        <w:kinsoku w:val="0"/>
        <w:wordWrap/>
        <w:overflowPunct/>
        <w:topLinePunct w:val="0"/>
        <w:autoSpaceDE w:val="0"/>
        <w:autoSpaceDN w:val="0"/>
        <w:bidi w:val="0"/>
        <w:adjustRightInd w:val="0"/>
        <w:snapToGrid w:val="0"/>
        <w:spacing w:before="78" w:line="222" w:lineRule="auto"/>
        <w:ind w:left="556"/>
        <w:textAlignment w:val="baseline"/>
        <w:outlineLvl w:val="2"/>
        <w:rPr>
          <w:rFonts w:hint="eastAsia" w:ascii="宋体" w:hAnsi="宋体" w:eastAsia="宋体" w:cs="宋体"/>
          <w:color w:val="auto"/>
          <w:sz w:val="24"/>
          <w:szCs w:val="24"/>
          <w:highlight w:val="none"/>
        </w:rPr>
      </w:pPr>
      <w:bookmarkStart w:id="207" w:name="_Toc31813"/>
      <w:bookmarkStart w:id="208" w:name="_Toc9200"/>
      <w:r>
        <w:rPr>
          <w:rFonts w:hint="eastAsia" w:ascii="宋体" w:hAnsi="宋体" w:eastAsia="宋体" w:cs="宋体"/>
          <w:b/>
          <w:bCs/>
          <w:color w:val="auto"/>
          <w:spacing w:val="-8"/>
          <w:sz w:val="24"/>
          <w:szCs w:val="24"/>
          <w:highlight w:val="none"/>
        </w:rPr>
        <w:t>3</w:t>
      </w:r>
      <w:r>
        <w:rPr>
          <w:rFonts w:hint="eastAsia" w:ascii="宋体" w:hAnsi="宋体" w:eastAsia="宋体" w:cs="宋体"/>
          <w:b/>
          <w:bCs/>
          <w:color w:val="auto"/>
          <w:spacing w:val="-25"/>
          <w:sz w:val="24"/>
          <w:szCs w:val="24"/>
          <w:highlight w:val="none"/>
        </w:rPr>
        <w:t xml:space="preserve"> </w:t>
      </w:r>
      <w:r>
        <w:rPr>
          <w:rFonts w:hint="eastAsia" w:ascii="宋体" w:hAnsi="宋体" w:eastAsia="宋体" w:cs="宋体"/>
          <w:b/>
          <w:bCs/>
          <w:color w:val="auto"/>
          <w:spacing w:val="-8"/>
          <w:sz w:val="24"/>
          <w:szCs w:val="24"/>
          <w:highlight w:val="none"/>
        </w:rPr>
        <w:t>．备查要求</w:t>
      </w:r>
      <w:bookmarkEnd w:id="207"/>
      <w:bookmarkEnd w:id="208"/>
    </w:p>
    <w:p w14:paraId="73CE1445">
      <w:pPr>
        <w:keepNext w:val="0"/>
        <w:keepLines w:val="0"/>
        <w:pageBreakBefore w:val="0"/>
        <w:widowControl w:val="0"/>
        <w:kinsoku w:val="0"/>
        <w:wordWrap/>
        <w:overflowPunct/>
        <w:topLinePunct w:val="0"/>
        <w:autoSpaceDE w:val="0"/>
        <w:autoSpaceDN w:val="0"/>
        <w:bidi w:val="0"/>
        <w:adjustRightInd w:val="0"/>
        <w:snapToGrid w:val="0"/>
        <w:spacing w:before="155" w:line="324" w:lineRule="auto"/>
        <w:ind w:right="81" w:firstLine="561"/>
        <w:jc w:val="both"/>
        <w:textAlignment w:val="baseline"/>
        <w:rPr>
          <w:rFonts w:hint="eastAsia"/>
          <w:color w:val="auto"/>
          <w:highlight w:val="none"/>
        </w:rPr>
        <w:sectPr>
          <w:footerReference r:id="rId1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r>
        <w:rPr>
          <w:rFonts w:hint="eastAsia" w:ascii="宋体" w:hAnsi="宋体" w:eastAsia="宋体" w:cs="宋体"/>
          <w:color w:val="auto"/>
          <w:spacing w:val="3"/>
          <w:sz w:val="24"/>
          <w:szCs w:val="24"/>
          <w:highlight w:val="none"/>
        </w:rPr>
        <w:t>承包人必须在施工现场准备至少一套上述规范，发包人和监理单位可</w:t>
      </w:r>
      <w:r>
        <w:rPr>
          <w:rFonts w:hint="eastAsia" w:ascii="宋体" w:hAnsi="宋体" w:eastAsia="宋体" w:cs="宋体"/>
          <w:color w:val="auto"/>
          <w:spacing w:val="2"/>
          <w:sz w:val="24"/>
          <w:szCs w:val="24"/>
          <w:highlight w:val="none"/>
        </w:rPr>
        <w:t>随时检查承</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包人的上述规范，并监督承包人按规范要求执行。</w:t>
      </w:r>
    </w:p>
    <w:p w14:paraId="2E0DBE7D">
      <w:pPr>
        <w:spacing w:before="78" w:line="219" w:lineRule="auto"/>
        <w:jc w:val="center"/>
        <w:outlineLvl w:val="0"/>
        <w:rPr>
          <w:rFonts w:hint="eastAsia" w:ascii="宋体" w:hAnsi="宋体" w:eastAsia="宋体" w:cs="宋体"/>
          <w:color w:val="auto"/>
          <w:sz w:val="24"/>
          <w:szCs w:val="24"/>
          <w:highlight w:val="none"/>
        </w:rPr>
      </w:pPr>
      <w:bookmarkStart w:id="209" w:name="bookmark100"/>
      <w:bookmarkEnd w:id="209"/>
      <w:bookmarkStart w:id="210" w:name="bookmark146"/>
      <w:bookmarkEnd w:id="210"/>
      <w:bookmarkStart w:id="211" w:name="_Toc21699"/>
      <w:r>
        <w:rPr>
          <w:rFonts w:hint="eastAsia" w:ascii="宋体" w:hAnsi="宋体" w:eastAsia="宋体" w:cs="宋体"/>
          <w:b/>
          <w:bCs/>
          <w:color w:val="auto"/>
          <w:spacing w:val="-5"/>
          <w:sz w:val="24"/>
          <w:szCs w:val="24"/>
          <w:highlight w:val="none"/>
        </w:rPr>
        <w:t>第五章</w:t>
      </w:r>
      <w:r>
        <w:rPr>
          <w:rFonts w:hint="eastAsia" w:ascii="宋体" w:hAnsi="宋体" w:eastAsia="宋体" w:cs="宋体"/>
          <w:color w:val="auto"/>
          <w:spacing w:val="33"/>
          <w:sz w:val="24"/>
          <w:szCs w:val="24"/>
          <w:highlight w:val="none"/>
        </w:rPr>
        <w:t xml:space="preserve"> </w:t>
      </w:r>
      <w:r>
        <w:rPr>
          <w:rFonts w:hint="eastAsia" w:ascii="宋体" w:hAnsi="宋体" w:eastAsia="宋体" w:cs="宋体"/>
          <w:b/>
          <w:bCs/>
          <w:color w:val="auto"/>
          <w:spacing w:val="-5"/>
          <w:sz w:val="24"/>
          <w:szCs w:val="24"/>
          <w:highlight w:val="none"/>
        </w:rPr>
        <w:t>图纸和招标工程量清单</w:t>
      </w:r>
      <w:bookmarkEnd w:id="211"/>
    </w:p>
    <w:p w14:paraId="426BE3E0">
      <w:pPr>
        <w:pStyle w:val="5"/>
        <w:spacing w:line="283" w:lineRule="auto"/>
        <w:rPr>
          <w:rFonts w:hint="eastAsia" w:ascii="宋体" w:hAnsi="宋体" w:eastAsia="宋体" w:cs="宋体"/>
          <w:color w:val="auto"/>
          <w:highlight w:val="none"/>
        </w:rPr>
      </w:pPr>
    </w:p>
    <w:p w14:paraId="1DD0865A">
      <w:pPr>
        <w:pStyle w:val="5"/>
        <w:spacing w:line="284" w:lineRule="auto"/>
        <w:rPr>
          <w:rFonts w:hint="eastAsia" w:ascii="宋体" w:hAnsi="宋体" w:eastAsia="宋体" w:cs="宋体"/>
          <w:color w:val="auto"/>
          <w:highlight w:val="none"/>
        </w:rPr>
      </w:pPr>
    </w:p>
    <w:p w14:paraId="0E9C9CEB">
      <w:pPr>
        <w:spacing w:before="78" w:line="219" w:lineRule="auto"/>
        <w:ind w:left="106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 xml:space="preserve">□有，另附复印件         </w:t>
      </w:r>
      <w:r>
        <w:rPr>
          <w:rFonts w:hint="eastAsia" w:ascii="宋体" w:hAnsi="宋体" w:eastAsia="宋体" w:cs="宋体"/>
          <w:color w:val="auto"/>
          <w:spacing w:val="-6"/>
          <w:sz w:val="24"/>
          <w:szCs w:val="24"/>
          <w:highlight w:val="none"/>
          <w:lang w:eastAsia="zh-CN"/>
        </w:rPr>
        <w:t>☑</w:t>
      </w:r>
      <w:r>
        <w:rPr>
          <w:rFonts w:hint="eastAsia" w:ascii="宋体" w:hAnsi="宋体" w:eastAsia="宋体" w:cs="宋体"/>
          <w:color w:val="auto"/>
          <w:spacing w:val="-6"/>
          <w:sz w:val="24"/>
          <w:szCs w:val="24"/>
          <w:highlight w:val="none"/>
        </w:rPr>
        <w:t>有，自行网上下载(浏览)           □无</w:t>
      </w:r>
    </w:p>
    <w:p w14:paraId="09616C56">
      <w:pPr>
        <w:pStyle w:val="5"/>
        <w:spacing w:line="265" w:lineRule="auto"/>
        <w:rPr>
          <w:rFonts w:hint="eastAsia" w:ascii="宋体" w:hAnsi="宋体" w:eastAsia="宋体" w:cs="宋体"/>
          <w:color w:val="auto"/>
          <w:highlight w:val="none"/>
        </w:rPr>
      </w:pPr>
    </w:p>
    <w:p w14:paraId="36EE6B98">
      <w:pPr>
        <w:spacing w:before="151" w:line="222" w:lineRule="auto"/>
        <w:ind w:left="715"/>
        <w:outlineLvl w:val="2"/>
        <w:rPr>
          <w:rFonts w:hint="eastAsia" w:ascii="宋体" w:hAnsi="宋体" w:eastAsia="宋体" w:cs="宋体"/>
          <w:color w:val="auto"/>
          <w:sz w:val="24"/>
          <w:szCs w:val="24"/>
          <w:highlight w:val="none"/>
        </w:rPr>
      </w:pPr>
      <w:bookmarkStart w:id="212" w:name="_Toc24446"/>
      <w:bookmarkStart w:id="213" w:name="_Toc21706"/>
      <w:r>
        <w:rPr>
          <w:rFonts w:hint="eastAsia" w:ascii="宋体" w:hAnsi="宋体" w:eastAsia="宋体" w:cs="宋体"/>
          <w:b/>
          <w:bCs/>
          <w:color w:val="auto"/>
          <w:spacing w:val="-14"/>
          <w:sz w:val="24"/>
          <w:szCs w:val="24"/>
          <w:highlight w:val="none"/>
        </w:rPr>
        <w:t>1</w:t>
      </w:r>
      <w:r>
        <w:rPr>
          <w:rFonts w:hint="eastAsia" w:ascii="宋体" w:hAnsi="宋体" w:eastAsia="宋体" w:cs="宋体"/>
          <w:b/>
          <w:bCs/>
          <w:color w:val="auto"/>
          <w:spacing w:val="-27"/>
          <w:sz w:val="24"/>
          <w:szCs w:val="24"/>
          <w:highlight w:val="none"/>
        </w:rPr>
        <w:t xml:space="preserve"> </w:t>
      </w:r>
      <w:r>
        <w:rPr>
          <w:rFonts w:hint="eastAsia" w:ascii="宋体" w:hAnsi="宋体" w:eastAsia="宋体" w:cs="宋体"/>
          <w:b/>
          <w:bCs/>
          <w:color w:val="auto"/>
          <w:spacing w:val="-14"/>
          <w:sz w:val="24"/>
          <w:szCs w:val="24"/>
          <w:highlight w:val="none"/>
        </w:rPr>
        <w:t>．图纸</w:t>
      </w:r>
      <w:bookmarkEnd w:id="212"/>
      <w:bookmarkEnd w:id="213"/>
    </w:p>
    <w:p w14:paraId="770C4D87">
      <w:pPr>
        <w:spacing w:before="150" w:line="330" w:lineRule="auto"/>
        <w:ind w:left="230" w:firstLine="480"/>
        <w:jc w:val="both"/>
        <w:rPr>
          <w:rFonts w:hint="eastAsia" w:ascii="宋体" w:hAnsi="宋体" w:eastAsia="宋体" w:cs="宋体"/>
          <w:b/>
          <w:bCs/>
          <w:color w:val="auto"/>
          <w:highlight w:val="none"/>
        </w:rPr>
      </w:pPr>
      <w:r>
        <w:rPr>
          <w:rFonts w:hint="eastAsia" w:ascii="宋体" w:hAnsi="宋体" w:eastAsia="宋体" w:cs="宋体"/>
          <w:color w:val="auto"/>
          <w:spacing w:val="1"/>
          <w:sz w:val="24"/>
          <w:szCs w:val="24"/>
          <w:highlight w:val="none"/>
        </w:rPr>
        <w:t>本招标文件随文另附施工图（电子文件）一套。</w:t>
      </w:r>
      <w:r>
        <w:rPr>
          <w:rFonts w:hint="eastAsia" w:ascii="宋体" w:hAnsi="宋体" w:eastAsia="宋体" w:cs="宋体"/>
          <w:b w:val="0"/>
          <w:bCs w:val="0"/>
          <w:color w:val="auto"/>
          <w:spacing w:val="1"/>
          <w:sz w:val="24"/>
          <w:szCs w:val="24"/>
          <w:highlight w:val="none"/>
          <w:lang w:val="en-US" w:eastAsia="zh-CN"/>
        </w:rPr>
        <w:t>本招标项目施工图纸在开标前7天另行发布于全国公共资源交易平台（广东省·韶关市）（https://ygp.gdzwfw.gov.cn/ggzy-portal/#/440200/index）、广东省招标投标监管网（http://zbtb.gd.gov.cn）网站。</w:t>
      </w:r>
    </w:p>
    <w:p w14:paraId="00038AE1">
      <w:pPr>
        <w:spacing w:before="79" w:line="221" w:lineRule="auto"/>
        <w:ind w:left="705"/>
        <w:outlineLvl w:val="2"/>
        <w:rPr>
          <w:rFonts w:hint="eastAsia" w:ascii="宋体" w:hAnsi="宋体" w:eastAsia="宋体" w:cs="宋体"/>
          <w:color w:val="auto"/>
          <w:sz w:val="24"/>
          <w:szCs w:val="24"/>
          <w:highlight w:val="none"/>
        </w:rPr>
      </w:pPr>
      <w:bookmarkStart w:id="214" w:name="_Toc24419"/>
      <w:bookmarkStart w:id="215" w:name="_Toc9064"/>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26"/>
          <w:sz w:val="24"/>
          <w:szCs w:val="24"/>
          <w:highlight w:val="none"/>
        </w:rPr>
        <w:t xml:space="preserve"> </w:t>
      </w:r>
      <w:r>
        <w:rPr>
          <w:rFonts w:hint="eastAsia" w:ascii="宋体" w:hAnsi="宋体" w:eastAsia="宋体" w:cs="宋体"/>
          <w:b/>
          <w:bCs/>
          <w:color w:val="auto"/>
          <w:spacing w:val="-6"/>
          <w:sz w:val="24"/>
          <w:szCs w:val="24"/>
          <w:highlight w:val="none"/>
        </w:rPr>
        <w:t>．招标工程量清单</w:t>
      </w:r>
      <w:bookmarkEnd w:id="214"/>
      <w:bookmarkEnd w:id="215"/>
    </w:p>
    <w:p w14:paraId="42442BE0">
      <w:pPr>
        <w:spacing w:line="360" w:lineRule="auto"/>
        <w:ind w:firstLine="47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pacing w:val="-3"/>
          <w:sz w:val="24"/>
          <w:szCs w:val="24"/>
          <w:highlight w:val="none"/>
        </w:rPr>
        <w:t xml:space="preserve">2.1  </w:t>
      </w:r>
      <w:r>
        <w:rPr>
          <w:rFonts w:hint="eastAsia" w:ascii="宋体" w:hAnsi="宋体" w:eastAsia="宋体" w:cs="宋体"/>
          <w:color w:val="auto"/>
          <w:spacing w:val="-3"/>
          <w:sz w:val="24"/>
          <w:szCs w:val="24"/>
          <w:highlight w:val="none"/>
        </w:rPr>
        <w:t>本招标文件随文另附</w:t>
      </w:r>
      <w:bookmarkStart w:id="216" w:name="OLE_LINK33"/>
      <w:r>
        <w:rPr>
          <w:rFonts w:hint="eastAsia" w:ascii="宋体" w:hAnsi="宋体" w:eastAsia="宋体" w:cs="宋体"/>
          <w:color w:val="auto"/>
          <w:spacing w:val="-3"/>
          <w:sz w:val="24"/>
          <w:szCs w:val="24"/>
          <w:highlight w:val="none"/>
          <w:u w:val="single"/>
        </w:rPr>
        <w:t>招标工程量清单EXCEL版</w:t>
      </w:r>
      <w:r>
        <w:rPr>
          <w:rFonts w:hint="eastAsia" w:ascii="宋体" w:hAnsi="宋体" w:eastAsia="宋体" w:cs="宋体"/>
          <w:color w:val="auto"/>
          <w:spacing w:val="-3"/>
          <w:sz w:val="24"/>
          <w:szCs w:val="24"/>
          <w:highlight w:val="none"/>
          <w:u w:val="single"/>
          <w:lang w:val="en-US" w:eastAsia="zh-CN"/>
        </w:rPr>
        <w:t>和</w:t>
      </w:r>
      <w:bookmarkEnd w:id="216"/>
      <w:r>
        <w:rPr>
          <w:rFonts w:hint="eastAsia" w:ascii="宋体" w:hAnsi="宋体" w:eastAsia="宋体" w:cs="宋体"/>
          <w:color w:val="auto"/>
          <w:spacing w:val="-3"/>
          <w:sz w:val="24"/>
          <w:szCs w:val="24"/>
          <w:highlight w:val="none"/>
          <w:u w:val="single"/>
          <w:lang w:val="en-US" w:eastAsia="zh-CN"/>
        </w:rPr>
        <w:t>最高投标限价PDF</w:t>
      </w:r>
      <w:r>
        <w:rPr>
          <w:rFonts w:hint="eastAsia" w:ascii="宋体" w:hAnsi="宋体" w:eastAsia="宋体" w:cs="宋体"/>
          <w:color w:val="auto"/>
          <w:spacing w:val="37"/>
          <w:sz w:val="24"/>
          <w:szCs w:val="24"/>
          <w:highlight w:val="none"/>
          <w:u w:val="single"/>
        </w:rPr>
        <w:t xml:space="preserve"> </w:t>
      </w:r>
      <w:r>
        <w:rPr>
          <w:rFonts w:hint="eastAsia" w:ascii="宋体" w:hAnsi="宋体" w:eastAsia="宋体" w:cs="宋体"/>
          <w:color w:val="auto"/>
          <w:spacing w:val="-3"/>
          <w:sz w:val="24"/>
          <w:szCs w:val="24"/>
          <w:highlight w:val="none"/>
        </w:rPr>
        <w:t>电子文件一套。</w:t>
      </w:r>
      <w:r>
        <w:rPr>
          <w:rFonts w:hint="eastAsia" w:ascii="宋体" w:hAnsi="宋体" w:eastAsia="宋体" w:cs="宋体"/>
          <w:b w:val="0"/>
          <w:bCs/>
          <w:snapToGrid w:val="0"/>
          <w:color w:val="auto"/>
          <w:kern w:val="0"/>
          <w:sz w:val="24"/>
          <w:szCs w:val="24"/>
          <w:highlight w:val="none"/>
          <w:lang w:val="en-US" w:eastAsia="zh-CN"/>
        </w:rPr>
        <w:t>本招标项目工程量清单在开标前7天另行发布于全国公共资源交易平台（广东省·韶关市）（https://ygp.gdzwfw.gov.cn/ggzy-portal/#/440200/index）、广东省招标投标监管网（http://zbtb.gd.gov.cn）网站。</w:t>
      </w:r>
    </w:p>
    <w:p w14:paraId="7A870555">
      <w:pPr>
        <w:spacing w:before="78" w:line="219" w:lineRule="auto"/>
        <w:ind w:left="478" w:firstLine="239" w:firstLineChars="100"/>
        <w:rPr>
          <w:rFonts w:hint="eastAsia" w:ascii="宋体" w:hAnsi="宋体" w:eastAsia="宋体" w:cs="宋体"/>
          <w:color w:val="auto"/>
          <w:sz w:val="24"/>
          <w:szCs w:val="24"/>
          <w:highlight w:val="none"/>
        </w:rPr>
      </w:pPr>
      <w:bookmarkStart w:id="217" w:name="bookmark147"/>
      <w:bookmarkEnd w:id="217"/>
      <w:r>
        <w:rPr>
          <w:rFonts w:hint="eastAsia" w:ascii="宋体" w:hAnsi="宋体" w:eastAsia="宋体" w:cs="宋体"/>
          <w:b/>
          <w:bCs/>
          <w:color w:val="auto"/>
          <w:spacing w:val="-1"/>
          <w:sz w:val="24"/>
          <w:szCs w:val="24"/>
          <w:highlight w:val="none"/>
        </w:rPr>
        <w:t xml:space="preserve">2.2  </w:t>
      </w:r>
      <w:r>
        <w:rPr>
          <w:rFonts w:hint="eastAsia" w:ascii="宋体" w:hAnsi="宋体" w:eastAsia="宋体" w:cs="宋体"/>
          <w:color w:val="auto"/>
          <w:spacing w:val="-1"/>
          <w:sz w:val="24"/>
          <w:szCs w:val="24"/>
          <w:highlight w:val="none"/>
        </w:rPr>
        <w:t>本工程按照以下依据编制</w:t>
      </w:r>
      <w:r>
        <w:rPr>
          <w:rFonts w:hint="eastAsia" w:ascii="宋体" w:hAnsi="宋体" w:eastAsia="宋体" w:cs="宋体"/>
          <w:color w:val="auto"/>
          <w:spacing w:val="-1"/>
          <w:sz w:val="24"/>
          <w:szCs w:val="24"/>
          <w:highlight w:val="none"/>
          <w:u w:val="single"/>
        </w:rPr>
        <w:t>招标工程量清单</w:t>
      </w:r>
      <w:r>
        <w:rPr>
          <w:rFonts w:hint="eastAsia" w:ascii="宋体" w:hAnsi="宋体" w:eastAsia="宋体" w:cs="宋体"/>
          <w:color w:val="auto"/>
          <w:spacing w:val="-1"/>
          <w:sz w:val="24"/>
          <w:szCs w:val="24"/>
          <w:highlight w:val="none"/>
        </w:rPr>
        <w:t>：</w:t>
      </w:r>
    </w:p>
    <w:p w14:paraId="716E56A2">
      <w:pPr>
        <w:spacing w:before="12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（1）《建设工程工程量清单计价</w:t>
      </w:r>
      <w:r>
        <w:rPr>
          <w:rFonts w:hint="eastAsia" w:ascii="宋体" w:hAnsi="宋体" w:eastAsia="宋体" w:cs="宋体"/>
          <w:color w:val="auto"/>
          <w:spacing w:val="-1"/>
          <w:sz w:val="24"/>
          <w:szCs w:val="24"/>
          <w:highlight w:val="none"/>
          <w:lang w:val="en-US" w:eastAsia="zh-CN"/>
        </w:rPr>
        <w:t>标准</w:t>
      </w:r>
      <w:r>
        <w:rPr>
          <w:rFonts w:hint="eastAsia" w:ascii="宋体" w:hAnsi="宋体" w:eastAsia="宋体" w:cs="宋体"/>
          <w:color w:val="auto"/>
          <w:spacing w:val="-1"/>
          <w:sz w:val="24"/>
          <w:szCs w:val="24"/>
          <w:highlight w:val="none"/>
        </w:rPr>
        <w:t>》（GB50500—20</w:t>
      </w:r>
      <w:r>
        <w:rPr>
          <w:rFonts w:hint="eastAsia" w:ascii="宋体" w:hAnsi="宋体" w:eastAsia="宋体" w:cs="宋体"/>
          <w:color w:val="auto"/>
          <w:spacing w:val="-1"/>
          <w:sz w:val="24"/>
          <w:szCs w:val="24"/>
          <w:highlight w:val="none"/>
          <w:lang w:val="en-US" w:eastAsia="zh-CN"/>
        </w:rPr>
        <w:t>24</w:t>
      </w:r>
      <w:r>
        <w:rPr>
          <w:rFonts w:hint="eastAsia" w:ascii="宋体" w:hAnsi="宋体" w:eastAsia="宋体" w:cs="宋体"/>
          <w:color w:val="auto"/>
          <w:spacing w:val="4"/>
          <w:sz w:val="24"/>
          <w:szCs w:val="24"/>
          <w:highlight w:val="none"/>
        </w:rPr>
        <w:t>）；</w:t>
      </w:r>
    </w:p>
    <w:p w14:paraId="596C9F0B">
      <w:pPr>
        <w:spacing w:before="115" w:line="299" w:lineRule="auto"/>
        <w:ind w:firstLine="493"/>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（2）投标人应对招标人提供的工程量清单进行认真细致的复核。这种复核包括对</w:t>
      </w:r>
      <w:r>
        <w:rPr>
          <w:rFonts w:hint="eastAsia" w:ascii="宋体" w:hAnsi="宋体" w:eastAsia="宋体" w:cs="宋体"/>
          <w:color w:val="auto"/>
          <w:spacing w:val="-1"/>
          <w:sz w:val="24"/>
          <w:szCs w:val="24"/>
          <w:highlight w:val="none"/>
        </w:rPr>
        <w:t>招标人提供的工程量清单中的子目编码、子目名称、子</w:t>
      </w:r>
      <w:r>
        <w:rPr>
          <w:rFonts w:hint="eastAsia" w:ascii="宋体" w:hAnsi="宋体" w:eastAsia="宋体" w:cs="宋体"/>
          <w:color w:val="auto"/>
          <w:spacing w:val="-2"/>
          <w:sz w:val="24"/>
          <w:szCs w:val="24"/>
          <w:highlight w:val="none"/>
        </w:rPr>
        <w:t>目特征描述、计量单位、工程量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的准确性以及可能存在的任何书写、打印错误进行检查</w:t>
      </w:r>
      <w:r>
        <w:rPr>
          <w:rFonts w:hint="eastAsia" w:ascii="宋体" w:hAnsi="宋体" w:eastAsia="宋体" w:cs="宋体"/>
          <w:color w:val="auto"/>
          <w:spacing w:val="-2"/>
          <w:sz w:val="24"/>
          <w:szCs w:val="24"/>
          <w:highlight w:val="none"/>
        </w:rPr>
        <w:t>和复核，特别是对“分部分项工</w:t>
      </w:r>
      <w:r>
        <w:rPr>
          <w:rFonts w:hint="eastAsia" w:ascii="宋体" w:hAnsi="宋体" w:eastAsia="宋体" w:cs="宋体"/>
          <w:color w:val="auto"/>
          <w:spacing w:val="-1"/>
          <w:sz w:val="24"/>
          <w:szCs w:val="24"/>
          <w:highlight w:val="none"/>
        </w:rPr>
        <w:t>程量清单与计价表”中每个工作子目的工程量进</w:t>
      </w:r>
      <w:r>
        <w:rPr>
          <w:rFonts w:hint="eastAsia" w:ascii="宋体" w:hAnsi="宋体" w:eastAsia="宋体" w:cs="宋体"/>
          <w:color w:val="auto"/>
          <w:spacing w:val="-2"/>
          <w:sz w:val="24"/>
          <w:szCs w:val="24"/>
          <w:highlight w:val="none"/>
        </w:rPr>
        <w:t>行重新计算和校核。如果投标人经过检</w:t>
      </w:r>
      <w:r>
        <w:rPr>
          <w:rFonts w:hint="eastAsia" w:ascii="宋体" w:hAnsi="宋体" w:eastAsia="宋体" w:cs="宋体"/>
          <w:color w:val="auto"/>
          <w:spacing w:val="-1"/>
          <w:sz w:val="24"/>
          <w:szCs w:val="24"/>
          <w:highlight w:val="none"/>
        </w:rPr>
        <w:t>查和复核以后认为招标人提供的工程量清单存在</w:t>
      </w:r>
      <w:r>
        <w:rPr>
          <w:rFonts w:hint="eastAsia" w:ascii="宋体" w:hAnsi="宋体" w:eastAsia="宋体" w:cs="宋体"/>
          <w:color w:val="auto"/>
          <w:spacing w:val="-2"/>
          <w:sz w:val="24"/>
          <w:szCs w:val="24"/>
          <w:highlight w:val="none"/>
        </w:rPr>
        <w:t>差异，则投标人应将此类差异的详细情</w:t>
      </w:r>
      <w:r>
        <w:rPr>
          <w:rFonts w:hint="eastAsia" w:ascii="宋体" w:hAnsi="宋体" w:eastAsia="宋体" w:cs="宋体"/>
          <w:color w:val="auto"/>
          <w:spacing w:val="-8"/>
          <w:sz w:val="24"/>
          <w:szCs w:val="24"/>
          <w:highlight w:val="none"/>
        </w:rPr>
        <w:t>况连同按“投标须知</w:t>
      </w:r>
      <w:r>
        <w:rPr>
          <w:rFonts w:hint="eastAsia" w:ascii="宋体" w:hAnsi="宋体" w:eastAsia="宋体" w:cs="宋体"/>
          <w:color w:val="auto"/>
          <w:spacing w:val="-89"/>
          <w:sz w:val="24"/>
          <w:szCs w:val="24"/>
          <w:highlight w:val="none"/>
        </w:rPr>
        <w:t xml:space="preserve"> </w:t>
      </w:r>
      <w:r>
        <w:rPr>
          <w:rFonts w:hint="eastAsia" w:ascii="宋体" w:hAnsi="宋体" w:eastAsia="宋体" w:cs="宋体"/>
          <w:color w:val="auto"/>
          <w:spacing w:val="-8"/>
          <w:sz w:val="24"/>
          <w:szCs w:val="24"/>
          <w:highlight w:val="none"/>
        </w:rPr>
        <w:t>”规定提交的要求招标人澄清的其他</w:t>
      </w:r>
      <w:r>
        <w:rPr>
          <w:rFonts w:hint="eastAsia" w:ascii="宋体" w:hAnsi="宋体" w:eastAsia="宋体" w:cs="宋体"/>
          <w:color w:val="auto"/>
          <w:spacing w:val="-9"/>
          <w:sz w:val="24"/>
          <w:szCs w:val="24"/>
          <w:highlight w:val="none"/>
        </w:rPr>
        <w:t>问题一起提交给招标人，招标人</w:t>
      </w:r>
      <w:r>
        <w:rPr>
          <w:rFonts w:hint="eastAsia" w:ascii="宋体" w:hAnsi="宋体" w:eastAsia="宋体" w:cs="宋体"/>
          <w:color w:val="auto"/>
          <w:spacing w:val="-2"/>
          <w:sz w:val="24"/>
          <w:szCs w:val="24"/>
          <w:highlight w:val="none"/>
        </w:rPr>
        <w:t>将根据实际情况决定是否颁发</w:t>
      </w:r>
      <w:r>
        <w:rPr>
          <w:rFonts w:hint="eastAsia" w:ascii="宋体" w:hAnsi="宋体" w:eastAsia="宋体" w:cs="宋体"/>
          <w:color w:val="auto"/>
          <w:spacing w:val="-2"/>
          <w:sz w:val="24"/>
          <w:szCs w:val="24"/>
          <w:highlight w:val="none"/>
          <w:u w:val="single"/>
        </w:rPr>
        <w:t>工程量清单</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8"/>
          <w:sz w:val="24"/>
          <w:szCs w:val="24"/>
          <w:highlight w:val="none"/>
          <w:lang w:eastAsia="zh-CN"/>
        </w:rPr>
        <w:t>最高投标限价</w:t>
      </w:r>
      <w:r>
        <w:rPr>
          <w:rFonts w:hint="eastAsia" w:ascii="宋体" w:hAnsi="宋体" w:eastAsia="宋体" w:cs="宋体"/>
          <w:color w:val="auto"/>
          <w:spacing w:val="-8"/>
          <w:sz w:val="24"/>
          <w:szCs w:val="24"/>
          <w:highlight w:val="none"/>
        </w:rPr>
        <w:t>的</w:t>
      </w:r>
      <w:r>
        <w:rPr>
          <w:rFonts w:hint="eastAsia" w:ascii="宋体" w:hAnsi="宋体" w:eastAsia="宋体" w:cs="宋体"/>
          <w:color w:val="auto"/>
          <w:spacing w:val="-2"/>
          <w:sz w:val="24"/>
          <w:szCs w:val="24"/>
          <w:highlight w:val="none"/>
        </w:rPr>
        <w:t>补充和(或)修改文件。</w:t>
      </w:r>
    </w:p>
    <w:p w14:paraId="46A0A7F1">
      <w:pPr>
        <w:spacing w:before="79" w:line="263" w:lineRule="auto"/>
        <w:ind w:left="2" w:right="2" w:firstLine="48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（3）本招标工程量清单措施项目中的</w:t>
      </w:r>
      <w:r>
        <w:rPr>
          <w:rFonts w:hint="eastAsia" w:ascii="宋体" w:hAnsi="宋体" w:eastAsia="宋体" w:cs="宋体"/>
          <w:b/>
          <w:bCs/>
          <w:color w:val="auto"/>
          <w:spacing w:val="-6"/>
          <w:sz w:val="24"/>
          <w:szCs w:val="24"/>
          <w:highlight w:val="none"/>
          <w:u w:val="single"/>
        </w:rPr>
        <w:t>暂列金额、</w:t>
      </w:r>
      <w:r>
        <w:rPr>
          <w:rFonts w:hint="eastAsia" w:ascii="宋体" w:hAnsi="宋体" w:eastAsia="宋体" w:cs="宋体"/>
          <w:b/>
          <w:bCs/>
          <w:color w:val="auto"/>
          <w:spacing w:val="-6"/>
          <w:sz w:val="24"/>
          <w:szCs w:val="24"/>
          <w:highlight w:val="none"/>
          <w:u w:val="single"/>
          <w:lang w:val="en-US" w:eastAsia="zh-CN"/>
        </w:rPr>
        <w:t>专业工程</w:t>
      </w:r>
      <w:r>
        <w:rPr>
          <w:rFonts w:hint="eastAsia" w:ascii="宋体" w:hAnsi="宋体" w:eastAsia="宋体" w:cs="宋体"/>
          <w:b/>
          <w:bCs/>
          <w:color w:val="auto"/>
          <w:spacing w:val="-6"/>
          <w:sz w:val="24"/>
          <w:szCs w:val="24"/>
          <w:highlight w:val="none"/>
          <w:u w:val="single"/>
        </w:rPr>
        <w:t>暂估价</w:t>
      </w:r>
      <w:r>
        <w:rPr>
          <w:rFonts w:hint="eastAsia" w:ascii="宋体" w:hAnsi="宋体" w:eastAsia="宋体" w:cs="宋体"/>
          <w:color w:val="auto"/>
          <w:spacing w:val="-2"/>
          <w:sz w:val="24"/>
          <w:szCs w:val="24"/>
          <w:highlight w:val="none"/>
        </w:rPr>
        <w:t>不得作为竞争性费用，投标报价必须按本招标工程量清</w:t>
      </w:r>
      <w:r>
        <w:rPr>
          <w:rFonts w:hint="eastAsia" w:ascii="宋体" w:hAnsi="宋体" w:eastAsia="宋体" w:cs="宋体"/>
          <w:color w:val="auto"/>
          <w:spacing w:val="-3"/>
          <w:sz w:val="24"/>
          <w:szCs w:val="24"/>
          <w:highlight w:val="none"/>
        </w:rPr>
        <w:t>单规定</w:t>
      </w:r>
      <w:r>
        <w:rPr>
          <w:rFonts w:hint="eastAsia" w:ascii="宋体" w:hAnsi="宋体" w:eastAsia="宋体" w:cs="宋体"/>
          <w:color w:val="auto"/>
          <w:spacing w:val="-2"/>
          <w:sz w:val="24"/>
          <w:szCs w:val="24"/>
          <w:highlight w:val="none"/>
        </w:rPr>
        <w:t>的金额填</w:t>
      </w:r>
      <w:r>
        <w:rPr>
          <w:rFonts w:hint="eastAsia" w:ascii="宋体" w:hAnsi="宋体" w:eastAsia="宋体" w:cs="宋体"/>
          <w:color w:val="auto"/>
          <w:spacing w:val="-3"/>
          <w:sz w:val="24"/>
          <w:szCs w:val="24"/>
          <w:highlight w:val="none"/>
        </w:rPr>
        <w:t>报。</w:t>
      </w:r>
    </w:p>
    <w:p w14:paraId="597A2C30">
      <w:pPr>
        <w:spacing w:before="118" w:line="265" w:lineRule="auto"/>
        <w:ind w:left="7" w:right="4" w:firstLine="48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（4）投标报价使用的表格格式须按照 GB50500-20</w:t>
      </w:r>
      <w:r>
        <w:rPr>
          <w:rFonts w:hint="eastAsia" w:ascii="宋体" w:hAnsi="宋体" w:eastAsia="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rPr>
        <w:t>《建设工程工程量清单计价</w:t>
      </w:r>
      <w:r>
        <w:rPr>
          <w:rFonts w:hint="eastAsia" w:ascii="宋体" w:hAnsi="宋体" w:eastAsia="宋体" w:cs="宋体"/>
          <w:color w:val="auto"/>
          <w:spacing w:val="-2"/>
          <w:sz w:val="24"/>
          <w:szCs w:val="24"/>
          <w:highlight w:val="none"/>
          <w:lang w:val="en-US" w:eastAsia="zh-CN"/>
        </w:rPr>
        <w:t>标准</w:t>
      </w:r>
      <w:r>
        <w:rPr>
          <w:rFonts w:hint="eastAsia" w:ascii="宋体" w:hAnsi="宋体" w:eastAsia="宋体" w:cs="宋体"/>
          <w:color w:val="auto"/>
          <w:spacing w:val="-6"/>
          <w:sz w:val="24"/>
          <w:szCs w:val="24"/>
          <w:highlight w:val="none"/>
        </w:rPr>
        <w:t>》。</w:t>
      </w:r>
    </w:p>
    <w:p w14:paraId="48E91CD9">
      <w:pPr>
        <w:spacing w:before="107" w:line="286" w:lineRule="auto"/>
        <w:ind w:right="4" w:firstLine="492"/>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5）《市政工程工程量计算标准》(GB/T50857-2024）、《园林绿化工程工程量计算标准》(GB/T50858-2024）、2018年《广东省市政工程综合定额》、2018年《广东省园林绿化工程综合定额》及现行的建筑施工规范和省市有关文件、规定为编制依据进行编制；</w:t>
      </w:r>
    </w:p>
    <w:p w14:paraId="6CA88270">
      <w:pPr>
        <w:spacing w:before="146" w:line="221"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（6）施工图及相关资料；</w:t>
      </w:r>
    </w:p>
    <w:p w14:paraId="479F4C24">
      <w:pPr>
        <w:spacing w:before="153"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（7）招标文件；</w:t>
      </w:r>
    </w:p>
    <w:p w14:paraId="43BDEA27">
      <w:pPr>
        <w:spacing w:before="155" w:line="220"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（8）施工现场情况、地勘水文资料、工程特点及常规施工方案；</w:t>
      </w:r>
    </w:p>
    <w:p w14:paraId="5EE770F4">
      <w:pPr>
        <w:spacing w:before="153" w:line="219" w:lineRule="auto"/>
        <w:ind w:left="493"/>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（9）与建设工程有关的标准、规范、技术资料、材料设备信息价或市场价格等</w:t>
      </w:r>
      <w:r>
        <w:rPr>
          <w:rFonts w:hint="eastAsia" w:ascii="宋体" w:hAnsi="宋体" w:eastAsia="宋体" w:cs="宋体"/>
          <w:color w:val="auto"/>
          <w:spacing w:val="-2"/>
          <w:sz w:val="24"/>
          <w:szCs w:val="24"/>
          <w:highlight w:val="none"/>
        </w:rPr>
        <w:t>。</w:t>
      </w:r>
    </w:p>
    <w:p w14:paraId="1CEA0427">
      <w:pPr>
        <w:spacing w:line="219" w:lineRule="auto"/>
        <w:rPr>
          <w:rFonts w:hint="eastAsia" w:ascii="宋体" w:hAnsi="宋体" w:eastAsia="宋体" w:cs="宋体"/>
          <w:color w:val="auto"/>
          <w:sz w:val="24"/>
          <w:szCs w:val="24"/>
          <w:highlight w:val="none"/>
        </w:rPr>
        <w:sectPr>
          <w:footerReference r:id="rId1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41BC52A">
      <w:pPr>
        <w:pStyle w:val="5"/>
        <w:spacing w:line="304" w:lineRule="auto"/>
        <w:rPr>
          <w:rFonts w:hint="eastAsia" w:ascii="宋体" w:hAnsi="宋体" w:eastAsia="宋体" w:cs="宋体"/>
          <w:color w:val="auto"/>
          <w:highlight w:val="none"/>
        </w:rPr>
      </w:pPr>
    </w:p>
    <w:p w14:paraId="3841A216">
      <w:pPr>
        <w:spacing w:before="78" w:line="219" w:lineRule="auto"/>
        <w:ind w:left="3357"/>
        <w:outlineLvl w:val="0"/>
        <w:rPr>
          <w:rFonts w:hint="eastAsia" w:ascii="宋体" w:hAnsi="宋体" w:eastAsia="宋体" w:cs="宋体"/>
          <w:color w:val="auto"/>
          <w:sz w:val="24"/>
          <w:szCs w:val="24"/>
          <w:highlight w:val="none"/>
        </w:rPr>
      </w:pPr>
      <w:bookmarkStart w:id="218" w:name="_Toc27130"/>
      <w:r>
        <w:rPr>
          <w:rFonts w:hint="eastAsia" w:ascii="宋体" w:hAnsi="宋体" w:eastAsia="宋体" w:cs="宋体"/>
          <w:b/>
          <w:bCs/>
          <w:color w:val="auto"/>
          <w:spacing w:val="-3"/>
          <w:sz w:val="24"/>
          <w:szCs w:val="24"/>
          <w:highlight w:val="none"/>
        </w:rPr>
        <w:t>第六章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投标文件格式</w:t>
      </w:r>
      <w:bookmarkEnd w:id="218"/>
    </w:p>
    <w:p w14:paraId="15B208D3">
      <w:pPr>
        <w:pStyle w:val="5"/>
        <w:spacing w:line="302" w:lineRule="auto"/>
        <w:jc w:val="right"/>
        <w:rPr>
          <w:rFonts w:hint="eastAsia" w:ascii="宋体" w:hAnsi="宋体" w:eastAsia="宋体" w:cs="宋体"/>
          <w:color w:val="auto"/>
          <w:highlight w:val="none"/>
        </w:rPr>
      </w:pPr>
    </w:p>
    <w:p w14:paraId="00706EC0">
      <w:pPr>
        <w:spacing w:before="78" w:line="220" w:lineRule="auto"/>
        <w:outlineLvl w:val="2"/>
        <w:rPr>
          <w:rFonts w:hint="eastAsia" w:ascii="宋体" w:hAnsi="宋体" w:eastAsia="宋体" w:cs="宋体"/>
          <w:color w:val="auto"/>
          <w:sz w:val="24"/>
          <w:szCs w:val="24"/>
          <w:highlight w:val="none"/>
        </w:rPr>
      </w:pPr>
      <w:bookmarkStart w:id="219" w:name="_Toc11203"/>
      <w:r>
        <w:rPr>
          <w:rFonts w:hint="eastAsia" w:ascii="宋体" w:hAnsi="宋体" w:eastAsia="宋体" w:cs="宋体"/>
          <w:b/>
          <w:bCs/>
          <w:color w:val="auto"/>
          <w:spacing w:val="-4"/>
          <w:sz w:val="24"/>
          <w:szCs w:val="24"/>
          <w:highlight w:val="none"/>
        </w:rPr>
        <w:t>格式一</w:t>
      </w:r>
      <w:r>
        <w:rPr>
          <w:rFonts w:hint="eastAsia" w:ascii="宋体" w:hAnsi="宋体" w:eastAsia="宋体" w:cs="宋体"/>
          <w:color w:val="auto"/>
          <w:spacing w:val="-4"/>
          <w:sz w:val="24"/>
          <w:szCs w:val="24"/>
          <w:highlight w:val="none"/>
        </w:rPr>
        <w:t xml:space="preserve"> </w:t>
      </w:r>
      <w:r>
        <w:rPr>
          <w:rFonts w:hint="eastAsia" w:ascii="宋体" w:hAnsi="宋体" w:eastAsia="宋体" w:cs="宋体"/>
          <w:b/>
          <w:bCs/>
          <w:color w:val="auto"/>
          <w:spacing w:val="-4"/>
          <w:sz w:val="24"/>
          <w:szCs w:val="24"/>
          <w:highlight w:val="none"/>
        </w:rPr>
        <w:t>封面</w:t>
      </w:r>
      <w:bookmarkEnd w:id="219"/>
    </w:p>
    <w:p w14:paraId="0DD9B6DB">
      <w:pPr>
        <w:pStyle w:val="5"/>
        <w:spacing w:line="258" w:lineRule="auto"/>
        <w:rPr>
          <w:rFonts w:hint="eastAsia" w:ascii="宋体" w:hAnsi="宋体" w:eastAsia="宋体" w:cs="宋体"/>
          <w:color w:val="auto"/>
          <w:highlight w:val="none"/>
        </w:rPr>
      </w:pPr>
    </w:p>
    <w:p w14:paraId="30B4EFC1">
      <w:pPr>
        <w:pStyle w:val="5"/>
        <w:spacing w:line="259" w:lineRule="auto"/>
        <w:rPr>
          <w:rFonts w:hint="eastAsia" w:ascii="宋体" w:hAnsi="宋体" w:eastAsia="宋体" w:cs="宋体"/>
          <w:color w:val="auto"/>
          <w:highlight w:val="none"/>
        </w:rPr>
      </w:pPr>
    </w:p>
    <w:p w14:paraId="2BA24286">
      <w:pPr>
        <w:pStyle w:val="5"/>
        <w:spacing w:line="259" w:lineRule="auto"/>
        <w:rPr>
          <w:rFonts w:hint="eastAsia" w:ascii="宋体" w:hAnsi="宋体" w:eastAsia="宋体" w:cs="宋体"/>
          <w:color w:val="auto"/>
          <w:highlight w:val="none"/>
        </w:rPr>
      </w:pPr>
    </w:p>
    <w:p w14:paraId="1B97EE3D">
      <w:pPr>
        <w:spacing w:before="153" w:line="225" w:lineRule="auto"/>
        <w:ind w:left="-1" w:leftChars="0" w:firstLine="0" w:firstLineChars="0"/>
        <w:jc w:val="center"/>
        <w:rPr>
          <w:rFonts w:hint="eastAsia" w:ascii="宋体" w:hAnsi="宋体" w:eastAsia="宋体" w:cs="宋体"/>
          <w:color w:val="auto"/>
          <w:sz w:val="47"/>
          <w:szCs w:val="47"/>
          <w:highlight w:val="none"/>
        </w:rPr>
      </w:pPr>
      <w:r>
        <w:rPr>
          <w:rFonts w:hint="eastAsia" w:ascii="宋体" w:hAnsi="宋体" w:eastAsia="宋体" w:cs="宋体"/>
          <w:b/>
          <w:bCs/>
          <w:color w:val="auto"/>
          <w:spacing w:val="8"/>
          <w:sz w:val="47"/>
          <w:szCs w:val="47"/>
          <w:highlight w:val="none"/>
          <w:u w:val="single"/>
          <w:lang w:val="en-US" w:eastAsia="zh-CN"/>
        </w:rPr>
        <w:t xml:space="preserve">       </w:t>
      </w:r>
      <w:r>
        <w:rPr>
          <w:rFonts w:hint="eastAsia" w:ascii="宋体" w:hAnsi="宋体" w:eastAsia="宋体" w:cs="宋体"/>
          <w:b/>
          <w:bCs/>
          <w:color w:val="auto"/>
          <w:spacing w:val="8"/>
          <w:sz w:val="47"/>
          <w:szCs w:val="47"/>
          <w:highlight w:val="none"/>
          <w:u w:val="single"/>
        </w:rPr>
        <w:t>（项目名称</w:t>
      </w:r>
      <w:r>
        <w:rPr>
          <w:rFonts w:hint="eastAsia" w:ascii="宋体" w:hAnsi="宋体" w:eastAsia="宋体" w:cs="宋体"/>
          <w:b/>
          <w:bCs/>
          <w:color w:val="auto"/>
          <w:spacing w:val="-32"/>
          <w:sz w:val="47"/>
          <w:szCs w:val="47"/>
          <w:highlight w:val="none"/>
          <w:u w:val="single"/>
        </w:rPr>
        <w:t>）</w:t>
      </w:r>
      <w:r>
        <w:rPr>
          <w:rFonts w:hint="eastAsia" w:ascii="宋体" w:hAnsi="宋体" w:eastAsia="宋体" w:cs="宋体"/>
          <w:b/>
          <w:bCs/>
          <w:color w:val="auto"/>
          <w:spacing w:val="8"/>
          <w:sz w:val="47"/>
          <w:szCs w:val="47"/>
          <w:highlight w:val="none"/>
        </w:rPr>
        <w:t>招标</w:t>
      </w:r>
    </w:p>
    <w:p w14:paraId="7332F8E4">
      <w:pPr>
        <w:pStyle w:val="5"/>
        <w:spacing w:line="247" w:lineRule="auto"/>
        <w:rPr>
          <w:rFonts w:hint="eastAsia" w:ascii="宋体" w:hAnsi="宋体" w:eastAsia="宋体" w:cs="宋体"/>
          <w:color w:val="auto"/>
          <w:highlight w:val="none"/>
        </w:rPr>
      </w:pPr>
    </w:p>
    <w:p w14:paraId="7ABC2E3D">
      <w:pPr>
        <w:pStyle w:val="5"/>
        <w:spacing w:line="247" w:lineRule="auto"/>
        <w:rPr>
          <w:rFonts w:hint="eastAsia" w:ascii="宋体" w:hAnsi="宋体" w:eastAsia="宋体" w:cs="宋体"/>
          <w:color w:val="auto"/>
          <w:highlight w:val="none"/>
        </w:rPr>
      </w:pPr>
    </w:p>
    <w:p w14:paraId="6E24384B">
      <w:pPr>
        <w:pStyle w:val="5"/>
        <w:spacing w:line="247" w:lineRule="auto"/>
        <w:rPr>
          <w:rFonts w:hint="eastAsia" w:ascii="宋体" w:hAnsi="宋体" w:eastAsia="宋体" w:cs="宋体"/>
          <w:color w:val="auto"/>
          <w:highlight w:val="none"/>
        </w:rPr>
      </w:pPr>
    </w:p>
    <w:p w14:paraId="57625B3E">
      <w:pPr>
        <w:pStyle w:val="5"/>
        <w:spacing w:line="247" w:lineRule="auto"/>
        <w:rPr>
          <w:rFonts w:hint="eastAsia" w:ascii="宋体" w:hAnsi="宋体" w:eastAsia="宋体" w:cs="宋体"/>
          <w:color w:val="auto"/>
          <w:highlight w:val="none"/>
        </w:rPr>
      </w:pPr>
    </w:p>
    <w:p w14:paraId="2E7686F1">
      <w:pPr>
        <w:pStyle w:val="5"/>
        <w:spacing w:line="248" w:lineRule="auto"/>
        <w:rPr>
          <w:rFonts w:hint="eastAsia" w:ascii="宋体" w:hAnsi="宋体" w:eastAsia="宋体" w:cs="宋体"/>
          <w:color w:val="auto"/>
          <w:highlight w:val="none"/>
        </w:rPr>
      </w:pPr>
    </w:p>
    <w:p w14:paraId="46F8403D">
      <w:pPr>
        <w:spacing w:before="231" w:line="223" w:lineRule="auto"/>
        <w:jc w:val="center"/>
        <w:rPr>
          <w:rFonts w:hint="eastAsia" w:ascii="宋体" w:hAnsi="宋体" w:eastAsia="宋体" w:cs="宋体"/>
          <w:color w:val="auto"/>
          <w:sz w:val="71"/>
          <w:szCs w:val="71"/>
          <w:highlight w:val="none"/>
        </w:rPr>
      </w:pPr>
      <w:r>
        <w:rPr>
          <w:rFonts w:hint="eastAsia" w:ascii="宋体" w:hAnsi="宋体" w:eastAsia="宋体" w:cs="宋体"/>
          <w:b/>
          <w:bCs/>
          <w:color w:val="auto"/>
          <w:spacing w:val="-26"/>
          <w:sz w:val="71"/>
          <w:szCs w:val="71"/>
          <w:highlight w:val="none"/>
        </w:rPr>
        <w:t>投</w:t>
      </w:r>
      <w:r>
        <w:rPr>
          <w:rFonts w:hint="eastAsia" w:ascii="宋体" w:hAnsi="宋体" w:eastAsia="宋体" w:cs="宋体"/>
          <w:color w:val="auto"/>
          <w:spacing w:val="22"/>
          <w:sz w:val="71"/>
          <w:szCs w:val="71"/>
          <w:highlight w:val="none"/>
        </w:rPr>
        <w:t xml:space="preserve">  </w:t>
      </w:r>
      <w:r>
        <w:rPr>
          <w:rFonts w:hint="eastAsia" w:ascii="宋体" w:hAnsi="宋体" w:eastAsia="宋体" w:cs="宋体"/>
          <w:b/>
          <w:bCs/>
          <w:color w:val="auto"/>
          <w:spacing w:val="-26"/>
          <w:sz w:val="71"/>
          <w:szCs w:val="71"/>
          <w:highlight w:val="none"/>
        </w:rPr>
        <w:t>标</w:t>
      </w:r>
      <w:r>
        <w:rPr>
          <w:rFonts w:hint="eastAsia" w:ascii="宋体" w:hAnsi="宋体" w:eastAsia="宋体" w:cs="宋体"/>
          <w:color w:val="auto"/>
          <w:spacing w:val="23"/>
          <w:sz w:val="71"/>
          <w:szCs w:val="71"/>
          <w:highlight w:val="none"/>
        </w:rPr>
        <w:t xml:space="preserve">  </w:t>
      </w:r>
      <w:r>
        <w:rPr>
          <w:rFonts w:hint="eastAsia" w:ascii="宋体" w:hAnsi="宋体" w:eastAsia="宋体" w:cs="宋体"/>
          <w:b/>
          <w:bCs/>
          <w:color w:val="auto"/>
          <w:spacing w:val="-26"/>
          <w:sz w:val="71"/>
          <w:szCs w:val="71"/>
          <w:highlight w:val="none"/>
        </w:rPr>
        <w:t>文</w:t>
      </w:r>
      <w:r>
        <w:rPr>
          <w:rFonts w:hint="eastAsia" w:ascii="宋体" w:hAnsi="宋体" w:eastAsia="宋体" w:cs="宋体"/>
          <w:color w:val="auto"/>
          <w:spacing w:val="19"/>
          <w:sz w:val="71"/>
          <w:szCs w:val="71"/>
          <w:highlight w:val="none"/>
        </w:rPr>
        <w:t xml:space="preserve">  </w:t>
      </w:r>
      <w:r>
        <w:rPr>
          <w:rFonts w:hint="eastAsia" w:ascii="宋体" w:hAnsi="宋体" w:eastAsia="宋体" w:cs="宋体"/>
          <w:b/>
          <w:bCs/>
          <w:color w:val="auto"/>
          <w:spacing w:val="-26"/>
          <w:sz w:val="71"/>
          <w:szCs w:val="71"/>
          <w:highlight w:val="none"/>
        </w:rPr>
        <w:t>件</w:t>
      </w:r>
    </w:p>
    <w:p w14:paraId="0E547877">
      <w:pPr>
        <w:pStyle w:val="5"/>
        <w:spacing w:line="293" w:lineRule="auto"/>
        <w:rPr>
          <w:rFonts w:hint="eastAsia" w:ascii="宋体" w:hAnsi="宋体" w:eastAsia="宋体" w:cs="宋体"/>
          <w:color w:val="auto"/>
          <w:highlight w:val="none"/>
        </w:rPr>
      </w:pPr>
    </w:p>
    <w:p w14:paraId="056D96BE">
      <w:pPr>
        <w:pStyle w:val="5"/>
        <w:spacing w:line="293" w:lineRule="auto"/>
        <w:rPr>
          <w:rFonts w:hint="eastAsia" w:ascii="宋体" w:hAnsi="宋体" w:eastAsia="宋体" w:cs="宋体"/>
          <w:color w:val="auto"/>
          <w:highlight w:val="none"/>
        </w:rPr>
      </w:pPr>
    </w:p>
    <w:p w14:paraId="31B75796">
      <w:pPr>
        <w:spacing w:before="152" w:line="223" w:lineRule="auto"/>
        <w:jc w:val="center"/>
        <w:rPr>
          <w:rFonts w:hint="eastAsia" w:ascii="宋体" w:hAnsi="宋体" w:eastAsia="宋体" w:cs="宋体"/>
          <w:b/>
          <w:bCs/>
          <w:color w:val="auto"/>
          <w:spacing w:val="2"/>
          <w:sz w:val="40"/>
          <w:szCs w:val="40"/>
          <w:highlight w:val="none"/>
        </w:rPr>
      </w:pPr>
      <w:bookmarkStart w:id="220" w:name="bookmark105"/>
      <w:bookmarkEnd w:id="220"/>
      <w:r>
        <w:rPr>
          <w:rFonts w:hint="eastAsia" w:ascii="宋体" w:hAnsi="宋体" w:eastAsia="宋体" w:cs="宋体"/>
          <w:b/>
          <w:bCs/>
          <w:color w:val="auto"/>
          <w:spacing w:val="2"/>
          <w:sz w:val="40"/>
          <w:szCs w:val="40"/>
          <w:highlight w:val="none"/>
        </w:rPr>
        <w:t>（商务标书／经济标书／施工组织设计</w:t>
      </w:r>
      <w:r>
        <w:rPr>
          <w:rFonts w:hint="eastAsia" w:ascii="宋体" w:hAnsi="宋体" w:eastAsia="宋体" w:cs="宋体"/>
          <w:b/>
          <w:bCs/>
          <w:color w:val="auto"/>
          <w:spacing w:val="2"/>
          <w:sz w:val="40"/>
          <w:szCs w:val="40"/>
          <w:highlight w:val="none"/>
          <w:lang w:val="en-US" w:eastAsia="zh-CN"/>
        </w:rPr>
        <w:t>/定标文件</w:t>
      </w:r>
      <w:r>
        <w:rPr>
          <w:rFonts w:hint="eastAsia" w:ascii="宋体" w:hAnsi="宋体" w:eastAsia="宋体" w:cs="宋体"/>
          <w:b/>
          <w:bCs/>
          <w:color w:val="auto"/>
          <w:spacing w:val="2"/>
          <w:sz w:val="40"/>
          <w:szCs w:val="40"/>
          <w:highlight w:val="none"/>
        </w:rPr>
        <w:t>）</w:t>
      </w:r>
    </w:p>
    <w:p w14:paraId="7B8A7EE1">
      <w:pPr>
        <w:bidi w:val="0"/>
        <w:rPr>
          <w:rFonts w:hint="eastAsia"/>
          <w:color w:val="auto"/>
          <w:highlight w:val="none"/>
        </w:rPr>
      </w:pPr>
    </w:p>
    <w:p w14:paraId="1260FD39">
      <w:pPr>
        <w:bidi w:val="0"/>
        <w:rPr>
          <w:rFonts w:hint="eastAsia"/>
          <w:color w:val="auto"/>
          <w:highlight w:val="none"/>
        </w:rPr>
      </w:pPr>
    </w:p>
    <w:p w14:paraId="6A252881">
      <w:pPr>
        <w:bidi w:val="0"/>
        <w:rPr>
          <w:rFonts w:hint="eastAsia"/>
          <w:color w:val="auto"/>
          <w:highlight w:val="none"/>
        </w:rPr>
      </w:pPr>
    </w:p>
    <w:p w14:paraId="31CDB2AA">
      <w:pPr>
        <w:bidi w:val="0"/>
        <w:rPr>
          <w:rFonts w:hint="eastAsia"/>
          <w:color w:val="auto"/>
          <w:highlight w:val="none"/>
        </w:rPr>
      </w:pPr>
    </w:p>
    <w:p w14:paraId="07041ABC">
      <w:pPr>
        <w:bidi w:val="0"/>
        <w:rPr>
          <w:rFonts w:hint="eastAsia"/>
          <w:color w:val="auto"/>
          <w:highlight w:val="none"/>
        </w:rPr>
      </w:pPr>
    </w:p>
    <w:p w14:paraId="6F4468B5">
      <w:pPr>
        <w:bidi w:val="0"/>
        <w:rPr>
          <w:rFonts w:hint="eastAsia"/>
          <w:color w:val="auto"/>
          <w:highlight w:val="none"/>
        </w:rPr>
      </w:pPr>
    </w:p>
    <w:p w14:paraId="57999A62">
      <w:pPr>
        <w:bidi w:val="0"/>
        <w:rPr>
          <w:rFonts w:hint="eastAsia"/>
          <w:color w:val="auto"/>
          <w:highlight w:val="none"/>
        </w:rPr>
      </w:pPr>
    </w:p>
    <w:p w14:paraId="5D805491">
      <w:pPr>
        <w:bidi w:val="0"/>
        <w:rPr>
          <w:rFonts w:hint="eastAsia"/>
          <w:color w:val="auto"/>
          <w:highlight w:val="none"/>
        </w:rPr>
      </w:pPr>
    </w:p>
    <w:p w14:paraId="72847790">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p>
    <w:p w14:paraId="42CFCC09">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64A740DA">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3AC288DB">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p>
    <w:p w14:paraId="2798870D">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rPr>
      </w:pPr>
    </w:p>
    <w:p w14:paraId="0D0A995E">
      <w:pPr>
        <w:pStyle w:val="39"/>
        <w:widowControl w:val="0"/>
        <w:wordWrap w:val="0"/>
        <w:adjustRightInd w:val="0"/>
        <w:snapToGrid w:val="0"/>
        <w:spacing w:line="360" w:lineRule="auto"/>
        <w:ind w:firstLine="0"/>
        <w:jc w:val="center"/>
        <w:rPr>
          <w:rFonts w:hint="eastAsia" w:ascii="宋体" w:hAnsi="宋体" w:eastAsia="宋体" w:cs="宋体"/>
          <w:bCs/>
          <w:snapToGrid w:val="0"/>
          <w:color w:val="auto"/>
          <w:sz w:val="32"/>
          <w:highlight w:val="none"/>
          <w:u w:val="single"/>
        </w:rPr>
      </w:pPr>
    </w:p>
    <w:p w14:paraId="7B263C08">
      <w:pPr>
        <w:pStyle w:val="39"/>
        <w:widowControl w:val="0"/>
        <w:wordWrap w:val="0"/>
        <w:adjustRightInd w:val="0"/>
        <w:snapToGrid w:val="0"/>
        <w:spacing w:line="360" w:lineRule="auto"/>
        <w:ind w:firstLine="0"/>
        <w:jc w:val="center"/>
        <w:rPr>
          <w:rFonts w:hint="eastAsia" w:ascii="宋体" w:hAnsi="宋体" w:eastAsia="宋体" w:cs="宋体"/>
          <w:b/>
          <w:snapToGrid w:val="0"/>
          <w:color w:val="auto"/>
          <w:highlight w:val="none"/>
        </w:rPr>
      </w:pP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p>
    <w:p w14:paraId="047CB103">
      <w:pPr>
        <w:bidi w:val="0"/>
        <w:rPr>
          <w:rFonts w:hint="eastAsia"/>
          <w:color w:val="auto"/>
          <w:highlight w:val="none"/>
        </w:rPr>
      </w:pPr>
    </w:p>
    <w:p w14:paraId="161DBC52">
      <w:pPr>
        <w:outlineLvl w:val="9"/>
        <w:rPr>
          <w:rFonts w:hint="eastAsia"/>
          <w:color w:val="auto"/>
          <w:highlight w:val="none"/>
        </w:rPr>
      </w:pPr>
    </w:p>
    <w:p w14:paraId="4C360526">
      <w:pPr>
        <w:spacing w:line="223" w:lineRule="auto"/>
        <w:rPr>
          <w:rFonts w:hint="eastAsia" w:ascii="宋体" w:hAnsi="宋体" w:eastAsia="宋体" w:cs="宋体"/>
          <w:color w:val="auto"/>
          <w:sz w:val="47"/>
          <w:szCs w:val="47"/>
          <w:highlight w:val="none"/>
        </w:rPr>
        <w:sectPr>
          <w:footerReference r:id="rId1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A7821E">
      <w:pPr>
        <w:spacing w:before="78" w:line="220" w:lineRule="auto"/>
        <w:outlineLvl w:val="2"/>
        <w:rPr>
          <w:rFonts w:hint="eastAsia" w:ascii="宋体" w:hAnsi="宋体" w:eastAsia="宋体" w:cs="宋体"/>
          <w:b/>
          <w:bCs/>
          <w:color w:val="auto"/>
          <w:spacing w:val="-4"/>
          <w:sz w:val="24"/>
          <w:szCs w:val="24"/>
          <w:highlight w:val="none"/>
        </w:rPr>
      </w:pPr>
      <w:bookmarkStart w:id="221" w:name="_Toc24492"/>
      <w:r>
        <w:rPr>
          <w:rFonts w:hint="eastAsia" w:ascii="宋体" w:hAnsi="宋体" w:eastAsia="宋体" w:cs="宋体"/>
          <w:b/>
          <w:bCs/>
          <w:color w:val="auto"/>
          <w:spacing w:val="-4"/>
          <w:sz w:val="24"/>
          <w:szCs w:val="24"/>
          <w:highlight w:val="none"/>
        </w:rPr>
        <w:t>格式二 投标函</w:t>
      </w:r>
      <w:bookmarkEnd w:id="221"/>
    </w:p>
    <w:p w14:paraId="3DF173B2">
      <w:pPr>
        <w:pStyle w:val="5"/>
        <w:spacing w:line="261" w:lineRule="auto"/>
        <w:rPr>
          <w:rFonts w:hint="eastAsia" w:ascii="宋体" w:hAnsi="宋体" w:eastAsia="宋体" w:cs="宋体"/>
          <w:color w:val="auto"/>
          <w:highlight w:val="none"/>
        </w:rPr>
      </w:pPr>
    </w:p>
    <w:p w14:paraId="0BF10E10">
      <w:pPr>
        <w:spacing w:before="97" w:line="221" w:lineRule="auto"/>
        <w:ind w:left="3799"/>
        <w:outlineLvl w:val="9"/>
        <w:rPr>
          <w:rFonts w:hint="eastAsia" w:ascii="宋体" w:hAnsi="宋体" w:eastAsia="宋体" w:cs="宋体"/>
          <w:color w:val="auto"/>
          <w:sz w:val="30"/>
          <w:szCs w:val="30"/>
          <w:highlight w:val="none"/>
        </w:rPr>
      </w:pPr>
      <w:bookmarkStart w:id="222" w:name="bookmark148"/>
      <w:bookmarkEnd w:id="222"/>
      <w:bookmarkStart w:id="223" w:name="_Toc27397"/>
      <w:bookmarkStart w:id="224" w:name="_Toc317"/>
      <w:bookmarkStart w:id="225" w:name="_Toc297"/>
      <w:r>
        <w:rPr>
          <w:rFonts w:hint="eastAsia" w:ascii="宋体" w:hAnsi="宋体" w:eastAsia="宋体" w:cs="宋体"/>
          <w:b/>
          <w:bCs/>
          <w:color w:val="auto"/>
          <w:spacing w:val="-13"/>
          <w:sz w:val="30"/>
          <w:szCs w:val="30"/>
          <w:highlight w:val="none"/>
        </w:rPr>
        <w:t>投</w:t>
      </w:r>
      <w:r>
        <w:rPr>
          <w:rFonts w:hint="eastAsia" w:ascii="宋体" w:hAnsi="宋体" w:eastAsia="宋体" w:cs="宋体"/>
          <w:color w:val="auto"/>
          <w:spacing w:val="6"/>
          <w:sz w:val="30"/>
          <w:szCs w:val="30"/>
          <w:highlight w:val="none"/>
        </w:rPr>
        <w:t xml:space="preserve">  </w:t>
      </w:r>
      <w:r>
        <w:rPr>
          <w:rFonts w:hint="eastAsia" w:ascii="宋体" w:hAnsi="宋体" w:eastAsia="宋体" w:cs="宋体"/>
          <w:b/>
          <w:bCs/>
          <w:color w:val="auto"/>
          <w:spacing w:val="-13"/>
          <w:sz w:val="30"/>
          <w:szCs w:val="30"/>
          <w:highlight w:val="none"/>
        </w:rPr>
        <w:t>标</w:t>
      </w:r>
      <w:r>
        <w:rPr>
          <w:rFonts w:hint="eastAsia" w:ascii="宋体" w:hAnsi="宋体" w:eastAsia="宋体" w:cs="宋体"/>
          <w:color w:val="auto"/>
          <w:spacing w:val="17"/>
          <w:sz w:val="30"/>
          <w:szCs w:val="30"/>
          <w:highlight w:val="none"/>
        </w:rPr>
        <w:t xml:space="preserve">  </w:t>
      </w:r>
      <w:r>
        <w:rPr>
          <w:rFonts w:hint="eastAsia" w:ascii="宋体" w:hAnsi="宋体" w:eastAsia="宋体" w:cs="宋体"/>
          <w:b/>
          <w:bCs/>
          <w:color w:val="auto"/>
          <w:spacing w:val="-13"/>
          <w:sz w:val="30"/>
          <w:szCs w:val="30"/>
          <w:highlight w:val="none"/>
        </w:rPr>
        <w:t>函</w:t>
      </w:r>
      <w:bookmarkEnd w:id="223"/>
      <w:bookmarkEnd w:id="224"/>
      <w:bookmarkEnd w:id="225"/>
    </w:p>
    <w:p w14:paraId="5786DC1E">
      <w:pPr>
        <w:pStyle w:val="5"/>
        <w:spacing w:line="249" w:lineRule="auto"/>
        <w:rPr>
          <w:rFonts w:hint="eastAsia" w:ascii="宋体" w:hAnsi="宋体" w:eastAsia="宋体" w:cs="宋体"/>
          <w:color w:val="auto"/>
          <w:highlight w:val="none"/>
        </w:rPr>
      </w:pPr>
    </w:p>
    <w:p w14:paraId="72CE24CA">
      <w:pPr>
        <w:pStyle w:val="5"/>
        <w:spacing w:line="250" w:lineRule="auto"/>
        <w:rPr>
          <w:rFonts w:hint="eastAsia" w:ascii="宋体" w:hAnsi="宋体" w:eastAsia="宋体" w:cs="宋体"/>
          <w:color w:val="auto"/>
          <w:highlight w:val="none"/>
        </w:rPr>
      </w:pPr>
    </w:p>
    <w:p w14:paraId="168AB820">
      <w:pPr>
        <w:pStyle w:val="5"/>
        <w:spacing w:line="250" w:lineRule="auto"/>
        <w:rPr>
          <w:rFonts w:hint="eastAsia" w:ascii="宋体" w:hAnsi="宋体" w:eastAsia="宋体" w:cs="宋体"/>
          <w:color w:val="auto"/>
          <w:highlight w:val="none"/>
        </w:rPr>
      </w:pPr>
    </w:p>
    <w:p w14:paraId="01F0CE90">
      <w:pPr>
        <w:spacing w:before="78" w:line="221" w:lineRule="auto"/>
        <w:ind w:left="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致</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30"/>
          <w:sz w:val="24"/>
          <w:szCs w:val="24"/>
          <w:highlight w:val="none"/>
          <w:u w:val="single"/>
          <w:lang w:val="en-US" w:eastAsia="zh-CN"/>
        </w:rPr>
        <w:t xml:space="preserve">                    </w:t>
      </w:r>
      <w:r>
        <w:rPr>
          <w:rFonts w:hint="eastAsia" w:ascii="宋体" w:hAnsi="宋体" w:eastAsia="宋体" w:cs="宋体"/>
          <w:color w:val="auto"/>
          <w:spacing w:val="-30"/>
          <w:sz w:val="24"/>
          <w:szCs w:val="24"/>
          <w:highlight w:val="none"/>
        </w:rPr>
        <w:t>（</w:t>
      </w:r>
      <w:r>
        <w:rPr>
          <w:rFonts w:hint="eastAsia" w:ascii="宋体" w:hAnsi="宋体" w:eastAsia="宋体" w:cs="宋体"/>
          <w:color w:val="auto"/>
          <w:spacing w:val="7"/>
          <w:sz w:val="24"/>
          <w:szCs w:val="24"/>
          <w:highlight w:val="none"/>
        </w:rPr>
        <w:t>招标人名称）</w:t>
      </w:r>
    </w:p>
    <w:p w14:paraId="41AD49C9">
      <w:pPr>
        <w:pStyle w:val="5"/>
        <w:spacing w:before="156" w:line="328" w:lineRule="auto"/>
        <w:ind w:left="9" w:right="142" w:firstLine="589"/>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我方考察现场并充分研究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eastAsia="宋体" w:cs="宋体"/>
          <w:color w:val="auto"/>
          <w:spacing w:val="-12"/>
          <w:sz w:val="24"/>
          <w:szCs w:val="24"/>
          <w:highlight w:val="none"/>
        </w:rPr>
        <w:t>）（</w:t>
      </w:r>
      <w:r>
        <w:rPr>
          <w:rFonts w:hint="eastAsia" w:ascii="宋体" w:hAnsi="宋体" w:eastAsia="宋体" w:cs="宋体"/>
          <w:color w:val="auto"/>
          <w:sz w:val="24"/>
          <w:szCs w:val="24"/>
          <w:highlight w:val="none"/>
        </w:rPr>
        <w:t>以下简称“本项目</w:t>
      </w:r>
      <w:r>
        <w:rPr>
          <w:rFonts w:hint="eastAsia" w:ascii="宋体" w:hAnsi="宋体" w:eastAsia="宋体" w:cs="宋体"/>
          <w:color w:val="auto"/>
          <w:spacing w:val="-85"/>
          <w:sz w:val="24"/>
          <w:szCs w:val="24"/>
          <w:highlight w:val="none"/>
        </w:rPr>
        <w:t xml:space="preserve"> </w:t>
      </w:r>
      <w:r>
        <w:rPr>
          <w:rFonts w:hint="eastAsia" w:ascii="宋体" w:hAnsi="宋体" w:eastAsia="宋体" w:cs="宋体"/>
          <w:color w:val="auto"/>
          <w:sz w:val="24"/>
          <w:szCs w:val="24"/>
          <w:highlight w:val="none"/>
        </w:rPr>
        <w:t>”）招标文件</w:t>
      </w:r>
      <w:r>
        <w:rPr>
          <w:rFonts w:hint="eastAsia" w:ascii="宋体" w:hAnsi="宋体" w:eastAsia="宋体" w:cs="宋体"/>
          <w:color w:val="auto"/>
          <w:spacing w:val="-2"/>
          <w:sz w:val="24"/>
          <w:szCs w:val="24"/>
          <w:highlight w:val="none"/>
        </w:rPr>
        <w:t>所有内容后，结合自身资质、能力和特点，愿意接受招标文件的全部内容和条件，兹以</w:t>
      </w:r>
      <w:r>
        <w:rPr>
          <w:rFonts w:hint="eastAsia" w:ascii="宋体" w:hAnsi="宋体" w:eastAsia="宋体" w:cs="宋体"/>
          <w:color w:val="auto"/>
          <w:spacing w:val="-5"/>
          <w:sz w:val="24"/>
          <w:szCs w:val="24"/>
          <w:highlight w:val="none"/>
        </w:rPr>
        <w:t>人民币（大写</w:t>
      </w:r>
      <w:r>
        <w:rPr>
          <w:rFonts w:hint="eastAsia" w:ascii="宋体" w:hAnsi="宋体" w:eastAsia="宋体" w:cs="宋体"/>
          <w:color w:val="auto"/>
          <w:spacing w:val="2"/>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2"/>
          <w:sz w:val="24"/>
          <w:szCs w:val="24"/>
          <w:highlight w:val="none"/>
          <w:u w:val="single"/>
        </w:rPr>
        <w:t xml:space="preserve">       </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的投标总价竞投本项目施工。</w:t>
      </w:r>
    </w:p>
    <w:p w14:paraId="161A4CD5">
      <w:pPr>
        <w:spacing w:before="39" w:line="323" w:lineRule="auto"/>
        <w:ind w:right="142" w:firstLine="57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在我方的上述投标总价中，包括：</w:t>
      </w:r>
      <w:r>
        <w:rPr>
          <w:rFonts w:hint="eastAsia" w:ascii="宋体" w:hAnsi="宋体" w:eastAsia="宋体" w:cs="宋体"/>
          <w:color w:val="auto"/>
          <w:spacing w:val="-2"/>
          <w:sz w:val="24"/>
          <w:szCs w:val="24"/>
          <w:highlight w:val="none"/>
          <w:lang w:val="en-US" w:eastAsia="zh-CN"/>
        </w:rPr>
        <w:t>安全生产措施费</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；暂列金额</w:t>
      </w:r>
      <w:r>
        <w:rPr>
          <w:rFonts w:hint="eastAsia" w:ascii="宋体" w:hAnsi="宋体" w:eastAsia="宋体" w:cs="宋体"/>
          <w:color w:val="auto"/>
          <w:spacing w:val="-2"/>
          <w:sz w:val="24"/>
          <w:szCs w:val="24"/>
          <w:highlight w:val="none"/>
          <w:u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3"/>
          <w:sz w:val="24"/>
          <w:szCs w:val="24"/>
          <w:highlight w:val="none"/>
          <w:u w:val="none"/>
          <w:lang w:eastAsia="zh-CN"/>
        </w:rPr>
        <w:t>；</w:t>
      </w:r>
      <w:r>
        <w:rPr>
          <w:rFonts w:hint="eastAsia" w:ascii="宋体" w:hAnsi="宋体" w:eastAsia="宋体" w:cs="宋体"/>
          <w:color w:val="auto"/>
          <w:spacing w:val="-3"/>
          <w:sz w:val="24"/>
          <w:szCs w:val="24"/>
          <w:highlight w:val="none"/>
          <w:u w:val="none"/>
          <w:lang w:val="en-US" w:eastAsia="zh-CN"/>
        </w:rPr>
        <w:t>专业工程</w:t>
      </w:r>
      <w:r>
        <w:rPr>
          <w:rFonts w:hint="eastAsia" w:ascii="宋体" w:hAnsi="宋体" w:eastAsia="宋体" w:cs="宋体"/>
          <w:color w:val="auto"/>
          <w:spacing w:val="-3"/>
          <w:sz w:val="24"/>
          <w:szCs w:val="24"/>
          <w:highlight w:val="none"/>
          <w:u w:val="none"/>
          <w:lang w:eastAsia="zh-CN"/>
        </w:rPr>
        <w:t>暂估价</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3"/>
          <w:sz w:val="24"/>
          <w:szCs w:val="24"/>
          <w:highlight w:val="none"/>
          <w:u w:val="single"/>
        </w:rPr>
        <w:t xml:space="preserve">                </w:t>
      </w:r>
      <w:r>
        <w:rPr>
          <w:rFonts w:hint="eastAsia" w:ascii="宋体" w:hAnsi="宋体" w:eastAsia="宋体" w:cs="宋体"/>
          <w:color w:val="auto"/>
          <w:spacing w:val="-8"/>
          <w:sz w:val="24"/>
          <w:szCs w:val="24"/>
          <w:highlight w:val="none"/>
        </w:rPr>
        <w:t>。</w:t>
      </w:r>
    </w:p>
    <w:p w14:paraId="4C81A754">
      <w:pPr>
        <w:spacing w:before="38" w:line="280" w:lineRule="auto"/>
        <w:ind w:left="13" w:right="142" w:firstLine="56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  如果我方中标，我方保证按照合同约定的开工日期开始本项目的施工</w:t>
      </w:r>
      <w:r>
        <w:rPr>
          <w:rFonts w:hint="eastAsia" w:ascii="宋体" w:hAnsi="宋体" w:eastAsia="宋体" w:cs="宋体"/>
          <w:color w:val="auto"/>
          <w:sz w:val="24"/>
          <w:szCs w:val="24"/>
          <w:highlight w:val="none"/>
        </w:rPr>
        <w:t>，</w:t>
      </w:r>
      <w:bookmarkStart w:id="226" w:name="OLE_LINK34"/>
      <w:r>
        <w:rPr>
          <w:rFonts w:hint="eastAsia" w:ascii="宋体" w:hAnsi="宋体" w:eastAsia="宋体" w:cs="宋体"/>
          <w:color w:val="auto"/>
          <w:sz w:val="24"/>
          <w:szCs w:val="24"/>
          <w:highlight w:val="none"/>
          <w:u w:val="single"/>
          <w:lang w:val="en-US" w:eastAsia="zh-CN"/>
        </w:rPr>
        <w:t xml:space="preserve">     </w:t>
      </w:r>
      <w:bookmarkEnd w:id="226"/>
      <w:r>
        <w:rPr>
          <w:rFonts w:hint="eastAsia" w:ascii="宋体" w:hAnsi="宋体" w:eastAsia="宋体" w:cs="宋体"/>
          <w:color w:val="auto"/>
          <w:sz w:val="24"/>
          <w:szCs w:val="24"/>
          <w:highlight w:val="none"/>
        </w:rPr>
        <w:t>个日历</w:t>
      </w:r>
      <w:r>
        <w:rPr>
          <w:rFonts w:hint="eastAsia" w:ascii="宋体" w:hAnsi="宋体" w:eastAsia="宋体" w:cs="宋体"/>
          <w:color w:val="auto"/>
          <w:spacing w:val="-1"/>
          <w:sz w:val="24"/>
          <w:szCs w:val="24"/>
          <w:highlight w:val="none"/>
        </w:rPr>
        <w:t>天内竣工，并确保工程质量达到</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rPr>
        <w:t>标准和维修其中的任何缺陷。</w:t>
      </w:r>
    </w:p>
    <w:p w14:paraId="340342D2">
      <w:pPr>
        <w:spacing w:before="152" w:line="279" w:lineRule="auto"/>
        <w:ind w:left="11" w:right="142" w:firstLine="5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  本投标函在你方接收我方递交的投标文件之日起、到招标</w:t>
      </w:r>
      <w:r>
        <w:rPr>
          <w:rFonts w:hint="eastAsia" w:ascii="宋体" w:hAnsi="宋体" w:eastAsia="宋体" w:cs="宋体"/>
          <w:color w:val="auto"/>
          <w:sz w:val="24"/>
          <w:szCs w:val="24"/>
          <w:highlight w:val="none"/>
        </w:rPr>
        <w:t>文件规定的投标有效</w:t>
      </w:r>
      <w:r>
        <w:rPr>
          <w:rFonts w:hint="eastAsia" w:ascii="宋体" w:hAnsi="宋体" w:eastAsia="宋体" w:cs="宋体"/>
          <w:color w:val="auto"/>
          <w:spacing w:val="-1"/>
          <w:sz w:val="24"/>
          <w:szCs w:val="24"/>
          <w:highlight w:val="none"/>
        </w:rPr>
        <w:t>期期满前对我方具有约束力。我方随时准备接受你方发出的中标通知书。</w:t>
      </w:r>
    </w:p>
    <w:p w14:paraId="46E2E000">
      <w:pPr>
        <w:spacing w:before="156" w:line="279" w:lineRule="auto"/>
        <w:ind w:left="11" w:right="61" w:firstLine="5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z w:val="24"/>
          <w:szCs w:val="24"/>
          <w:highlight w:val="none"/>
        </w:rPr>
        <w:t>．我方在此声明，我方不存在本项目招标</w:t>
      </w:r>
      <w:r>
        <w:rPr>
          <w:rFonts w:hint="eastAsia" w:ascii="宋体" w:hAnsi="宋体" w:eastAsia="宋体" w:cs="宋体"/>
          <w:color w:val="auto"/>
          <w:spacing w:val="-1"/>
          <w:sz w:val="24"/>
          <w:szCs w:val="24"/>
          <w:highlight w:val="none"/>
        </w:rPr>
        <w:t>文件第一章第三节第</w:t>
      </w:r>
      <w:r>
        <w:rPr>
          <w:rFonts w:hint="eastAsia" w:ascii="宋体" w:hAnsi="宋体" w:eastAsia="宋体" w:cs="宋体"/>
          <w:color w:val="auto"/>
          <w:spacing w:val="-55"/>
          <w:sz w:val="24"/>
          <w:szCs w:val="24"/>
          <w:highlight w:val="none"/>
        </w:rPr>
        <w:t xml:space="preserve"> </w:t>
      </w:r>
      <w:r>
        <w:rPr>
          <w:rFonts w:hint="eastAsia" w:ascii="宋体" w:hAnsi="宋体" w:eastAsia="宋体" w:cs="宋体"/>
          <w:b/>
          <w:bCs/>
          <w:color w:val="auto"/>
          <w:spacing w:val="-1"/>
          <w:sz w:val="24"/>
          <w:szCs w:val="24"/>
          <w:highlight w:val="none"/>
        </w:rPr>
        <w:t>2.4</w:t>
      </w:r>
      <w:r>
        <w:rPr>
          <w:rFonts w:hint="eastAsia" w:ascii="宋体" w:hAnsi="宋体" w:eastAsia="宋体" w:cs="宋体"/>
          <w:b/>
          <w:bCs/>
          <w:color w:val="auto"/>
          <w:spacing w:val="16"/>
          <w:w w:val="101"/>
          <w:sz w:val="24"/>
          <w:szCs w:val="24"/>
          <w:highlight w:val="none"/>
        </w:rPr>
        <w:t xml:space="preserve"> </w:t>
      </w:r>
      <w:r>
        <w:rPr>
          <w:rFonts w:hint="eastAsia" w:ascii="宋体" w:hAnsi="宋体" w:eastAsia="宋体" w:cs="宋体"/>
          <w:color w:val="auto"/>
          <w:spacing w:val="-1"/>
          <w:sz w:val="24"/>
          <w:szCs w:val="24"/>
          <w:highlight w:val="none"/>
        </w:rPr>
        <w:t>条“禁止投标</w:t>
      </w:r>
      <w:r>
        <w:rPr>
          <w:rFonts w:hint="eastAsia" w:ascii="宋体" w:hAnsi="宋体" w:eastAsia="宋体" w:cs="宋体"/>
          <w:color w:val="auto"/>
          <w:spacing w:val="-6"/>
          <w:sz w:val="24"/>
          <w:szCs w:val="24"/>
          <w:highlight w:val="none"/>
        </w:rPr>
        <w:t>条款</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6"/>
          <w:sz w:val="24"/>
          <w:szCs w:val="24"/>
          <w:highlight w:val="none"/>
        </w:rPr>
        <w:t>”所列出的任何一种情形，并愿意承担因我</w:t>
      </w:r>
      <w:r>
        <w:rPr>
          <w:rFonts w:hint="eastAsia" w:ascii="宋体" w:hAnsi="宋体" w:eastAsia="宋体" w:cs="宋体"/>
          <w:color w:val="auto"/>
          <w:spacing w:val="-7"/>
          <w:sz w:val="24"/>
          <w:szCs w:val="24"/>
          <w:highlight w:val="none"/>
        </w:rPr>
        <w:t>方就此弄虚作假所引起的一切法律后果。</w:t>
      </w:r>
    </w:p>
    <w:p w14:paraId="1D33063C">
      <w:pPr>
        <w:spacing w:before="153" w:line="280" w:lineRule="auto"/>
        <w:ind w:left="9" w:right="142" w:firstLine="573"/>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5</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2"/>
          <w:sz w:val="24"/>
          <w:szCs w:val="24"/>
          <w:highlight w:val="none"/>
        </w:rPr>
        <w:t>．我方在此承诺，所递交投标文件的全部内容均为真实、有效、准确的，并愿意承担因我方就此弄虚作假所引起的一切法律后果，同时理解和同意有可能被要求提供更</w:t>
      </w:r>
    </w:p>
    <w:p w14:paraId="02AEB5D4">
      <w:pPr>
        <w:spacing w:before="153" w:line="221" w:lineRule="auto"/>
        <w:ind w:left="20"/>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多的资料。</w:t>
      </w:r>
    </w:p>
    <w:p w14:paraId="1C092AD2">
      <w:pPr>
        <w:spacing w:before="153" w:line="326" w:lineRule="auto"/>
        <w:ind w:left="13" w:firstLine="56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  我方理解你方不一定要接纳收到的最低投标总价或任何投标总价的投标人中标，</w:t>
      </w:r>
      <w:r>
        <w:rPr>
          <w:rFonts w:hint="eastAsia" w:ascii="宋体" w:hAnsi="宋体" w:eastAsia="宋体" w:cs="宋体"/>
          <w:color w:val="auto"/>
          <w:spacing w:val="-1"/>
          <w:sz w:val="24"/>
          <w:szCs w:val="24"/>
          <w:highlight w:val="none"/>
        </w:rPr>
        <w:t>也不要求你方解释我方是否中标的原因。</w:t>
      </w:r>
    </w:p>
    <w:p w14:paraId="3BD0DAFE">
      <w:pPr>
        <w:pStyle w:val="5"/>
        <w:spacing w:line="276" w:lineRule="auto"/>
        <w:rPr>
          <w:rFonts w:hint="eastAsia" w:ascii="宋体" w:hAnsi="宋体" w:eastAsia="宋体" w:cs="宋体"/>
          <w:color w:val="auto"/>
          <w:highlight w:val="none"/>
        </w:rPr>
      </w:pPr>
    </w:p>
    <w:p w14:paraId="3340DC23">
      <w:pPr>
        <w:pStyle w:val="5"/>
        <w:spacing w:line="277" w:lineRule="auto"/>
        <w:rPr>
          <w:rFonts w:hint="eastAsia" w:ascii="宋体" w:hAnsi="宋体" w:eastAsia="宋体" w:cs="宋体"/>
          <w:color w:val="auto"/>
          <w:highlight w:val="none"/>
        </w:rPr>
      </w:pPr>
    </w:p>
    <w:p w14:paraId="6112F4BB">
      <w:pPr>
        <w:pStyle w:val="5"/>
        <w:spacing w:line="277" w:lineRule="auto"/>
        <w:rPr>
          <w:rFonts w:hint="eastAsia" w:ascii="宋体" w:hAnsi="宋体" w:eastAsia="宋体" w:cs="宋体"/>
          <w:color w:val="auto"/>
          <w:highlight w:val="none"/>
        </w:rPr>
      </w:pPr>
    </w:p>
    <w:p w14:paraId="3C3B5068">
      <w:pPr>
        <w:spacing w:before="79" w:line="219" w:lineRule="auto"/>
        <w:ind w:firstLine="5856" w:firstLineChars="240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529BCF9">
      <w:pPr>
        <w:pStyle w:val="5"/>
        <w:spacing w:line="256" w:lineRule="auto"/>
        <w:jc w:val="right"/>
        <w:rPr>
          <w:rFonts w:hint="eastAsia" w:ascii="宋体" w:hAnsi="宋体" w:eastAsia="宋体" w:cs="宋体"/>
          <w:color w:val="auto"/>
          <w:highlight w:val="none"/>
        </w:rPr>
      </w:pPr>
    </w:p>
    <w:p w14:paraId="5D5796EA">
      <w:pPr>
        <w:pStyle w:val="5"/>
        <w:spacing w:line="256" w:lineRule="auto"/>
        <w:jc w:val="right"/>
        <w:rPr>
          <w:rFonts w:hint="eastAsia" w:ascii="宋体" w:hAnsi="宋体" w:eastAsia="宋体" w:cs="宋体"/>
          <w:color w:val="auto"/>
          <w:highlight w:val="none"/>
        </w:rPr>
      </w:pPr>
    </w:p>
    <w:p w14:paraId="077AAC23">
      <w:pPr>
        <w:spacing w:before="78" w:line="219" w:lineRule="auto"/>
        <w:ind w:left="3922"/>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4E670E0E">
      <w:pPr>
        <w:pStyle w:val="5"/>
        <w:spacing w:line="257" w:lineRule="auto"/>
        <w:rPr>
          <w:rFonts w:hint="eastAsia" w:ascii="宋体" w:hAnsi="宋体" w:eastAsia="宋体" w:cs="宋体"/>
          <w:color w:val="auto"/>
          <w:highlight w:val="none"/>
        </w:rPr>
      </w:pPr>
    </w:p>
    <w:p w14:paraId="3F18B311">
      <w:pPr>
        <w:pStyle w:val="5"/>
        <w:spacing w:line="257" w:lineRule="auto"/>
        <w:rPr>
          <w:rFonts w:hint="eastAsia" w:ascii="宋体" w:hAnsi="宋体" w:eastAsia="宋体" w:cs="宋体"/>
          <w:color w:val="auto"/>
          <w:highlight w:val="none"/>
        </w:rPr>
      </w:pPr>
    </w:p>
    <w:p w14:paraId="159419D8">
      <w:pPr>
        <w:spacing w:before="79" w:line="220" w:lineRule="auto"/>
        <w:ind w:left="697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9"/>
          <w:sz w:val="24"/>
          <w:szCs w:val="24"/>
          <w:highlight w:val="none"/>
        </w:rPr>
        <w:t>日</w:t>
      </w:r>
    </w:p>
    <w:p w14:paraId="440739B3">
      <w:pPr>
        <w:spacing w:line="220" w:lineRule="auto"/>
        <w:rPr>
          <w:rFonts w:hint="eastAsia" w:ascii="宋体" w:hAnsi="宋体" w:eastAsia="宋体" w:cs="宋体"/>
          <w:color w:val="auto"/>
          <w:sz w:val="24"/>
          <w:szCs w:val="24"/>
          <w:highlight w:val="none"/>
        </w:rPr>
        <w:sectPr>
          <w:footerReference r:id="rId1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F5E0DE7">
      <w:pPr>
        <w:spacing w:before="78" w:line="220" w:lineRule="auto"/>
        <w:outlineLvl w:val="2"/>
        <w:rPr>
          <w:rFonts w:hint="eastAsia" w:ascii="宋体" w:hAnsi="宋体" w:eastAsia="宋体" w:cs="宋体"/>
          <w:b/>
          <w:bCs/>
          <w:color w:val="auto"/>
          <w:spacing w:val="-4"/>
          <w:sz w:val="24"/>
          <w:szCs w:val="24"/>
          <w:highlight w:val="none"/>
        </w:rPr>
      </w:pPr>
      <w:bookmarkStart w:id="227" w:name="_Toc15958"/>
      <w:r>
        <w:rPr>
          <w:rFonts w:hint="eastAsia" w:ascii="宋体" w:hAnsi="宋体" w:eastAsia="宋体" w:cs="宋体"/>
          <w:b/>
          <w:bCs/>
          <w:color w:val="auto"/>
          <w:spacing w:val="-4"/>
          <w:sz w:val="24"/>
          <w:szCs w:val="24"/>
          <w:highlight w:val="none"/>
        </w:rPr>
        <w:t>格式三 各项承诺一览表</w:t>
      </w:r>
      <w:bookmarkEnd w:id="227"/>
    </w:p>
    <w:p w14:paraId="026AE8D0">
      <w:pPr>
        <w:pStyle w:val="5"/>
        <w:spacing w:line="254" w:lineRule="auto"/>
        <w:rPr>
          <w:rFonts w:hint="eastAsia" w:ascii="宋体" w:hAnsi="宋体" w:eastAsia="宋体" w:cs="宋体"/>
          <w:color w:val="auto"/>
          <w:highlight w:val="none"/>
        </w:rPr>
      </w:pPr>
    </w:p>
    <w:p w14:paraId="40480B0B">
      <w:pPr>
        <w:spacing w:before="98" w:line="220" w:lineRule="auto"/>
        <w:ind w:left="3581"/>
        <w:outlineLvl w:val="9"/>
        <w:rPr>
          <w:rFonts w:hint="eastAsia" w:ascii="宋体" w:hAnsi="宋体" w:eastAsia="宋体" w:cs="宋体"/>
          <w:color w:val="auto"/>
          <w:sz w:val="30"/>
          <w:szCs w:val="30"/>
          <w:highlight w:val="none"/>
        </w:rPr>
      </w:pPr>
      <w:bookmarkStart w:id="228" w:name="bookmark149"/>
      <w:bookmarkEnd w:id="228"/>
      <w:bookmarkStart w:id="229" w:name="_Toc2936"/>
      <w:bookmarkStart w:id="230" w:name="_Toc10326"/>
      <w:bookmarkStart w:id="231" w:name="_Toc4767"/>
      <w:r>
        <w:rPr>
          <w:rFonts w:hint="eastAsia" w:ascii="宋体" w:hAnsi="宋体" w:eastAsia="宋体" w:cs="宋体"/>
          <w:b/>
          <w:bCs/>
          <w:color w:val="auto"/>
          <w:spacing w:val="-5"/>
          <w:sz w:val="30"/>
          <w:szCs w:val="30"/>
          <w:highlight w:val="none"/>
        </w:rPr>
        <w:t>各项承诺一览表</w:t>
      </w:r>
      <w:bookmarkEnd w:id="229"/>
      <w:bookmarkEnd w:id="230"/>
      <w:bookmarkEnd w:id="231"/>
    </w:p>
    <w:p w14:paraId="1019DBE2">
      <w:pPr>
        <w:spacing w:before="6"/>
        <w:rPr>
          <w:rFonts w:hint="eastAsia" w:ascii="宋体" w:hAnsi="宋体" w:eastAsia="宋体" w:cs="宋体"/>
          <w:color w:val="auto"/>
          <w:highlight w:val="none"/>
        </w:rPr>
      </w:pPr>
    </w:p>
    <w:tbl>
      <w:tblPr>
        <w:tblStyle w:val="14"/>
        <w:tblW w:w="981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675"/>
        <w:gridCol w:w="3107"/>
        <w:gridCol w:w="4272"/>
      </w:tblGrid>
      <w:tr w14:paraId="1A644E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14BDA62">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2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75" w:type="dxa"/>
            <w:vAlign w:val="top"/>
          </w:tcPr>
          <w:p w14:paraId="24E2BE57">
            <w:pPr>
              <w:keepNext w:val="0"/>
              <w:keepLines w:val="0"/>
              <w:pageBreakBefore w:val="0"/>
              <w:widowControl/>
              <w:kinsoku w:val="0"/>
              <w:wordWrap/>
              <w:overflowPunct/>
              <w:topLinePunct w:val="0"/>
              <w:autoSpaceDE w:val="0"/>
              <w:autoSpaceDN w:val="0"/>
              <w:bidi w:val="0"/>
              <w:adjustRightInd w:val="0"/>
              <w:snapToGrid w:val="0"/>
              <w:spacing w:before="208" w:line="288" w:lineRule="auto"/>
              <w:ind w:left="31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承诺事项</w:t>
            </w:r>
          </w:p>
        </w:tc>
        <w:tc>
          <w:tcPr>
            <w:tcW w:w="3107" w:type="dxa"/>
            <w:vAlign w:val="top"/>
          </w:tcPr>
          <w:p w14:paraId="60AB79B6">
            <w:pPr>
              <w:keepNext w:val="0"/>
              <w:keepLines w:val="0"/>
              <w:pageBreakBefore w:val="0"/>
              <w:widowControl/>
              <w:kinsoku w:val="0"/>
              <w:wordWrap/>
              <w:overflowPunct/>
              <w:topLinePunct w:val="0"/>
              <w:autoSpaceDE w:val="0"/>
              <w:autoSpaceDN w:val="0"/>
              <w:bidi w:val="0"/>
              <w:adjustRightInd w:val="0"/>
              <w:snapToGrid w:val="0"/>
              <w:spacing w:before="209" w:line="288" w:lineRule="auto"/>
              <w:ind w:left="98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承诺内容</w:t>
            </w:r>
          </w:p>
        </w:tc>
        <w:tc>
          <w:tcPr>
            <w:tcW w:w="4272" w:type="dxa"/>
            <w:vAlign w:val="top"/>
          </w:tcPr>
          <w:p w14:paraId="551DFBEF">
            <w:pPr>
              <w:keepNext w:val="0"/>
              <w:keepLines w:val="0"/>
              <w:pageBreakBefore w:val="0"/>
              <w:widowControl/>
              <w:kinsoku w:val="0"/>
              <w:wordWrap/>
              <w:overflowPunct/>
              <w:topLinePunct w:val="0"/>
              <w:autoSpaceDE w:val="0"/>
              <w:autoSpaceDN w:val="0"/>
              <w:bidi w:val="0"/>
              <w:adjustRightInd w:val="0"/>
              <w:snapToGrid w:val="0"/>
              <w:spacing w:before="209" w:line="288" w:lineRule="auto"/>
              <w:ind w:left="153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违约承诺</w:t>
            </w:r>
          </w:p>
        </w:tc>
      </w:tr>
      <w:tr w14:paraId="2321D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4CB3F03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9FA0C6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5F17FF0">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F339D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2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5" w:type="dxa"/>
            <w:vAlign w:val="top"/>
          </w:tcPr>
          <w:p w14:paraId="140F332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E9EEF9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4D37E14">
            <w:pPr>
              <w:keepNext w:val="0"/>
              <w:keepLines w:val="0"/>
              <w:pageBreakBefore w:val="0"/>
              <w:widowControl/>
              <w:kinsoku w:val="0"/>
              <w:wordWrap/>
              <w:overflowPunct/>
              <w:topLinePunct w:val="0"/>
              <w:autoSpaceDE w:val="0"/>
              <w:autoSpaceDN w:val="0"/>
              <w:bidi w:val="0"/>
              <w:adjustRightInd w:val="0"/>
              <w:snapToGrid w:val="0"/>
              <w:spacing w:before="65" w:line="288" w:lineRule="auto"/>
              <w:ind w:left="57" w:right="50" w:firstLine="13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自愿接受招标</w:t>
            </w:r>
            <w:r>
              <w:rPr>
                <w:rFonts w:hint="eastAsia" w:ascii="宋体" w:hAnsi="宋体" w:eastAsia="宋体" w:cs="宋体"/>
                <w:color w:val="auto"/>
                <w:spacing w:val="8"/>
                <w:sz w:val="24"/>
                <w:szCs w:val="24"/>
                <w:highlight w:val="none"/>
              </w:rPr>
              <w:t>文件条款的承诺</w:t>
            </w:r>
          </w:p>
        </w:tc>
        <w:tc>
          <w:tcPr>
            <w:tcW w:w="3107" w:type="dxa"/>
            <w:vAlign w:val="top"/>
          </w:tcPr>
          <w:p w14:paraId="4843DD3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D2370A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1"/>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我方自愿接受招标文件的</w:t>
            </w:r>
            <w:r>
              <w:rPr>
                <w:rFonts w:hint="eastAsia" w:ascii="宋体" w:hAnsi="宋体" w:eastAsia="宋体" w:cs="宋体"/>
                <w:color w:val="auto"/>
                <w:spacing w:val="7"/>
                <w:sz w:val="24"/>
                <w:szCs w:val="24"/>
                <w:highlight w:val="none"/>
              </w:rPr>
              <w:t>所有条款，所递交的投标文件已</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23"/>
                <w:sz w:val="24"/>
                <w:szCs w:val="24"/>
                <w:highlight w:val="none"/>
              </w:rPr>
              <w:t>经充分响应招标文件的实质性</w:t>
            </w:r>
            <w:r>
              <w:rPr>
                <w:rFonts w:hint="eastAsia" w:ascii="宋体" w:hAnsi="宋体" w:eastAsia="宋体" w:cs="宋体"/>
                <w:color w:val="auto"/>
                <w:spacing w:val="3"/>
                <w:sz w:val="24"/>
                <w:szCs w:val="24"/>
                <w:highlight w:val="none"/>
              </w:rPr>
              <w:t>要求。</w:t>
            </w:r>
          </w:p>
        </w:tc>
        <w:tc>
          <w:tcPr>
            <w:tcW w:w="4272" w:type="dxa"/>
            <w:vAlign w:val="top"/>
          </w:tcPr>
          <w:p w14:paraId="57E88BE8">
            <w:pPr>
              <w:keepNext w:val="0"/>
              <w:keepLines w:val="0"/>
              <w:pageBreakBefore w:val="0"/>
              <w:widowControl/>
              <w:kinsoku w:val="0"/>
              <w:wordWrap/>
              <w:overflowPunct/>
              <w:topLinePunct w:val="0"/>
              <w:autoSpaceDE w:val="0"/>
              <w:autoSpaceDN w:val="0"/>
              <w:bidi w:val="0"/>
              <w:adjustRightInd w:val="0"/>
              <w:snapToGrid w:val="0"/>
              <w:spacing w:before="122" w:line="288" w:lineRule="auto"/>
              <w:ind w:left="14" w:right="4"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如果我方的投标文件未响应、违反、偏</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0"/>
                <w:sz w:val="24"/>
                <w:szCs w:val="24"/>
                <w:highlight w:val="none"/>
              </w:rPr>
              <w:t>离招标文件的实质性要求，我方接受招标人或其授权的招标代理机构或其组建的评标委员会依据招标文件作出的相应处理，包括否</w:t>
            </w:r>
            <w:r>
              <w:rPr>
                <w:rFonts w:hint="eastAsia" w:ascii="宋体" w:hAnsi="宋体" w:eastAsia="宋体" w:cs="宋体"/>
                <w:color w:val="auto"/>
                <w:spacing w:val="4"/>
                <w:sz w:val="24"/>
                <w:szCs w:val="24"/>
                <w:highlight w:val="none"/>
              </w:rPr>
              <w:t>决投标。</w:t>
            </w:r>
          </w:p>
        </w:tc>
      </w:tr>
      <w:tr w14:paraId="75D71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7A5045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629315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7FA171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5C41C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F1232F5">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8"/>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75" w:type="dxa"/>
            <w:vAlign w:val="top"/>
          </w:tcPr>
          <w:p w14:paraId="6C3EE17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E1826B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2131ED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0DEF1CA">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2" w:right="261" w:firstLine="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无禁止投标</w:t>
            </w:r>
            <w:r>
              <w:rPr>
                <w:rFonts w:hint="eastAsia" w:ascii="宋体" w:hAnsi="宋体" w:eastAsia="宋体" w:cs="宋体"/>
                <w:color w:val="auto"/>
                <w:spacing w:val="8"/>
                <w:sz w:val="24"/>
                <w:szCs w:val="24"/>
                <w:highlight w:val="none"/>
              </w:rPr>
              <w:t>情形的承诺</w:t>
            </w:r>
          </w:p>
        </w:tc>
        <w:tc>
          <w:tcPr>
            <w:tcW w:w="3107" w:type="dxa"/>
            <w:vAlign w:val="top"/>
          </w:tcPr>
          <w:p w14:paraId="5806933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EB24B0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3DC0748">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5"/>
                <w:sz w:val="24"/>
                <w:szCs w:val="24"/>
                <w:highlight w:val="none"/>
              </w:rPr>
              <w:t>我方不存在招标文件第一</w:t>
            </w:r>
            <w:r>
              <w:rPr>
                <w:rFonts w:hint="eastAsia" w:ascii="宋体" w:hAnsi="宋体" w:eastAsia="宋体" w:cs="宋体"/>
                <w:color w:val="auto"/>
                <w:spacing w:val="8"/>
                <w:sz w:val="24"/>
                <w:szCs w:val="24"/>
                <w:highlight w:val="none"/>
              </w:rPr>
              <w:t>章第三节第</w:t>
            </w:r>
            <w:r>
              <w:rPr>
                <w:rFonts w:hint="eastAsia" w:ascii="宋体" w:hAnsi="宋体" w:eastAsia="宋体" w:cs="宋体"/>
                <w:color w:val="auto"/>
                <w:spacing w:val="-35"/>
                <w:sz w:val="24"/>
                <w:szCs w:val="24"/>
                <w:highlight w:val="none"/>
              </w:rPr>
              <w:t xml:space="preserve"> </w:t>
            </w:r>
            <w:r>
              <w:rPr>
                <w:rFonts w:hint="eastAsia" w:ascii="宋体" w:hAnsi="宋体" w:eastAsia="宋体" w:cs="宋体"/>
                <w:b/>
                <w:bCs/>
                <w:color w:val="auto"/>
                <w:spacing w:val="8"/>
                <w:sz w:val="24"/>
                <w:szCs w:val="24"/>
                <w:highlight w:val="none"/>
              </w:rPr>
              <w:t>2.4</w:t>
            </w:r>
            <w:r>
              <w:rPr>
                <w:rFonts w:hint="eastAsia" w:ascii="宋体" w:hAnsi="宋体" w:eastAsia="宋体" w:cs="宋体"/>
                <w:b/>
                <w:bCs/>
                <w:color w:val="auto"/>
                <w:spacing w:val="16"/>
                <w:sz w:val="24"/>
                <w:szCs w:val="24"/>
                <w:highlight w:val="none"/>
              </w:rPr>
              <w:t xml:space="preserve"> </w:t>
            </w:r>
            <w:r>
              <w:rPr>
                <w:rFonts w:hint="eastAsia" w:ascii="宋体" w:hAnsi="宋体" w:eastAsia="宋体" w:cs="宋体"/>
                <w:color w:val="auto"/>
                <w:spacing w:val="8"/>
                <w:sz w:val="24"/>
                <w:szCs w:val="24"/>
                <w:highlight w:val="none"/>
              </w:rPr>
              <w:t>条“禁止投标条</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款</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6"/>
                <w:sz w:val="24"/>
                <w:szCs w:val="24"/>
                <w:highlight w:val="none"/>
              </w:rPr>
              <w:t>”规定的任何一种情形。</w:t>
            </w:r>
          </w:p>
        </w:tc>
        <w:tc>
          <w:tcPr>
            <w:tcW w:w="4272" w:type="dxa"/>
            <w:vAlign w:val="top"/>
          </w:tcPr>
          <w:p w14:paraId="373FA553">
            <w:pPr>
              <w:keepNext w:val="0"/>
              <w:keepLines w:val="0"/>
              <w:pageBreakBefore w:val="0"/>
              <w:widowControl/>
              <w:kinsoku w:val="0"/>
              <w:wordWrap/>
              <w:overflowPunct/>
              <w:topLinePunct w:val="0"/>
              <w:autoSpaceDE w:val="0"/>
              <w:autoSpaceDN w:val="0"/>
              <w:bidi w:val="0"/>
              <w:adjustRightInd w:val="0"/>
              <w:snapToGrid w:val="0"/>
              <w:spacing w:before="122" w:line="288" w:lineRule="auto"/>
              <w:ind w:left="9" w:firstLine="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如果我方有招标文件第一章第三节第</w:t>
            </w:r>
            <w:r>
              <w:rPr>
                <w:rFonts w:hint="eastAsia" w:ascii="宋体" w:hAnsi="宋体" w:eastAsia="宋体" w:cs="宋体"/>
                <w:color w:val="auto"/>
                <w:spacing w:val="-27"/>
                <w:sz w:val="24"/>
                <w:szCs w:val="24"/>
                <w:highlight w:val="none"/>
              </w:rPr>
              <w:t xml:space="preserve"> </w:t>
            </w:r>
            <w:r>
              <w:rPr>
                <w:rFonts w:hint="eastAsia" w:ascii="宋体" w:hAnsi="宋体" w:eastAsia="宋体" w:cs="宋体"/>
                <w:b/>
                <w:bCs/>
                <w:color w:val="auto"/>
                <w:spacing w:val="6"/>
                <w:sz w:val="24"/>
                <w:szCs w:val="24"/>
                <w:highlight w:val="none"/>
              </w:rPr>
              <w:t>2.</w:t>
            </w:r>
            <w:r>
              <w:rPr>
                <w:rFonts w:hint="eastAsia" w:ascii="宋体" w:hAnsi="宋体" w:eastAsia="宋体" w:cs="宋体"/>
                <w:b/>
                <w:bCs/>
                <w:color w:val="auto"/>
                <w:spacing w:val="1"/>
                <w:sz w:val="24"/>
                <w:szCs w:val="24"/>
                <w:highlight w:val="none"/>
              </w:rPr>
              <w:t xml:space="preserve">4 </w:t>
            </w:r>
            <w:r>
              <w:rPr>
                <w:rFonts w:hint="eastAsia" w:ascii="宋体" w:hAnsi="宋体" w:eastAsia="宋体" w:cs="宋体"/>
                <w:color w:val="auto"/>
                <w:spacing w:val="1"/>
                <w:sz w:val="24"/>
                <w:szCs w:val="24"/>
                <w:highlight w:val="none"/>
              </w:rPr>
              <w:t>条“禁止投标条款</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”规定的任何一种情形，</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我方接受招标人或其授权的招标代理机构或</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其组建的评标委员会依据招标文件作出的相</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8"/>
                <w:sz w:val="24"/>
                <w:szCs w:val="24"/>
                <w:highlight w:val="none"/>
              </w:rPr>
              <w:t>应处理以及有关监督部门作出的行政处罚，</w:t>
            </w:r>
            <w:r>
              <w:rPr>
                <w:rFonts w:hint="eastAsia" w:ascii="宋体" w:hAnsi="宋体" w:eastAsia="宋体" w:cs="宋体"/>
                <w:color w:val="auto"/>
                <w:spacing w:val="6"/>
                <w:sz w:val="24"/>
                <w:szCs w:val="24"/>
                <w:highlight w:val="none"/>
              </w:rPr>
              <w:t>并承担由此引起的一切法律后果。</w:t>
            </w:r>
          </w:p>
        </w:tc>
      </w:tr>
      <w:tr w14:paraId="35D8E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50EF8F2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D82C04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A3747C5">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EFEA37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39286DF">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75" w:type="dxa"/>
            <w:vAlign w:val="top"/>
          </w:tcPr>
          <w:p w14:paraId="46D4F3A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B3E0218">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7908DE5">
            <w:pPr>
              <w:keepNext w:val="0"/>
              <w:keepLines w:val="0"/>
              <w:pageBreakBefore w:val="0"/>
              <w:widowControl/>
              <w:kinsoku w:val="0"/>
              <w:wordWrap/>
              <w:overflowPunct/>
              <w:topLinePunct w:val="0"/>
              <w:autoSpaceDE w:val="0"/>
              <w:autoSpaceDN w:val="0"/>
              <w:bidi w:val="0"/>
              <w:adjustRightInd w:val="0"/>
              <w:snapToGrid w:val="0"/>
              <w:spacing w:before="65" w:line="288" w:lineRule="auto"/>
              <w:ind w:left="19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自觉抵制围标</w:t>
            </w:r>
          </w:p>
          <w:p w14:paraId="24B6EC43">
            <w:pPr>
              <w:keepNext w:val="0"/>
              <w:keepLines w:val="0"/>
              <w:pageBreakBefore w:val="0"/>
              <w:widowControl/>
              <w:kinsoku w:val="0"/>
              <w:wordWrap/>
              <w:overflowPunct/>
              <w:topLinePunct w:val="0"/>
              <w:autoSpaceDE w:val="0"/>
              <w:autoSpaceDN w:val="0"/>
              <w:bidi w:val="0"/>
              <w:adjustRightInd w:val="0"/>
              <w:snapToGrid w:val="0"/>
              <w:spacing w:before="131" w:line="288" w:lineRule="auto"/>
              <w:ind w:left="2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串标和弄虚</w:t>
            </w:r>
          </w:p>
          <w:p w14:paraId="79AED1DA">
            <w:pPr>
              <w:keepNext w:val="0"/>
              <w:keepLines w:val="0"/>
              <w:pageBreakBefore w:val="0"/>
              <w:widowControl/>
              <w:kinsoku w:val="0"/>
              <w:wordWrap/>
              <w:overflowPunct/>
              <w:topLinePunct w:val="0"/>
              <w:autoSpaceDE w:val="0"/>
              <w:autoSpaceDN w:val="0"/>
              <w:bidi w:val="0"/>
              <w:adjustRightInd w:val="0"/>
              <w:snapToGrid w:val="0"/>
              <w:spacing w:before="133" w:line="288" w:lineRule="auto"/>
              <w:ind w:left="5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作假行为的承诺</w:t>
            </w:r>
          </w:p>
        </w:tc>
        <w:tc>
          <w:tcPr>
            <w:tcW w:w="3107" w:type="dxa"/>
            <w:vAlign w:val="top"/>
          </w:tcPr>
          <w:p w14:paraId="2BB2A63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1E7220">
            <w:pPr>
              <w:keepNext w:val="0"/>
              <w:keepLines w:val="0"/>
              <w:pageBreakBefore w:val="0"/>
              <w:widowControl/>
              <w:kinsoku w:val="0"/>
              <w:wordWrap/>
              <w:overflowPunct/>
              <w:topLinePunct w:val="0"/>
              <w:autoSpaceDE w:val="0"/>
              <w:autoSpaceDN w:val="0"/>
              <w:bidi w:val="0"/>
              <w:adjustRightInd w:val="0"/>
              <w:snapToGrid w:val="0"/>
              <w:spacing w:before="65" w:line="288" w:lineRule="auto"/>
              <w:ind w:left="11"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我方合法正当、诚实守信地</w:t>
            </w:r>
            <w:r>
              <w:rPr>
                <w:rFonts w:hint="eastAsia" w:ascii="宋体" w:hAnsi="宋体" w:eastAsia="宋体" w:cs="宋体"/>
                <w:color w:val="auto"/>
                <w:spacing w:val="7"/>
                <w:sz w:val="24"/>
                <w:szCs w:val="24"/>
                <w:highlight w:val="none"/>
              </w:rPr>
              <w:t>参与投标，不组织、不参加围标串标违法行为，不通过弄虚作假</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6"/>
                <w:sz w:val="24"/>
                <w:szCs w:val="24"/>
                <w:highlight w:val="none"/>
              </w:rPr>
              <w:t>行为骗取中标。</w:t>
            </w:r>
          </w:p>
        </w:tc>
        <w:tc>
          <w:tcPr>
            <w:tcW w:w="4272" w:type="dxa"/>
            <w:vAlign w:val="top"/>
          </w:tcPr>
          <w:p w14:paraId="26B083FE">
            <w:pPr>
              <w:keepNext w:val="0"/>
              <w:keepLines w:val="0"/>
              <w:pageBreakBefore w:val="0"/>
              <w:widowControl/>
              <w:kinsoku w:val="0"/>
              <w:wordWrap/>
              <w:overflowPunct/>
              <w:topLinePunct w:val="0"/>
              <w:autoSpaceDE w:val="0"/>
              <w:autoSpaceDN w:val="0"/>
              <w:bidi w:val="0"/>
              <w:adjustRightInd w:val="0"/>
              <w:snapToGrid w:val="0"/>
              <w:spacing w:before="129" w:line="288" w:lineRule="auto"/>
              <w:ind w:left="13" w:right="4"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w:t>
            </w:r>
            <w:r>
              <w:rPr>
                <w:rFonts w:hint="eastAsia" w:ascii="宋体" w:hAnsi="宋体" w:eastAsia="宋体" w:cs="宋体"/>
                <w:color w:val="auto"/>
                <w:spacing w:val="7"/>
                <w:sz w:val="24"/>
                <w:szCs w:val="24"/>
                <w:highlight w:val="none"/>
              </w:rPr>
              <w:t>引起的一切法律后果。</w:t>
            </w:r>
          </w:p>
        </w:tc>
      </w:tr>
      <w:tr w14:paraId="2D9BB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132E4EF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409B33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DB6B00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EF032B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1490C1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E3CB086">
            <w:pPr>
              <w:keepNext w:val="0"/>
              <w:keepLines w:val="0"/>
              <w:pageBreakBefore w:val="0"/>
              <w:widowControl/>
              <w:kinsoku w:val="0"/>
              <w:wordWrap/>
              <w:overflowPunct/>
              <w:topLinePunct w:val="0"/>
              <w:autoSpaceDE w:val="0"/>
              <w:autoSpaceDN w:val="0"/>
              <w:bidi w:val="0"/>
              <w:adjustRightInd w:val="0"/>
              <w:snapToGrid w:val="0"/>
              <w:spacing w:before="58" w:line="288" w:lineRule="auto"/>
              <w:ind w:left="30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675" w:type="dxa"/>
            <w:vAlign w:val="top"/>
          </w:tcPr>
          <w:p w14:paraId="215074D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74C634D">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2C168C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190808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AE96CB2">
            <w:pPr>
              <w:keepNext w:val="0"/>
              <w:keepLines w:val="0"/>
              <w:pageBreakBefore w:val="0"/>
              <w:widowControl/>
              <w:kinsoku w:val="0"/>
              <w:wordWrap/>
              <w:overflowPunct/>
              <w:topLinePunct w:val="0"/>
              <w:autoSpaceDE w:val="0"/>
              <w:autoSpaceDN w:val="0"/>
              <w:bidi w:val="0"/>
              <w:adjustRightInd w:val="0"/>
              <w:snapToGrid w:val="0"/>
              <w:spacing w:before="65" w:line="288" w:lineRule="auto"/>
              <w:ind w:left="369" w:right="367" w:firstLine="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r>
              <w:rPr>
                <w:rFonts w:hint="eastAsia" w:ascii="宋体" w:hAnsi="宋体" w:eastAsia="宋体" w:cs="宋体"/>
                <w:color w:val="auto"/>
                <w:spacing w:val="7"/>
                <w:sz w:val="24"/>
                <w:szCs w:val="24"/>
                <w:highlight w:val="none"/>
              </w:rPr>
              <w:t>任职承诺</w:t>
            </w:r>
          </w:p>
        </w:tc>
        <w:tc>
          <w:tcPr>
            <w:tcW w:w="3107" w:type="dxa"/>
            <w:vAlign w:val="top"/>
          </w:tcPr>
          <w:p w14:paraId="76EFB3E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9A627F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5BDC043">
            <w:pPr>
              <w:keepNext w:val="0"/>
              <w:keepLines w:val="0"/>
              <w:pageBreakBefore w:val="0"/>
              <w:widowControl/>
              <w:kinsoku w:val="0"/>
              <w:wordWrap/>
              <w:overflowPunct/>
              <w:topLinePunct w:val="0"/>
              <w:autoSpaceDE w:val="0"/>
              <w:autoSpaceDN w:val="0"/>
              <w:bidi w:val="0"/>
              <w:adjustRightInd w:val="0"/>
              <w:snapToGrid w:val="0"/>
              <w:spacing w:before="65" w:line="288" w:lineRule="auto"/>
              <w:ind w:left="9"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9"/>
                <w:sz w:val="24"/>
                <w:szCs w:val="24"/>
                <w:highlight w:val="none"/>
              </w:rPr>
              <w:t>我方拟派项目经理现阶段</w:t>
            </w:r>
            <w:r>
              <w:rPr>
                <w:rFonts w:hint="eastAsia" w:ascii="宋体" w:hAnsi="宋体" w:eastAsia="宋体" w:cs="宋体"/>
                <w:color w:val="auto"/>
                <w:spacing w:val="7"/>
                <w:sz w:val="24"/>
                <w:szCs w:val="24"/>
                <w:highlight w:val="none"/>
              </w:rPr>
              <w:t>没有担任任何在施（包括已中标</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未开工、已开工未竣工）建设工</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7"/>
                <w:sz w:val="24"/>
                <w:szCs w:val="24"/>
                <w:highlight w:val="none"/>
              </w:rPr>
              <w:t>程项目的项目经理。</w:t>
            </w:r>
          </w:p>
        </w:tc>
        <w:tc>
          <w:tcPr>
            <w:tcW w:w="4272" w:type="dxa"/>
            <w:vAlign w:val="top"/>
          </w:tcPr>
          <w:p w14:paraId="5743E675">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如果我方拟派项目经理在本项目招标投</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标活动期间有担任其他任何在施（包括已中标未开工、已开工未竣工）建设工程项目的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项目经理，我方接受招标人或其授权的招标</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7"/>
                <w:sz w:val="24"/>
                <w:szCs w:val="24"/>
                <w:highlight w:val="none"/>
              </w:rPr>
              <w:t>代理机构或其组建的评标委员会依据招标文件作出的相应处理以及有关监督部门作出的</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z w:val="24"/>
                <w:szCs w:val="24"/>
                <w:highlight w:val="none"/>
              </w:rPr>
              <w:t>行政处罚，并承担由此引起的一切法律后果。</w:t>
            </w:r>
          </w:p>
        </w:tc>
      </w:tr>
      <w:tr w14:paraId="72FB2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4E3D8D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025A1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B6C23FF">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4"/>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75" w:type="dxa"/>
            <w:vAlign w:val="top"/>
          </w:tcPr>
          <w:p w14:paraId="55EAC14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878D575">
            <w:pPr>
              <w:keepNext w:val="0"/>
              <w:keepLines w:val="0"/>
              <w:pageBreakBefore w:val="0"/>
              <w:widowControl/>
              <w:kinsoku w:val="0"/>
              <w:wordWrap/>
              <w:overflowPunct/>
              <w:topLinePunct w:val="0"/>
              <w:autoSpaceDE w:val="0"/>
              <w:autoSpaceDN w:val="0"/>
              <w:bidi w:val="0"/>
              <w:adjustRightInd w:val="0"/>
              <w:snapToGrid w:val="0"/>
              <w:spacing w:before="65" w:line="288" w:lineRule="auto"/>
              <w:ind w:left="267" w:right="261" w:firstLine="10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真实性承诺</w:t>
            </w:r>
          </w:p>
        </w:tc>
        <w:tc>
          <w:tcPr>
            <w:tcW w:w="3107" w:type="dxa"/>
            <w:vAlign w:val="top"/>
          </w:tcPr>
          <w:p w14:paraId="1859778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456CE76">
            <w:pPr>
              <w:keepNext w:val="0"/>
              <w:keepLines w:val="0"/>
              <w:pageBreakBefore w:val="0"/>
              <w:widowControl/>
              <w:kinsoku w:val="0"/>
              <w:wordWrap/>
              <w:overflowPunct/>
              <w:topLinePunct w:val="0"/>
              <w:autoSpaceDE w:val="0"/>
              <w:autoSpaceDN w:val="0"/>
              <w:bidi w:val="0"/>
              <w:adjustRightInd w:val="0"/>
              <w:snapToGrid w:val="0"/>
              <w:spacing w:before="65" w:line="288" w:lineRule="auto"/>
              <w:ind w:left="12" w:firstLine="409"/>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0"/>
                <w:sz w:val="24"/>
                <w:szCs w:val="24"/>
                <w:highlight w:val="none"/>
              </w:rPr>
              <w:t>我方所递交投标文件的全</w:t>
            </w:r>
            <w:r>
              <w:rPr>
                <w:rFonts w:hint="eastAsia" w:ascii="宋体" w:hAnsi="宋体" w:eastAsia="宋体" w:cs="宋体"/>
                <w:color w:val="auto"/>
                <w:spacing w:val="-7"/>
                <w:sz w:val="24"/>
                <w:szCs w:val="24"/>
                <w:highlight w:val="none"/>
              </w:rPr>
              <w:t>部内容均为真实、有效、准确的。</w:t>
            </w:r>
          </w:p>
        </w:tc>
        <w:tc>
          <w:tcPr>
            <w:tcW w:w="4272" w:type="dxa"/>
            <w:vAlign w:val="top"/>
          </w:tcPr>
          <w:p w14:paraId="5795EA48">
            <w:pPr>
              <w:keepNext w:val="0"/>
              <w:keepLines w:val="0"/>
              <w:pageBreakBefore w:val="0"/>
              <w:widowControl/>
              <w:kinsoku w:val="0"/>
              <w:wordWrap/>
              <w:overflowPunct/>
              <w:topLinePunct w:val="0"/>
              <w:autoSpaceDE w:val="0"/>
              <w:autoSpaceDN w:val="0"/>
              <w:bidi w:val="0"/>
              <w:adjustRightInd w:val="0"/>
              <w:snapToGrid w:val="0"/>
              <w:spacing w:before="127" w:line="288" w:lineRule="auto"/>
              <w:ind w:left="11" w:firstLine="417"/>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如果我方递交的投标文件任何内容不真实或无效或不准确，我方接受招标人或其授权的招标代理机构或其组建的评标委员会依</w:t>
            </w:r>
            <w:r>
              <w:rPr>
                <w:rFonts w:hint="eastAsia" w:ascii="宋体" w:hAnsi="宋体" w:eastAsia="宋体" w:cs="宋体"/>
                <w:color w:val="auto"/>
                <w:sz w:val="24"/>
                <w:szCs w:val="24"/>
                <w:highlight w:val="none"/>
              </w:rPr>
              <w:t>据招标文件作出的相应处理，包括否决投标。</w:t>
            </w:r>
          </w:p>
        </w:tc>
      </w:tr>
      <w:tr w14:paraId="51603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4" w:hRule="atLeast"/>
        </w:trPr>
        <w:tc>
          <w:tcPr>
            <w:tcW w:w="764" w:type="dxa"/>
            <w:vAlign w:val="top"/>
          </w:tcPr>
          <w:p w14:paraId="49BD0024">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CCB262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2C9E7">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3"/>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p w14:paraId="32AB978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2336" behindDoc="1" locked="0" layoutInCell="0" allowOverlap="1">
                  <wp:simplePos x="0" y="0"/>
                  <wp:positionH relativeFrom="page">
                    <wp:posOffset>3902075</wp:posOffset>
                  </wp:positionH>
                  <wp:positionV relativeFrom="page">
                    <wp:posOffset>2252345</wp:posOffset>
                  </wp:positionV>
                  <wp:extent cx="6350" cy="241300"/>
                  <wp:effectExtent l="0" t="0" r="0" b="0"/>
                  <wp:wrapNone/>
                  <wp:docPr id="16" name="IM 120"/>
                  <wp:cNvGraphicFramePr/>
                  <a:graphic xmlns:a="http://schemas.openxmlformats.org/drawingml/2006/main">
                    <a:graphicData uri="http://schemas.openxmlformats.org/drawingml/2006/picture">
                      <pic:pic xmlns:pic="http://schemas.openxmlformats.org/drawingml/2006/picture">
                        <pic:nvPicPr>
                          <pic:cNvPr id="16" name="IM 120"/>
                          <pic:cNvPicPr/>
                        </pic:nvPicPr>
                        <pic:blipFill>
                          <a:blip r:embed="rId52"/>
                          <a:stretch>
                            <a:fillRect/>
                          </a:stretch>
                        </pic:blipFill>
                        <pic:spPr>
                          <a:xfrm>
                            <a:off x="0" y="0"/>
                            <a:ext cx="6350" cy="241300"/>
                          </a:xfrm>
                          <a:prstGeom prst="rect">
                            <a:avLst/>
                          </a:prstGeom>
                          <a:noFill/>
                          <a:ln>
                            <a:noFill/>
                          </a:ln>
                        </pic:spPr>
                      </pic:pic>
                    </a:graphicData>
                  </a:graphic>
                </wp:anchor>
              </w:drawing>
            </w:r>
          </w:p>
        </w:tc>
        <w:tc>
          <w:tcPr>
            <w:tcW w:w="1675" w:type="dxa"/>
            <w:vAlign w:val="top"/>
          </w:tcPr>
          <w:p w14:paraId="030C31B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294887">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投标文件</w:t>
            </w:r>
          </w:p>
          <w:p w14:paraId="143CB162">
            <w:pPr>
              <w:keepNext w:val="0"/>
              <w:keepLines w:val="0"/>
              <w:pageBreakBefore w:val="0"/>
              <w:widowControl/>
              <w:kinsoku w:val="0"/>
              <w:wordWrap/>
              <w:overflowPunct/>
              <w:topLinePunct w:val="0"/>
              <w:autoSpaceDE w:val="0"/>
              <w:autoSpaceDN w:val="0"/>
              <w:bidi w:val="0"/>
              <w:adjustRightInd w:val="0"/>
              <w:snapToGrid w:val="0"/>
              <w:spacing w:line="288" w:lineRule="auto"/>
              <w:ind w:lef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信息公开承诺</w:t>
            </w:r>
          </w:p>
        </w:tc>
        <w:tc>
          <w:tcPr>
            <w:tcW w:w="3107" w:type="dxa"/>
            <w:vAlign w:val="top"/>
          </w:tcPr>
          <w:p w14:paraId="18B580A3">
            <w:pPr>
              <w:keepNext w:val="0"/>
              <w:keepLines w:val="0"/>
              <w:pageBreakBefore w:val="0"/>
              <w:widowControl/>
              <w:kinsoku w:val="0"/>
              <w:wordWrap/>
              <w:overflowPunct/>
              <w:topLinePunct w:val="0"/>
              <w:autoSpaceDE w:val="0"/>
              <w:autoSpaceDN w:val="0"/>
              <w:bidi w:val="0"/>
              <w:adjustRightInd w:val="0"/>
              <w:snapToGrid w:val="0"/>
              <w:spacing w:before="130" w:line="288" w:lineRule="auto"/>
              <w:ind w:left="10" w:right="2" w:firstLine="42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我方提供完整的文件。如果</w:t>
            </w:r>
            <w:r>
              <w:rPr>
                <w:rFonts w:hint="eastAsia" w:ascii="宋体" w:hAnsi="宋体" w:eastAsia="宋体" w:cs="宋体"/>
                <w:color w:val="auto"/>
                <w:spacing w:val="7"/>
                <w:sz w:val="24"/>
                <w:szCs w:val="24"/>
                <w:highlight w:val="none"/>
              </w:rPr>
              <w:t>我方成为本项目中标候选人，我</w:t>
            </w:r>
            <w:r>
              <w:rPr>
                <w:rFonts w:hint="eastAsia" w:ascii="宋体" w:hAnsi="宋体" w:eastAsia="宋体" w:cs="宋体"/>
                <w:color w:val="auto"/>
                <w:spacing w:val="23"/>
                <w:sz w:val="24"/>
                <w:szCs w:val="24"/>
                <w:highlight w:val="none"/>
              </w:rPr>
              <w:t>方同意并授权招标人在评标结果公示期内公开我方商务标书</w:t>
            </w:r>
            <w:r>
              <w:rPr>
                <w:rFonts w:hint="eastAsia" w:ascii="宋体" w:hAnsi="宋体" w:eastAsia="宋体" w:cs="宋体"/>
                <w:color w:val="auto"/>
                <w:spacing w:val="3"/>
                <w:sz w:val="24"/>
                <w:szCs w:val="24"/>
                <w:highlight w:val="none"/>
              </w:rPr>
              <w:t>的全部内容。</w:t>
            </w:r>
          </w:p>
        </w:tc>
        <w:tc>
          <w:tcPr>
            <w:tcW w:w="4272" w:type="dxa"/>
            <w:vAlign w:val="top"/>
          </w:tcPr>
          <w:p w14:paraId="58689A3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19050</wp:posOffset>
                      </wp:positionV>
                      <wp:extent cx="2698750" cy="1539875"/>
                      <wp:effectExtent l="3175" t="5715" r="3175" b="16510"/>
                      <wp:wrapNone/>
                      <wp:docPr id="23" name="直接连接符 23"/>
                      <wp:cNvGraphicFramePr/>
                      <a:graphic xmlns:a="http://schemas.openxmlformats.org/drawingml/2006/main">
                        <a:graphicData uri="http://schemas.microsoft.com/office/word/2010/wordprocessingShape">
                          <wps:wsp>
                            <wps:cNvCnPr/>
                            <wps:spPr>
                              <a:xfrm flipV="1">
                                <a:off x="4209415" y="1651000"/>
                                <a:ext cx="2698750" cy="1539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05pt;margin-top:1.5pt;height:121.25pt;width:212.5pt;z-index:251660288;mso-width-relative:page;mso-height-relative:page;" filled="f" stroked="t" coordsize="21600,21600" o:gfxdata="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qIdPdQAAAAHAQAADwAAAAAAAAABACAAAAAiAAAAZHJzL2Rvd25y&#10;ZXYueG1sUEsBAhQAFAAAAAgAh07iQNS38qICAgAA0AMAAA4AAAAAAAAAAQAgAAAAIwEAAGRycy9l&#10;Mm9Eb2MueG1sUEsFBgAAAAAGAAYAWQEAAJcFAAAAAA==&#10;">
                      <v:fill on="f" focussize="0,0"/>
                      <v:stroke weight="1pt" color="#4874CB [3204]" miterlimit="8" joinstyle="miter"/>
                      <v:imagedata o:title=""/>
                      <o:lock v:ext="edit" aspectratio="f"/>
                    </v:line>
                  </w:pict>
                </mc:Fallback>
              </mc:AlternateContent>
            </w:r>
          </w:p>
          <w:p w14:paraId="7B63BF6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65EE97">
            <w:pPr>
              <w:keepNext w:val="0"/>
              <w:keepLines w:val="0"/>
              <w:pageBreakBefore w:val="0"/>
              <w:widowControl/>
              <w:kinsoku w:val="0"/>
              <w:wordWrap/>
              <w:overflowPunct/>
              <w:topLinePunct w:val="0"/>
              <w:autoSpaceDE w:val="0"/>
              <w:autoSpaceDN w:val="0"/>
              <w:bidi w:val="0"/>
              <w:adjustRightInd w:val="0"/>
              <w:snapToGrid w:val="0"/>
              <w:spacing w:before="58" w:line="288" w:lineRule="auto"/>
              <w:ind w:left="1979"/>
              <w:textAlignment w:val="baseline"/>
              <w:rPr>
                <w:rFonts w:hint="eastAsia" w:ascii="宋体" w:hAnsi="宋体" w:eastAsia="宋体" w:cs="宋体"/>
                <w:color w:val="auto"/>
                <w:sz w:val="24"/>
                <w:szCs w:val="24"/>
                <w:highlight w:val="none"/>
              </w:rPr>
            </w:pPr>
          </w:p>
        </w:tc>
      </w:tr>
      <w:tr w14:paraId="3B05B0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6" w:hRule="atLeast"/>
        </w:trPr>
        <w:tc>
          <w:tcPr>
            <w:tcW w:w="764" w:type="dxa"/>
            <w:vAlign w:val="top"/>
          </w:tcPr>
          <w:p w14:paraId="4FE4BF02">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599883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BAF5C8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FE97F0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B2A9F3E">
            <w:pPr>
              <w:keepNext w:val="0"/>
              <w:keepLines w:val="0"/>
              <w:pageBreakBefore w:val="0"/>
              <w:widowControl/>
              <w:kinsoku w:val="0"/>
              <w:wordWrap/>
              <w:overflowPunct/>
              <w:topLinePunct w:val="0"/>
              <w:autoSpaceDE w:val="0"/>
              <w:autoSpaceDN w:val="0"/>
              <w:bidi w:val="0"/>
              <w:adjustRightInd w:val="0"/>
              <w:snapToGrid w:val="0"/>
              <w:spacing w:before="57"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675" w:type="dxa"/>
            <w:vAlign w:val="top"/>
          </w:tcPr>
          <w:p w14:paraId="43163C3D">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21584682">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3628BCDB">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17B4F23B">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对不正常报价</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4"/>
                <w:sz w:val="24"/>
                <w:szCs w:val="24"/>
                <w:highlight w:val="none"/>
              </w:rPr>
              <w:t>的确认承诺</w:t>
            </w:r>
          </w:p>
        </w:tc>
        <w:tc>
          <w:tcPr>
            <w:tcW w:w="3107" w:type="dxa"/>
            <w:vAlign w:val="top"/>
          </w:tcPr>
          <w:p w14:paraId="7ED4B132">
            <w:pPr>
              <w:keepNext w:val="0"/>
              <w:keepLines w:val="0"/>
              <w:pageBreakBefore w:val="0"/>
              <w:widowControl/>
              <w:kinsoku w:val="0"/>
              <w:wordWrap/>
              <w:overflowPunct/>
              <w:topLinePunct w:val="0"/>
              <w:autoSpaceDE w:val="0"/>
              <w:autoSpaceDN w:val="0"/>
              <w:bidi w:val="0"/>
              <w:adjustRightInd w:val="0"/>
              <w:snapToGrid w:val="0"/>
              <w:spacing w:before="121" w:line="288" w:lineRule="auto"/>
              <w:ind w:left="10" w:right="2"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如果我方中标，我方接受招</w:t>
            </w:r>
            <w:r>
              <w:rPr>
                <w:rFonts w:hint="eastAsia" w:ascii="宋体" w:hAnsi="宋体" w:eastAsia="宋体" w:cs="宋体"/>
                <w:color w:val="auto"/>
                <w:spacing w:val="23"/>
                <w:sz w:val="24"/>
                <w:szCs w:val="24"/>
                <w:highlight w:val="none"/>
              </w:rPr>
              <w:t>标人在合同订立期间依据招标文件有关条款约定对我方已标价工程量清单中不正常报价的</w:t>
            </w:r>
            <w:r>
              <w:rPr>
                <w:rFonts w:hint="eastAsia" w:ascii="宋体" w:hAnsi="宋体" w:eastAsia="宋体" w:cs="宋体"/>
                <w:color w:val="auto"/>
                <w:spacing w:val="7"/>
                <w:sz w:val="24"/>
                <w:szCs w:val="24"/>
                <w:highlight w:val="none"/>
              </w:rPr>
              <w:t>修正或认定，并按要求签署《不</w:t>
            </w:r>
            <w:r>
              <w:rPr>
                <w:rFonts w:hint="eastAsia" w:ascii="宋体" w:hAnsi="宋体" w:eastAsia="宋体" w:cs="宋体"/>
                <w:color w:val="auto"/>
                <w:spacing w:val="8"/>
                <w:sz w:val="24"/>
                <w:szCs w:val="24"/>
                <w:highlight w:val="none"/>
              </w:rPr>
              <w:t>正常报价清单》加以确认。</w:t>
            </w:r>
          </w:p>
        </w:tc>
        <w:tc>
          <w:tcPr>
            <w:tcW w:w="4272" w:type="dxa"/>
            <w:vAlign w:val="top"/>
          </w:tcPr>
          <w:p w14:paraId="45890CD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26035</wp:posOffset>
                      </wp:positionV>
                      <wp:extent cx="2706370" cy="1920875"/>
                      <wp:effectExtent l="3810" t="5080" r="13970" b="17145"/>
                      <wp:wrapNone/>
                      <wp:docPr id="24" name="直接连接符 24"/>
                      <wp:cNvGraphicFramePr/>
                      <a:graphic xmlns:a="http://schemas.openxmlformats.org/drawingml/2006/main">
                        <a:graphicData uri="http://schemas.microsoft.com/office/word/2010/wordprocessingShape">
                          <wps:wsp>
                            <wps:cNvCnPr/>
                            <wps:spPr>
                              <a:xfrm flipV="1">
                                <a:off x="4217670" y="3238500"/>
                                <a:ext cx="2706370" cy="192087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6pt;margin-top:2.05pt;height:151.25pt;width:213.1pt;z-index:251661312;mso-width-relative:page;mso-height-relative:page;" filled="f" stroked="t" coordsize="21600,21600" o:gfxdata="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7HjHtdIAAAAHAQAADwAAAAAAAAABACAAAAAiAAAAZHJzL2Rvd25y&#10;ZXYueG1sUEsBAhQAFAAAAAgAh07iQBDx3nQEAgAA0AMAAA4AAAAAAAAAAQAgAAAAIQEAAGRycy9l&#10;Mm9Eb2MueG1sUEsFBgAAAAAGAAYAWQEAAJcFAAAAAA==&#10;">
                      <v:fill on="f" focussize="0,0"/>
                      <v:stroke weight="1pt" color="#4874CB [3204]" miterlimit="8" joinstyle="miter"/>
                      <v:imagedata o:title=""/>
                      <o:lock v:ext="edit" aspectratio="f"/>
                    </v:line>
                  </w:pict>
                </mc:Fallback>
              </mc:AlternateContent>
            </w:r>
          </w:p>
          <w:p w14:paraId="5F28B8B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6D395E9">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940329C">
            <w:pPr>
              <w:keepNext w:val="0"/>
              <w:keepLines w:val="0"/>
              <w:pageBreakBefore w:val="0"/>
              <w:widowControl/>
              <w:kinsoku w:val="0"/>
              <w:wordWrap/>
              <w:overflowPunct/>
              <w:topLinePunct w:val="0"/>
              <w:autoSpaceDE w:val="0"/>
              <w:autoSpaceDN w:val="0"/>
              <w:bidi w:val="0"/>
              <w:adjustRightInd w:val="0"/>
              <w:snapToGrid w:val="0"/>
              <w:spacing w:before="57" w:line="288" w:lineRule="auto"/>
              <w:ind w:left="1979"/>
              <w:textAlignment w:val="baseline"/>
              <w:rPr>
                <w:rFonts w:hint="eastAsia" w:ascii="宋体" w:hAnsi="宋体" w:eastAsia="宋体" w:cs="宋体"/>
                <w:color w:val="auto"/>
                <w:sz w:val="24"/>
                <w:szCs w:val="24"/>
                <w:highlight w:val="none"/>
              </w:rPr>
            </w:pPr>
          </w:p>
        </w:tc>
      </w:tr>
      <w:tr w14:paraId="7BD2A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0EAD56D7">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FE0E6B3">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96F77DE">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21867D0E">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7"/>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675" w:type="dxa"/>
            <w:vAlign w:val="top"/>
          </w:tcPr>
          <w:p w14:paraId="723303EA">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0BBA9BD9">
            <w:pPr>
              <w:pStyle w:val="21"/>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p>
          <w:p w14:paraId="5CC084B4">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按时提交履约</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7"/>
                <w:sz w:val="24"/>
                <w:szCs w:val="24"/>
                <w:highlight w:val="none"/>
              </w:rPr>
              <w:t>保证的承诺</w:t>
            </w:r>
          </w:p>
        </w:tc>
        <w:tc>
          <w:tcPr>
            <w:tcW w:w="3107" w:type="dxa"/>
            <w:vAlign w:val="top"/>
          </w:tcPr>
          <w:p w14:paraId="7B61A6B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1FDB927">
            <w:pPr>
              <w:keepNext w:val="0"/>
              <w:keepLines w:val="0"/>
              <w:pageBreakBefore w:val="0"/>
              <w:widowControl/>
              <w:kinsoku w:val="0"/>
              <w:wordWrap/>
              <w:overflowPunct/>
              <w:topLinePunct w:val="0"/>
              <w:autoSpaceDE w:val="0"/>
              <w:autoSpaceDN w:val="0"/>
              <w:bidi w:val="0"/>
              <w:adjustRightInd w:val="0"/>
              <w:snapToGrid w:val="0"/>
              <w:spacing w:line="288" w:lineRule="auto"/>
              <w:ind w:left="11"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招标文件规定的时限内全额提</w:t>
            </w:r>
            <w:r>
              <w:rPr>
                <w:rFonts w:hint="eastAsia" w:ascii="宋体" w:hAnsi="宋体" w:eastAsia="宋体" w:cs="宋体"/>
                <w:color w:val="auto"/>
                <w:spacing w:val="6"/>
                <w:sz w:val="24"/>
                <w:szCs w:val="24"/>
                <w:highlight w:val="none"/>
              </w:rPr>
              <w:t>交履约保证。</w:t>
            </w:r>
          </w:p>
        </w:tc>
        <w:tc>
          <w:tcPr>
            <w:tcW w:w="4272" w:type="dxa"/>
            <w:vAlign w:val="top"/>
          </w:tcPr>
          <w:p w14:paraId="37B7C163">
            <w:pPr>
              <w:keepNext w:val="0"/>
              <w:keepLines w:val="0"/>
              <w:pageBreakBefore w:val="0"/>
              <w:widowControl/>
              <w:kinsoku w:val="0"/>
              <w:wordWrap/>
              <w:overflowPunct/>
              <w:topLinePunct w:val="0"/>
              <w:autoSpaceDE w:val="0"/>
              <w:autoSpaceDN w:val="0"/>
              <w:bidi w:val="0"/>
              <w:adjustRightInd w:val="0"/>
              <w:snapToGrid w:val="0"/>
              <w:spacing w:before="128" w:line="288" w:lineRule="auto"/>
              <w:ind w:left="12" w:right="23" w:firstLine="42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如果我方未在招标文件规定的时限内全</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9"/>
                <w:sz w:val="24"/>
                <w:szCs w:val="24"/>
                <w:highlight w:val="none"/>
              </w:rPr>
              <w:t>额提交履约保证，我方接受招标人依据招标文件作出的相应处理以及有关监督部门作出的行政处罚，并承担由此引起的一切法律后</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果。</w:t>
            </w:r>
          </w:p>
        </w:tc>
      </w:tr>
      <w:tr w14:paraId="208D9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 w:hRule="atLeast"/>
        </w:trPr>
        <w:tc>
          <w:tcPr>
            <w:tcW w:w="764" w:type="dxa"/>
            <w:vAlign w:val="top"/>
          </w:tcPr>
          <w:p w14:paraId="30120DE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046E4C">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7ECA051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6042F4FA">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5D371D4C">
            <w:pPr>
              <w:keepNext w:val="0"/>
              <w:keepLines w:val="0"/>
              <w:pageBreakBefore w:val="0"/>
              <w:widowControl/>
              <w:kinsoku w:val="0"/>
              <w:wordWrap/>
              <w:overflowPunct/>
              <w:topLinePunct w:val="0"/>
              <w:autoSpaceDE w:val="0"/>
              <w:autoSpaceDN w:val="0"/>
              <w:bidi w:val="0"/>
              <w:adjustRightInd w:val="0"/>
              <w:snapToGrid w:val="0"/>
              <w:spacing w:before="58" w:line="288" w:lineRule="auto"/>
              <w:ind w:left="312"/>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675" w:type="dxa"/>
            <w:vAlign w:val="top"/>
          </w:tcPr>
          <w:p w14:paraId="18DB3F26">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459BCC8F">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39A4BC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0452B58C">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按时签订合同</w:t>
            </w:r>
            <w:r>
              <w:rPr>
                <w:rFonts w:hint="eastAsia" w:ascii="宋体" w:hAnsi="宋体" w:eastAsia="宋体" w:cs="宋体"/>
                <w:color w:val="auto"/>
                <w:spacing w:val="1"/>
                <w:sz w:val="24"/>
                <w:szCs w:val="24"/>
                <w:highlight w:val="none"/>
              </w:rPr>
              <w:t>的承诺</w:t>
            </w:r>
          </w:p>
        </w:tc>
        <w:tc>
          <w:tcPr>
            <w:tcW w:w="3107" w:type="dxa"/>
            <w:vAlign w:val="top"/>
          </w:tcPr>
          <w:p w14:paraId="745A5CAB">
            <w:pPr>
              <w:pStyle w:val="21"/>
              <w:keepNext w:val="0"/>
              <w:keepLines w:val="0"/>
              <w:pageBreakBefore w:val="0"/>
              <w:widowControl/>
              <w:kinsoku w:val="0"/>
              <w:wordWrap/>
              <w:overflowPunct/>
              <w:topLinePunct w:val="0"/>
              <w:autoSpaceDE w:val="0"/>
              <w:autoSpaceDN w:val="0"/>
              <w:bidi w:val="0"/>
              <w:adjustRightInd w:val="0"/>
              <w:snapToGrid w:val="0"/>
              <w:spacing w:line="288" w:lineRule="auto"/>
              <w:textAlignment w:val="baseline"/>
              <w:rPr>
                <w:rFonts w:hint="eastAsia" w:ascii="宋体" w:hAnsi="宋体" w:eastAsia="宋体" w:cs="宋体"/>
                <w:color w:val="auto"/>
                <w:sz w:val="24"/>
                <w:szCs w:val="24"/>
                <w:highlight w:val="none"/>
              </w:rPr>
            </w:pPr>
          </w:p>
          <w:p w14:paraId="3044BA3E">
            <w:pPr>
              <w:keepNext w:val="0"/>
              <w:keepLines w:val="0"/>
              <w:pageBreakBefore w:val="0"/>
              <w:widowControl/>
              <w:kinsoku w:val="0"/>
              <w:wordWrap/>
              <w:overflowPunct/>
              <w:topLinePunct w:val="0"/>
              <w:autoSpaceDE w:val="0"/>
              <w:autoSpaceDN w:val="0"/>
              <w:bidi w:val="0"/>
              <w:adjustRightInd w:val="0"/>
              <w:snapToGrid w:val="0"/>
              <w:spacing w:before="65" w:line="288" w:lineRule="auto"/>
              <w:ind w:left="10" w:right="2"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如果我方中标，我方保证在</w:t>
            </w:r>
            <w:r>
              <w:rPr>
                <w:rFonts w:hint="eastAsia" w:ascii="宋体" w:hAnsi="宋体" w:eastAsia="宋体" w:cs="宋体"/>
                <w:color w:val="auto"/>
                <w:spacing w:val="23"/>
                <w:sz w:val="24"/>
                <w:szCs w:val="24"/>
                <w:highlight w:val="none"/>
              </w:rPr>
              <w:t>招标文件规定的时限内与招标</w:t>
            </w:r>
            <w:r>
              <w:rPr>
                <w:rFonts w:hint="eastAsia" w:ascii="宋体" w:hAnsi="宋体" w:eastAsia="宋体" w:cs="宋体"/>
                <w:color w:val="auto"/>
                <w:spacing w:val="7"/>
                <w:sz w:val="24"/>
                <w:szCs w:val="24"/>
                <w:highlight w:val="none"/>
              </w:rPr>
              <w:t>人签订合同，不提出违背或超出</w:t>
            </w:r>
            <w:r>
              <w:rPr>
                <w:rFonts w:hint="eastAsia" w:ascii="宋体" w:hAnsi="宋体" w:eastAsia="宋体" w:cs="宋体"/>
                <w:color w:val="auto"/>
                <w:spacing w:val="8"/>
                <w:sz w:val="24"/>
                <w:szCs w:val="24"/>
                <w:highlight w:val="none"/>
              </w:rPr>
              <w:t>招标文件、中标文件的要求。</w:t>
            </w:r>
          </w:p>
        </w:tc>
        <w:tc>
          <w:tcPr>
            <w:tcW w:w="4272" w:type="dxa"/>
            <w:vAlign w:val="top"/>
          </w:tcPr>
          <w:p w14:paraId="1F95DB8F">
            <w:pPr>
              <w:keepNext w:val="0"/>
              <w:keepLines w:val="0"/>
              <w:pageBreakBefore w:val="0"/>
              <w:widowControl/>
              <w:kinsoku w:val="0"/>
              <w:wordWrap/>
              <w:overflowPunct/>
              <w:topLinePunct w:val="0"/>
              <w:autoSpaceDE w:val="0"/>
              <w:autoSpaceDN w:val="0"/>
              <w:bidi w:val="0"/>
              <w:adjustRightInd w:val="0"/>
              <w:snapToGrid w:val="0"/>
              <w:spacing w:before="126" w:line="288" w:lineRule="auto"/>
              <w:ind w:left="13" w:firstLine="41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如果我方未在招标文件规定的时限内与招标人签订合同，或我方在签订合同过程中</w:t>
            </w:r>
            <w:r>
              <w:rPr>
                <w:rFonts w:hint="eastAsia" w:ascii="宋体" w:hAnsi="宋体" w:eastAsia="宋体" w:cs="宋体"/>
                <w:color w:val="auto"/>
                <w:sz w:val="24"/>
                <w:szCs w:val="24"/>
                <w:highlight w:val="none"/>
              </w:rPr>
              <w:t>提出违背或超出招标文件、中标文件的要求。</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7"/>
                <w:sz w:val="24"/>
                <w:szCs w:val="24"/>
                <w:highlight w:val="none"/>
              </w:rPr>
              <w:t>我方接受招标人依据招标文件作出的相应处</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7"/>
                <w:sz w:val="24"/>
                <w:szCs w:val="24"/>
                <w:highlight w:val="none"/>
              </w:rPr>
              <w:t>理以及有关监督部门作出的行政处罚，并承</w:t>
            </w:r>
            <w:r>
              <w:rPr>
                <w:rFonts w:hint="eastAsia" w:ascii="宋体" w:hAnsi="宋体" w:eastAsia="宋体" w:cs="宋体"/>
                <w:color w:val="auto"/>
                <w:spacing w:val="5"/>
                <w:sz w:val="24"/>
                <w:szCs w:val="24"/>
                <w:highlight w:val="none"/>
              </w:rPr>
              <w:t>担由此引起的一切法律后果。</w:t>
            </w:r>
          </w:p>
        </w:tc>
      </w:tr>
    </w:tbl>
    <w:p w14:paraId="1280BF8E">
      <w:pPr>
        <w:spacing w:before="78" w:line="219" w:lineRule="auto"/>
        <w:ind w:firstLine="6832" w:firstLineChars="2800"/>
        <w:jc w:val="both"/>
        <w:rPr>
          <w:rFonts w:hint="eastAsia" w:ascii="宋体" w:hAnsi="宋体" w:eastAsia="宋体" w:cs="宋体"/>
          <w:color w:val="auto"/>
          <w:spacing w:val="2"/>
          <w:sz w:val="24"/>
          <w:szCs w:val="24"/>
          <w:highlight w:val="none"/>
        </w:rPr>
      </w:pPr>
    </w:p>
    <w:p w14:paraId="2CF50268">
      <w:pPr>
        <w:spacing w:before="78" w:line="219" w:lineRule="auto"/>
        <w:ind w:firstLine="6832" w:firstLineChars="280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2D917528">
      <w:pPr>
        <w:pStyle w:val="5"/>
        <w:spacing w:line="297" w:lineRule="auto"/>
        <w:jc w:val="right"/>
        <w:rPr>
          <w:rFonts w:hint="eastAsia" w:ascii="宋体" w:hAnsi="宋体" w:eastAsia="宋体" w:cs="宋体"/>
          <w:color w:val="auto"/>
          <w:highlight w:val="none"/>
        </w:rPr>
      </w:pPr>
    </w:p>
    <w:p w14:paraId="6AF2FDE1">
      <w:pPr>
        <w:spacing w:before="78" w:line="219" w:lineRule="auto"/>
        <w:ind w:left="4366"/>
        <w:jc w:val="right"/>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28353B88">
      <w:pPr>
        <w:outlineLvl w:val="9"/>
        <w:rPr>
          <w:rFonts w:hint="eastAsia"/>
          <w:color w:val="auto"/>
          <w:highlight w:val="none"/>
        </w:rPr>
      </w:pPr>
    </w:p>
    <w:p w14:paraId="4D59FD44">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4DEAF14D">
      <w:pPr>
        <w:spacing w:line="220" w:lineRule="auto"/>
        <w:jc w:val="right"/>
        <w:rPr>
          <w:rFonts w:hint="eastAsia" w:ascii="宋体" w:hAnsi="宋体" w:eastAsia="宋体" w:cs="宋体"/>
          <w:color w:val="auto"/>
          <w:sz w:val="24"/>
          <w:szCs w:val="24"/>
          <w:highlight w:val="none"/>
        </w:rPr>
        <w:sectPr>
          <w:footerReference r:id="rId1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E08E517">
      <w:pPr>
        <w:spacing w:before="78" w:line="220" w:lineRule="auto"/>
        <w:outlineLvl w:val="2"/>
        <w:rPr>
          <w:rFonts w:hint="eastAsia" w:ascii="宋体" w:hAnsi="宋体" w:eastAsia="宋体" w:cs="宋体"/>
          <w:b/>
          <w:bCs/>
          <w:color w:val="auto"/>
          <w:spacing w:val="-4"/>
          <w:sz w:val="24"/>
          <w:szCs w:val="24"/>
          <w:highlight w:val="none"/>
        </w:rPr>
      </w:pPr>
      <w:bookmarkStart w:id="232" w:name="_Toc16537"/>
      <w:r>
        <w:rPr>
          <w:rFonts w:hint="eastAsia" w:ascii="宋体" w:hAnsi="宋体" w:eastAsia="宋体" w:cs="宋体"/>
          <w:b/>
          <w:bCs/>
          <w:color w:val="auto"/>
          <w:spacing w:val="-4"/>
          <w:sz w:val="24"/>
          <w:szCs w:val="24"/>
          <w:highlight w:val="none"/>
        </w:rPr>
        <w:t>格式四 授权委托书</w:t>
      </w:r>
      <w:bookmarkEnd w:id="232"/>
    </w:p>
    <w:p w14:paraId="52D6B1AC">
      <w:pPr>
        <w:pStyle w:val="5"/>
        <w:spacing w:line="351" w:lineRule="auto"/>
        <w:rPr>
          <w:rFonts w:hint="eastAsia" w:ascii="宋体" w:hAnsi="宋体" w:eastAsia="宋体" w:cs="宋体"/>
          <w:color w:val="auto"/>
          <w:highlight w:val="none"/>
        </w:rPr>
      </w:pPr>
    </w:p>
    <w:p w14:paraId="4FF0C18E">
      <w:pPr>
        <w:pStyle w:val="5"/>
        <w:spacing w:line="351" w:lineRule="auto"/>
        <w:rPr>
          <w:rFonts w:hint="eastAsia" w:ascii="宋体" w:hAnsi="宋体" w:eastAsia="宋体" w:cs="宋体"/>
          <w:color w:val="auto"/>
          <w:highlight w:val="none"/>
        </w:rPr>
      </w:pPr>
    </w:p>
    <w:p w14:paraId="392E9734">
      <w:pPr>
        <w:spacing w:before="97" w:line="219" w:lineRule="auto"/>
        <w:ind w:left="3786"/>
        <w:rPr>
          <w:rFonts w:hint="eastAsia" w:ascii="宋体" w:hAnsi="宋体" w:eastAsia="宋体" w:cs="宋体"/>
          <w:color w:val="auto"/>
          <w:sz w:val="30"/>
          <w:szCs w:val="30"/>
          <w:highlight w:val="none"/>
        </w:rPr>
      </w:pPr>
      <w:bookmarkStart w:id="233" w:name="bookmark151"/>
      <w:bookmarkEnd w:id="233"/>
      <w:r>
        <w:rPr>
          <w:rFonts w:hint="eastAsia" w:ascii="宋体" w:hAnsi="宋体" w:eastAsia="宋体" w:cs="宋体"/>
          <w:b/>
          <w:bCs/>
          <w:color w:val="auto"/>
          <w:spacing w:val="-5"/>
          <w:sz w:val="30"/>
          <w:szCs w:val="30"/>
          <w:highlight w:val="none"/>
        </w:rPr>
        <w:t>授权委托书</w:t>
      </w:r>
    </w:p>
    <w:p w14:paraId="04F88440">
      <w:pPr>
        <w:pStyle w:val="5"/>
        <w:spacing w:line="250" w:lineRule="auto"/>
        <w:rPr>
          <w:rFonts w:hint="eastAsia" w:ascii="宋体" w:hAnsi="宋体" w:eastAsia="宋体" w:cs="宋体"/>
          <w:color w:val="auto"/>
          <w:highlight w:val="none"/>
        </w:rPr>
      </w:pPr>
    </w:p>
    <w:p w14:paraId="2017F5C3">
      <w:pPr>
        <w:pStyle w:val="5"/>
        <w:spacing w:line="250" w:lineRule="auto"/>
        <w:rPr>
          <w:rFonts w:hint="eastAsia" w:ascii="宋体" w:hAnsi="宋体" w:eastAsia="宋体" w:cs="宋体"/>
          <w:color w:val="auto"/>
          <w:highlight w:val="none"/>
        </w:rPr>
      </w:pPr>
    </w:p>
    <w:p w14:paraId="05FEBBB4">
      <w:pPr>
        <w:pStyle w:val="5"/>
        <w:spacing w:line="251" w:lineRule="auto"/>
        <w:rPr>
          <w:rFonts w:hint="eastAsia" w:ascii="宋体" w:hAnsi="宋体" w:eastAsia="宋体" w:cs="宋体"/>
          <w:color w:val="auto"/>
          <w:highlight w:val="none"/>
        </w:rPr>
      </w:pPr>
    </w:p>
    <w:p w14:paraId="751DBC02">
      <w:pPr>
        <w:spacing w:before="78" w:line="330" w:lineRule="auto"/>
        <w:ind w:firstLine="481"/>
        <w:jc w:val="both"/>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8"/>
          <w:highlight w:val="none"/>
          <w:lang w:eastAsia="zh-CN"/>
        </w:rPr>
        <w:t>本人</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（姓名）系</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（投标人名称）的法定代表人，现委托</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 w:val="24"/>
          <w:szCs w:val="28"/>
          <w:highlight w:val="none"/>
          <w:lang w:eastAsia="zh-CN"/>
        </w:rPr>
        <w:t>（姓名）为我方代理人。代理人根据授权，以我方名义签署、澄清、说明、补正、递交、撤回、修改</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snapToGrid w:val="0"/>
          <w:color w:val="auto"/>
          <w:kern w:val="0"/>
          <w:sz w:val="24"/>
          <w:szCs w:val="28"/>
          <w:highlight w:val="none"/>
          <w:u w:val="single"/>
          <w:lang w:eastAsia="zh-CN"/>
        </w:rPr>
        <w:t>（项目名称）</w:t>
      </w:r>
      <w:r>
        <w:rPr>
          <w:rFonts w:hint="eastAsia" w:ascii="宋体" w:hAnsi="宋体" w:eastAsia="宋体" w:cs="宋体"/>
          <w:snapToGrid w:val="0"/>
          <w:color w:val="auto"/>
          <w:kern w:val="0"/>
          <w:sz w:val="24"/>
          <w:szCs w:val="28"/>
          <w:highlight w:val="none"/>
          <w:lang w:eastAsia="zh-CN"/>
        </w:rPr>
        <w:t xml:space="preserve"> 投标文件、签订合同和处理有关事宜，其法律后果由我方承担。</w:t>
      </w:r>
    </w:p>
    <w:p w14:paraId="2653EF0D">
      <w:pPr>
        <w:spacing w:before="32" w:line="320" w:lineRule="auto"/>
        <w:ind w:left="480" w:right="497"/>
        <w:rPr>
          <w:rFonts w:hint="eastAsia" w:ascii="宋体" w:hAnsi="宋体" w:eastAsia="宋体" w:cs="宋体"/>
          <w:color w:val="auto"/>
          <w:spacing w:val="15"/>
          <w:sz w:val="24"/>
          <w:szCs w:val="24"/>
          <w:highlight w:val="none"/>
        </w:rPr>
      </w:pPr>
      <w:r>
        <w:rPr>
          <w:rFonts w:hint="eastAsia" w:ascii="宋体" w:hAnsi="宋体" w:eastAsia="宋体" w:cs="宋体"/>
          <w:color w:val="auto"/>
          <w:spacing w:val="-9"/>
          <w:sz w:val="24"/>
          <w:szCs w:val="24"/>
          <w:highlight w:val="none"/>
        </w:rPr>
        <w:t>委托期限：至</w:t>
      </w:r>
      <w:r>
        <w:rPr>
          <w:rFonts w:hint="eastAsia" w:ascii="宋体" w:hAnsi="宋体" w:eastAsia="宋体" w:cs="宋体"/>
          <w:color w:val="auto"/>
          <w:spacing w:val="-9"/>
          <w:sz w:val="24"/>
          <w:szCs w:val="24"/>
          <w:highlight w:val="none"/>
          <w:u w:val="single"/>
        </w:rPr>
        <w:t xml:space="preserve">     年   月    日</w:t>
      </w:r>
      <w:r>
        <w:rPr>
          <w:rFonts w:hint="eastAsia" w:ascii="宋体" w:hAnsi="宋体" w:eastAsia="宋体" w:cs="宋体"/>
          <w:i/>
          <w:iCs/>
          <w:color w:val="auto"/>
          <w:spacing w:val="-9"/>
          <w:sz w:val="25"/>
          <w:szCs w:val="25"/>
          <w:highlight w:val="none"/>
          <w:u w:val="single"/>
        </w:rPr>
        <w:t>（不得短于招标文件规定的投标有效期）</w:t>
      </w:r>
      <w:r>
        <w:rPr>
          <w:rFonts w:hint="eastAsia" w:ascii="宋体" w:hAnsi="宋体" w:eastAsia="宋体" w:cs="宋体"/>
          <w:color w:val="auto"/>
          <w:spacing w:val="-9"/>
          <w:sz w:val="25"/>
          <w:szCs w:val="25"/>
          <w:highlight w:val="none"/>
        </w:rPr>
        <w:t xml:space="preserve"> </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15"/>
          <w:sz w:val="24"/>
          <w:szCs w:val="24"/>
          <w:highlight w:val="none"/>
        </w:rPr>
        <w:t xml:space="preserve"> </w:t>
      </w:r>
    </w:p>
    <w:p w14:paraId="7CF2436B">
      <w:pPr>
        <w:spacing w:before="32" w:line="320" w:lineRule="auto"/>
        <w:ind w:left="480" w:right="497"/>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代理人无转委托权。</w:t>
      </w:r>
    </w:p>
    <w:p w14:paraId="0C0A40E6">
      <w:pPr>
        <w:pStyle w:val="5"/>
        <w:spacing w:line="276" w:lineRule="auto"/>
        <w:rPr>
          <w:rFonts w:hint="eastAsia" w:ascii="宋体" w:hAnsi="宋体" w:eastAsia="宋体" w:cs="宋体"/>
          <w:color w:val="auto"/>
          <w:highlight w:val="none"/>
        </w:rPr>
      </w:pPr>
    </w:p>
    <w:p w14:paraId="418B1FBB">
      <w:pPr>
        <w:pStyle w:val="5"/>
        <w:spacing w:line="277" w:lineRule="auto"/>
        <w:rPr>
          <w:rFonts w:hint="eastAsia" w:ascii="宋体" w:hAnsi="宋体" w:eastAsia="宋体" w:cs="宋体"/>
          <w:color w:val="auto"/>
          <w:highlight w:val="none"/>
        </w:rPr>
      </w:pPr>
    </w:p>
    <w:p w14:paraId="0ECC62DD">
      <w:pPr>
        <w:pStyle w:val="5"/>
        <w:spacing w:line="277" w:lineRule="auto"/>
        <w:rPr>
          <w:rFonts w:hint="eastAsia" w:ascii="宋体" w:hAnsi="宋体" w:eastAsia="宋体" w:cs="宋体"/>
          <w:color w:val="auto"/>
          <w:highlight w:val="none"/>
        </w:rPr>
      </w:pPr>
    </w:p>
    <w:p w14:paraId="7120C750">
      <w:pPr>
        <w:spacing w:before="78" w:line="219" w:lineRule="auto"/>
        <w:ind w:left="3123"/>
        <w:jc w:val="righ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投  标  人</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pacing w:val="4"/>
          <w:sz w:val="24"/>
          <w:szCs w:val="24"/>
          <w:highlight w:val="none"/>
        </w:rPr>
        <w:t>盖单位章）</w:t>
      </w:r>
    </w:p>
    <w:p w14:paraId="51DF3B0D">
      <w:pPr>
        <w:pStyle w:val="5"/>
        <w:spacing w:line="317" w:lineRule="auto"/>
        <w:jc w:val="right"/>
        <w:rPr>
          <w:rFonts w:hint="eastAsia" w:ascii="宋体" w:hAnsi="宋体" w:eastAsia="宋体" w:cs="宋体"/>
          <w:color w:val="auto"/>
          <w:highlight w:val="none"/>
        </w:rPr>
      </w:pPr>
    </w:p>
    <w:p w14:paraId="387F00A4">
      <w:pPr>
        <w:pStyle w:val="5"/>
        <w:spacing w:line="317" w:lineRule="auto"/>
        <w:jc w:val="right"/>
        <w:rPr>
          <w:rFonts w:hint="eastAsia" w:ascii="宋体" w:hAnsi="宋体" w:eastAsia="宋体" w:cs="宋体"/>
          <w:color w:val="auto"/>
          <w:highlight w:val="none"/>
        </w:rPr>
      </w:pPr>
    </w:p>
    <w:p w14:paraId="1CDD9DC5">
      <w:pPr>
        <w:pStyle w:val="5"/>
        <w:spacing w:line="317" w:lineRule="auto"/>
        <w:jc w:val="right"/>
        <w:rPr>
          <w:rFonts w:hint="eastAsia" w:ascii="宋体" w:hAnsi="宋体" w:eastAsia="宋体" w:cs="宋体"/>
          <w:color w:val="auto"/>
          <w:highlight w:val="none"/>
        </w:rPr>
      </w:pPr>
    </w:p>
    <w:p w14:paraId="65F4BA3B">
      <w:pPr>
        <w:spacing w:before="79" w:line="219" w:lineRule="auto"/>
        <w:ind w:left="3121"/>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2"/>
          <w:sz w:val="24"/>
          <w:szCs w:val="24"/>
          <w:highlight w:val="none"/>
        </w:rPr>
        <w:t>签字或盖章）</w:t>
      </w:r>
    </w:p>
    <w:p w14:paraId="596BE95B">
      <w:pPr>
        <w:pStyle w:val="5"/>
        <w:spacing w:line="317" w:lineRule="auto"/>
        <w:jc w:val="right"/>
        <w:rPr>
          <w:rFonts w:hint="eastAsia" w:ascii="宋体" w:hAnsi="宋体" w:eastAsia="宋体" w:cs="宋体"/>
          <w:color w:val="auto"/>
          <w:highlight w:val="none"/>
        </w:rPr>
      </w:pPr>
    </w:p>
    <w:p w14:paraId="19BDFE69">
      <w:pPr>
        <w:pStyle w:val="5"/>
        <w:spacing w:line="317" w:lineRule="auto"/>
        <w:jc w:val="right"/>
        <w:rPr>
          <w:rFonts w:hint="eastAsia" w:ascii="宋体" w:hAnsi="宋体" w:eastAsia="宋体" w:cs="宋体"/>
          <w:color w:val="auto"/>
          <w:highlight w:val="none"/>
        </w:rPr>
      </w:pPr>
    </w:p>
    <w:p w14:paraId="1EA7C1F1">
      <w:pPr>
        <w:pStyle w:val="5"/>
        <w:spacing w:line="317" w:lineRule="auto"/>
        <w:jc w:val="right"/>
        <w:rPr>
          <w:rFonts w:hint="eastAsia" w:ascii="宋体" w:hAnsi="宋体" w:eastAsia="宋体" w:cs="宋体"/>
          <w:color w:val="auto"/>
          <w:highlight w:val="none"/>
        </w:rPr>
      </w:pPr>
    </w:p>
    <w:p w14:paraId="1D10DF0C">
      <w:pPr>
        <w:spacing w:before="78" w:line="219" w:lineRule="auto"/>
        <w:ind w:left="2880"/>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委托代理人</w:t>
      </w:r>
      <w:r>
        <w:rPr>
          <w:rFonts w:hint="eastAsia" w:ascii="宋体" w:hAnsi="宋体" w:eastAsia="宋体" w:cs="宋体"/>
          <w:color w:val="auto"/>
          <w:spacing w:val="-16"/>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2"/>
          <w:sz w:val="24"/>
          <w:szCs w:val="24"/>
          <w:highlight w:val="none"/>
        </w:rPr>
        <w:t>签字或盖章）</w:t>
      </w:r>
    </w:p>
    <w:p w14:paraId="5B063E8A">
      <w:pPr>
        <w:pStyle w:val="5"/>
        <w:spacing w:line="256" w:lineRule="auto"/>
        <w:jc w:val="right"/>
        <w:rPr>
          <w:rFonts w:hint="eastAsia" w:ascii="宋体" w:hAnsi="宋体" w:eastAsia="宋体" w:cs="宋体"/>
          <w:color w:val="auto"/>
          <w:highlight w:val="none"/>
        </w:rPr>
      </w:pPr>
    </w:p>
    <w:p w14:paraId="492E95D9">
      <w:pPr>
        <w:pStyle w:val="5"/>
        <w:spacing w:line="256" w:lineRule="auto"/>
        <w:jc w:val="right"/>
        <w:rPr>
          <w:rFonts w:hint="eastAsia" w:ascii="宋体" w:hAnsi="宋体" w:eastAsia="宋体" w:cs="宋体"/>
          <w:color w:val="auto"/>
          <w:highlight w:val="none"/>
        </w:rPr>
      </w:pPr>
    </w:p>
    <w:p w14:paraId="116EE129">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528954B">
      <w:pPr>
        <w:spacing w:before="78" w:line="220" w:lineRule="auto"/>
        <w:ind w:left="4201"/>
        <w:jc w:val="right"/>
        <w:rPr>
          <w:rFonts w:hint="eastAsia" w:ascii="宋体" w:hAnsi="宋体" w:eastAsia="宋体" w:cs="宋体"/>
          <w:color w:val="auto"/>
          <w:sz w:val="24"/>
          <w:szCs w:val="24"/>
          <w:highlight w:val="none"/>
        </w:rPr>
      </w:pPr>
    </w:p>
    <w:p w14:paraId="6285CC3E">
      <w:pPr>
        <w:spacing w:before="69"/>
        <w:rPr>
          <w:rFonts w:hint="eastAsia" w:ascii="宋体" w:hAnsi="宋体" w:eastAsia="宋体" w:cs="宋体"/>
          <w:color w:val="auto"/>
          <w:highlight w:val="none"/>
        </w:rPr>
      </w:pPr>
    </w:p>
    <w:p w14:paraId="13041B14">
      <w:pPr>
        <w:spacing w:before="69"/>
        <w:rPr>
          <w:rFonts w:hint="eastAsia" w:ascii="宋体" w:hAnsi="宋体" w:eastAsia="宋体" w:cs="宋体"/>
          <w:color w:val="auto"/>
          <w:highlight w:val="none"/>
        </w:rPr>
      </w:pPr>
    </w:p>
    <w:tbl>
      <w:tblPr>
        <w:tblStyle w:val="14"/>
        <w:tblW w:w="560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600"/>
      </w:tblGrid>
      <w:tr w14:paraId="2E62157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570" w:hRule="atLeast"/>
        </w:trPr>
        <w:tc>
          <w:tcPr>
            <w:tcW w:w="5600" w:type="dxa"/>
            <w:vAlign w:val="top"/>
          </w:tcPr>
          <w:p w14:paraId="68BF3639">
            <w:pPr>
              <w:pStyle w:val="21"/>
              <w:spacing w:line="245" w:lineRule="auto"/>
              <w:rPr>
                <w:rFonts w:hint="eastAsia" w:ascii="宋体" w:hAnsi="宋体" w:eastAsia="宋体" w:cs="宋体"/>
                <w:color w:val="auto"/>
                <w:highlight w:val="none"/>
              </w:rPr>
            </w:pPr>
          </w:p>
          <w:p w14:paraId="4B47535F">
            <w:pPr>
              <w:pStyle w:val="21"/>
              <w:spacing w:line="245" w:lineRule="auto"/>
              <w:rPr>
                <w:rFonts w:hint="eastAsia" w:ascii="宋体" w:hAnsi="宋体" w:eastAsia="宋体" w:cs="宋体"/>
                <w:color w:val="auto"/>
                <w:highlight w:val="none"/>
              </w:rPr>
            </w:pPr>
          </w:p>
          <w:p w14:paraId="0C140ADB">
            <w:pPr>
              <w:pStyle w:val="21"/>
              <w:spacing w:line="245" w:lineRule="auto"/>
              <w:rPr>
                <w:rFonts w:hint="eastAsia" w:ascii="宋体" w:hAnsi="宋体" w:eastAsia="宋体" w:cs="宋体"/>
                <w:color w:val="auto"/>
                <w:highlight w:val="none"/>
              </w:rPr>
            </w:pPr>
          </w:p>
          <w:p w14:paraId="37AC5D2F">
            <w:pPr>
              <w:pStyle w:val="21"/>
              <w:spacing w:line="245" w:lineRule="auto"/>
              <w:rPr>
                <w:rFonts w:hint="eastAsia" w:ascii="宋体" w:hAnsi="宋体" w:eastAsia="宋体" w:cs="宋体"/>
                <w:color w:val="auto"/>
                <w:highlight w:val="none"/>
              </w:rPr>
            </w:pPr>
          </w:p>
          <w:p w14:paraId="4D91F07F">
            <w:pPr>
              <w:pStyle w:val="21"/>
              <w:spacing w:line="245" w:lineRule="auto"/>
              <w:rPr>
                <w:rFonts w:hint="eastAsia" w:ascii="宋体" w:hAnsi="宋体" w:eastAsia="宋体" w:cs="宋体"/>
                <w:color w:val="auto"/>
                <w:highlight w:val="none"/>
              </w:rPr>
            </w:pPr>
          </w:p>
          <w:p w14:paraId="51376401">
            <w:pPr>
              <w:pStyle w:val="21"/>
              <w:spacing w:line="245" w:lineRule="auto"/>
              <w:rPr>
                <w:rFonts w:hint="eastAsia" w:ascii="宋体" w:hAnsi="宋体" w:eastAsia="宋体" w:cs="宋体"/>
                <w:color w:val="auto"/>
                <w:highlight w:val="none"/>
              </w:rPr>
            </w:pPr>
          </w:p>
          <w:p w14:paraId="3DA54932">
            <w:pPr>
              <w:pStyle w:val="21"/>
              <w:spacing w:line="246" w:lineRule="auto"/>
              <w:rPr>
                <w:rFonts w:hint="eastAsia" w:ascii="宋体" w:hAnsi="宋体" w:eastAsia="宋体" w:cs="宋体"/>
                <w:color w:val="auto"/>
                <w:highlight w:val="none"/>
              </w:rPr>
            </w:pPr>
          </w:p>
          <w:p w14:paraId="163627A6">
            <w:pPr>
              <w:spacing w:before="78" w:line="220" w:lineRule="auto"/>
              <w:ind w:left="71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委托代理人身份证</w:t>
            </w:r>
            <w:r>
              <w:rPr>
                <w:rFonts w:hint="eastAsia" w:ascii="宋体" w:hAnsi="宋体" w:eastAsia="宋体" w:cs="宋体"/>
                <w:color w:val="auto"/>
                <w:spacing w:val="-1"/>
                <w:sz w:val="24"/>
                <w:szCs w:val="24"/>
                <w:highlight w:val="none"/>
                <w:lang w:val="en-US" w:eastAsia="zh-CN"/>
              </w:rPr>
              <w:t>彩色扫描件</w:t>
            </w:r>
            <w:r>
              <w:rPr>
                <w:rFonts w:hint="eastAsia" w:ascii="宋体" w:hAnsi="宋体" w:eastAsia="宋体" w:cs="宋体"/>
                <w:color w:val="auto"/>
                <w:spacing w:val="-1"/>
                <w:sz w:val="24"/>
                <w:szCs w:val="24"/>
                <w:highlight w:val="none"/>
              </w:rPr>
              <w:t>正、反面</w:t>
            </w:r>
          </w:p>
        </w:tc>
      </w:tr>
    </w:tbl>
    <w:p w14:paraId="28E282AE">
      <w:pPr>
        <w:pStyle w:val="5"/>
        <w:rPr>
          <w:rFonts w:hint="eastAsia" w:ascii="宋体" w:hAnsi="宋体" w:eastAsia="宋体" w:cs="宋体"/>
          <w:color w:val="auto"/>
          <w:highlight w:val="none"/>
        </w:rPr>
      </w:pPr>
    </w:p>
    <w:p w14:paraId="54CE0BF6">
      <w:pPr>
        <w:rPr>
          <w:rFonts w:hint="eastAsia" w:ascii="宋体" w:hAnsi="宋体" w:eastAsia="宋体" w:cs="宋体"/>
          <w:color w:val="auto"/>
          <w:highlight w:val="none"/>
        </w:rPr>
        <w:sectPr>
          <w:footerReference r:id="rId16"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2EDAFA3A">
      <w:pPr>
        <w:spacing w:before="78" w:line="220" w:lineRule="auto"/>
        <w:outlineLvl w:val="2"/>
        <w:rPr>
          <w:rFonts w:hint="eastAsia" w:ascii="宋体" w:hAnsi="宋体" w:eastAsia="宋体" w:cs="宋体"/>
          <w:b/>
          <w:bCs/>
          <w:color w:val="auto"/>
          <w:spacing w:val="-4"/>
          <w:sz w:val="24"/>
          <w:szCs w:val="24"/>
          <w:highlight w:val="none"/>
        </w:rPr>
      </w:pPr>
      <w:bookmarkStart w:id="234" w:name="_Toc30394"/>
      <w:r>
        <w:rPr>
          <w:rFonts w:hint="eastAsia" w:ascii="宋体" w:hAnsi="宋体" w:eastAsia="宋体" w:cs="宋体"/>
          <w:b/>
          <w:bCs/>
          <w:color w:val="auto"/>
          <w:spacing w:val="-4"/>
          <w:sz w:val="24"/>
          <w:szCs w:val="24"/>
          <w:highlight w:val="none"/>
        </w:rPr>
        <w:t>格式五 法定代表人身份证明</w:t>
      </w:r>
      <w:bookmarkEnd w:id="234"/>
    </w:p>
    <w:p w14:paraId="1AD2910A">
      <w:pPr>
        <w:pStyle w:val="5"/>
        <w:spacing w:line="350" w:lineRule="auto"/>
        <w:rPr>
          <w:rFonts w:hint="eastAsia" w:ascii="宋体" w:hAnsi="宋体" w:eastAsia="宋体" w:cs="宋体"/>
          <w:color w:val="auto"/>
          <w:highlight w:val="none"/>
        </w:rPr>
      </w:pPr>
    </w:p>
    <w:p w14:paraId="00B721B3">
      <w:pPr>
        <w:pStyle w:val="5"/>
        <w:spacing w:line="350" w:lineRule="auto"/>
        <w:rPr>
          <w:rFonts w:hint="eastAsia" w:ascii="宋体" w:hAnsi="宋体" w:eastAsia="宋体" w:cs="宋体"/>
          <w:color w:val="auto"/>
          <w:highlight w:val="none"/>
        </w:rPr>
      </w:pPr>
    </w:p>
    <w:p w14:paraId="62C321D1">
      <w:pPr>
        <w:spacing w:before="98" w:line="220" w:lineRule="auto"/>
        <w:ind w:left="3183"/>
        <w:rPr>
          <w:rFonts w:hint="eastAsia" w:ascii="宋体" w:hAnsi="宋体" w:eastAsia="宋体" w:cs="宋体"/>
          <w:color w:val="auto"/>
          <w:sz w:val="30"/>
          <w:szCs w:val="30"/>
          <w:highlight w:val="none"/>
        </w:rPr>
      </w:pPr>
      <w:bookmarkStart w:id="235" w:name="bookmark152"/>
      <w:bookmarkEnd w:id="235"/>
      <w:r>
        <w:rPr>
          <w:rFonts w:hint="eastAsia" w:ascii="宋体" w:hAnsi="宋体" w:eastAsia="宋体" w:cs="宋体"/>
          <w:b/>
          <w:bCs/>
          <w:color w:val="auto"/>
          <w:spacing w:val="-4"/>
          <w:sz w:val="30"/>
          <w:szCs w:val="30"/>
          <w:highlight w:val="none"/>
        </w:rPr>
        <w:t>法定代表人身份证明</w:t>
      </w:r>
    </w:p>
    <w:p w14:paraId="5055A950">
      <w:pPr>
        <w:pStyle w:val="5"/>
        <w:spacing w:line="250" w:lineRule="auto"/>
        <w:rPr>
          <w:rFonts w:hint="eastAsia" w:ascii="宋体" w:hAnsi="宋体" w:eastAsia="宋体" w:cs="宋体"/>
          <w:color w:val="auto"/>
          <w:highlight w:val="none"/>
        </w:rPr>
      </w:pPr>
    </w:p>
    <w:p w14:paraId="705CECB5">
      <w:pPr>
        <w:pStyle w:val="5"/>
        <w:spacing w:line="250" w:lineRule="auto"/>
        <w:rPr>
          <w:rFonts w:hint="eastAsia" w:ascii="宋体" w:hAnsi="宋体" w:eastAsia="宋体" w:cs="宋体"/>
          <w:color w:val="auto"/>
          <w:highlight w:val="none"/>
        </w:rPr>
      </w:pPr>
    </w:p>
    <w:p w14:paraId="0978BEEE">
      <w:pPr>
        <w:pStyle w:val="5"/>
        <w:spacing w:line="251" w:lineRule="auto"/>
        <w:rPr>
          <w:rFonts w:hint="eastAsia" w:ascii="宋体" w:hAnsi="宋体" w:eastAsia="宋体" w:cs="宋体"/>
          <w:color w:val="auto"/>
          <w:highlight w:val="none"/>
        </w:rPr>
      </w:pPr>
    </w:p>
    <w:p w14:paraId="59417B9C">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投标人名称：</w:t>
      </w:r>
      <w:r>
        <w:rPr>
          <w:rFonts w:hint="eastAsia" w:ascii="宋体" w:hAnsi="宋体" w:eastAsia="宋体" w:cs="宋体"/>
          <w:snapToGrid w:val="0"/>
          <w:color w:val="auto"/>
          <w:kern w:val="0"/>
          <w:sz w:val="24"/>
          <w:szCs w:val="24"/>
          <w:highlight w:val="none"/>
          <w:u w:val="single"/>
        </w:rPr>
        <w:t xml:space="preserve">                  </w:t>
      </w:r>
    </w:p>
    <w:p w14:paraId="5CFA1839">
      <w:pPr>
        <w:wordWrap w:val="0"/>
        <w:adjustRightInd w:val="0"/>
        <w:snapToGrid w:val="0"/>
        <w:spacing w:line="440" w:lineRule="exact"/>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姓名：</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性别：</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年龄：</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职务：</w:t>
      </w:r>
      <w:r>
        <w:rPr>
          <w:rFonts w:hint="eastAsia" w:ascii="宋体" w:hAnsi="宋体" w:eastAsia="宋体" w:cs="宋体"/>
          <w:snapToGrid w:val="0"/>
          <w:color w:val="auto"/>
          <w:kern w:val="0"/>
          <w:sz w:val="24"/>
          <w:szCs w:val="24"/>
          <w:highlight w:val="none"/>
          <w:u w:val="single"/>
        </w:rPr>
        <w:t xml:space="preserve">           </w:t>
      </w:r>
    </w:p>
    <w:p w14:paraId="34156ED0">
      <w:pPr>
        <w:wordWrap w:val="0"/>
        <w:adjustRightInd w:val="0"/>
        <w:snapToGrid w:val="0"/>
        <w:spacing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系</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（投标人名称）的法定代表人。</w:t>
      </w:r>
    </w:p>
    <w:p w14:paraId="4052DAC3">
      <w:pPr>
        <w:wordWrap w:val="0"/>
        <w:adjustRightInd w:val="0"/>
        <w:snapToGrid w:val="0"/>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 w:val="24"/>
          <w:szCs w:val="24"/>
          <w:highlight w:val="none"/>
        </w:rPr>
        <w:t xml:space="preserve">    特此证明。</w:t>
      </w:r>
    </w:p>
    <w:p w14:paraId="53ADDF35">
      <w:pPr>
        <w:pStyle w:val="5"/>
        <w:spacing w:line="277" w:lineRule="auto"/>
        <w:rPr>
          <w:rFonts w:hint="eastAsia" w:ascii="宋体" w:hAnsi="宋体" w:eastAsia="宋体" w:cs="宋体"/>
          <w:color w:val="auto"/>
          <w:highlight w:val="none"/>
        </w:rPr>
      </w:pPr>
    </w:p>
    <w:p w14:paraId="7F91432D">
      <w:pPr>
        <w:pStyle w:val="5"/>
        <w:spacing w:line="277" w:lineRule="auto"/>
        <w:rPr>
          <w:rFonts w:hint="eastAsia" w:ascii="宋体" w:hAnsi="宋体" w:eastAsia="宋体" w:cs="宋体"/>
          <w:color w:val="auto"/>
          <w:highlight w:val="none"/>
        </w:rPr>
      </w:pPr>
    </w:p>
    <w:p w14:paraId="449CA16E">
      <w:pPr>
        <w:pStyle w:val="5"/>
        <w:spacing w:line="278" w:lineRule="auto"/>
        <w:rPr>
          <w:rFonts w:hint="eastAsia" w:ascii="宋体" w:hAnsi="宋体" w:eastAsia="宋体" w:cs="宋体"/>
          <w:color w:val="auto"/>
          <w:highlight w:val="none"/>
        </w:rPr>
      </w:pPr>
    </w:p>
    <w:p w14:paraId="739A3A69">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盖单位章）</w:t>
      </w:r>
    </w:p>
    <w:p w14:paraId="09C9B7F3">
      <w:pPr>
        <w:pStyle w:val="5"/>
        <w:spacing w:line="317" w:lineRule="auto"/>
        <w:jc w:val="right"/>
        <w:rPr>
          <w:rFonts w:hint="eastAsia" w:ascii="宋体" w:hAnsi="宋体" w:eastAsia="宋体" w:cs="宋体"/>
          <w:color w:val="auto"/>
          <w:highlight w:val="none"/>
        </w:rPr>
      </w:pPr>
    </w:p>
    <w:p w14:paraId="7ED9322A">
      <w:pPr>
        <w:pStyle w:val="5"/>
        <w:spacing w:line="317" w:lineRule="auto"/>
        <w:jc w:val="right"/>
        <w:rPr>
          <w:rFonts w:hint="eastAsia" w:ascii="宋体" w:hAnsi="宋体" w:eastAsia="宋体" w:cs="宋体"/>
          <w:color w:val="auto"/>
          <w:highlight w:val="none"/>
        </w:rPr>
      </w:pPr>
    </w:p>
    <w:p w14:paraId="2815C601">
      <w:pPr>
        <w:pStyle w:val="5"/>
        <w:spacing w:line="317" w:lineRule="auto"/>
        <w:jc w:val="right"/>
        <w:rPr>
          <w:rFonts w:hint="eastAsia" w:ascii="宋体" w:hAnsi="宋体" w:eastAsia="宋体" w:cs="宋体"/>
          <w:color w:val="auto"/>
          <w:highlight w:val="none"/>
        </w:rPr>
      </w:pPr>
    </w:p>
    <w:p w14:paraId="42180BF6">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73A6063C">
      <w:pPr>
        <w:pStyle w:val="5"/>
        <w:spacing w:line="257" w:lineRule="auto"/>
        <w:jc w:val="right"/>
        <w:rPr>
          <w:rFonts w:hint="eastAsia" w:ascii="宋体" w:hAnsi="宋体" w:eastAsia="宋体" w:cs="宋体"/>
          <w:color w:val="auto"/>
          <w:highlight w:val="none"/>
        </w:rPr>
      </w:pPr>
    </w:p>
    <w:p w14:paraId="018096D8">
      <w:pPr>
        <w:pStyle w:val="5"/>
        <w:spacing w:line="257" w:lineRule="auto"/>
        <w:jc w:val="right"/>
        <w:rPr>
          <w:rFonts w:hint="eastAsia" w:ascii="宋体" w:hAnsi="宋体" w:eastAsia="宋体" w:cs="宋体"/>
          <w:color w:val="auto"/>
          <w:highlight w:val="none"/>
        </w:rPr>
      </w:pPr>
    </w:p>
    <w:p w14:paraId="617EB836">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11A090BA">
      <w:pPr>
        <w:pStyle w:val="5"/>
        <w:spacing w:line="254" w:lineRule="auto"/>
        <w:rPr>
          <w:rFonts w:hint="eastAsia" w:ascii="宋体" w:hAnsi="宋体" w:eastAsia="宋体" w:cs="宋体"/>
          <w:color w:val="auto"/>
          <w:highlight w:val="none"/>
        </w:rPr>
      </w:pPr>
    </w:p>
    <w:p w14:paraId="5CEDF64B">
      <w:pPr>
        <w:pStyle w:val="5"/>
        <w:spacing w:line="254" w:lineRule="auto"/>
        <w:rPr>
          <w:rFonts w:hint="eastAsia" w:ascii="宋体" w:hAnsi="宋体" w:eastAsia="宋体" w:cs="宋体"/>
          <w:color w:val="auto"/>
          <w:highlight w:val="none"/>
        </w:rPr>
      </w:pPr>
    </w:p>
    <w:p w14:paraId="37810D14">
      <w:pPr>
        <w:pStyle w:val="5"/>
        <w:spacing w:line="254" w:lineRule="auto"/>
        <w:rPr>
          <w:rFonts w:hint="eastAsia" w:ascii="宋体" w:hAnsi="宋体" w:eastAsia="宋体" w:cs="宋体"/>
          <w:color w:val="auto"/>
          <w:highlight w:val="none"/>
        </w:rPr>
      </w:pPr>
    </w:p>
    <w:p w14:paraId="160B9E44">
      <w:pPr>
        <w:pStyle w:val="5"/>
        <w:spacing w:line="254" w:lineRule="auto"/>
        <w:rPr>
          <w:rFonts w:hint="eastAsia" w:ascii="宋体" w:hAnsi="宋体" w:eastAsia="宋体" w:cs="宋体"/>
          <w:color w:val="auto"/>
          <w:highlight w:val="none"/>
        </w:rPr>
      </w:pPr>
    </w:p>
    <w:p w14:paraId="5A8402FE">
      <w:pPr>
        <w:pStyle w:val="5"/>
        <w:spacing w:line="255" w:lineRule="auto"/>
        <w:rPr>
          <w:rFonts w:hint="eastAsia" w:ascii="宋体" w:hAnsi="宋体" w:eastAsia="宋体" w:cs="宋体"/>
          <w:color w:val="auto"/>
          <w:highlight w:val="none"/>
        </w:rPr>
      </w:pPr>
    </w:p>
    <w:p w14:paraId="0AF113AB">
      <w:pPr>
        <w:pStyle w:val="5"/>
        <w:spacing w:line="255" w:lineRule="auto"/>
        <w:rPr>
          <w:rFonts w:hint="eastAsia" w:ascii="宋体" w:hAnsi="宋体" w:eastAsia="宋体" w:cs="宋体"/>
          <w:color w:val="auto"/>
          <w:highlight w:val="none"/>
        </w:rPr>
      </w:pPr>
    </w:p>
    <w:p w14:paraId="7240EAD7">
      <w:pPr>
        <w:pStyle w:val="5"/>
        <w:spacing w:before="1" w:line="2510" w:lineRule="exact"/>
        <w:ind w:firstLine="2534"/>
        <w:rPr>
          <w:rFonts w:hint="eastAsia" w:ascii="宋体" w:hAnsi="宋体" w:eastAsia="宋体" w:cs="宋体"/>
          <w:color w:val="auto"/>
          <w:highlight w:val="none"/>
        </w:rPr>
      </w:pPr>
      <w:r>
        <w:rPr>
          <w:rFonts w:hint="eastAsia" w:ascii="宋体" w:hAnsi="宋体" w:eastAsia="宋体" w:cs="宋体"/>
          <w:color w:val="auto"/>
          <w:position w:val="-50"/>
          <w:highlight w:val="none"/>
        </w:rPr>
        <mc:AlternateContent>
          <mc:Choice Requires="wpg">
            <w:drawing>
              <wp:inline distT="0" distB="0" distL="114300" distR="114300">
                <wp:extent cx="2835275" cy="1593850"/>
                <wp:effectExtent l="12700" t="0" r="28575" b="12700"/>
                <wp:docPr id="13" name="组合 13"/>
                <wp:cNvGraphicFramePr/>
                <a:graphic xmlns:a="http://schemas.openxmlformats.org/drawingml/2006/main">
                  <a:graphicData uri="http://schemas.microsoft.com/office/word/2010/wordprocessingGroup">
                    <wpg:wgp>
                      <wpg:cNvGrpSpPr>
                        <a:grpSpLocks noRot="1"/>
                      </wpg:cNvGrpSpPr>
                      <wpg:grpSpPr>
                        <a:xfrm>
                          <a:off x="0" y="0"/>
                          <a:ext cx="2835275" cy="1593850"/>
                          <a:chOff x="0" y="0"/>
                          <a:chExt cx="4465" cy="2510"/>
                        </a:xfrm>
                      </wpg:grpSpPr>
                      <pic:pic xmlns:pic="http://schemas.openxmlformats.org/drawingml/2006/picture">
                        <pic:nvPicPr>
                          <pic:cNvPr id="11" name="图片 5"/>
                          <pic:cNvPicPr>
                            <a:picLocks noChangeAspect="1"/>
                          </pic:cNvPicPr>
                        </pic:nvPicPr>
                        <pic:blipFill>
                          <a:blip r:embed="rId53"/>
                          <a:stretch>
                            <a:fillRect/>
                          </a:stretch>
                        </pic:blipFill>
                        <pic:spPr>
                          <a:xfrm>
                            <a:off x="0" y="0"/>
                            <a:ext cx="4465" cy="2510"/>
                          </a:xfrm>
                          <a:prstGeom prst="rect">
                            <a:avLst/>
                          </a:prstGeom>
                          <a:noFill/>
                          <a:ln>
                            <a:noFill/>
                          </a:ln>
                        </pic:spPr>
                      </pic:pic>
                      <wps:wsp>
                        <wps:cNvPr id="12" name="文本框 12"/>
                        <wps:cNvSpPr txBox="1"/>
                        <wps:spPr>
                          <a:xfrm>
                            <a:off x="-20" y="-20"/>
                            <a:ext cx="4505" cy="2550"/>
                          </a:xfrm>
                          <a:prstGeom prst="rect">
                            <a:avLst/>
                          </a:prstGeom>
                          <a:noFill/>
                          <a:ln>
                            <a:noFill/>
                          </a:ln>
                        </wps:spPr>
                        <wps:txbx>
                          <w:txbxContent>
                            <w:p w14:paraId="638F7D77">
                              <w:pPr>
                                <w:spacing w:line="249" w:lineRule="auto"/>
                              </w:pPr>
                            </w:p>
                            <w:p w14:paraId="5E375EDF">
                              <w:pPr>
                                <w:spacing w:line="249" w:lineRule="auto"/>
                              </w:pPr>
                            </w:p>
                            <w:p w14:paraId="79DCDDFC">
                              <w:pPr>
                                <w:spacing w:line="249" w:lineRule="auto"/>
                              </w:pPr>
                            </w:p>
                            <w:p w14:paraId="4864DF24">
                              <w:pPr>
                                <w:spacing w:line="249" w:lineRule="auto"/>
                              </w:pPr>
                            </w:p>
                            <w:p w14:paraId="587E98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wps:txbx>
                        <wps:bodyPr lIns="0" tIns="0" rIns="0" bIns="0" upright="1"/>
                      </wps:wsp>
                    </wpg:wgp>
                  </a:graphicData>
                </a:graphic>
              </wp:inline>
            </w:drawing>
          </mc:Choice>
          <mc:Fallback>
            <w:pict>
              <v:group id="_x0000_s1026" o:spid="_x0000_s1026" o:spt="203" style="height:125.5pt;width:223.25pt;" coordsize="4465,2510" o:gfxdata="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">
                <o:lock v:ext="edit" rotation="t" aspectratio="f"/>
                <v:shape id="图片 5" o:spid="_x0000_s1026" o:spt="75" type="#_x0000_t75" style="position:absolute;left:0;top:0;height:2510;width:4465;" filled="f" o:preferrelative="t" stroked="f" coordsize="21600,21600" o:gfxdata="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kRLC28AAAA&#10;2wAAAA8AAAAAAAAAAQAgAAAAIgAAAGRycy9kb3ducmV2LnhtbFBLAQIUABQAAAAIAIdO4kAzLwWe&#10;OwAAADkAAAAQAAAAAAAAAAEAIAAAAAsBAABkcnMvc2hhcGV4bWwueG1sUEsFBgAAAAAGAAYAWwEA&#10;ALUDAAAAAA==&#10;">
                  <v:fill on="f" focussize="0,0"/>
                  <v:stroke on="f"/>
                  <v:imagedata r:id="rId53" o:title=""/>
                  <o:lock v:ext="edit" aspectratio="t"/>
                </v:shape>
                <v:shape id="_x0000_s1026" o:spid="_x0000_s1026" o:spt="202" type="#_x0000_t202" style="position:absolute;left:-20;top:-20;height:2550;width:4505;"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38F7D77">
                        <w:pPr>
                          <w:spacing w:line="249" w:lineRule="auto"/>
                        </w:pPr>
                      </w:p>
                      <w:p w14:paraId="5E375EDF">
                        <w:pPr>
                          <w:spacing w:line="249" w:lineRule="auto"/>
                        </w:pPr>
                      </w:p>
                      <w:p w14:paraId="79DCDDFC">
                        <w:pPr>
                          <w:spacing w:line="249" w:lineRule="auto"/>
                        </w:pPr>
                      </w:p>
                      <w:p w14:paraId="4864DF24">
                        <w:pPr>
                          <w:spacing w:line="249" w:lineRule="auto"/>
                        </w:pPr>
                      </w:p>
                      <w:p w14:paraId="587E985E">
                        <w:pPr>
                          <w:spacing w:before="78" w:line="220" w:lineRule="auto"/>
                          <w:jc w:val="center"/>
                          <w:rPr>
                            <w:rFonts w:ascii="宋体" w:hAnsi="宋体" w:eastAsia="宋体" w:cs="宋体"/>
                            <w:sz w:val="24"/>
                            <w:szCs w:val="24"/>
                          </w:rPr>
                        </w:pPr>
                        <w:r>
                          <w:rPr>
                            <w:rFonts w:ascii="宋体" w:hAnsi="宋体" w:eastAsia="宋体" w:cs="宋体"/>
                            <w:spacing w:val="-1"/>
                            <w:sz w:val="24"/>
                            <w:szCs w:val="24"/>
                          </w:rPr>
                          <w:t>法定代表人身</w:t>
                        </w:r>
                        <w:r>
                          <w:rPr>
                            <w:rFonts w:ascii="宋体" w:hAnsi="宋体" w:eastAsia="宋体" w:cs="宋体"/>
                            <w:spacing w:val="-1"/>
                            <w:sz w:val="24"/>
                            <w:szCs w:val="24"/>
                            <w:highlight w:val="none"/>
                          </w:rPr>
                          <w:t>份证</w:t>
                        </w:r>
                        <w:r>
                          <w:rPr>
                            <w:rFonts w:hint="eastAsia" w:ascii="宋体" w:hAnsi="宋体" w:eastAsia="宋体" w:cs="宋体"/>
                            <w:spacing w:val="-1"/>
                            <w:sz w:val="24"/>
                            <w:szCs w:val="24"/>
                            <w:highlight w:val="none"/>
                            <w:lang w:val="en-US" w:eastAsia="zh-CN"/>
                          </w:rPr>
                          <w:t>彩色扫描件</w:t>
                        </w:r>
                        <w:r>
                          <w:rPr>
                            <w:rFonts w:ascii="宋体" w:hAnsi="宋体" w:eastAsia="宋体" w:cs="宋体"/>
                            <w:spacing w:val="-1"/>
                            <w:sz w:val="24"/>
                            <w:szCs w:val="24"/>
                            <w:highlight w:val="none"/>
                          </w:rPr>
                          <w:t>正</w:t>
                        </w:r>
                        <w:r>
                          <w:rPr>
                            <w:rFonts w:ascii="宋体" w:hAnsi="宋体" w:eastAsia="宋体" w:cs="宋体"/>
                            <w:spacing w:val="-1"/>
                            <w:sz w:val="24"/>
                            <w:szCs w:val="24"/>
                          </w:rPr>
                          <w:t>、反面</w:t>
                        </w:r>
                      </w:p>
                    </w:txbxContent>
                  </v:textbox>
                </v:shape>
                <w10:wrap type="none"/>
                <w10:anchorlock/>
              </v:group>
            </w:pict>
          </mc:Fallback>
        </mc:AlternateContent>
      </w:r>
    </w:p>
    <w:p w14:paraId="0F3417DC">
      <w:pPr>
        <w:spacing w:line="2510" w:lineRule="exact"/>
        <w:rPr>
          <w:rFonts w:hint="eastAsia" w:ascii="宋体" w:hAnsi="宋体" w:eastAsia="宋体" w:cs="宋体"/>
          <w:color w:val="auto"/>
          <w:highlight w:val="none"/>
        </w:rPr>
        <w:sectPr>
          <w:footerReference r:id="rId17"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3A3A170">
      <w:pPr>
        <w:spacing w:before="78" w:line="220" w:lineRule="auto"/>
        <w:outlineLvl w:val="2"/>
        <w:rPr>
          <w:rFonts w:hint="eastAsia" w:ascii="宋体" w:hAnsi="宋体" w:eastAsia="宋体" w:cs="宋体"/>
          <w:b/>
          <w:bCs/>
          <w:color w:val="auto"/>
          <w:spacing w:val="-4"/>
          <w:sz w:val="24"/>
          <w:szCs w:val="24"/>
          <w:highlight w:val="none"/>
        </w:rPr>
      </w:pPr>
      <w:bookmarkStart w:id="236" w:name="_Toc5771"/>
      <w:r>
        <w:rPr>
          <w:rFonts w:hint="eastAsia" w:ascii="宋体" w:hAnsi="宋体" w:eastAsia="宋体" w:cs="宋体"/>
          <w:b/>
          <w:bCs/>
          <w:color w:val="auto"/>
          <w:spacing w:val="-4"/>
          <w:sz w:val="24"/>
          <w:szCs w:val="24"/>
          <w:highlight w:val="none"/>
        </w:rPr>
        <w:t>格式六 联合体协议书</w:t>
      </w:r>
      <w:bookmarkEnd w:id="236"/>
    </w:p>
    <w:p w14:paraId="3D9671D8">
      <w:pPr>
        <w:spacing w:before="98" w:line="219" w:lineRule="auto"/>
        <w:ind w:left="3638"/>
        <w:rPr>
          <w:rFonts w:hint="eastAsia" w:ascii="宋体" w:hAnsi="宋体" w:eastAsia="宋体" w:cs="宋体"/>
          <w:color w:val="auto"/>
          <w:sz w:val="30"/>
          <w:szCs w:val="30"/>
          <w:highlight w:val="none"/>
        </w:rPr>
      </w:pPr>
      <w:bookmarkStart w:id="237" w:name="bookmark153"/>
      <w:bookmarkEnd w:id="237"/>
      <w:r>
        <w:rPr>
          <w:rFonts w:hint="eastAsia" w:ascii="宋体" w:hAnsi="宋体" w:eastAsia="宋体" w:cs="宋体"/>
          <w:b/>
          <w:bCs/>
          <w:color w:val="auto"/>
          <w:spacing w:val="-5"/>
          <w:sz w:val="30"/>
          <w:szCs w:val="30"/>
          <w:highlight w:val="none"/>
        </w:rPr>
        <w:t>联合体协议书</w:t>
      </w:r>
    </w:p>
    <w:p w14:paraId="75F1511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80CB50B">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12"/>
          <w:sz w:val="24"/>
          <w:szCs w:val="24"/>
          <w:highlight w:val="none"/>
        </w:rPr>
        <w:t>牵头人名称：</w:t>
      </w:r>
      <w:r>
        <w:rPr>
          <w:rFonts w:hint="eastAsia" w:ascii="宋体" w:hAnsi="宋体" w:eastAsia="宋体" w:cs="宋体"/>
          <w:color w:val="auto"/>
          <w:spacing w:val="4"/>
          <w:sz w:val="24"/>
          <w:szCs w:val="24"/>
          <w:highlight w:val="none"/>
        </w:rPr>
        <w:t xml:space="preserve"> </w:t>
      </w:r>
    </w:p>
    <w:p w14:paraId="7BD92AE9">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79AFE5A3">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hanging="3"/>
        <w:jc w:val="both"/>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法定住所：</w:t>
      </w:r>
    </w:p>
    <w:p w14:paraId="2D9D8763">
      <w:pPr>
        <w:outlineLvl w:val="9"/>
        <w:rPr>
          <w:rFonts w:hint="eastAsia"/>
          <w:color w:val="auto"/>
          <w:highlight w:val="none"/>
        </w:rPr>
      </w:pPr>
    </w:p>
    <w:p w14:paraId="3419B235">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成员二名称：</w:t>
      </w:r>
      <w:r>
        <w:rPr>
          <w:rFonts w:hint="eastAsia" w:ascii="宋体" w:hAnsi="宋体" w:eastAsia="宋体" w:cs="宋体"/>
          <w:color w:val="auto"/>
          <w:sz w:val="24"/>
          <w:szCs w:val="24"/>
          <w:highlight w:val="none"/>
        </w:rPr>
        <w:t xml:space="preserve"> </w:t>
      </w:r>
    </w:p>
    <w:p w14:paraId="47C56F7F">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法定代表人：</w:t>
      </w:r>
      <w:r>
        <w:rPr>
          <w:rFonts w:hint="eastAsia" w:ascii="宋体" w:hAnsi="宋体" w:eastAsia="宋体" w:cs="宋体"/>
          <w:color w:val="auto"/>
          <w:sz w:val="24"/>
          <w:szCs w:val="24"/>
          <w:highlight w:val="none"/>
        </w:rPr>
        <w:t xml:space="preserve"> </w:t>
      </w:r>
    </w:p>
    <w:p w14:paraId="13D1A308">
      <w:pPr>
        <w:keepNext w:val="0"/>
        <w:keepLines w:val="0"/>
        <w:pageBreakBefore w:val="0"/>
        <w:widowControl/>
        <w:kinsoku w:val="0"/>
        <w:wordWrap/>
        <w:overflowPunct/>
        <w:topLinePunct w:val="0"/>
        <w:autoSpaceDE w:val="0"/>
        <w:autoSpaceDN w:val="0"/>
        <w:bidi w:val="0"/>
        <w:adjustRightInd w:val="0"/>
        <w:snapToGrid w:val="0"/>
        <w:spacing w:before="78" w:line="264" w:lineRule="auto"/>
        <w:ind w:left="421" w:right="727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法定住所：</w:t>
      </w:r>
    </w:p>
    <w:p w14:paraId="2D4D3269">
      <w:pPr>
        <w:keepNext w:val="0"/>
        <w:keepLines w:val="0"/>
        <w:pageBreakBefore w:val="0"/>
        <w:widowControl/>
        <w:kinsoku w:val="0"/>
        <w:wordWrap/>
        <w:overflowPunct/>
        <w:topLinePunct w:val="0"/>
        <w:autoSpaceDE w:val="0"/>
        <w:autoSpaceDN w:val="0"/>
        <w:bidi w:val="0"/>
        <w:adjustRightInd w:val="0"/>
        <w:snapToGrid w:val="0"/>
        <w:spacing w:before="32" w:line="264" w:lineRule="auto"/>
        <w:ind w:left="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position w:val="3"/>
          <w:sz w:val="24"/>
          <w:szCs w:val="24"/>
          <w:highlight w:val="none"/>
        </w:rPr>
        <w:t>……</w:t>
      </w:r>
    </w:p>
    <w:p w14:paraId="3C7B8779">
      <w:pPr>
        <w:keepNext w:val="0"/>
        <w:keepLines w:val="0"/>
        <w:pageBreakBefore w:val="0"/>
        <w:widowControl/>
        <w:kinsoku w:val="0"/>
        <w:wordWrap/>
        <w:overflowPunct/>
        <w:topLinePunct w:val="0"/>
        <w:autoSpaceDE w:val="0"/>
        <w:autoSpaceDN w:val="0"/>
        <w:bidi w:val="0"/>
        <w:adjustRightInd w:val="0"/>
        <w:snapToGrid w:val="0"/>
        <w:spacing w:before="61" w:line="264" w:lineRule="auto"/>
        <w:ind w:firstLine="42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上述各成员单位经过友好协商，自愿组成联合体，</w:t>
      </w:r>
      <w:r>
        <w:rPr>
          <w:rFonts w:hint="eastAsia" w:ascii="宋体" w:hAnsi="宋体" w:eastAsia="宋体" w:cs="宋体"/>
          <w:color w:val="auto"/>
          <w:sz w:val="24"/>
          <w:szCs w:val="24"/>
          <w:highlight w:val="none"/>
        </w:rPr>
        <w:t>共同参加（项目名称</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rPr>
        <w:t>以下简</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2"/>
          <w:sz w:val="24"/>
          <w:szCs w:val="24"/>
          <w:highlight w:val="none"/>
        </w:rPr>
        <w:t>称“本项目</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”）的施工投标并争取赢得本项目施工承包</w:t>
      </w:r>
      <w:r>
        <w:rPr>
          <w:rFonts w:hint="eastAsia" w:ascii="宋体" w:hAnsi="宋体" w:eastAsia="宋体" w:cs="宋体"/>
          <w:color w:val="auto"/>
          <w:spacing w:val="-3"/>
          <w:sz w:val="24"/>
          <w:szCs w:val="24"/>
          <w:highlight w:val="none"/>
        </w:rPr>
        <w:t>合同（以下简称合同）。现就联</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合体投标事宜订立如下协议：</w:t>
      </w:r>
    </w:p>
    <w:p w14:paraId="731B67A3">
      <w:pPr>
        <w:keepNext w:val="0"/>
        <w:keepLines w:val="0"/>
        <w:pageBreakBefore w:val="0"/>
        <w:widowControl/>
        <w:kinsoku w:val="0"/>
        <w:wordWrap/>
        <w:overflowPunct/>
        <w:topLinePunct w:val="0"/>
        <w:autoSpaceDE w:val="0"/>
        <w:autoSpaceDN w:val="0"/>
        <w:bidi w:val="0"/>
        <w:adjustRightInd w:val="0"/>
        <w:snapToGrid w:val="0"/>
        <w:spacing w:before="33" w:line="264" w:lineRule="auto"/>
        <w:ind w:left="499"/>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1"/>
          <w:sz w:val="24"/>
          <w:szCs w:val="24"/>
          <w:highlight w:val="none"/>
        </w:rPr>
        <w:t>．（</w:t>
      </w:r>
      <w:r>
        <w:rPr>
          <w:rFonts w:hint="eastAsia" w:ascii="宋体" w:hAnsi="宋体" w:eastAsia="宋体" w:cs="宋体"/>
          <w:color w:val="auto"/>
          <w:sz w:val="24"/>
          <w:szCs w:val="24"/>
          <w:highlight w:val="none"/>
        </w:rPr>
        <w:t>某成员单位名称）为联合体牵头人。</w:t>
      </w:r>
    </w:p>
    <w:p w14:paraId="7D88355E">
      <w:pPr>
        <w:keepNext w:val="0"/>
        <w:keepLines w:val="0"/>
        <w:pageBreakBefore w:val="0"/>
        <w:widowControl/>
        <w:kinsoku w:val="0"/>
        <w:wordWrap/>
        <w:overflowPunct/>
        <w:topLinePunct w:val="0"/>
        <w:autoSpaceDE w:val="0"/>
        <w:autoSpaceDN w:val="0"/>
        <w:bidi w:val="0"/>
        <w:adjustRightInd w:val="0"/>
        <w:snapToGrid w:val="0"/>
        <w:spacing w:before="156" w:line="264" w:lineRule="auto"/>
        <w:ind w:left="1" w:firstLine="474"/>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1"/>
          <w:sz w:val="24"/>
          <w:szCs w:val="24"/>
          <w:highlight w:val="none"/>
        </w:rPr>
        <w:t>．在本项目投标阶段，联合体牵头人合法代表联合体各成员负责本项目投标</w:t>
      </w:r>
      <w:r>
        <w:rPr>
          <w:rFonts w:hint="eastAsia" w:ascii="宋体" w:hAnsi="宋体" w:eastAsia="宋体" w:cs="宋体"/>
          <w:color w:val="auto"/>
          <w:spacing w:val="-2"/>
          <w:sz w:val="24"/>
          <w:szCs w:val="24"/>
          <w:highlight w:val="none"/>
        </w:rPr>
        <w:t>文件编制活动，代表联合体提交和接收相关的资料、信息及指示，并处理与投标和中标有关</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的一切事务；联合体中标后，联合体牵头人负责合同订立和合同实施阶段的主办、组织</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和协调工作。</w:t>
      </w:r>
    </w:p>
    <w:p w14:paraId="5409F1B3">
      <w:pPr>
        <w:keepNext w:val="0"/>
        <w:keepLines w:val="0"/>
        <w:pageBreakBefore w:val="0"/>
        <w:widowControl/>
        <w:kinsoku w:val="0"/>
        <w:wordWrap/>
        <w:overflowPunct/>
        <w:topLinePunct w:val="0"/>
        <w:autoSpaceDE w:val="0"/>
        <w:autoSpaceDN w:val="0"/>
        <w:bidi w:val="0"/>
        <w:adjustRightInd w:val="0"/>
        <w:snapToGrid w:val="0"/>
        <w:spacing w:before="153" w:line="264" w:lineRule="auto"/>
        <w:ind w:left="2" w:firstLine="478"/>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3</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．联合体将严格按照招标文件的各项要求，递交投标文件，履行</w:t>
      </w:r>
      <w:r>
        <w:rPr>
          <w:rFonts w:hint="eastAsia" w:ascii="宋体" w:hAnsi="宋体" w:eastAsia="宋体" w:cs="宋体"/>
          <w:color w:val="auto"/>
          <w:spacing w:val="-2"/>
          <w:sz w:val="24"/>
          <w:szCs w:val="24"/>
          <w:highlight w:val="none"/>
        </w:rPr>
        <w:t>投标义务和中标后的合同，共同承担合同规定的一切义务和责任，联合体各成员单位按照内部职责的部</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
          <w:sz w:val="24"/>
          <w:szCs w:val="24"/>
          <w:highlight w:val="none"/>
        </w:rPr>
        <w:t>分，承担各自所负的责任和风险，并向招标人承担连带责任。</w:t>
      </w:r>
    </w:p>
    <w:p w14:paraId="36A1D70C">
      <w:pPr>
        <w:keepNext w:val="0"/>
        <w:keepLines w:val="0"/>
        <w:pageBreakBefore w:val="0"/>
        <w:widowControl/>
        <w:kinsoku w:val="0"/>
        <w:wordWrap/>
        <w:overflowPunct/>
        <w:topLinePunct w:val="0"/>
        <w:autoSpaceDE w:val="0"/>
        <w:autoSpaceDN w:val="0"/>
        <w:bidi w:val="0"/>
        <w:adjustRightInd w:val="0"/>
        <w:snapToGrid w:val="0"/>
        <w:spacing w:before="154" w:line="264" w:lineRule="auto"/>
        <w:ind w:left="475"/>
        <w:textAlignment w:val="baseline"/>
        <w:outlineLvl w:val="9"/>
        <w:rPr>
          <w:rFonts w:hint="eastAsia" w:ascii="宋体" w:hAnsi="宋体" w:eastAsia="宋体" w:cs="宋体"/>
          <w:color w:val="auto"/>
          <w:sz w:val="24"/>
          <w:szCs w:val="24"/>
          <w:highlight w:val="none"/>
        </w:rPr>
      </w:pPr>
      <w:bookmarkStart w:id="238" w:name="_Toc32149"/>
      <w:bookmarkStart w:id="239" w:name="_Toc5365"/>
      <w:r>
        <w:rPr>
          <w:rFonts w:hint="eastAsia" w:ascii="宋体" w:hAnsi="宋体" w:eastAsia="宋体" w:cs="宋体"/>
          <w:color w:val="auto"/>
          <w:spacing w:val="-2"/>
          <w:sz w:val="24"/>
          <w:szCs w:val="24"/>
          <w:highlight w:val="none"/>
        </w:rPr>
        <w:t>4</w:t>
      </w:r>
      <w:r>
        <w:rPr>
          <w:rFonts w:hint="eastAsia" w:ascii="宋体" w:hAnsi="宋体" w:eastAsia="宋体" w:cs="宋体"/>
          <w:color w:val="auto"/>
          <w:spacing w:val="-23"/>
          <w:sz w:val="24"/>
          <w:szCs w:val="24"/>
          <w:highlight w:val="none"/>
        </w:rPr>
        <w:t xml:space="preserve"> </w:t>
      </w:r>
      <w:r>
        <w:rPr>
          <w:rFonts w:hint="eastAsia" w:ascii="宋体" w:hAnsi="宋体" w:eastAsia="宋体" w:cs="宋体"/>
          <w:color w:val="auto"/>
          <w:spacing w:val="-2"/>
          <w:sz w:val="24"/>
          <w:szCs w:val="24"/>
          <w:highlight w:val="none"/>
        </w:rPr>
        <w:t>．联合体各成员单位内部的职责分工如下：。</w:t>
      </w:r>
      <w:bookmarkEnd w:id="238"/>
      <w:bookmarkEnd w:id="239"/>
    </w:p>
    <w:p w14:paraId="17E97E7A">
      <w:pPr>
        <w:keepNext w:val="0"/>
        <w:keepLines w:val="0"/>
        <w:pageBreakBefore w:val="0"/>
        <w:widowControl/>
        <w:kinsoku w:val="0"/>
        <w:wordWrap/>
        <w:overflowPunct/>
        <w:topLinePunct w:val="0"/>
        <w:autoSpaceDE w:val="0"/>
        <w:autoSpaceDN w:val="0"/>
        <w:bidi w:val="0"/>
        <w:adjustRightInd w:val="0"/>
        <w:snapToGrid w:val="0"/>
        <w:spacing w:before="152" w:line="264" w:lineRule="auto"/>
        <w:ind w:right="71" w:firstLine="48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5</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．投标工作和联合体在中标后工程实施过程中的有关费用按</w:t>
      </w:r>
      <w:r>
        <w:rPr>
          <w:rFonts w:hint="eastAsia" w:ascii="宋体" w:hAnsi="宋体" w:eastAsia="宋体" w:cs="宋体"/>
          <w:color w:val="auto"/>
          <w:spacing w:val="-2"/>
          <w:sz w:val="24"/>
          <w:szCs w:val="24"/>
          <w:highlight w:val="none"/>
        </w:rPr>
        <w:t>各自承担的工作量分</w:t>
      </w:r>
      <w:r>
        <w:rPr>
          <w:rFonts w:hint="eastAsia" w:ascii="宋体" w:hAnsi="宋体" w:eastAsia="宋体" w:cs="宋体"/>
          <w:color w:val="auto"/>
          <w:spacing w:val="-5"/>
          <w:sz w:val="24"/>
          <w:szCs w:val="24"/>
          <w:highlight w:val="none"/>
        </w:rPr>
        <w:t>摊。</w:t>
      </w:r>
    </w:p>
    <w:p w14:paraId="40E0DA14">
      <w:pPr>
        <w:keepNext w:val="0"/>
        <w:keepLines w:val="0"/>
        <w:pageBreakBefore w:val="0"/>
        <w:widowControl/>
        <w:kinsoku w:val="0"/>
        <w:wordWrap/>
        <w:overflowPunct/>
        <w:topLinePunct w:val="0"/>
        <w:autoSpaceDE w:val="0"/>
        <w:autoSpaceDN w:val="0"/>
        <w:bidi w:val="0"/>
        <w:adjustRightInd w:val="0"/>
        <w:snapToGrid w:val="0"/>
        <w:spacing w:before="153" w:line="264" w:lineRule="auto"/>
        <w:ind w:left="4" w:right="71" w:firstLine="477"/>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6</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．联合体中标后，本联合体协议是合同的附件，对联合体各成</w:t>
      </w:r>
      <w:r>
        <w:rPr>
          <w:rFonts w:hint="eastAsia" w:ascii="宋体" w:hAnsi="宋体" w:eastAsia="宋体" w:cs="宋体"/>
          <w:color w:val="auto"/>
          <w:spacing w:val="-2"/>
          <w:sz w:val="24"/>
          <w:szCs w:val="24"/>
          <w:highlight w:val="none"/>
        </w:rPr>
        <w:t>员单位有合同约束</w:t>
      </w:r>
      <w:r>
        <w:rPr>
          <w:rFonts w:hint="eastAsia" w:ascii="宋体" w:hAnsi="宋体" w:eastAsia="宋体" w:cs="宋体"/>
          <w:color w:val="auto"/>
          <w:spacing w:val="-7"/>
          <w:sz w:val="24"/>
          <w:szCs w:val="24"/>
          <w:highlight w:val="none"/>
        </w:rPr>
        <w:t>力。</w:t>
      </w:r>
    </w:p>
    <w:p w14:paraId="38B03B8C">
      <w:pPr>
        <w:keepNext w:val="0"/>
        <w:keepLines w:val="0"/>
        <w:pageBreakBefore w:val="0"/>
        <w:widowControl/>
        <w:kinsoku w:val="0"/>
        <w:wordWrap/>
        <w:overflowPunct/>
        <w:topLinePunct w:val="0"/>
        <w:autoSpaceDE w:val="0"/>
        <w:autoSpaceDN w:val="0"/>
        <w:bidi w:val="0"/>
        <w:adjustRightInd w:val="0"/>
        <w:snapToGrid w:val="0"/>
        <w:spacing w:before="157" w:line="264" w:lineRule="auto"/>
        <w:ind w:left="6" w:right="71" w:firstLine="47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7</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1"/>
          <w:sz w:val="24"/>
          <w:szCs w:val="24"/>
          <w:highlight w:val="none"/>
        </w:rPr>
        <w:t>．本协议书自签署之日起生效，联合体未中标或者中标时合同履行</w:t>
      </w:r>
      <w:r>
        <w:rPr>
          <w:rFonts w:hint="eastAsia" w:ascii="宋体" w:hAnsi="宋体" w:eastAsia="宋体" w:cs="宋体"/>
          <w:color w:val="auto"/>
          <w:spacing w:val="-2"/>
          <w:sz w:val="24"/>
          <w:szCs w:val="24"/>
          <w:highlight w:val="none"/>
        </w:rPr>
        <w:t>完毕后自动失</w:t>
      </w:r>
      <w:r>
        <w:rPr>
          <w:rFonts w:hint="eastAsia" w:ascii="宋体" w:hAnsi="宋体" w:eastAsia="宋体" w:cs="宋体"/>
          <w:color w:val="auto"/>
          <w:spacing w:val="-8"/>
          <w:sz w:val="24"/>
          <w:szCs w:val="24"/>
          <w:highlight w:val="none"/>
        </w:rPr>
        <w:t>效。</w:t>
      </w:r>
    </w:p>
    <w:p w14:paraId="378200D7">
      <w:pPr>
        <w:keepNext w:val="0"/>
        <w:keepLines w:val="0"/>
        <w:pageBreakBefore w:val="0"/>
        <w:widowControl/>
        <w:kinsoku w:val="0"/>
        <w:wordWrap/>
        <w:overflowPunct/>
        <w:topLinePunct w:val="0"/>
        <w:autoSpaceDE w:val="0"/>
        <w:autoSpaceDN w:val="0"/>
        <w:bidi w:val="0"/>
        <w:adjustRightInd w:val="0"/>
        <w:snapToGrid w:val="0"/>
        <w:spacing w:before="152" w:line="264" w:lineRule="auto"/>
        <w:ind w:left="486"/>
        <w:textAlignment w:val="baseline"/>
        <w:outlineLvl w:val="9"/>
        <w:rPr>
          <w:rFonts w:hint="eastAsia" w:ascii="宋体" w:hAnsi="宋体" w:eastAsia="宋体" w:cs="宋体"/>
          <w:color w:val="auto"/>
          <w:sz w:val="24"/>
          <w:szCs w:val="24"/>
          <w:highlight w:val="none"/>
        </w:rPr>
      </w:pPr>
      <w:bookmarkStart w:id="240" w:name="_Toc26708"/>
      <w:bookmarkStart w:id="241" w:name="_Toc22612"/>
      <w:r>
        <w:rPr>
          <w:rFonts w:hint="eastAsia" w:ascii="宋体" w:hAnsi="宋体" w:eastAsia="宋体" w:cs="宋体"/>
          <w:color w:val="auto"/>
          <w:spacing w:val="-2"/>
          <w:sz w:val="24"/>
          <w:szCs w:val="24"/>
          <w:highlight w:val="none"/>
        </w:rPr>
        <w:t>8</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2"/>
          <w:sz w:val="24"/>
          <w:szCs w:val="24"/>
          <w:highlight w:val="none"/>
        </w:rPr>
        <w:t>．本协议书一式份，联合体成员和招标人各执一份。</w:t>
      </w:r>
      <w:bookmarkEnd w:id="240"/>
      <w:bookmarkEnd w:id="241"/>
    </w:p>
    <w:p w14:paraId="24676EC3">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bookmarkStart w:id="242" w:name="bookmark154"/>
      <w:bookmarkEnd w:id="242"/>
      <w:r>
        <w:rPr>
          <w:rFonts w:hint="eastAsia" w:ascii="宋体" w:hAnsi="宋体" w:eastAsia="宋体" w:cs="宋体"/>
          <w:color w:val="auto"/>
          <w:sz w:val="24"/>
          <w:szCs w:val="24"/>
          <w:highlight w:val="none"/>
        </w:rPr>
        <w:t>牵头人名称</w:t>
      </w:r>
      <w:r>
        <w:rPr>
          <w:rFonts w:hint="eastAsia" w:ascii="宋体" w:hAnsi="宋体" w:eastAsia="宋体" w:cs="宋体"/>
          <w:color w:val="auto"/>
          <w:spacing w:val="-15"/>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盖单位章）</w:t>
      </w:r>
    </w:p>
    <w:p w14:paraId="1FF38044">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2CEAEED2">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57F4BFEA">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成员二名称</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盖单位章）</w:t>
      </w:r>
    </w:p>
    <w:p w14:paraId="0DBBACEF">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45E38371">
      <w:pPr>
        <w:keepNext w:val="0"/>
        <w:keepLines w:val="0"/>
        <w:pageBreakBefore w:val="0"/>
        <w:widowControl/>
        <w:kinsoku w:val="0"/>
        <w:wordWrap/>
        <w:overflowPunct/>
        <w:topLinePunct w:val="0"/>
        <w:autoSpaceDE w:val="0"/>
        <w:autoSpaceDN w:val="0"/>
        <w:bidi w:val="0"/>
        <w:adjustRightInd w:val="0"/>
        <w:snapToGrid w:val="0"/>
        <w:spacing w:before="78" w:line="264" w:lineRule="auto"/>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pacing w:val="-17"/>
          <w:sz w:val="24"/>
          <w:szCs w:val="24"/>
          <w:highlight w:val="none"/>
        </w:rPr>
        <w:t>：</w:t>
      </w:r>
      <w:r>
        <w:rPr>
          <w:rFonts w:hint="eastAsia" w:ascii="宋体" w:hAnsi="宋体" w:eastAsia="宋体" w:cs="宋体"/>
          <w:snapToGrid w:val="0"/>
          <w:color w:val="auto"/>
          <w:kern w:val="0"/>
          <w:sz w:val="24"/>
          <w:szCs w:val="24"/>
          <w:highlight w:val="none"/>
          <w:u w:val="single"/>
          <w:lang w:val="en-US" w:eastAsia="zh-CN" w:bidi="ar-SA"/>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z w:val="24"/>
          <w:szCs w:val="24"/>
          <w:highlight w:val="none"/>
        </w:rPr>
        <w:t>签字或盖章）</w:t>
      </w:r>
    </w:p>
    <w:p w14:paraId="05FB342E">
      <w:pPr>
        <w:spacing w:before="78" w:line="220" w:lineRule="auto"/>
        <w:ind w:left="673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8725DE3">
      <w:pPr>
        <w:pStyle w:val="5"/>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highlight w:val="none"/>
        </w:rPr>
      </w:pPr>
    </w:p>
    <w:p w14:paraId="75956A52">
      <w:pPr>
        <w:keepNext w:val="0"/>
        <w:keepLines w:val="0"/>
        <w:pageBreakBefore w:val="0"/>
        <w:widowControl/>
        <w:kinsoku w:val="0"/>
        <w:wordWrap/>
        <w:overflowPunct/>
        <w:topLinePunct w:val="0"/>
        <w:autoSpaceDE w:val="0"/>
        <w:autoSpaceDN w:val="0"/>
        <w:bidi w:val="0"/>
        <w:adjustRightInd w:val="0"/>
        <w:snapToGrid w:val="0"/>
        <w:spacing w:before="65" w:line="264" w:lineRule="auto"/>
        <w:ind w:right="22"/>
        <w:jc w:val="both"/>
        <w:textAlignment w:val="baseline"/>
        <w:rPr>
          <w:rFonts w:hint="eastAsia" w:ascii="宋体" w:hAnsi="宋体" w:eastAsia="宋体" w:cs="宋体"/>
          <w:color w:val="auto"/>
          <w:sz w:val="20"/>
          <w:szCs w:val="20"/>
          <w:highlight w:val="none"/>
        </w:rPr>
      </w:pPr>
      <w:r>
        <w:rPr>
          <w:rFonts w:hint="eastAsia" w:ascii="宋体" w:hAnsi="宋体" w:eastAsia="宋体" w:cs="宋体"/>
          <w:color w:val="auto"/>
          <w:spacing w:val="9"/>
          <w:sz w:val="20"/>
          <w:szCs w:val="20"/>
          <w:highlight w:val="none"/>
        </w:rPr>
        <w:t>说明：《联合体协议书》</w:t>
      </w:r>
      <w:r>
        <w:rPr>
          <w:rFonts w:hint="eastAsia" w:ascii="宋体" w:hAnsi="宋体" w:eastAsia="宋体" w:cs="宋体"/>
          <w:color w:val="auto"/>
          <w:spacing w:val="-55"/>
          <w:sz w:val="20"/>
          <w:szCs w:val="20"/>
          <w:highlight w:val="none"/>
        </w:rPr>
        <w:t xml:space="preserve"> </w:t>
      </w:r>
      <w:r>
        <w:rPr>
          <w:rFonts w:hint="eastAsia" w:ascii="宋体" w:hAnsi="宋体" w:eastAsia="宋体" w:cs="宋体"/>
          <w:color w:val="auto"/>
          <w:spacing w:val="9"/>
          <w:sz w:val="20"/>
          <w:szCs w:val="20"/>
          <w:highlight w:val="none"/>
        </w:rPr>
        <w:t>由委托代理人签字或盖章的，</w:t>
      </w:r>
      <w:r>
        <w:rPr>
          <w:rFonts w:hint="eastAsia" w:ascii="宋体" w:hAnsi="宋体" w:eastAsia="宋体" w:cs="宋体"/>
          <w:color w:val="auto"/>
          <w:spacing w:val="8"/>
          <w:sz w:val="20"/>
          <w:szCs w:val="20"/>
          <w:highlight w:val="none"/>
        </w:rPr>
        <w:t>应附法定代表人签字或盖章的授权委托</w:t>
      </w:r>
      <w:r>
        <w:rPr>
          <w:rFonts w:hint="eastAsia" w:ascii="宋体" w:hAnsi="宋体" w:eastAsia="宋体" w:cs="宋体"/>
          <w:color w:val="auto"/>
          <w:spacing w:val="-2"/>
          <w:sz w:val="20"/>
          <w:szCs w:val="20"/>
          <w:highlight w:val="none"/>
        </w:rPr>
        <w:t>书。</w:t>
      </w:r>
    </w:p>
    <w:p w14:paraId="3B8BD5E4">
      <w:pPr>
        <w:keepNext w:val="0"/>
        <w:keepLines w:val="0"/>
        <w:pageBreakBefore w:val="0"/>
        <w:widowControl/>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color w:val="auto"/>
          <w:sz w:val="20"/>
          <w:szCs w:val="20"/>
          <w:highlight w:val="none"/>
        </w:rPr>
        <w:sectPr>
          <w:footerReference r:id="rId18"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6817F60">
      <w:pPr>
        <w:spacing w:before="78" w:line="220" w:lineRule="auto"/>
        <w:outlineLvl w:val="2"/>
        <w:rPr>
          <w:rFonts w:hint="eastAsia" w:ascii="宋体" w:hAnsi="宋体" w:eastAsia="宋体" w:cs="宋体"/>
          <w:b/>
          <w:bCs/>
          <w:color w:val="auto"/>
          <w:spacing w:val="-4"/>
          <w:sz w:val="24"/>
          <w:szCs w:val="24"/>
          <w:highlight w:val="none"/>
        </w:rPr>
      </w:pPr>
      <w:bookmarkStart w:id="243" w:name="_Toc17838"/>
      <w:r>
        <w:rPr>
          <w:rFonts w:hint="eastAsia" w:ascii="宋体" w:hAnsi="宋体" w:eastAsia="宋体" w:cs="宋体"/>
          <w:b/>
          <w:bCs/>
          <w:color w:val="auto"/>
          <w:spacing w:val="-4"/>
          <w:sz w:val="24"/>
          <w:szCs w:val="24"/>
          <w:highlight w:val="none"/>
        </w:rPr>
        <w:t>格式七 投标人基本情况表</w:t>
      </w:r>
      <w:bookmarkEnd w:id="243"/>
    </w:p>
    <w:p w14:paraId="14DDA036">
      <w:pPr>
        <w:spacing w:before="333" w:line="219" w:lineRule="auto"/>
        <w:ind w:left="3350"/>
        <w:rPr>
          <w:rFonts w:hint="eastAsia" w:ascii="宋体" w:hAnsi="宋体" w:eastAsia="宋体" w:cs="宋体"/>
          <w:color w:val="auto"/>
          <w:sz w:val="30"/>
          <w:szCs w:val="30"/>
          <w:highlight w:val="none"/>
        </w:rPr>
      </w:pPr>
      <w:r>
        <w:rPr>
          <w:rFonts w:hint="eastAsia" w:ascii="宋体" w:hAnsi="宋体" w:eastAsia="宋体" w:cs="宋体"/>
          <w:b/>
          <w:bCs/>
          <w:color w:val="auto"/>
          <w:spacing w:val="-5"/>
          <w:sz w:val="30"/>
          <w:szCs w:val="30"/>
          <w:highlight w:val="none"/>
        </w:rPr>
        <w:t>投标人基本情况表</w:t>
      </w:r>
    </w:p>
    <w:p w14:paraId="32729EED">
      <w:pPr>
        <w:spacing w:line="239" w:lineRule="exact"/>
        <w:rPr>
          <w:rFonts w:hint="eastAsia" w:ascii="宋体" w:hAnsi="宋体" w:eastAsia="宋体" w:cs="宋体"/>
          <w:color w:val="auto"/>
          <w:highlight w:val="none"/>
        </w:rPr>
      </w:pPr>
    </w:p>
    <w:tbl>
      <w:tblPr>
        <w:tblStyle w:val="14"/>
        <w:tblW w:w="925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0"/>
        <w:gridCol w:w="975"/>
        <w:gridCol w:w="1837"/>
        <w:gridCol w:w="872"/>
        <w:gridCol w:w="311"/>
        <w:gridCol w:w="1043"/>
        <w:gridCol w:w="283"/>
        <w:gridCol w:w="770"/>
        <w:gridCol w:w="1548"/>
      </w:tblGrid>
      <w:tr w14:paraId="02A72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1620" w:type="dxa"/>
            <w:vAlign w:val="center"/>
          </w:tcPr>
          <w:p w14:paraId="7D1EE0F5">
            <w:pPr>
              <w:spacing w:before="149" w:line="229" w:lineRule="auto"/>
              <w:ind w:left="22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p>
        </w:tc>
        <w:tc>
          <w:tcPr>
            <w:tcW w:w="7639" w:type="dxa"/>
            <w:gridSpan w:val="8"/>
            <w:vAlign w:val="top"/>
          </w:tcPr>
          <w:p w14:paraId="21519AEE">
            <w:pPr>
              <w:pStyle w:val="21"/>
              <w:rPr>
                <w:rFonts w:hint="eastAsia" w:ascii="宋体" w:hAnsi="宋体" w:eastAsia="宋体" w:cs="宋体"/>
                <w:color w:val="auto"/>
                <w:sz w:val="24"/>
                <w:szCs w:val="24"/>
                <w:highlight w:val="none"/>
              </w:rPr>
            </w:pPr>
          </w:p>
        </w:tc>
      </w:tr>
      <w:tr w14:paraId="3CBAE3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1620" w:type="dxa"/>
            <w:vAlign w:val="top"/>
          </w:tcPr>
          <w:p w14:paraId="5E142255">
            <w:pPr>
              <w:spacing w:before="144"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注册地址</w:t>
            </w:r>
          </w:p>
        </w:tc>
        <w:tc>
          <w:tcPr>
            <w:tcW w:w="3684" w:type="dxa"/>
            <w:gridSpan w:val="3"/>
            <w:vAlign w:val="top"/>
          </w:tcPr>
          <w:p w14:paraId="27D85F71">
            <w:pPr>
              <w:pStyle w:val="21"/>
              <w:rPr>
                <w:rFonts w:hint="eastAsia" w:ascii="宋体" w:hAnsi="宋体" w:eastAsia="宋体" w:cs="宋体"/>
                <w:color w:val="auto"/>
                <w:sz w:val="24"/>
                <w:szCs w:val="24"/>
                <w:highlight w:val="none"/>
              </w:rPr>
            </w:pPr>
          </w:p>
        </w:tc>
        <w:tc>
          <w:tcPr>
            <w:tcW w:w="1354" w:type="dxa"/>
            <w:gridSpan w:val="2"/>
            <w:vAlign w:val="top"/>
          </w:tcPr>
          <w:p w14:paraId="114BD33C">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邮政编码</w:t>
            </w:r>
          </w:p>
        </w:tc>
        <w:tc>
          <w:tcPr>
            <w:tcW w:w="2601" w:type="dxa"/>
            <w:gridSpan w:val="3"/>
            <w:vAlign w:val="top"/>
          </w:tcPr>
          <w:p w14:paraId="33C2FF9E">
            <w:pPr>
              <w:pStyle w:val="21"/>
              <w:rPr>
                <w:rFonts w:hint="eastAsia" w:ascii="宋体" w:hAnsi="宋体" w:eastAsia="宋体" w:cs="宋体"/>
                <w:color w:val="auto"/>
                <w:sz w:val="24"/>
                <w:szCs w:val="24"/>
                <w:highlight w:val="none"/>
              </w:rPr>
            </w:pPr>
          </w:p>
        </w:tc>
      </w:tr>
      <w:tr w14:paraId="487E2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1620" w:type="dxa"/>
            <w:vMerge w:val="restart"/>
            <w:tcBorders>
              <w:bottom w:val="nil"/>
            </w:tcBorders>
            <w:vAlign w:val="top"/>
          </w:tcPr>
          <w:p w14:paraId="224BDDF4">
            <w:pPr>
              <w:pStyle w:val="21"/>
              <w:spacing w:line="332" w:lineRule="auto"/>
              <w:rPr>
                <w:rFonts w:hint="eastAsia" w:ascii="宋体" w:hAnsi="宋体" w:eastAsia="宋体" w:cs="宋体"/>
                <w:color w:val="auto"/>
                <w:sz w:val="24"/>
                <w:szCs w:val="24"/>
                <w:highlight w:val="none"/>
              </w:rPr>
            </w:pPr>
          </w:p>
          <w:p w14:paraId="21572833">
            <w:pPr>
              <w:spacing w:before="65" w:line="230" w:lineRule="auto"/>
              <w:ind w:left="32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联系方式</w:t>
            </w:r>
          </w:p>
        </w:tc>
        <w:tc>
          <w:tcPr>
            <w:tcW w:w="975" w:type="dxa"/>
            <w:vAlign w:val="top"/>
          </w:tcPr>
          <w:p w14:paraId="78B0FA2A">
            <w:pPr>
              <w:spacing w:before="145" w:line="231" w:lineRule="auto"/>
              <w:ind w:left="13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联系人</w:t>
            </w:r>
          </w:p>
        </w:tc>
        <w:tc>
          <w:tcPr>
            <w:tcW w:w="2709" w:type="dxa"/>
            <w:gridSpan w:val="2"/>
            <w:vAlign w:val="top"/>
          </w:tcPr>
          <w:p w14:paraId="018023DF">
            <w:pPr>
              <w:pStyle w:val="21"/>
              <w:rPr>
                <w:rFonts w:hint="eastAsia" w:ascii="宋体" w:hAnsi="宋体" w:eastAsia="宋体" w:cs="宋体"/>
                <w:color w:val="auto"/>
                <w:sz w:val="24"/>
                <w:szCs w:val="24"/>
                <w:highlight w:val="none"/>
              </w:rPr>
            </w:pPr>
          </w:p>
        </w:tc>
        <w:tc>
          <w:tcPr>
            <w:tcW w:w="1354" w:type="dxa"/>
            <w:gridSpan w:val="2"/>
            <w:vAlign w:val="top"/>
          </w:tcPr>
          <w:p w14:paraId="126A236B">
            <w:pPr>
              <w:spacing w:before="145" w:line="231"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2"/>
                <w:sz w:val="24"/>
                <w:szCs w:val="24"/>
                <w:highlight w:val="none"/>
              </w:rPr>
              <w:t>话</w:t>
            </w:r>
          </w:p>
        </w:tc>
        <w:tc>
          <w:tcPr>
            <w:tcW w:w="2601" w:type="dxa"/>
            <w:gridSpan w:val="3"/>
            <w:vAlign w:val="top"/>
          </w:tcPr>
          <w:p w14:paraId="459A9DAF">
            <w:pPr>
              <w:pStyle w:val="21"/>
              <w:rPr>
                <w:rFonts w:hint="eastAsia" w:ascii="宋体" w:hAnsi="宋体" w:eastAsia="宋体" w:cs="宋体"/>
                <w:color w:val="auto"/>
                <w:sz w:val="24"/>
                <w:szCs w:val="24"/>
                <w:highlight w:val="none"/>
              </w:rPr>
            </w:pPr>
          </w:p>
        </w:tc>
      </w:tr>
      <w:tr w14:paraId="25D8C7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620" w:type="dxa"/>
            <w:vMerge w:val="continue"/>
            <w:tcBorders>
              <w:top w:val="nil"/>
            </w:tcBorders>
            <w:vAlign w:val="top"/>
          </w:tcPr>
          <w:p w14:paraId="08B2AEE9">
            <w:pPr>
              <w:pStyle w:val="21"/>
              <w:rPr>
                <w:rFonts w:hint="eastAsia" w:ascii="宋体" w:hAnsi="宋体" w:eastAsia="宋体" w:cs="宋体"/>
                <w:color w:val="auto"/>
                <w:sz w:val="24"/>
                <w:szCs w:val="24"/>
                <w:highlight w:val="none"/>
              </w:rPr>
            </w:pPr>
          </w:p>
        </w:tc>
        <w:tc>
          <w:tcPr>
            <w:tcW w:w="975" w:type="dxa"/>
            <w:vAlign w:val="top"/>
          </w:tcPr>
          <w:p w14:paraId="6A4932C0">
            <w:pPr>
              <w:spacing w:before="143" w:line="228" w:lineRule="auto"/>
              <w:ind w:left="13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传</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真</w:t>
            </w:r>
          </w:p>
        </w:tc>
        <w:tc>
          <w:tcPr>
            <w:tcW w:w="2709" w:type="dxa"/>
            <w:gridSpan w:val="2"/>
            <w:vAlign w:val="top"/>
          </w:tcPr>
          <w:p w14:paraId="6A9B29CC">
            <w:pPr>
              <w:pStyle w:val="21"/>
              <w:rPr>
                <w:rFonts w:hint="eastAsia" w:ascii="宋体" w:hAnsi="宋体" w:eastAsia="宋体" w:cs="宋体"/>
                <w:color w:val="auto"/>
                <w:sz w:val="24"/>
                <w:szCs w:val="24"/>
                <w:highlight w:val="none"/>
              </w:rPr>
            </w:pPr>
          </w:p>
        </w:tc>
        <w:tc>
          <w:tcPr>
            <w:tcW w:w="1354" w:type="dxa"/>
            <w:gridSpan w:val="2"/>
            <w:vAlign w:val="top"/>
          </w:tcPr>
          <w:p w14:paraId="4163A6BA">
            <w:pPr>
              <w:spacing w:before="144" w:line="229" w:lineRule="auto"/>
              <w:ind w:left="235"/>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电子邮箱</w:t>
            </w:r>
          </w:p>
        </w:tc>
        <w:tc>
          <w:tcPr>
            <w:tcW w:w="2601" w:type="dxa"/>
            <w:gridSpan w:val="3"/>
            <w:vAlign w:val="top"/>
          </w:tcPr>
          <w:p w14:paraId="53C1B651">
            <w:pPr>
              <w:pStyle w:val="21"/>
              <w:rPr>
                <w:rFonts w:hint="eastAsia" w:ascii="宋体" w:hAnsi="宋体" w:eastAsia="宋体" w:cs="宋体"/>
                <w:color w:val="auto"/>
                <w:sz w:val="24"/>
                <w:szCs w:val="24"/>
                <w:highlight w:val="none"/>
              </w:rPr>
            </w:pPr>
          </w:p>
        </w:tc>
      </w:tr>
      <w:tr w14:paraId="73083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620" w:type="dxa"/>
            <w:vAlign w:val="top"/>
          </w:tcPr>
          <w:p w14:paraId="628A515D">
            <w:pPr>
              <w:spacing w:before="14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单位性质</w:t>
            </w:r>
          </w:p>
        </w:tc>
        <w:tc>
          <w:tcPr>
            <w:tcW w:w="7639" w:type="dxa"/>
            <w:gridSpan w:val="8"/>
            <w:vAlign w:val="top"/>
          </w:tcPr>
          <w:p w14:paraId="78C22A91">
            <w:pPr>
              <w:pStyle w:val="21"/>
              <w:rPr>
                <w:rFonts w:hint="eastAsia" w:ascii="宋体" w:hAnsi="宋体" w:eastAsia="宋体" w:cs="宋体"/>
                <w:color w:val="auto"/>
                <w:sz w:val="24"/>
                <w:szCs w:val="24"/>
                <w:highlight w:val="none"/>
              </w:rPr>
            </w:pPr>
          </w:p>
        </w:tc>
      </w:tr>
      <w:tr w14:paraId="19942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5EAEFA74">
            <w:pPr>
              <w:spacing w:before="144" w:line="228" w:lineRule="auto"/>
              <w:ind w:left="22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法定代表人</w:t>
            </w:r>
          </w:p>
        </w:tc>
        <w:tc>
          <w:tcPr>
            <w:tcW w:w="975" w:type="dxa"/>
            <w:vAlign w:val="top"/>
          </w:tcPr>
          <w:p w14:paraId="33E41CE3">
            <w:pPr>
              <w:spacing w:before="144" w:line="228" w:lineRule="auto"/>
              <w:ind w:left="2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837" w:type="dxa"/>
            <w:vAlign w:val="top"/>
          </w:tcPr>
          <w:p w14:paraId="73A0FFE2">
            <w:pPr>
              <w:pStyle w:val="21"/>
              <w:rPr>
                <w:rFonts w:hint="eastAsia" w:ascii="宋体" w:hAnsi="宋体" w:eastAsia="宋体" w:cs="宋体"/>
                <w:color w:val="auto"/>
                <w:sz w:val="24"/>
                <w:szCs w:val="24"/>
                <w:highlight w:val="none"/>
              </w:rPr>
            </w:pPr>
          </w:p>
        </w:tc>
        <w:tc>
          <w:tcPr>
            <w:tcW w:w="1183" w:type="dxa"/>
            <w:gridSpan w:val="2"/>
            <w:vAlign w:val="top"/>
          </w:tcPr>
          <w:p w14:paraId="3F974C18">
            <w:pPr>
              <w:spacing w:before="144" w:line="228" w:lineRule="auto"/>
              <w:ind w:left="13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技术职称</w:t>
            </w:r>
          </w:p>
        </w:tc>
        <w:tc>
          <w:tcPr>
            <w:tcW w:w="1326" w:type="dxa"/>
            <w:gridSpan w:val="2"/>
            <w:vAlign w:val="top"/>
          </w:tcPr>
          <w:p w14:paraId="4D7CA3C1">
            <w:pPr>
              <w:pStyle w:val="21"/>
              <w:rPr>
                <w:rFonts w:hint="eastAsia" w:ascii="宋体" w:hAnsi="宋体" w:eastAsia="宋体" w:cs="宋体"/>
                <w:color w:val="auto"/>
                <w:sz w:val="24"/>
                <w:szCs w:val="24"/>
                <w:highlight w:val="none"/>
              </w:rPr>
            </w:pPr>
          </w:p>
        </w:tc>
        <w:tc>
          <w:tcPr>
            <w:tcW w:w="770" w:type="dxa"/>
            <w:vAlign w:val="top"/>
          </w:tcPr>
          <w:p w14:paraId="78C62852">
            <w:pPr>
              <w:spacing w:before="143" w:line="231" w:lineRule="auto"/>
              <w:ind w:left="17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电话</w:t>
            </w:r>
          </w:p>
        </w:tc>
        <w:tc>
          <w:tcPr>
            <w:tcW w:w="1548" w:type="dxa"/>
            <w:vAlign w:val="top"/>
          </w:tcPr>
          <w:p w14:paraId="57E9D0E0">
            <w:pPr>
              <w:pStyle w:val="21"/>
              <w:rPr>
                <w:rFonts w:hint="eastAsia" w:ascii="宋体" w:hAnsi="宋体" w:eastAsia="宋体" w:cs="宋体"/>
                <w:color w:val="auto"/>
                <w:sz w:val="24"/>
                <w:szCs w:val="24"/>
                <w:highlight w:val="none"/>
              </w:rPr>
            </w:pPr>
          </w:p>
        </w:tc>
      </w:tr>
      <w:tr w14:paraId="3D745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620" w:type="dxa"/>
            <w:vAlign w:val="top"/>
          </w:tcPr>
          <w:p w14:paraId="6064B7FD">
            <w:pPr>
              <w:spacing w:before="145" w:line="230"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成立时间</w:t>
            </w:r>
          </w:p>
        </w:tc>
        <w:tc>
          <w:tcPr>
            <w:tcW w:w="2812" w:type="dxa"/>
            <w:gridSpan w:val="2"/>
            <w:vAlign w:val="top"/>
          </w:tcPr>
          <w:p w14:paraId="61CAEFD6">
            <w:pPr>
              <w:pStyle w:val="21"/>
              <w:rPr>
                <w:rFonts w:hint="eastAsia" w:ascii="宋体" w:hAnsi="宋体" w:eastAsia="宋体" w:cs="宋体"/>
                <w:color w:val="auto"/>
                <w:sz w:val="24"/>
                <w:szCs w:val="24"/>
                <w:highlight w:val="none"/>
              </w:rPr>
            </w:pPr>
          </w:p>
        </w:tc>
        <w:tc>
          <w:tcPr>
            <w:tcW w:w="4827" w:type="dxa"/>
            <w:gridSpan w:val="6"/>
            <w:vAlign w:val="top"/>
          </w:tcPr>
          <w:p w14:paraId="68EE19B6">
            <w:pPr>
              <w:spacing w:before="145" w:line="228" w:lineRule="auto"/>
              <w:ind w:left="1287"/>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员工总人数（个</w:t>
            </w:r>
            <w:r>
              <w:rPr>
                <w:rFonts w:hint="eastAsia" w:ascii="宋体" w:hAnsi="宋体" w:eastAsia="宋体" w:cs="宋体"/>
                <w:color w:val="auto"/>
                <w:sz w:val="24"/>
                <w:szCs w:val="24"/>
                <w:highlight w:val="none"/>
              </w:rPr>
              <w:t>）：</w:t>
            </w:r>
          </w:p>
        </w:tc>
      </w:tr>
      <w:tr w14:paraId="4A4B6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0" w:type="dxa"/>
            <w:vAlign w:val="top"/>
          </w:tcPr>
          <w:p w14:paraId="3DF6D215">
            <w:pPr>
              <w:spacing w:before="61" w:line="262" w:lineRule="auto"/>
              <w:ind w:right="220"/>
              <w:jc w:val="center"/>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企业资质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类型和等级</w:t>
            </w:r>
          </w:p>
        </w:tc>
        <w:tc>
          <w:tcPr>
            <w:tcW w:w="2812" w:type="dxa"/>
            <w:gridSpan w:val="2"/>
            <w:vAlign w:val="top"/>
          </w:tcPr>
          <w:p w14:paraId="7C6CD087">
            <w:pPr>
              <w:pStyle w:val="21"/>
              <w:rPr>
                <w:rFonts w:hint="eastAsia" w:ascii="宋体" w:hAnsi="宋体" w:eastAsia="宋体" w:cs="宋体"/>
                <w:color w:val="auto"/>
                <w:sz w:val="24"/>
                <w:szCs w:val="24"/>
                <w:highlight w:val="none"/>
              </w:rPr>
            </w:pPr>
          </w:p>
        </w:tc>
        <w:tc>
          <w:tcPr>
            <w:tcW w:w="1183" w:type="dxa"/>
            <w:gridSpan w:val="2"/>
            <w:vMerge w:val="restart"/>
            <w:tcBorders>
              <w:bottom w:val="nil"/>
            </w:tcBorders>
            <w:vAlign w:val="top"/>
          </w:tcPr>
          <w:p w14:paraId="2F74217E">
            <w:pPr>
              <w:pStyle w:val="21"/>
              <w:spacing w:line="254" w:lineRule="auto"/>
              <w:rPr>
                <w:rFonts w:hint="eastAsia" w:ascii="宋体" w:hAnsi="宋体" w:eastAsia="宋体" w:cs="宋体"/>
                <w:color w:val="auto"/>
                <w:sz w:val="24"/>
                <w:szCs w:val="24"/>
                <w:highlight w:val="none"/>
              </w:rPr>
            </w:pPr>
          </w:p>
          <w:p w14:paraId="085FDF22">
            <w:pPr>
              <w:pStyle w:val="21"/>
              <w:spacing w:line="254" w:lineRule="auto"/>
              <w:rPr>
                <w:rFonts w:hint="eastAsia" w:ascii="宋体" w:hAnsi="宋体" w:eastAsia="宋体" w:cs="宋体"/>
                <w:color w:val="auto"/>
                <w:sz w:val="24"/>
                <w:szCs w:val="24"/>
                <w:highlight w:val="none"/>
              </w:rPr>
            </w:pPr>
          </w:p>
          <w:p w14:paraId="0058CF4E">
            <w:pPr>
              <w:pStyle w:val="21"/>
              <w:spacing w:line="254" w:lineRule="auto"/>
              <w:rPr>
                <w:rFonts w:hint="eastAsia" w:ascii="宋体" w:hAnsi="宋体" w:eastAsia="宋体" w:cs="宋体"/>
                <w:color w:val="auto"/>
                <w:sz w:val="24"/>
                <w:szCs w:val="24"/>
                <w:highlight w:val="none"/>
              </w:rPr>
            </w:pPr>
          </w:p>
          <w:p w14:paraId="52D89A9C">
            <w:pPr>
              <w:pStyle w:val="21"/>
              <w:spacing w:line="254" w:lineRule="auto"/>
              <w:rPr>
                <w:rFonts w:hint="eastAsia" w:ascii="宋体" w:hAnsi="宋体" w:eastAsia="宋体" w:cs="宋体"/>
                <w:color w:val="auto"/>
                <w:sz w:val="24"/>
                <w:szCs w:val="24"/>
                <w:highlight w:val="none"/>
              </w:rPr>
            </w:pPr>
          </w:p>
          <w:p w14:paraId="2A9C3BD7">
            <w:pPr>
              <w:pStyle w:val="21"/>
              <w:spacing w:line="255" w:lineRule="auto"/>
              <w:rPr>
                <w:rFonts w:hint="eastAsia" w:ascii="宋体" w:hAnsi="宋体" w:eastAsia="宋体" w:cs="宋体"/>
                <w:color w:val="auto"/>
                <w:sz w:val="24"/>
                <w:szCs w:val="24"/>
                <w:highlight w:val="none"/>
              </w:rPr>
            </w:pPr>
          </w:p>
          <w:p w14:paraId="6CC6EF4A">
            <w:pPr>
              <w:spacing w:before="65" w:line="229" w:lineRule="auto"/>
              <w:ind w:left="34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其中</w:t>
            </w:r>
          </w:p>
        </w:tc>
        <w:tc>
          <w:tcPr>
            <w:tcW w:w="2096" w:type="dxa"/>
            <w:gridSpan w:val="3"/>
            <w:vAlign w:val="top"/>
          </w:tcPr>
          <w:p w14:paraId="2425027A">
            <w:pPr>
              <w:spacing w:before="214" w:line="229" w:lineRule="auto"/>
              <w:ind w:left="55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48" w:type="dxa"/>
            <w:vAlign w:val="top"/>
          </w:tcPr>
          <w:p w14:paraId="0CC078DE">
            <w:pPr>
              <w:pStyle w:val="21"/>
              <w:rPr>
                <w:rFonts w:hint="eastAsia" w:ascii="宋体" w:hAnsi="宋体" w:eastAsia="宋体" w:cs="宋体"/>
                <w:color w:val="auto"/>
                <w:sz w:val="24"/>
                <w:szCs w:val="24"/>
                <w:highlight w:val="none"/>
              </w:rPr>
            </w:pPr>
          </w:p>
        </w:tc>
      </w:tr>
      <w:tr w14:paraId="02597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620" w:type="dxa"/>
            <w:vAlign w:val="top"/>
          </w:tcPr>
          <w:p w14:paraId="38A0687A">
            <w:pPr>
              <w:spacing w:before="146" w:line="228" w:lineRule="auto"/>
              <w:ind w:left="232"/>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营业执照号</w:t>
            </w:r>
          </w:p>
        </w:tc>
        <w:tc>
          <w:tcPr>
            <w:tcW w:w="2812" w:type="dxa"/>
            <w:gridSpan w:val="2"/>
            <w:vAlign w:val="top"/>
          </w:tcPr>
          <w:p w14:paraId="48DD56DF">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7CE88A7F">
            <w:pPr>
              <w:pStyle w:val="21"/>
              <w:rPr>
                <w:rFonts w:hint="eastAsia" w:ascii="宋体" w:hAnsi="宋体" w:eastAsia="宋体" w:cs="宋体"/>
                <w:color w:val="auto"/>
                <w:sz w:val="24"/>
                <w:szCs w:val="24"/>
                <w:highlight w:val="none"/>
              </w:rPr>
            </w:pPr>
          </w:p>
        </w:tc>
        <w:tc>
          <w:tcPr>
            <w:tcW w:w="2096" w:type="dxa"/>
            <w:gridSpan w:val="3"/>
            <w:vAlign w:val="top"/>
          </w:tcPr>
          <w:p w14:paraId="12538A97">
            <w:pPr>
              <w:spacing w:before="146" w:line="228" w:lineRule="auto"/>
              <w:ind w:left="3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高级职称人员</w:t>
            </w:r>
          </w:p>
        </w:tc>
        <w:tc>
          <w:tcPr>
            <w:tcW w:w="1548" w:type="dxa"/>
            <w:vAlign w:val="top"/>
          </w:tcPr>
          <w:p w14:paraId="0D96978F">
            <w:pPr>
              <w:pStyle w:val="21"/>
              <w:rPr>
                <w:rFonts w:hint="eastAsia" w:ascii="宋体" w:hAnsi="宋体" w:eastAsia="宋体" w:cs="宋体"/>
                <w:color w:val="auto"/>
                <w:sz w:val="24"/>
                <w:szCs w:val="24"/>
                <w:highlight w:val="none"/>
              </w:rPr>
            </w:pPr>
          </w:p>
        </w:tc>
      </w:tr>
      <w:tr w14:paraId="578F8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620" w:type="dxa"/>
            <w:vAlign w:val="top"/>
          </w:tcPr>
          <w:p w14:paraId="7EBB8EC3">
            <w:pPr>
              <w:spacing w:before="146" w:line="230" w:lineRule="auto"/>
              <w:ind w:left="32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注册资金</w:t>
            </w:r>
          </w:p>
        </w:tc>
        <w:tc>
          <w:tcPr>
            <w:tcW w:w="2812" w:type="dxa"/>
            <w:gridSpan w:val="2"/>
            <w:vAlign w:val="top"/>
          </w:tcPr>
          <w:p w14:paraId="60BBB588">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42B2402">
            <w:pPr>
              <w:pStyle w:val="21"/>
              <w:rPr>
                <w:rFonts w:hint="eastAsia" w:ascii="宋体" w:hAnsi="宋体" w:eastAsia="宋体" w:cs="宋体"/>
                <w:color w:val="auto"/>
                <w:sz w:val="24"/>
                <w:szCs w:val="24"/>
                <w:highlight w:val="none"/>
              </w:rPr>
            </w:pPr>
          </w:p>
        </w:tc>
        <w:tc>
          <w:tcPr>
            <w:tcW w:w="2096" w:type="dxa"/>
            <w:gridSpan w:val="3"/>
            <w:vAlign w:val="top"/>
          </w:tcPr>
          <w:p w14:paraId="254C5EFF">
            <w:pPr>
              <w:spacing w:before="147"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中级职称人员</w:t>
            </w:r>
          </w:p>
        </w:tc>
        <w:tc>
          <w:tcPr>
            <w:tcW w:w="1548" w:type="dxa"/>
            <w:vAlign w:val="top"/>
          </w:tcPr>
          <w:p w14:paraId="0CD349BE">
            <w:pPr>
              <w:pStyle w:val="21"/>
              <w:rPr>
                <w:rFonts w:hint="eastAsia" w:ascii="宋体" w:hAnsi="宋体" w:eastAsia="宋体" w:cs="宋体"/>
                <w:color w:val="auto"/>
                <w:sz w:val="24"/>
                <w:szCs w:val="24"/>
                <w:highlight w:val="none"/>
              </w:rPr>
            </w:pPr>
          </w:p>
        </w:tc>
      </w:tr>
      <w:tr w14:paraId="251D3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620" w:type="dxa"/>
            <w:vAlign w:val="top"/>
          </w:tcPr>
          <w:p w14:paraId="7F05C22D">
            <w:pPr>
              <w:spacing w:before="62" w:line="241"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开户银行</w:t>
            </w:r>
          </w:p>
        </w:tc>
        <w:tc>
          <w:tcPr>
            <w:tcW w:w="2812" w:type="dxa"/>
            <w:gridSpan w:val="2"/>
            <w:vAlign w:val="top"/>
          </w:tcPr>
          <w:p w14:paraId="001B5A6A">
            <w:pPr>
              <w:pStyle w:val="21"/>
              <w:rPr>
                <w:rFonts w:hint="eastAsia" w:ascii="宋体" w:hAnsi="宋体" w:eastAsia="宋体" w:cs="宋体"/>
                <w:color w:val="auto"/>
                <w:sz w:val="24"/>
                <w:szCs w:val="24"/>
                <w:highlight w:val="none"/>
              </w:rPr>
            </w:pPr>
          </w:p>
        </w:tc>
        <w:tc>
          <w:tcPr>
            <w:tcW w:w="1183" w:type="dxa"/>
            <w:gridSpan w:val="2"/>
            <w:vMerge w:val="continue"/>
            <w:tcBorders>
              <w:top w:val="nil"/>
              <w:bottom w:val="nil"/>
            </w:tcBorders>
            <w:vAlign w:val="top"/>
          </w:tcPr>
          <w:p w14:paraId="07E236F6">
            <w:pPr>
              <w:pStyle w:val="21"/>
              <w:rPr>
                <w:rFonts w:hint="eastAsia" w:ascii="宋体" w:hAnsi="宋体" w:eastAsia="宋体" w:cs="宋体"/>
                <w:color w:val="auto"/>
                <w:sz w:val="24"/>
                <w:szCs w:val="24"/>
                <w:highlight w:val="none"/>
              </w:rPr>
            </w:pPr>
          </w:p>
        </w:tc>
        <w:tc>
          <w:tcPr>
            <w:tcW w:w="2096" w:type="dxa"/>
            <w:gridSpan w:val="3"/>
            <w:vAlign w:val="top"/>
          </w:tcPr>
          <w:p w14:paraId="5A14CD2D">
            <w:pPr>
              <w:spacing w:before="191" w:line="230" w:lineRule="auto"/>
              <w:ind w:left="3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初级职称人员</w:t>
            </w:r>
          </w:p>
        </w:tc>
        <w:tc>
          <w:tcPr>
            <w:tcW w:w="1548" w:type="dxa"/>
            <w:vAlign w:val="top"/>
          </w:tcPr>
          <w:p w14:paraId="56D27094">
            <w:pPr>
              <w:pStyle w:val="21"/>
              <w:rPr>
                <w:rFonts w:hint="eastAsia" w:ascii="宋体" w:hAnsi="宋体" w:eastAsia="宋体" w:cs="宋体"/>
                <w:color w:val="auto"/>
                <w:sz w:val="24"/>
                <w:szCs w:val="24"/>
                <w:highlight w:val="none"/>
              </w:rPr>
            </w:pPr>
          </w:p>
        </w:tc>
      </w:tr>
      <w:tr w14:paraId="63130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1620" w:type="dxa"/>
            <w:vAlign w:val="top"/>
          </w:tcPr>
          <w:p w14:paraId="46DD69AB">
            <w:pPr>
              <w:spacing w:before="62" w:line="259" w:lineRule="auto"/>
              <w:ind w:right="325"/>
              <w:jc w:val="center"/>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基本账户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7"/>
                <w:sz w:val="24"/>
                <w:szCs w:val="24"/>
                <w:highlight w:val="none"/>
              </w:rPr>
              <w:t>银行账号</w:t>
            </w:r>
          </w:p>
        </w:tc>
        <w:tc>
          <w:tcPr>
            <w:tcW w:w="2812" w:type="dxa"/>
            <w:gridSpan w:val="2"/>
            <w:vAlign w:val="top"/>
          </w:tcPr>
          <w:p w14:paraId="65CE9325">
            <w:pPr>
              <w:pStyle w:val="21"/>
              <w:rPr>
                <w:rFonts w:hint="eastAsia" w:ascii="宋体" w:hAnsi="宋体" w:eastAsia="宋体" w:cs="宋体"/>
                <w:color w:val="auto"/>
                <w:sz w:val="24"/>
                <w:szCs w:val="24"/>
                <w:highlight w:val="none"/>
              </w:rPr>
            </w:pPr>
          </w:p>
        </w:tc>
        <w:tc>
          <w:tcPr>
            <w:tcW w:w="1183" w:type="dxa"/>
            <w:gridSpan w:val="2"/>
            <w:vMerge w:val="continue"/>
            <w:tcBorders>
              <w:top w:val="nil"/>
            </w:tcBorders>
            <w:vAlign w:val="top"/>
          </w:tcPr>
          <w:p w14:paraId="1DA4FF47">
            <w:pPr>
              <w:pStyle w:val="21"/>
              <w:rPr>
                <w:rFonts w:hint="eastAsia" w:ascii="宋体" w:hAnsi="宋体" w:eastAsia="宋体" w:cs="宋体"/>
                <w:color w:val="auto"/>
                <w:sz w:val="24"/>
                <w:szCs w:val="24"/>
                <w:highlight w:val="none"/>
              </w:rPr>
            </w:pPr>
          </w:p>
        </w:tc>
        <w:tc>
          <w:tcPr>
            <w:tcW w:w="2096" w:type="dxa"/>
            <w:gridSpan w:val="3"/>
            <w:vAlign w:val="top"/>
          </w:tcPr>
          <w:p w14:paraId="71351406">
            <w:pPr>
              <w:spacing w:before="211" w:line="228" w:lineRule="auto"/>
              <w:ind w:left="6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技术员</w:t>
            </w:r>
          </w:p>
        </w:tc>
        <w:tc>
          <w:tcPr>
            <w:tcW w:w="1548" w:type="dxa"/>
            <w:vAlign w:val="top"/>
          </w:tcPr>
          <w:p w14:paraId="0D809729">
            <w:pPr>
              <w:pStyle w:val="21"/>
              <w:rPr>
                <w:rFonts w:hint="eastAsia" w:ascii="宋体" w:hAnsi="宋体" w:eastAsia="宋体" w:cs="宋体"/>
                <w:color w:val="auto"/>
                <w:sz w:val="24"/>
                <w:szCs w:val="24"/>
                <w:highlight w:val="none"/>
              </w:rPr>
            </w:pPr>
          </w:p>
        </w:tc>
      </w:tr>
      <w:tr w14:paraId="74295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620" w:type="dxa"/>
            <w:vAlign w:val="top"/>
          </w:tcPr>
          <w:p w14:paraId="6F177D67">
            <w:pPr>
              <w:spacing w:before="65" w:line="229" w:lineRule="auto"/>
              <w:ind w:left="33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经营范围</w:t>
            </w:r>
          </w:p>
        </w:tc>
        <w:tc>
          <w:tcPr>
            <w:tcW w:w="7639" w:type="dxa"/>
            <w:gridSpan w:val="8"/>
            <w:vAlign w:val="top"/>
          </w:tcPr>
          <w:p w14:paraId="05F8D88C">
            <w:pPr>
              <w:pStyle w:val="21"/>
              <w:rPr>
                <w:rFonts w:hint="eastAsia" w:ascii="宋体" w:hAnsi="宋体" w:eastAsia="宋体" w:cs="宋体"/>
                <w:color w:val="auto"/>
                <w:sz w:val="24"/>
                <w:szCs w:val="24"/>
                <w:highlight w:val="none"/>
              </w:rPr>
            </w:pPr>
          </w:p>
        </w:tc>
      </w:tr>
      <w:tr w14:paraId="33756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1620" w:type="dxa"/>
            <w:vAlign w:val="top"/>
          </w:tcPr>
          <w:p w14:paraId="01E6D9DD">
            <w:pPr>
              <w:pStyle w:val="21"/>
              <w:spacing w:line="295" w:lineRule="auto"/>
              <w:rPr>
                <w:rFonts w:hint="eastAsia" w:ascii="宋体" w:hAnsi="宋体" w:eastAsia="宋体" w:cs="宋体"/>
                <w:color w:val="auto"/>
                <w:sz w:val="24"/>
                <w:szCs w:val="24"/>
                <w:highlight w:val="none"/>
              </w:rPr>
            </w:pPr>
          </w:p>
          <w:p w14:paraId="2DD91160">
            <w:pPr>
              <w:pStyle w:val="21"/>
              <w:spacing w:line="296" w:lineRule="auto"/>
              <w:rPr>
                <w:rFonts w:hint="eastAsia" w:ascii="宋体" w:hAnsi="宋体" w:eastAsia="宋体" w:cs="宋体"/>
                <w:color w:val="auto"/>
                <w:sz w:val="24"/>
                <w:szCs w:val="24"/>
                <w:highlight w:val="none"/>
              </w:rPr>
            </w:pPr>
          </w:p>
          <w:p w14:paraId="1E607DF4">
            <w:pPr>
              <w:spacing w:before="65" w:line="229"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关联企业情况</w:t>
            </w:r>
          </w:p>
        </w:tc>
        <w:tc>
          <w:tcPr>
            <w:tcW w:w="7639" w:type="dxa"/>
            <w:gridSpan w:val="8"/>
            <w:vAlign w:val="top"/>
          </w:tcPr>
          <w:p w14:paraId="5ACD1C76">
            <w:pPr>
              <w:spacing w:before="168" w:line="228" w:lineRule="auto"/>
              <w:ind w:left="111"/>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包括但不限于与投标人存在以下关系的不同单位：</w:t>
            </w:r>
          </w:p>
          <w:p w14:paraId="70295B84">
            <w:pPr>
              <w:spacing w:before="81" w:line="228" w:lineRule="auto"/>
              <w:ind w:left="12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4"/>
                <w:sz w:val="24"/>
                <w:szCs w:val="24"/>
                <w:highlight w:val="none"/>
              </w:rPr>
              <w:t>．法定代表人为同一人的。</w:t>
            </w:r>
          </w:p>
          <w:p w14:paraId="069BC0F2">
            <w:pPr>
              <w:spacing w:before="81" w:line="228" w:lineRule="auto"/>
              <w:ind w:left="10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6"/>
                <w:sz w:val="24"/>
                <w:szCs w:val="24"/>
                <w:highlight w:val="none"/>
              </w:rPr>
              <w:t>．存在控股、管理关系的。</w:t>
            </w:r>
          </w:p>
          <w:p w14:paraId="488A58D1">
            <w:pPr>
              <w:spacing w:before="81" w:line="228" w:lineRule="auto"/>
              <w:ind w:left="1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3</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．主要人员相互任职的。</w:t>
            </w:r>
          </w:p>
        </w:tc>
      </w:tr>
      <w:tr w14:paraId="5AA68D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620" w:type="dxa"/>
            <w:vAlign w:val="top"/>
          </w:tcPr>
          <w:p w14:paraId="519A8291">
            <w:pPr>
              <w:spacing w:before="235" w:line="230" w:lineRule="auto"/>
              <w:ind w:left="54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c>
          <w:tcPr>
            <w:tcW w:w="7639" w:type="dxa"/>
            <w:gridSpan w:val="8"/>
            <w:vAlign w:val="top"/>
          </w:tcPr>
          <w:p w14:paraId="20FD0AE4">
            <w:pPr>
              <w:pStyle w:val="21"/>
              <w:rPr>
                <w:rFonts w:hint="eastAsia" w:ascii="宋体" w:hAnsi="宋体" w:eastAsia="宋体" w:cs="宋体"/>
                <w:color w:val="auto"/>
                <w:sz w:val="24"/>
                <w:szCs w:val="24"/>
                <w:highlight w:val="none"/>
              </w:rPr>
            </w:pPr>
          </w:p>
        </w:tc>
      </w:tr>
    </w:tbl>
    <w:p w14:paraId="2CDDCDA5">
      <w:pPr>
        <w:spacing w:before="140" w:line="228" w:lineRule="auto"/>
        <w:rPr>
          <w:rFonts w:hint="eastAsia" w:ascii="宋体" w:hAnsi="宋体" w:eastAsia="宋体" w:cs="宋体"/>
          <w:color w:val="auto"/>
          <w:sz w:val="18"/>
          <w:szCs w:val="18"/>
          <w:highlight w:val="none"/>
        </w:rPr>
      </w:pPr>
      <w:r>
        <w:rPr>
          <w:rFonts w:hint="eastAsia" w:ascii="宋体" w:hAnsi="宋体" w:eastAsia="宋体" w:cs="宋体"/>
          <w:color w:val="auto"/>
          <w:spacing w:val="2"/>
          <w:sz w:val="18"/>
          <w:szCs w:val="18"/>
          <w:highlight w:val="none"/>
        </w:rPr>
        <w:t>说明：</w:t>
      </w:r>
    </w:p>
    <w:p w14:paraId="3E4045BF">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outlineLvl w:val="9"/>
        <w:rPr>
          <w:rFonts w:hint="eastAsia" w:ascii="宋体" w:hAnsi="宋体" w:eastAsia="宋体" w:cs="宋体"/>
          <w:color w:val="auto"/>
          <w:spacing w:val="4"/>
          <w:sz w:val="18"/>
          <w:szCs w:val="18"/>
          <w:highlight w:val="none"/>
        </w:rPr>
      </w:pPr>
      <w:bookmarkStart w:id="244" w:name="_Toc14048"/>
      <w:bookmarkStart w:id="245" w:name="_Toc5131"/>
      <w:r>
        <w:rPr>
          <w:rFonts w:hint="eastAsia" w:ascii="宋体" w:hAnsi="宋体" w:eastAsia="宋体" w:cs="宋体"/>
          <w:color w:val="auto"/>
          <w:spacing w:val="4"/>
          <w:sz w:val="18"/>
          <w:szCs w:val="18"/>
          <w:highlight w:val="none"/>
        </w:rPr>
        <w:t>1 ．《投标人基本情况表》后应附以下资料：</w:t>
      </w:r>
      <w:bookmarkEnd w:id="244"/>
      <w:bookmarkEnd w:id="245"/>
    </w:p>
    <w:p w14:paraId="2CEABDBC">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pacing w:val="6"/>
          <w:sz w:val="18"/>
          <w:szCs w:val="18"/>
          <w:highlight w:val="none"/>
        </w:rPr>
      </w:pPr>
      <w:r>
        <w:rPr>
          <w:rFonts w:hint="eastAsia" w:ascii="宋体" w:hAnsi="宋体" w:eastAsia="宋体" w:cs="宋体"/>
          <w:color w:val="auto"/>
          <w:spacing w:val="9"/>
          <w:sz w:val="18"/>
          <w:szCs w:val="18"/>
          <w:highlight w:val="none"/>
          <w:lang w:eastAsia="zh-CN"/>
        </w:rPr>
        <w:t>（1）企业营业执照、资质证书、安全生产许可证的（因推行电子证照，企业的营业执照、资质证书等可以提供电子证照。为实时掌握项目投标单位的是否具备企业安全生产条件，企业的安全生生许可证需提供企业实时网页查询页，实时查询页的打印时间应在项目招标公告发布之日起至开标前。企业的安全生产许可证实时网页查询路径：登录“ 中华人民共和国住房和城乡建设部 ”进入“全国工程质量安全监管信息平台公共服务门户 ”版块，具体网址为：https://zlaq.mohurd.gov.cn，进入后点击“安全生产许可证信息 ”，输入企业名称和统一社会信用代码即可查询。如中标后，投标单位安全生产许可证发生被暂扣情形，需双方另行协商）；</w:t>
      </w:r>
    </w:p>
    <w:p w14:paraId="7EFD6D50">
      <w:pPr>
        <w:keepNext w:val="0"/>
        <w:keepLines w:val="0"/>
        <w:pageBreakBefore w:val="0"/>
        <w:widowControl/>
        <w:kinsoku w:val="0"/>
        <w:wordWrap/>
        <w:overflowPunct/>
        <w:topLinePunct w:val="0"/>
        <w:autoSpaceDE w:val="0"/>
        <w:autoSpaceDN w:val="0"/>
        <w:bidi w:val="0"/>
        <w:adjustRightInd w:val="0"/>
        <w:snapToGrid w:val="0"/>
        <w:spacing w:before="153" w:line="288" w:lineRule="auto"/>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9"/>
          <w:sz w:val="18"/>
          <w:szCs w:val="18"/>
          <w:highlight w:val="none"/>
          <w:lang w:eastAsia="zh-CN"/>
        </w:rPr>
        <w:t>（2）</w:t>
      </w:r>
      <w:r>
        <w:rPr>
          <w:rFonts w:hint="eastAsia" w:ascii="宋体" w:hAnsi="宋体" w:eastAsia="宋体" w:cs="宋体"/>
          <w:color w:val="auto"/>
          <w:spacing w:val="9"/>
          <w:sz w:val="18"/>
          <w:szCs w:val="18"/>
          <w:highlight w:val="none"/>
        </w:rPr>
        <w:t>“进粤企业和人员诚信信息登记平台</w:t>
      </w:r>
      <w:r>
        <w:rPr>
          <w:rFonts w:hint="eastAsia" w:ascii="宋体" w:hAnsi="宋体" w:eastAsia="宋体" w:cs="宋体"/>
          <w:color w:val="auto"/>
          <w:spacing w:val="-72"/>
          <w:sz w:val="18"/>
          <w:szCs w:val="18"/>
          <w:highlight w:val="none"/>
        </w:rPr>
        <w:t xml:space="preserve"> </w:t>
      </w:r>
      <w:r>
        <w:rPr>
          <w:rFonts w:hint="eastAsia" w:ascii="宋体" w:hAnsi="宋体" w:eastAsia="宋体" w:cs="宋体"/>
          <w:color w:val="auto"/>
          <w:spacing w:val="8"/>
          <w:sz w:val="18"/>
          <w:szCs w:val="18"/>
          <w:highlight w:val="none"/>
        </w:rPr>
        <w:t>”企业信息情况打印页。（适用于省外建筑企业）</w:t>
      </w:r>
    </w:p>
    <w:p w14:paraId="6F0B00EB">
      <w:pPr>
        <w:keepNext w:val="0"/>
        <w:keepLines w:val="0"/>
        <w:pageBreakBefore w:val="0"/>
        <w:widowControl/>
        <w:kinsoku w:val="0"/>
        <w:wordWrap/>
        <w:overflowPunct/>
        <w:topLinePunct w:val="0"/>
        <w:autoSpaceDE w:val="0"/>
        <w:autoSpaceDN w:val="0"/>
        <w:bidi w:val="0"/>
        <w:adjustRightInd w:val="0"/>
        <w:snapToGrid w:val="0"/>
        <w:spacing w:before="153" w:line="288" w:lineRule="auto"/>
        <w:jc w:val="both"/>
        <w:textAlignment w:val="baseline"/>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（3）</w:t>
      </w:r>
      <w:r>
        <w:rPr>
          <w:rFonts w:hint="eastAsia" w:ascii="宋体" w:hAnsi="宋体" w:eastAsia="宋体" w:cs="宋体"/>
          <w:color w:val="auto"/>
          <w:spacing w:val="8"/>
          <w:sz w:val="18"/>
          <w:szCs w:val="18"/>
          <w:highlight w:val="none"/>
        </w:rPr>
        <w:t>《法人和非法人组织公共信用信息报告》（在“信用中国</w:t>
      </w:r>
      <w:r>
        <w:rPr>
          <w:rFonts w:hint="eastAsia" w:ascii="宋体" w:hAnsi="宋体" w:eastAsia="宋体" w:cs="宋体"/>
          <w:color w:val="auto"/>
          <w:spacing w:val="-70"/>
          <w:sz w:val="18"/>
          <w:szCs w:val="18"/>
          <w:highlight w:val="none"/>
        </w:rPr>
        <w:t xml:space="preserve"> </w:t>
      </w:r>
      <w:r>
        <w:rPr>
          <w:rFonts w:hint="eastAsia" w:ascii="宋体" w:hAnsi="宋体" w:eastAsia="宋体" w:cs="宋体"/>
          <w:color w:val="auto"/>
          <w:spacing w:val="8"/>
          <w:sz w:val="18"/>
          <w:szCs w:val="18"/>
          <w:highlight w:val="none"/>
        </w:rPr>
        <w:t>”网站企业查询界面</w:t>
      </w:r>
      <w:r>
        <w:rPr>
          <w:rFonts w:hint="eastAsia" w:ascii="宋体" w:hAnsi="宋体" w:eastAsia="宋体" w:cs="宋体"/>
          <w:color w:val="auto"/>
          <w:spacing w:val="7"/>
          <w:sz w:val="18"/>
          <w:szCs w:val="18"/>
          <w:highlight w:val="none"/>
        </w:rPr>
        <w:t>中下载）。</w:t>
      </w:r>
    </w:p>
    <w:p w14:paraId="57286EE5">
      <w:pPr>
        <w:keepNext w:val="0"/>
        <w:keepLines w:val="0"/>
        <w:pageBreakBefore w:val="0"/>
        <w:widowControl/>
        <w:kinsoku w:val="0"/>
        <w:wordWrap/>
        <w:overflowPunct/>
        <w:topLinePunct w:val="0"/>
        <w:autoSpaceDE w:val="0"/>
        <w:autoSpaceDN w:val="0"/>
        <w:bidi w:val="0"/>
        <w:adjustRightInd w:val="0"/>
        <w:snapToGrid w:val="0"/>
        <w:spacing w:before="81" w:line="288" w:lineRule="auto"/>
        <w:textAlignment w:val="baseline"/>
        <w:rPr>
          <w:rFonts w:hint="eastAsia" w:ascii="宋体" w:hAnsi="宋体" w:eastAsia="宋体" w:cs="宋体"/>
          <w:color w:val="auto"/>
          <w:spacing w:val="4"/>
          <w:sz w:val="20"/>
          <w:szCs w:val="20"/>
          <w:highlight w:val="none"/>
        </w:rPr>
      </w:pPr>
      <w:r>
        <w:rPr>
          <w:rFonts w:hint="eastAsia" w:ascii="宋体" w:hAnsi="宋体" w:eastAsia="宋体" w:cs="宋体"/>
          <w:color w:val="auto"/>
          <w:spacing w:val="9"/>
          <w:sz w:val="18"/>
          <w:szCs w:val="18"/>
          <w:highlight w:val="none"/>
        </w:rPr>
        <w:t>2</w:t>
      </w:r>
      <w:r>
        <w:rPr>
          <w:rFonts w:hint="eastAsia" w:ascii="宋体" w:hAnsi="宋体" w:eastAsia="宋体" w:cs="宋体"/>
          <w:color w:val="auto"/>
          <w:spacing w:val="-21"/>
          <w:sz w:val="18"/>
          <w:szCs w:val="18"/>
          <w:highlight w:val="none"/>
        </w:rPr>
        <w:t xml:space="preserve"> </w:t>
      </w:r>
      <w:r>
        <w:rPr>
          <w:rFonts w:hint="eastAsia" w:ascii="宋体" w:hAnsi="宋体" w:eastAsia="宋体" w:cs="宋体"/>
          <w:color w:val="auto"/>
          <w:spacing w:val="9"/>
          <w:sz w:val="18"/>
          <w:szCs w:val="18"/>
          <w:highlight w:val="none"/>
        </w:rPr>
        <w:t>．联合体投标的，联合体成员单位均应填写《投标人基本情况</w:t>
      </w:r>
      <w:r>
        <w:rPr>
          <w:rFonts w:hint="eastAsia" w:ascii="宋体" w:hAnsi="宋体" w:eastAsia="宋体" w:cs="宋体"/>
          <w:color w:val="auto"/>
          <w:spacing w:val="8"/>
          <w:sz w:val="18"/>
          <w:szCs w:val="18"/>
          <w:highlight w:val="none"/>
        </w:rPr>
        <w:t>表》并提供以上所需资料。</w:t>
      </w:r>
    </w:p>
    <w:p w14:paraId="451A766F">
      <w:pPr>
        <w:spacing w:before="78" w:line="220" w:lineRule="auto"/>
        <w:outlineLvl w:val="2"/>
        <w:rPr>
          <w:rFonts w:hint="eastAsia" w:ascii="宋体" w:hAnsi="宋体" w:eastAsia="宋体" w:cs="宋体"/>
          <w:b/>
          <w:bCs/>
          <w:color w:val="auto"/>
          <w:spacing w:val="-4"/>
          <w:sz w:val="24"/>
          <w:szCs w:val="24"/>
          <w:highlight w:val="none"/>
        </w:rPr>
      </w:pPr>
      <w:bookmarkStart w:id="246" w:name="_Toc19699"/>
      <w:r>
        <w:rPr>
          <w:rFonts w:hint="eastAsia" w:ascii="宋体" w:hAnsi="宋体" w:eastAsia="宋体" w:cs="宋体"/>
          <w:b/>
          <w:bCs/>
          <w:color w:val="auto"/>
          <w:spacing w:val="-4"/>
          <w:sz w:val="24"/>
          <w:szCs w:val="24"/>
          <w:highlight w:val="none"/>
        </w:rPr>
        <w:t>格式八 项目经理简历表</w:t>
      </w:r>
      <w:bookmarkEnd w:id="246"/>
    </w:p>
    <w:p w14:paraId="44DC91D3">
      <w:pPr>
        <w:pStyle w:val="5"/>
        <w:spacing w:line="444" w:lineRule="auto"/>
        <w:rPr>
          <w:rFonts w:hint="eastAsia" w:ascii="宋体" w:hAnsi="宋体" w:eastAsia="宋体" w:cs="宋体"/>
          <w:color w:val="auto"/>
          <w:highlight w:val="none"/>
        </w:rPr>
      </w:pPr>
    </w:p>
    <w:p w14:paraId="185D5FD6">
      <w:pPr>
        <w:spacing w:before="97" w:line="219" w:lineRule="auto"/>
        <w:ind w:left="3538"/>
        <w:outlineLvl w:val="9"/>
        <w:rPr>
          <w:rFonts w:hint="eastAsia" w:ascii="宋体" w:hAnsi="宋体" w:eastAsia="宋体" w:cs="宋体"/>
          <w:color w:val="auto"/>
          <w:sz w:val="30"/>
          <w:szCs w:val="30"/>
          <w:highlight w:val="none"/>
        </w:rPr>
      </w:pPr>
      <w:bookmarkStart w:id="247" w:name="bookmark156"/>
      <w:bookmarkEnd w:id="247"/>
      <w:bookmarkStart w:id="248" w:name="bookmark89"/>
      <w:bookmarkEnd w:id="248"/>
      <w:bookmarkStart w:id="249" w:name="_Toc31533"/>
      <w:bookmarkStart w:id="250" w:name="_Toc24489"/>
      <w:r>
        <w:rPr>
          <w:rFonts w:hint="eastAsia" w:ascii="宋体" w:hAnsi="宋体" w:eastAsia="宋体" w:cs="宋体"/>
          <w:b/>
          <w:bCs/>
          <w:color w:val="auto"/>
          <w:spacing w:val="-5"/>
          <w:sz w:val="30"/>
          <w:szCs w:val="30"/>
          <w:highlight w:val="none"/>
        </w:rPr>
        <w:t>项目经理简历表</w:t>
      </w:r>
      <w:bookmarkEnd w:id="249"/>
      <w:bookmarkEnd w:id="250"/>
    </w:p>
    <w:p w14:paraId="7FF3B61F">
      <w:pPr>
        <w:spacing w:line="240" w:lineRule="exact"/>
        <w:rPr>
          <w:rFonts w:hint="eastAsia" w:ascii="宋体" w:hAnsi="宋体" w:eastAsia="宋体" w:cs="宋体"/>
          <w:color w:val="auto"/>
          <w:highlight w:val="none"/>
        </w:rPr>
      </w:pPr>
    </w:p>
    <w:tbl>
      <w:tblPr>
        <w:tblStyle w:val="14"/>
        <w:tblW w:w="97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8"/>
        <w:gridCol w:w="1010"/>
        <w:gridCol w:w="614"/>
        <w:gridCol w:w="680"/>
        <w:gridCol w:w="1357"/>
        <w:gridCol w:w="2062"/>
        <w:gridCol w:w="1798"/>
        <w:gridCol w:w="1398"/>
      </w:tblGrid>
      <w:tr w14:paraId="49FDC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1828" w:type="dxa"/>
            <w:gridSpan w:val="2"/>
            <w:vAlign w:val="top"/>
          </w:tcPr>
          <w:p w14:paraId="6F649E7D">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94" w:type="dxa"/>
            <w:gridSpan w:val="2"/>
            <w:vAlign w:val="top"/>
          </w:tcPr>
          <w:p w14:paraId="0BE65721">
            <w:pPr>
              <w:pStyle w:val="21"/>
              <w:rPr>
                <w:rFonts w:hint="eastAsia" w:ascii="宋体" w:hAnsi="宋体" w:eastAsia="宋体" w:cs="宋体"/>
                <w:color w:val="auto"/>
                <w:sz w:val="24"/>
                <w:szCs w:val="24"/>
                <w:highlight w:val="none"/>
              </w:rPr>
            </w:pPr>
          </w:p>
        </w:tc>
        <w:tc>
          <w:tcPr>
            <w:tcW w:w="1357" w:type="dxa"/>
            <w:vAlign w:val="top"/>
          </w:tcPr>
          <w:p w14:paraId="6A7A5619">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62" w:type="dxa"/>
            <w:vAlign w:val="top"/>
          </w:tcPr>
          <w:p w14:paraId="310E25C0">
            <w:pPr>
              <w:pStyle w:val="21"/>
              <w:rPr>
                <w:rFonts w:hint="eastAsia" w:ascii="宋体" w:hAnsi="宋体" w:eastAsia="宋体" w:cs="宋体"/>
                <w:color w:val="auto"/>
                <w:sz w:val="24"/>
                <w:szCs w:val="24"/>
                <w:highlight w:val="none"/>
              </w:rPr>
            </w:pPr>
          </w:p>
        </w:tc>
        <w:tc>
          <w:tcPr>
            <w:tcW w:w="1798" w:type="dxa"/>
            <w:vAlign w:val="top"/>
          </w:tcPr>
          <w:p w14:paraId="286B13D8">
            <w:pPr>
              <w:spacing w:before="177" w:line="228" w:lineRule="auto"/>
              <w:ind w:left="48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98" w:type="dxa"/>
            <w:vAlign w:val="top"/>
          </w:tcPr>
          <w:p w14:paraId="092C4AA2">
            <w:pPr>
              <w:pStyle w:val="21"/>
              <w:rPr>
                <w:rFonts w:hint="eastAsia" w:ascii="宋体" w:hAnsi="宋体" w:eastAsia="宋体" w:cs="宋体"/>
                <w:color w:val="auto"/>
                <w:sz w:val="24"/>
                <w:szCs w:val="24"/>
                <w:highlight w:val="none"/>
              </w:rPr>
            </w:pPr>
          </w:p>
        </w:tc>
      </w:tr>
      <w:tr w14:paraId="301D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1828" w:type="dxa"/>
            <w:gridSpan w:val="2"/>
            <w:vAlign w:val="top"/>
          </w:tcPr>
          <w:p w14:paraId="700A18F2">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94" w:type="dxa"/>
            <w:gridSpan w:val="2"/>
            <w:vAlign w:val="top"/>
          </w:tcPr>
          <w:p w14:paraId="29D98F38">
            <w:pPr>
              <w:pStyle w:val="21"/>
              <w:rPr>
                <w:rFonts w:hint="eastAsia" w:ascii="宋体" w:hAnsi="宋体" w:eastAsia="宋体" w:cs="宋体"/>
                <w:color w:val="auto"/>
                <w:sz w:val="24"/>
                <w:szCs w:val="24"/>
                <w:highlight w:val="none"/>
              </w:rPr>
            </w:pPr>
          </w:p>
        </w:tc>
        <w:tc>
          <w:tcPr>
            <w:tcW w:w="1357" w:type="dxa"/>
            <w:vAlign w:val="top"/>
          </w:tcPr>
          <w:p w14:paraId="06A23A17">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62" w:type="dxa"/>
            <w:vAlign w:val="top"/>
          </w:tcPr>
          <w:p w14:paraId="75DF90F2">
            <w:pPr>
              <w:pStyle w:val="21"/>
              <w:rPr>
                <w:rFonts w:hint="eastAsia" w:ascii="宋体" w:hAnsi="宋体" w:eastAsia="宋体" w:cs="宋体"/>
                <w:color w:val="auto"/>
                <w:sz w:val="24"/>
                <w:szCs w:val="24"/>
                <w:highlight w:val="none"/>
              </w:rPr>
            </w:pPr>
          </w:p>
        </w:tc>
        <w:tc>
          <w:tcPr>
            <w:tcW w:w="1798" w:type="dxa"/>
            <w:vAlign w:val="top"/>
          </w:tcPr>
          <w:p w14:paraId="5AA14F90">
            <w:pPr>
              <w:spacing w:before="175" w:line="230" w:lineRule="auto"/>
              <w:ind w:left="49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98" w:type="dxa"/>
            <w:vAlign w:val="top"/>
          </w:tcPr>
          <w:p w14:paraId="7644D24F">
            <w:pPr>
              <w:pStyle w:val="21"/>
              <w:rPr>
                <w:rFonts w:hint="eastAsia" w:ascii="宋体" w:hAnsi="宋体" w:eastAsia="宋体" w:cs="宋体"/>
                <w:color w:val="auto"/>
                <w:sz w:val="24"/>
                <w:szCs w:val="24"/>
                <w:highlight w:val="none"/>
              </w:rPr>
            </w:pPr>
          </w:p>
        </w:tc>
      </w:tr>
      <w:tr w14:paraId="6C391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1828" w:type="dxa"/>
            <w:gridSpan w:val="2"/>
            <w:vAlign w:val="top"/>
          </w:tcPr>
          <w:p w14:paraId="359A1F6D">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51" w:type="dxa"/>
            <w:gridSpan w:val="3"/>
            <w:vAlign w:val="top"/>
          </w:tcPr>
          <w:p w14:paraId="54FDA201">
            <w:pPr>
              <w:pStyle w:val="21"/>
              <w:rPr>
                <w:rFonts w:hint="eastAsia" w:ascii="宋体" w:hAnsi="宋体" w:eastAsia="宋体" w:cs="宋体"/>
                <w:color w:val="auto"/>
                <w:sz w:val="24"/>
                <w:szCs w:val="24"/>
                <w:highlight w:val="none"/>
              </w:rPr>
            </w:pPr>
          </w:p>
        </w:tc>
        <w:tc>
          <w:tcPr>
            <w:tcW w:w="3860" w:type="dxa"/>
            <w:gridSpan w:val="2"/>
            <w:vAlign w:val="top"/>
          </w:tcPr>
          <w:p w14:paraId="1B0D6DD8">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98" w:type="dxa"/>
            <w:vAlign w:val="top"/>
          </w:tcPr>
          <w:p w14:paraId="5D65D784">
            <w:pPr>
              <w:pStyle w:val="21"/>
              <w:rPr>
                <w:rFonts w:hint="eastAsia" w:ascii="宋体" w:hAnsi="宋体" w:eastAsia="宋体" w:cs="宋体"/>
                <w:color w:val="auto"/>
                <w:sz w:val="24"/>
                <w:szCs w:val="24"/>
                <w:highlight w:val="none"/>
              </w:rPr>
            </w:pPr>
          </w:p>
        </w:tc>
      </w:tr>
      <w:tr w14:paraId="7DF97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9737" w:type="dxa"/>
            <w:gridSpan w:val="8"/>
            <w:vAlign w:val="top"/>
          </w:tcPr>
          <w:p w14:paraId="67F9A91C">
            <w:pPr>
              <w:spacing w:before="176" w:line="228" w:lineRule="auto"/>
              <w:ind w:left="23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以项目经理身份参与过的主要业绩（已完工项目）</w:t>
            </w:r>
          </w:p>
        </w:tc>
      </w:tr>
      <w:tr w14:paraId="3895B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18" w:type="dxa"/>
            <w:vAlign w:val="top"/>
          </w:tcPr>
          <w:p w14:paraId="797BF19C">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24" w:type="dxa"/>
            <w:gridSpan w:val="2"/>
            <w:vAlign w:val="top"/>
          </w:tcPr>
          <w:p w14:paraId="4007FCA1">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37" w:type="dxa"/>
            <w:gridSpan w:val="2"/>
            <w:vAlign w:val="top"/>
          </w:tcPr>
          <w:p w14:paraId="1C4205E1">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62" w:type="dxa"/>
            <w:vAlign w:val="top"/>
          </w:tcPr>
          <w:p w14:paraId="4B953E8B">
            <w:pPr>
              <w:spacing w:before="176" w:line="228" w:lineRule="auto"/>
              <w:ind w:left="26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98" w:type="dxa"/>
            <w:vAlign w:val="top"/>
          </w:tcPr>
          <w:p w14:paraId="703D0BC4">
            <w:pPr>
              <w:spacing w:before="176" w:line="228" w:lineRule="auto"/>
              <w:ind w:left="238"/>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98" w:type="dxa"/>
            <w:vAlign w:val="top"/>
          </w:tcPr>
          <w:p w14:paraId="66F90DEB">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45236E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1487F696">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24" w:type="dxa"/>
            <w:gridSpan w:val="2"/>
            <w:vAlign w:val="top"/>
          </w:tcPr>
          <w:p w14:paraId="5BB2977F">
            <w:pPr>
              <w:pStyle w:val="21"/>
              <w:rPr>
                <w:rFonts w:hint="eastAsia" w:ascii="宋体" w:hAnsi="宋体" w:eastAsia="宋体" w:cs="宋体"/>
                <w:color w:val="auto"/>
                <w:sz w:val="24"/>
                <w:szCs w:val="24"/>
                <w:highlight w:val="none"/>
              </w:rPr>
            </w:pPr>
          </w:p>
        </w:tc>
        <w:tc>
          <w:tcPr>
            <w:tcW w:w="2037" w:type="dxa"/>
            <w:gridSpan w:val="2"/>
            <w:vAlign w:val="top"/>
          </w:tcPr>
          <w:p w14:paraId="7E680E92">
            <w:pPr>
              <w:pStyle w:val="21"/>
              <w:rPr>
                <w:rFonts w:hint="eastAsia" w:ascii="宋体" w:hAnsi="宋体" w:eastAsia="宋体" w:cs="宋体"/>
                <w:color w:val="auto"/>
                <w:sz w:val="24"/>
                <w:szCs w:val="24"/>
                <w:highlight w:val="none"/>
              </w:rPr>
            </w:pPr>
          </w:p>
        </w:tc>
        <w:tc>
          <w:tcPr>
            <w:tcW w:w="2062" w:type="dxa"/>
            <w:vAlign w:val="top"/>
          </w:tcPr>
          <w:p w14:paraId="6F8C779D">
            <w:pPr>
              <w:pStyle w:val="21"/>
              <w:rPr>
                <w:rFonts w:hint="eastAsia" w:ascii="宋体" w:hAnsi="宋体" w:eastAsia="宋体" w:cs="宋体"/>
                <w:color w:val="auto"/>
                <w:sz w:val="24"/>
                <w:szCs w:val="24"/>
                <w:highlight w:val="none"/>
              </w:rPr>
            </w:pPr>
          </w:p>
        </w:tc>
        <w:tc>
          <w:tcPr>
            <w:tcW w:w="1798" w:type="dxa"/>
            <w:vAlign w:val="top"/>
          </w:tcPr>
          <w:p w14:paraId="4FB28411">
            <w:pPr>
              <w:pStyle w:val="21"/>
              <w:rPr>
                <w:rFonts w:hint="eastAsia" w:ascii="宋体" w:hAnsi="宋体" w:eastAsia="宋体" w:cs="宋体"/>
                <w:color w:val="auto"/>
                <w:sz w:val="24"/>
                <w:szCs w:val="24"/>
                <w:highlight w:val="none"/>
              </w:rPr>
            </w:pPr>
          </w:p>
        </w:tc>
        <w:tc>
          <w:tcPr>
            <w:tcW w:w="1398" w:type="dxa"/>
            <w:vAlign w:val="top"/>
          </w:tcPr>
          <w:p w14:paraId="07C9E9B4">
            <w:pPr>
              <w:pStyle w:val="21"/>
              <w:rPr>
                <w:rFonts w:hint="eastAsia" w:ascii="宋体" w:hAnsi="宋体" w:eastAsia="宋体" w:cs="宋体"/>
                <w:color w:val="auto"/>
                <w:sz w:val="24"/>
                <w:szCs w:val="24"/>
                <w:highlight w:val="none"/>
              </w:rPr>
            </w:pPr>
          </w:p>
        </w:tc>
      </w:tr>
      <w:tr w14:paraId="02905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18" w:type="dxa"/>
            <w:vAlign w:val="top"/>
          </w:tcPr>
          <w:p w14:paraId="361A5764">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24" w:type="dxa"/>
            <w:gridSpan w:val="2"/>
            <w:vAlign w:val="top"/>
          </w:tcPr>
          <w:p w14:paraId="10AD9F7C">
            <w:pPr>
              <w:pStyle w:val="21"/>
              <w:rPr>
                <w:rFonts w:hint="eastAsia" w:ascii="宋体" w:hAnsi="宋体" w:eastAsia="宋体" w:cs="宋体"/>
                <w:color w:val="auto"/>
                <w:sz w:val="24"/>
                <w:szCs w:val="24"/>
                <w:highlight w:val="none"/>
              </w:rPr>
            </w:pPr>
          </w:p>
        </w:tc>
        <w:tc>
          <w:tcPr>
            <w:tcW w:w="2037" w:type="dxa"/>
            <w:gridSpan w:val="2"/>
            <w:vAlign w:val="top"/>
          </w:tcPr>
          <w:p w14:paraId="78BE4EE8">
            <w:pPr>
              <w:pStyle w:val="21"/>
              <w:rPr>
                <w:rFonts w:hint="eastAsia" w:ascii="宋体" w:hAnsi="宋体" w:eastAsia="宋体" w:cs="宋体"/>
                <w:color w:val="auto"/>
                <w:sz w:val="24"/>
                <w:szCs w:val="24"/>
                <w:highlight w:val="none"/>
              </w:rPr>
            </w:pPr>
          </w:p>
        </w:tc>
        <w:tc>
          <w:tcPr>
            <w:tcW w:w="2062" w:type="dxa"/>
            <w:vAlign w:val="top"/>
          </w:tcPr>
          <w:p w14:paraId="202E95FE">
            <w:pPr>
              <w:pStyle w:val="21"/>
              <w:rPr>
                <w:rFonts w:hint="eastAsia" w:ascii="宋体" w:hAnsi="宋体" w:eastAsia="宋体" w:cs="宋体"/>
                <w:color w:val="auto"/>
                <w:sz w:val="24"/>
                <w:szCs w:val="24"/>
                <w:highlight w:val="none"/>
              </w:rPr>
            </w:pPr>
          </w:p>
        </w:tc>
        <w:tc>
          <w:tcPr>
            <w:tcW w:w="1798" w:type="dxa"/>
            <w:vAlign w:val="top"/>
          </w:tcPr>
          <w:p w14:paraId="39BD4C0A">
            <w:pPr>
              <w:pStyle w:val="21"/>
              <w:rPr>
                <w:rFonts w:hint="eastAsia" w:ascii="宋体" w:hAnsi="宋体" w:eastAsia="宋体" w:cs="宋体"/>
                <w:color w:val="auto"/>
                <w:sz w:val="24"/>
                <w:szCs w:val="24"/>
                <w:highlight w:val="none"/>
              </w:rPr>
            </w:pPr>
          </w:p>
        </w:tc>
        <w:tc>
          <w:tcPr>
            <w:tcW w:w="1398" w:type="dxa"/>
            <w:vAlign w:val="top"/>
          </w:tcPr>
          <w:p w14:paraId="3FCA662F">
            <w:pPr>
              <w:pStyle w:val="21"/>
              <w:rPr>
                <w:rFonts w:hint="eastAsia" w:ascii="宋体" w:hAnsi="宋体" w:eastAsia="宋体" w:cs="宋体"/>
                <w:color w:val="auto"/>
                <w:sz w:val="24"/>
                <w:szCs w:val="24"/>
                <w:highlight w:val="none"/>
              </w:rPr>
            </w:pPr>
          </w:p>
        </w:tc>
      </w:tr>
      <w:tr w14:paraId="275B0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818" w:type="dxa"/>
            <w:vAlign w:val="top"/>
          </w:tcPr>
          <w:p w14:paraId="3FE5B5C3">
            <w:pPr>
              <w:spacing w:before="213" w:line="195" w:lineRule="auto"/>
              <w:ind w:left="3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24" w:type="dxa"/>
            <w:gridSpan w:val="2"/>
            <w:vAlign w:val="top"/>
          </w:tcPr>
          <w:p w14:paraId="0F5BFF70">
            <w:pPr>
              <w:pStyle w:val="21"/>
              <w:rPr>
                <w:rFonts w:hint="eastAsia" w:ascii="宋体" w:hAnsi="宋体" w:eastAsia="宋体" w:cs="宋体"/>
                <w:color w:val="auto"/>
                <w:sz w:val="24"/>
                <w:szCs w:val="24"/>
                <w:highlight w:val="none"/>
              </w:rPr>
            </w:pPr>
          </w:p>
        </w:tc>
        <w:tc>
          <w:tcPr>
            <w:tcW w:w="2037" w:type="dxa"/>
            <w:gridSpan w:val="2"/>
            <w:vAlign w:val="top"/>
          </w:tcPr>
          <w:p w14:paraId="37D97746">
            <w:pPr>
              <w:pStyle w:val="21"/>
              <w:rPr>
                <w:rFonts w:hint="eastAsia" w:ascii="宋体" w:hAnsi="宋体" w:eastAsia="宋体" w:cs="宋体"/>
                <w:color w:val="auto"/>
                <w:sz w:val="24"/>
                <w:szCs w:val="24"/>
                <w:highlight w:val="none"/>
              </w:rPr>
            </w:pPr>
          </w:p>
        </w:tc>
        <w:tc>
          <w:tcPr>
            <w:tcW w:w="2062" w:type="dxa"/>
            <w:vAlign w:val="top"/>
          </w:tcPr>
          <w:p w14:paraId="4CDFAAF5">
            <w:pPr>
              <w:pStyle w:val="21"/>
              <w:rPr>
                <w:rFonts w:hint="eastAsia" w:ascii="宋体" w:hAnsi="宋体" w:eastAsia="宋体" w:cs="宋体"/>
                <w:color w:val="auto"/>
                <w:sz w:val="24"/>
                <w:szCs w:val="24"/>
                <w:highlight w:val="none"/>
              </w:rPr>
            </w:pPr>
          </w:p>
        </w:tc>
        <w:tc>
          <w:tcPr>
            <w:tcW w:w="1798" w:type="dxa"/>
            <w:vAlign w:val="top"/>
          </w:tcPr>
          <w:p w14:paraId="26C0B79B">
            <w:pPr>
              <w:pStyle w:val="21"/>
              <w:rPr>
                <w:rFonts w:hint="eastAsia" w:ascii="宋体" w:hAnsi="宋体" w:eastAsia="宋体" w:cs="宋体"/>
                <w:color w:val="auto"/>
                <w:sz w:val="24"/>
                <w:szCs w:val="24"/>
                <w:highlight w:val="none"/>
              </w:rPr>
            </w:pPr>
          </w:p>
        </w:tc>
        <w:tc>
          <w:tcPr>
            <w:tcW w:w="1398" w:type="dxa"/>
            <w:vAlign w:val="top"/>
          </w:tcPr>
          <w:p w14:paraId="2086BBE1">
            <w:pPr>
              <w:pStyle w:val="21"/>
              <w:rPr>
                <w:rFonts w:hint="eastAsia" w:ascii="宋体" w:hAnsi="宋体" w:eastAsia="宋体" w:cs="宋体"/>
                <w:color w:val="auto"/>
                <w:sz w:val="24"/>
                <w:szCs w:val="24"/>
                <w:highlight w:val="none"/>
              </w:rPr>
            </w:pPr>
          </w:p>
        </w:tc>
      </w:tr>
      <w:tr w14:paraId="6E4C84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818" w:type="dxa"/>
            <w:vAlign w:val="top"/>
          </w:tcPr>
          <w:p w14:paraId="501E4DE3">
            <w:pPr>
              <w:spacing w:before="177" w:line="325"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24" w:type="dxa"/>
            <w:gridSpan w:val="2"/>
            <w:vAlign w:val="top"/>
          </w:tcPr>
          <w:p w14:paraId="370071DD">
            <w:pPr>
              <w:pStyle w:val="21"/>
              <w:rPr>
                <w:rFonts w:hint="eastAsia" w:ascii="宋体" w:hAnsi="宋体" w:eastAsia="宋体" w:cs="宋体"/>
                <w:color w:val="auto"/>
                <w:sz w:val="24"/>
                <w:szCs w:val="24"/>
                <w:highlight w:val="none"/>
              </w:rPr>
            </w:pPr>
          </w:p>
        </w:tc>
        <w:tc>
          <w:tcPr>
            <w:tcW w:w="2037" w:type="dxa"/>
            <w:gridSpan w:val="2"/>
            <w:vAlign w:val="top"/>
          </w:tcPr>
          <w:p w14:paraId="1BA39C6C">
            <w:pPr>
              <w:pStyle w:val="21"/>
              <w:rPr>
                <w:rFonts w:hint="eastAsia" w:ascii="宋体" w:hAnsi="宋体" w:eastAsia="宋体" w:cs="宋体"/>
                <w:color w:val="auto"/>
                <w:sz w:val="24"/>
                <w:szCs w:val="24"/>
                <w:highlight w:val="none"/>
              </w:rPr>
            </w:pPr>
          </w:p>
        </w:tc>
        <w:tc>
          <w:tcPr>
            <w:tcW w:w="2062" w:type="dxa"/>
            <w:vAlign w:val="top"/>
          </w:tcPr>
          <w:p w14:paraId="7040D83F">
            <w:pPr>
              <w:pStyle w:val="21"/>
              <w:rPr>
                <w:rFonts w:hint="eastAsia" w:ascii="宋体" w:hAnsi="宋体" w:eastAsia="宋体" w:cs="宋体"/>
                <w:color w:val="auto"/>
                <w:sz w:val="24"/>
                <w:szCs w:val="24"/>
                <w:highlight w:val="none"/>
              </w:rPr>
            </w:pPr>
          </w:p>
        </w:tc>
        <w:tc>
          <w:tcPr>
            <w:tcW w:w="1798" w:type="dxa"/>
            <w:vAlign w:val="top"/>
          </w:tcPr>
          <w:p w14:paraId="62989CF7">
            <w:pPr>
              <w:pStyle w:val="21"/>
              <w:rPr>
                <w:rFonts w:hint="eastAsia" w:ascii="宋体" w:hAnsi="宋体" w:eastAsia="宋体" w:cs="宋体"/>
                <w:color w:val="auto"/>
                <w:sz w:val="24"/>
                <w:szCs w:val="24"/>
                <w:highlight w:val="none"/>
              </w:rPr>
            </w:pPr>
          </w:p>
        </w:tc>
        <w:tc>
          <w:tcPr>
            <w:tcW w:w="1398" w:type="dxa"/>
            <w:vAlign w:val="top"/>
          </w:tcPr>
          <w:p w14:paraId="4044AF0E">
            <w:pPr>
              <w:pStyle w:val="21"/>
              <w:rPr>
                <w:rFonts w:hint="eastAsia" w:ascii="宋体" w:hAnsi="宋体" w:eastAsia="宋体" w:cs="宋体"/>
                <w:color w:val="auto"/>
                <w:sz w:val="24"/>
                <w:szCs w:val="24"/>
                <w:highlight w:val="none"/>
              </w:rPr>
            </w:pPr>
          </w:p>
        </w:tc>
      </w:tr>
    </w:tbl>
    <w:p w14:paraId="72E3EBBA">
      <w:pPr>
        <w:pStyle w:val="5"/>
        <w:spacing w:line="315" w:lineRule="auto"/>
        <w:rPr>
          <w:rFonts w:hint="eastAsia" w:ascii="宋体" w:hAnsi="宋体" w:eastAsia="宋体" w:cs="宋体"/>
          <w:color w:val="auto"/>
          <w:highlight w:val="none"/>
        </w:rPr>
      </w:pPr>
    </w:p>
    <w:p w14:paraId="30968C70">
      <w:pPr>
        <w:spacing w:before="78" w:line="220" w:lineRule="auto"/>
        <w:ind w:left="696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项目经理</w:t>
      </w:r>
      <w:r>
        <w:rPr>
          <w:rFonts w:hint="eastAsia" w:ascii="宋体" w:hAnsi="宋体" w:eastAsia="宋体" w:cs="宋体"/>
          <w:color w:val="auto"/>
          <w:spacing w:val="-18"/>
          <w:sz w:val="24"/>
          <w:szCs w:val="24"/>
          <w:highlight w:val="none"/>
        </w:rPr>
        <w:t>：</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u w:val="single"/>
          <w:lang w:val="en-US" w:eastAsia="zh-CN"/>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3"/>
          <w:sz w:val="24"/>
          <w:szCs w:val="24"/>
          <w:highlight w:val="none"/>
        </w:rPr>
        <w:t>签字）</w:t>
      </w:r>
    </w:p>
    <w:p w14:paraId="7918B349">
      <w:pPr>
        <w:pStyle w:val="5"/>
        <w:spacing w:line="256" w:lineRule="auto"/>
        <w:rPr>
          <w:rFonts w:hint="eastAsia" w:ascii="宋体" w:hAnsi="宋体" w:eastAsia="宋体" w:cs="宋体"/>
          <w:color w:val="auto"/>
          <w:highlight w:val="none"/>
        </w:rPr>
      </w:pPr>
    </w:p>
    <w:p w14:paraId="70170666">
      <w:pPr>
        <w:pStyle w:val="5"/>
        <w:spacing w:line="254" w:lineRule="auto"/>
        <w:jc w:val="right"/>
        <w:rPr>
          <w:rFonts w:hint="eastAsia" w:ascii="宋体" w:hAnsi="宋体" w:eastAsia="宋体" w:cs="宋体"/>
          <w:color w:val="auto"/>
          <w:highlight w:val="none"/>
        </w:rPr>
      </w:pP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0804494D">
      <w:pPr>
        <w:spacing w:before="78" w:line="220" w:lineRule="auto"/>
        <w:ind w:left="4226"/>
        <w:jc w:val="center"/>
        <w:rPr>
          <w:rFonts w:hint="eastAsia" w:ascii="宋体" w:hAnsi="宋体" w:eastAsia="宋体" w:cs="宋体"/>
          <w:color w:val="auto"/>
          <w:highlight w:val="none"/>
        </w:rPr>
      </w:pPr>
    </w:p>
    <w:p w14:paraId="29F18F2D">
      <w:pPr>
        <w:pStyle w:val="5"/>
        <w:spacing w:line="241" w:lineRule="auto"/>
        <w:rPr>
          <w:rFonts w:hint="eastAsia" w:ascii="宋体" w:hAnsi="宋体" w:eastAsia="宋体" w:cs="宋体"/>
          <w:color w:val="auto"/>
          <w:highlight w:val="none"/>
        </w:rPr>
      </w:pPr>
    </w:p>
    <w:p w14:paraId="72DD2BA3">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说明：《项目经理简历表》后应附拟派项目经理以下资料：</w:t>
      </w:r>
    </w:p>
    <w:p w14:paraId="5196B571">
      <w:pPr>
        <w:spacing w:before="152" w:line="228" w:lineRule="auto"/>
        <w:ind w:left="484"/>
        <w:outlineLvl w:val="9"/>
        <w:rPr>
          <w:rFonts w:hint="eastAsia" w:ascii="宋体" w:hAnsi="宋体" w:eastAsia="宋体" w:cs="宋体"/>
          <w:color w:val="auto"/>
          <w:sz w:val="24"/>
          <w:szCs w:val="24"/>
          <w:highlight w:val="none"/>
        </w:rPr>
      </w:pPr>
      <w:bookmarkStart w:id="251" w:name="_Toc25271"/>
      <w:bookmarkStart w:id="252" w:name="_Toc1942"/>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bookmarkEnd w:id="251"/>
      <w:bookmarkEnd w:id="252"/>
    </w:p>
    <w:p w14:paraId="23DC4C02">
      <w:pPr>
        <w:spacing w:before="153"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8"/>
          <w:sz w:val="24"/>
          <w:szCs w:val="24"/>
          <w:highlight w:val="none"/>
        </w:rPr>
        <w:t>．建造师电子注册证书（在使用有效期内的有效电子证书）彩色扫描件；</w:t>
      </w:r>
    </w:p>
    <w:p w14:paraId="0A694408">
      <w:pPr>
        <w:spacing w:before="154" w:line="298" w:lineRule="auto"/>
        <w:ind w:left="50" w:right="167" w:firstLine="41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3．B 类安全生产考核合格证书彩色扫描件或广东省建筑施工企业管理人员安全生产考核系统考</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7"/>
          <w:sz w:val="24"/>
          <w:szCs w:val="24"/>
          <w:highlight w:val="none"/>
        </w:rPr>
        <w:t>核合格信息彩色扫描件；</w:t>
      </w:r>
    </w:p>
    <w:p w14:paraId="3B1B02C0">
      <w:pPr>
        <w:spacing w:before="153" w:line="299" w:lineRule="auto"/>
        <w:ind w:left="49" w:right="167" w:firstLine="41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0"/>
          <w:sz w:val="24"/>
          <w:szCs w:val="24"/>
          <w:highlight w:val="none"/>
        </w:rPr>
        <w:t xml:space="preserve"> </w:t>
      </w:r>
      <w:r>
        <w:rPr>
          <w:rFonts w:hint="eastAsia" w:ascii="宋体" w:hAnsi="宋体" w:eastAsia="宋体" w:cs="宋体"/>
          <w:color w:val="auto"/>
          <w:spacing w:val="8"/>
          <w:sz w:val="24"/>
          <w:szCs w:val="24"/>
          <w:highlight w:val="none"/>
        </w:rPr>
        <w:t>．在本单位缴纳社保</w:t>
      </w:r>
      <w:r>
        <w:rPr>
          <w:rFonts w:hint="eastAsia" w:ascii="宋体" w:hAnsi="宋体" w:eastAsia="宋体" w:cs="宋体"/>
          <w:color w:val="auto"/>
          <w:sz w:val="24"/>
          <w:szCs w:val="24"/>
          <w:highlight w:val="none"/>
          <w:lang w:eastAsia="zh-CN"/>
        </w:rPr>
        <w:t>的证明（至少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w:t>
      </w:r>
      <w:bookmarkStart w:id="253" w:name="OLE_LINK38"/>
      <w:r>
        <w:rPr>
          <w:rFonts w:hint="eastAsia" w:ascii="宋体" w:hAnsi="宋体" w:eastAsia="宋体" w:cs="宋体"/>
          <w:color w:val="auto"/>
          <w:sz w:val="24"/>
          <w:szCs w:val="24"/>
          <w:highlight w:val="none"/>
          <w:lang w:eastAsia="zh-CN"/>
        </w:rPr>
        <w:t>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bookmarkEnd w:id="253"/>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8"/>
          <w:sz w:val="24"/>
          <w:szCs w:val="24"/>
          <w:highlight w:val="none"/>
        </w:rPr>
        <w:t>彩色扫描件或打印件。拟</w:t>
      </w:r>
      <w:r>
        <w:rPr>
          <w:rFonts w:hint="eastAsia" w:ascii="宋体" w:hAnsi="宋体" w:eastAsia="宋体" w:cs="宋体"/>
          <w:color w:val="auto"/>
          <w:spacing w:val="9"/>
          <w:sz w:val="24"/>
          <w:szCs w:val="24"/>
          <w:highlight w:val="none"/>
        </w:rPr>
        <w:t>派项目经理为退休返聘人员无法提供社保证明的，提供退休证和劳动合同彩色扫描件。</w:t>
      </w:r>
    </w:p>
    <w:p w14:paraId="0D3E39AB">
      <w:pPr>
        <w:spacing w:before="150" w:line="300" w:lineRule="auto"/>
        <w:ind w:left="49" w:right="170" w:firstLine="42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5</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7"/>
          <w:sz w:val="24"/>
          <w:szCs w:val="24"/>
          <w:highlight w:val="none"/>
        </w:rPr>
        <w:t>．“进粤企业和人员诚信信息登记平台</w:t>
      </w:r>
      <w:r>
        <w:rPr>
          <w:rFonts w:hint="eastAsia" w:ascii="宋体" w:hAnsi="宋体" w:eastAsia="宋体" w:cs="宋体"/>
          <w:color w:val="auto"/>
          <w:spacing w:val="-73"/>
          <w:sz w:val="24"/>
          <w:szCs w:val="24"/>
          <w:highlight w:val="none"/>
        </w:rPr>
        <w:t xml:space="preserve"> </w:t>
      </w:r>
      <w:r>
        <w:rPr>
          <w:rFonts w:hint="eastAsia" w:ascii="宋体" w:hAnsi="宋体" w:eastAsia="宋体" w:cs="宋体"/>
          <w:color w:val="auto"/>
          <w:spacing w:val="7"/>
          <w:sz w:val="24"/>
          <w:szCs w:val="24"/>
          <w:highlight w:val="none"/>
        </w:rPr>
        <w:t>”个人（项目经理等）信息</w:t>
      </w:r>
      <w:r>
        <w:rPr>
          <w:rFonts w:hint="eastAsia" w:ascii="宋体" w:hAnsi="宋体" w:eastAsia="宋体" w:cs="宋体"/>
          <w:color w:val="auto"/>
          <w:spacing w:val="6"/>
          <w:sz w:val="24"/>
          <w:szCs w:val="24"/>
          <w:highlight w:val="none"/>
        </w:rPr>
        <w:t>情况截图。（适用于省外建</w:t>
      </w:r>
      <w:r>
        <w:rPr>
          <w:rFonts w:hint="eastAsia" w:ascii="宋体" w:hAnsi="宋体" w:eastAsia="宋体" w:cs="宋体"/>
          <w:color w:val="auto"/>
          <w:spacing w:val="4"/>
          <w:sz w:val="24"/>
          <w:szCs w:val="24"/>
          <w:highlight w:val="none"/>
        </w:rPr>
        <w:t>筑企业）</w:t>
      </w:r>
    </w:p>
    <w:p w14:paraId="653B6D5B">
      <w:pPr>
        <w:spacing w:line="300" w:lineRule="auto"/>
        <w:rPr>
          <w:rFonts w:hint="eastAsia" w:ascii="宋体" w:hAnsi="宋体" w:eastAsia="宋体" w:cs="宋体"/>
          <w:color w:val="auto"/>
          <w:sz w:val="20"/>
          <w:szCs w:val="20"/>
          <w:highlight w:val="none"/>
        </w:rPr>
        <w:sectPr>
          <w:footerReference r:id="rId19"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CB8FACF">
      <w:pPr>
        <w:spacing w:before="78" w:line="220" w:lineRule="auto"/>
        <w:outlineLvl w:val="2"/>
        <w:rPr>
          <w:rFonts w:hint="eastAsia" w:ascii="宋体" w:hAnsi="宋体" w:eastAsia="宋体" w:cs="宋体"/>
          <w:b/>
          <w:bCs/>
          <w:color w:val="auto"/>
          <w:spacing w:val="-4"/>
          <w:sz w:val="24"/>
          <w:szCs w:val="24"/>
          <w:highlight w:val="none"/>
        </w:rPr>
      </w:pPr>
      <w:bookmarkStart w:id="254" w:name="_Toc30661"/>
      <w:r>
        <w:rPr>
          <w:rFonts w:hint="eastAsia" w:ascii="宋体" w:hAnsi="宋体" w:eastAsia="宋体" w:cs="宋体"/>
          <w:b/>
          <w:bCs/>
          <w:color w:val="auto"/>
          <w:spacing w:val="-4"/>
          <w:sz w:val="24"/>
          <w:szCs w:val="24"/>
          <w:highlight w:val="none"/>
        </w:rPr>
        <w:t>格式九 项目经理任职声明</w:t>
      </w:r>
      <w:bookmarkEnd w:id="254"/>
    </w:p>
    <w:p w14:paraId="50763957">
      <w:pPr>
        <w:pStyle w:val="5"/>
        <w:spacing w:line="350" w:lineRule="auto"/>
        <w:rPr>
          <w:rFonts w:hint="eastAsia" w:ascii="宋体" w:hAnsi="宋体" w:eastAsia="宋体" w:cs="宋体"/>
          <w:color w:val="auto"/>
          <w:highlight w:val="none"/>
        </w:rPr>
      </w:pPr>
    </w:p>
    <w:p w14:paraId="72B47896">
      <w:pPr>
        <w:pStyle w:val="5"/>
        <w:spacing w:line="350" w:lineRule="auto"/>
        <w:rPr>
          <w:rFonts w:hint="eastAsia" w:ascii="宋体" w:hAnsi="宋体" w:eastAsia="宋体" w:cs="宋体"/>
          <w:color w:val="auto"/>
          <w:highlight w:val="none"/>
        </w:rPr>
      </w:pPr>
    </w:p>
    <w:p w14:paraId="532FA83A">
      <w:pPr>
        <w:spacing w:before="98" w:line="220" w:lineRule="auto"/>
        <w:ind w:left="3338"/>
        <w:rPr>
          <w:rFonts w:hint="eastAsia" w:ascii="宋体" w:hAnsi="宋体" w:eastAsia="宋体" w:cs="宋体"/>
          <w:color w:val="auto"/>
          <w:sz w:val="30"/>
          <w:szCs w:val="30"/>
          <w:highlight w:val="none"/>
        </w:rPr>
      </w:pPr>
      <w:bookmarkStart w:id="255" w:name="bookmark157"/>
      <w:bookmarkEnd w:id="255"/>
      <w:r>
        <w:rPr>
          <w:rFonts w:hint="eastAsia" w:ascii="宋体" w:hAnsi="宋体" w:eastAsia="宋体" w:cs="宋体"/>
          <w:b/>
          <w:bCs/>
          <w:color w:val="auto"/>
          <w:spacing w:val="-5"/>
          <w:sz w:val="30"/>
          <w:szCs w:val="30"/>
          <w:highlight w:val="none"/>
        </w:rPr>
        <w:t>项目经理任职声明</w:t>
      </w:r>
    </w:p>
    <w:p w14:paraId="3B33C0D5">
      <w:pPr>
        <w:pStyle w:val="5"/>
        <w:spacing w:line="250" w:lineRule="auto"/>
        <w:rPr>
          <w:rFonts w:hint="eastAsia" w:ascii="宋体" w:hAnsi="宋体" w:eastAsia="宋体" w:cs="宋体"/>
          <w:color w:val="auto"/>
          <w:highlight w:val="none"/>
        </w:rPr>
      </w:pPr>
    </w:p>
    <w:p w14:paraId="09BEE3C9">
      <w:pPr>
        <w:pStyle w:val="5"/>
        <w:spacing w:line="250" w:lineRule="auto"/>
        <w:rPr>
          <w:rFonts w:hint="eastAsia" w:ascii="宋体" w:hAnsi="宋体" w:eastAsia="宋体" w:cs="宋体"/>
          <w:color w:val="auto"/>
          <w:highlight w:val="none"/>
        </w:rPr>
      </w:pPr>
    </w:p>
    <w:p w14:paraId="0AA4EB6D">
      <w:pPr>
        <w:pStyle w:val="5"/>
        <w:spacing w:line="251" w:lineRule="auto"/>
        <w:rPr>
          <w:rFonts w:hint="eastAsia" w:ascii="宋体" w:hAnsi="宋体" w:eastAsia="宋体" w:cs="宋体"/>
          <w:color w:val="auto"/>
          <w:highlight w:val="none"/>
        </w:rPr>
      </w:pPr>
    </w:p>
    <w:p w14:paraId="3FE5935C">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致</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17"/>
          <w:sz w:val="24"/>
          <w:szCs w:val="24"/>
          <w:highlight w:val="none"/>
          <w:u w:val="single"/>
          <w:lang w:val="en-US" w:eastAsia="zh-CN"/>
        </w:rPr>
        <w:t xml:space="preserve">                </w:t>
      </w:r>
      <w:r>
        <w:rPr>
          <w:rFonts w:hint="eastAsia" w:ascii="宋体" w:hAnsi="宋体" w:eastAsia="宋体" w:cs="宋体"/>
          <w:color w:val="auto"/>
          <w:spacing w:val="-17"/>
          <w:sz w:val="24"/>
          <w:szCs w:val="24"/>
          <w:highlight w:val="none"/>
        </w:rPr>
        <w:t>（</w:t>
      </w:r>
      <w:r>
        <w:rPr>
          <w:rFonts w:hint="eastAsia" w:ascii="宋体" w:hAnsi="宋体" w:eastAsia="宋体" w:cs="宋体"/>
          <w:color w:val="auto"/>
          <w:spacing w:val="9"/>
          <w:sz w:val="24"/>
          <w:szCs w:val="24"/>
          <w:highlight w:val="none"/>
        </w:rPr>
        <w:t>招标人名称</w:t>
      </w:r>
      <w:r>
        <w:rPr>
          <w:rFonts w:hint="eastAsia" w:ascii="宋体" w:hAnsi="宋体" w:eastAsia="宋体" w:cs="宋体"/>
          <w:color w:val="auto"/>
          <w:spacing w:val="-17"/>
          <w:sz w:val="24"/>
          <w:szCs w:val="24"/>
          <w:highlight w:val="none"/>
        </w:rPr>
        <w:t>）</w:t>
      </w:r>
    </w:p>
    <w:p w14:paraId="1238383B">
      <w:pPr>
        <w:spacing w:before="155"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我方在此声明，我方拟派往</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（项目名称）的项目经理</w:t>
      </w:r>
      <w:r>
        <w:rPr>
          <w:rFonts w:hint="eastAsia" w:ascii="宋体" w:hAnsi="宋体" w:eastAsia="宋体" w:cs="宋体"/>
          <w:color w:val="auto"/>
          <w:spacing w:val="-2"/>
          <w:sz w:val="24"/>
          <w:szCs w:val="24"/>
          <w:highlight w:val="none"/>
          <w:u w:val="single"/>
          <w:lang w:val="en-US" w:eastAsia="zh-CN"/>
        </w:rPr>
        <w:t xml:space="preserve">        </w:t>
      </w:r>
      <w:r>
        <w:rPr>
          <w:rFonts w:hint="eastAsia" w:ascii="宋体" w:hAnsi="宋体" w:eastAsia="宋体" w:cs="宋体"/>
          <w:color w:val="auto"/>
          <w:spacing w:val="-2"/>
          <w:sz w:val="24"/>
          <w:szCs w:val="24"/>
          <w:highlight w:val="none"/>
        </w:rPr>
        <w:t>（项目经理姓名）现阶段没有</w:t>
      </w:r>
      <w:r>
        <w:rPr>
          <w:rFonts w:hint="eastAsia" w:ascii="宋体" w:hAnsi="宋体" w:eastAsia="宋体" w:cs="宋体"/>
          <w:color w:val="auto"/>
          <w:sz w:val="24"/>
          <w:szCs w:val="24"/>
          <w:highlight w:val="none"/>
        </w:rPr>
        <w:t>担任任何在施（包括已中标未开工、已开工未竣工）</w:t>
      </w:r>
      <w:r>
        <w:rPr>
          <w:rFonts w:hint="eastAsia" w:ascii="宋体" w:hAnsi="宋体" w:eastAsia="宋体" w:cs="宋体"/>
          <w:color w:val="auto"/>
          <w:spacing w:val="-1"/>
          <w:sz w:val="24"/>
          <w:szCs w:val="24"/>
          <w:highlight w:val="none"/>
        </w:rPr>
        <w:t>建设工程项目的项目经理。</w:t>
      </w:r>
    </w:p>
    <w:p w14:paraId="03E5EC4A">
      <w:pPr>
        <w:spacing w:before="35" w:line="326" w:lineRule="auto"/>
        <w:ind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我方保证上述信息的真实和准确，并愿意承担因我方就此弄虚作假所引起的一切法</w:t>
      </w:r>
      <w:r>
        <w:rPr>
          <w:rFonts w:hint="eastAsia" w:ascii="宋体" w:hAnsi="宋体" w:eastAsia="宋体" w:cs="宋体"/>
          <w:color w:val="auto"/>
          <w:spacing w:val="-3"/>
          <w:sz w:val="24"/>
          <w:szCs w:val="24"/>
          <w:highlight w:val="none"/>
        </w:rPr>
        <w:t>律后果。</w:t>
      </w:r>
    </w:p>
    <w:p w14:paraId="5CB9C3E7">
      <w:pPr>
        <w:pStyle w:val="5"/>
        <w:spacing w:line="391" w:lineRule="auto"/>
        <w:rPr>
          <w:rFonts w:hint="eastAsia" w:ascii="宋体" w:hAnsi="宋体" w:eastAsia="宋体" w:cs="宋体"/>
          <w:color w:val="auto"/>
          <w:highlight w:val="none"/>
        </w:rPr>
      </w:pPr>
    </w:p>
    <w:p w14:paraId="024308CE">
      <w:pPr>
        <w:spacing w:before="78" w:line="220" w:lineRule="auto"/>
        <w:ind w:left="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特此承诺</w:t>
      </w:r>
    </w:p>
    <w:p w14:paraId="42159746">
      <w:pPr>
        <w:pStyle w:val="5"/>
        <w:spacing w:line="316" w:lineRule="auto"/>
        <w:rPr>
          <w:rFonts w:hint="eastAsia" w:ascii="宋体" w:hAnsi="宋体" w:eastAsia="宋体" w:cs="宋体"/>
          <w:color w:val="auto"/>
          <w:highlight w:val="none"/>
        </w:rPr>
      </w:pPr>
    </w:p>
    <w:p w14:paraId="4D0D96FE">
      <w:pPr>
        <w:pStyle w:val="5"/>
        <w:spacing w:line="317" w:lineRule="auto"/>
        <w:rPr>
          <w:rFonts w:hint="eastAsia" w:ascii="宋体" w:hAnsi="宋体" w:eastAsia="宋体" w:cs="宋体"/>
          <w:color w:val="auto"/>
          <w:highlight w:val="none"/>
        </w:rPr>
      </w:pPr>
    </w:p>
    <w:p w14:paraId="3A9D0045">
      <w:pPr>
        <w:pStyle w:val="5"/>
        <w:spacing w:line="317" w:lineRule="auto"/>
        <w:rPr>
          <w:rFonts w:hint="eastAsia" w:ascii="宋体" w:hAnsi="宋体" w:eastAsia="宋体" w:cs="宋体"/>
          <w:color w:val="auto"/>
          <w:highlight w:val="none"/>
        </w:rPr>
      </w:pPr>
    </w:p>
    <w:p w14:paraId="4EFCA4D3">
      <w:pPr>
        <w:spacing w:before="79"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投标人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2"/>
          <w:sz w:val="24"/>
          <w:szCs w:val="24"/>
          <w:highlight w:val="none"/>
        </w:rPr>
        <w:t>盖单位章）</w:t>
      </w:r>
    </w:p>
    <w:p w14:paraId="11473C24">
      <w:pPr>
        <w:pStyle w:val="5"/>
        <w:spacing w:line="317" w:lineRule="auto"/>
        <w:rPr>
          <w:rFonts w:hint="eastAsia" w:ascii="宋体" w:hAnsi="宋体" w:eastAsia="宋体" w:cs="宋体"/>
          <w:color w:val="auto"/>
          <w:highlight w:val="none"/>
        </w:rPr>
      </w:pPr>
    </w:p>
    <w:p w14:paraId="542278CE">
      <w:pPr>
        <w:pStyle w:val="5"/>
        <w:spacing w:line="317" w:lineRule="auto"/>
        <w:rPr>
          <w:rFonts w:hint="eastAsia" w:ascii="宋体" w:hAnsi="宋体" w:eastAsia="宋体" w:cs="宋体"/>
          <w:color w:val="auto"/>
          <w:highlight w:val="none"/>
        </w:rPr>
      </w:pPr>
    </w:p>
    <w:p w14:paraId="72A1A21F">
      <w:pPr>
        <w:pStyle w:val="5"/>
        <w:spacing w:line="317" w:lineRule="auto"/>
        <w:rPr>
          <w:rFonts w:hint="eastAsia" w:ascii="宋体" w:hAnsi="宋体" w:eastAsia="宋体" w:cs="宋体"/>
          <w:color w:val="auto"/>
          <w:highlight w:val="none"/>
        </w:rPr>
      </w:pPr>
    </w:p>
    <w:p w14:paraId="78744719">
      <w:pPr>
        <w:spacing w:before="78" w:line="219"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法定代表人或其委托代理人</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1"/>
          <w:sz w:val="24"/>
          <w:szCs w:val="24"/>
          <w:highlight w:val="none"/>
        </w:rPr>
        <w:t>签字或盖章）</w:t>
      </w:r>
    </w:p>
    <w:p w14:paraId="5D5950AE">
      <w:pPr>
        <w:pStyle w:val="5"/>
        <w:spacing w:line="257" w:lineRule="auto"/>
        <w:rPr>
          <w:rFonts w:hint="eastAsia" w:ascii="宋体" w:hAnsi="宋体" w:eastAsia="宋体" w:cs="宋体"/>
          <w:color w:val="auto"/>
          <w:highlight w:val="none"/>
        </w:rPr>
      </w:pPr>
    </w:p>
    <w:p w14:paraId="6A0A2006">
      <w:pPr>
        <w:pStyle w:val="5"/>
        <w:spacing w:line="257" w:lineRule="auto"/>
        <w:rPr>
          <w:rFonts w:hint="eastAsia" w:ascii="宋体" w:hAnsi="宋体" w:eastAsia="宋体" w:cs="宋体"/>
          <w:color w:val="auto"/>
          <w:highlight w:val="none"/>
        </w:rPr>
      </w:pPr>
    </w:p>
    <w:p w14:paraId="129D384D">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6DFD9D42">
      <w:pPr>
        <w:spacing w:line="220" w:lineRule="auto"/>
        <w:rPr>
          <w:rFonts w:hint="eastAsia" w:ascii="宋体" w:hAnsi="宋体" w:eastAsia="宋体" w:cs="宋体"/>
          <w:color w:val="auto"/>
          <w:sz w:val="24"/>
          <w:szCs w:val="24"/>
          <w:highlight w:val="none"/>
        </w:rPr>
        <w:sectPr>
          <w:footerReference r:id="rId20"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065BFDBC">
      <w:pPr>
        <w:spacing w:before="78" w:line="220" w:lineRule="auto"/>
        <w:outlineLvl w:val="2"/>
        <w:rPr>
          <w:rFonts w:hint="eastAsia" w:ascii="宋体" w:hAnsi="宋体" w:eastAsia="宋体" w:cs="宋体"/>
          <w:b/>
          <w:bCs/>
          <w:color w:val="auto"/>
          <w:spacing w:val="-4"/>
          <w:sz w:val="24"/>
          <w:szCs w:val="24"/>
          <w:highlight w:val="none"/>
        </w:rPr>
      </w:pPr>
      <w:bookmarkStart w:id="256" w:name="_Toc31071"/>
      <w:r>
        <w:rPr>
          <w:rFonts w:hint="eastAsia" w:ascii="宋体" w:hAnsi="宋体" w:eastAsia="宋体" w:cs="宋体"/>
          <w:b/>
          <w:bCs/>
          <w:color w:val="auto"/>
          <w:spacing w:val="-4"/>
          <w:sz w:val="24"/>
          <w:szCs w:val="24"/>
          <w:highlight w:val="none"/>
        </w:rPr>
        <w:t>格式十 项目技术负责人简历表</w:t>
      </w:r>
      <w:bookmarkEnd w:id="256"/>
    </w:p>
    <w:p w14:paraId="2B5EE9D3">
      <w:pPr>
        <w:pStyle w:val="5"/>
        <w:spacing w:line="444" w:lineRule="auto"/>
        <w:rPr>
          <w:rFonts w:hint="eastAsia" w:ascii="宋体" w:hAnsi="宋体" w:eastAsia="宋体" w:cs="宋体"/>
          <w:color w:val="auto"/>
          <w:highlight w:val="none"/>
        </w:rPr>
      </w:pPr>
    </w:p>
    <w:p w14:paraId="660126C7">
      <w:pPr>
        <w:spacing w:before="97" w:line="219" w:lineRule="auto"/>
        <w:ind w:left="3087"/>
        <w:outlineLvl w:val="9"/>
        <w:rPr>
          <w:rFonts w:hint="eastAsia" w:ascii="宋体" w:hAnsi="宋体" w:eastAsia="宋体" w:cs="宋体"/>
          <w:color w:val="auto"/>
          <w:sz w:val="30"/>
          <w:szCs w:val="30"/>
          <w:highlight w:val="none"/>
        </w:rPr>
      </w:pPr>
      <w:bookmarkStart w:id="257" w:name="_Toc25712"/>
      <w:bookmarkStart w:id="258" w:name="_Toc1553"/>
      <w:r>
        <w:rPr>
          <w:rFonts w:hint="eastAsia" w:ascii="宋体" w:hAnsi="宋体" w:eastAsia="宋体" w:cs="宋体"/>
          <w:b/>
          <w:bCs/>
          <w:color w:val="auto"/>
          <w:spacing w:val="-4"/>
          <w:sz w:val="30"/>
          <w:szCs w:val="30"/>
          <w:highlight w:val="none"/>
        </w:rPr>
        <w:t>项目技术负责人简历表</w:t>
      </w:r>
      <w:bookmarkEnd w:id="257"/>
      <w:bookmarkEnd w:id="258"/>
    </w:p>
    <w:p w14:paraId="793853DC">
      <w:pPr>
        <w:spacing w:line="240" w:lineRule="exact"/>
        <w:rPr>
          <w:rFonts w:hint="eastAsia" w:ascii="宋体" w:hAnsi="宋体" w:eastAsia="宋体" w:cs="宋体"/>
          <w:color w:val="auto"/>
          <w:highlight w:val="none"/>
        </w:rPr>
      </w:pPr>
    </w:p>
    <w:tbl>
      <w:tblPr>
        <w:tblStyle w:val="14"/>
        <w:tblW w:w="9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003"/>
        <w:gridCol w:w="607"/>
        <w:gridCol w:w="675"/>
        <w:gridCol w:w="1346"/>
        <w:gridCol w:w="2047"/>
        <w:gridCol w:w="1783"/>
        <w:gridCol w:w="1386"/>
      </w:tblGrid>
      <w:tr w14:paraId="16095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1813" w:type="dxa"/>
            <w:gridSpan w:val="2"/>
            <w:vAlign w:val="top"/>
          </w:tcPr>
          <w:p w14:paraId="1A29E8E9">
            <w:pPr>
              <w:spacing w:before="177" w:line="228" w:lineRule="auto"/>
              <w:ind w:left="50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名</w:t>
            </w:r>
          </w:p>
        </w:tc>
        <w:tc>
          <w:tcPr>
            <w:tcW w:w="1282" w:type="dxa"/>
            <w:gridSpan w:val="2"/>
            <w:vAlign w:val="top"/>
          </w:tcPr>
          <w:p w14:paraId="61E80740">
            <w:pPr>
              <w:pStyle w:val="21"/>
              <w:rPr>
                <w:rFonts w:hint="eastAsia" w:ascii="宋体" w:hAnsi="宋体" w:eastAsia="宋体" w:cs="宋体"/>
                <w:color w:val="auto"/>
                <w:sz w:val="24"/>
                <w:szCs w:val="24"/>
                <w:highlight w:val="none"/>
              </w:rPr>
            </w:pPr>
          </w:p>
        </w:tc>
        <w:tc>
          <w:tcPr>
            <w:tcW w:w="1346" w:type="dxa"/>
            <w:vAlign w:val="top"/>
          </w:tcPr>
          <w:p w14:paraId="31353E9D">
            <w:pPr>
              <w:spacing w:before="177" w:line="229" w:lineRule="auto"/>
              <w:ind w:left="3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z w:val="24"/>
                <w:szCs w:val="24"/>
                <w:highlight w:val="none"/>
              </w:rPr>
              <w:t>别</w:t>
            </w:r>
          </w:p>
        </w:tc>
        <w:tc>
          <w:tcPr>
            <w:tcW w:w="2047" w:type="dxa"/>
            <w:vAlign w:val="top"/>
          </w:tcPr>
          <w:p w14:paraId="7598C3B0">
            <w:pPr>
              <w:pStyle w:val="21"/>
              <w:rPr>
                <w:rFonts w:hint="eastAsia" w:ascii="宋体" w:hAnsi="宋体" w:eastAsia="宋体" w:cs="宋体"/>
                <w:color w:val="auto"/>
                <w:sz w:val="24"/>
                <w:szCs w:val="24"/>
                <w:highlight w:val="none"/>
              </w:rPr>
            </w:pPr>
          </w:p>
        </w:tc>
        <w:tc>
          <w:tcPr>
            <w:tcW w:w="1783" w:type="dxa"/>
            <w:vAlign w:val="top"/>
          </w:tcPr>
          <w:p w14:paraId="079602E5">
            <w:pPr>
              <w:spacing w:before="177" w:line="228" w:lineRule="auto"/>
              <w:ind w:left="48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龄</w:t>
            </w:r>
          </w:p>
        </w:tc>
        <w:tc>
          <w:tcPr>
            <w:tcW w:w="1386" w:type="dxa"/>
            <w:vAlign w:val="top"/>
          </w:tcPr>
          <w:p w14:paraId="5C37597F">
            <w:pPr>
              <w:pStyle w:val="21"/>
              <w:rPr>
                <w:rFonts w:hint="eastAsia" w:ascii="宋体" w:hAnsi="宋体" w:eastAsia="宋体" w:cs="宋体"/>
                <w:color w:val="auto"/>
                <w:sz w:val="24"/>
                <w:szCs w:val="24"/>
                <w:highlight w:val="none"/>
              </w:rPr>
            </w:pPr>
          </w:p>
        </w:tc>
      </w:tr>
      <w:tr w14:paraId="09A41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1813" w:type="dxa"/>
            <w:gridSpan w:val="2"/>
            <w:vAlign w:val="top"/>
          </w:tcPr>
          <w:p w14:paraId="236887D3">
            <w:pPr>
              <w:spacing w:before="175" w:line="228" w:lineRule="auto"/>
              <w:ind w:left="50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z w:val="24"/>
                <w:szCs w:val="24"/>
                <w:highlight w:val="none"/>
              </w:rPr>
              <w:t>务</w:t>
            </w:r>
          </w:p>
        </w:tc>
        <w:tc>
          <w:tcPr>
            <w:tcW w:w="1282" w:type="dxa"/>
            <w:gridSpan w:val="2"/>
            <w:vAlign w:val="top"/>
          </w:tcPr>
          <w:p w14:paraId="5FED17BA">
            <w:pPr>
              <w:pStyle w:val="21"/>
              <w:rPr>
                <w:rFonts w:hint="eastAsia" w:ascii="宋体" w:hAnsi="宋体" w:eastAsia="宋体" w:cs="宋体"/>
                <w:color w:val="auto"/>
                <w:sz w:val="24"/>
                <w:szCs w:val="24"/>
                <w:highlight w:val="none"/>
              </w:rPr>
            </w:pPr>
          </w:p>
        </w:tc>
        <w:tc>
          <w:tcPr>
            <w:tcW w:w="1346" w:type="dxa"/>
            <w:vAlign w:val="top"/>
          </w:tcPr>
          <w:p w14:paraId="15CBDD7D">
            <w:pPr>
              <w:spacing w:before="174" w:line="231" w:lineRule="auto"/>
              <w:ind w:left="3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z w:val="24"/>
                <w:szCs w:val="24"/>
                <w:highlight w:val="none"/>
              </w:rPr>
              <w:t>称</w:t>
            </w:r>
          </w:p>
        </w:tc>
        <w:tc>
          <w:tcPr>
            <w:tcW w:w="2047" w:type="dxa"/>
            <w:vAlign w:val="top"/>
          </w:tcPr>
          <w:p w14:paraId="5CCBF957">
            <w:pPr>
              <w:pStyle w:val="21"/>
              <w:rPr>
                <w:rFonts w:hint="eastAsia" w:ascii="宋体" w:hAnsi="宋体" w:eastAsia="宋体" w:cs="宋体"/>
                <w:color w:val="auto"/>
                <w:sz w:val="24"/>
                <w:szCs w:val="24"/>
                <w:highlight w:val="none"/>
              </w:rPr>
            </w:pPr>
          </w:p>
        </w:tc>
        <w:tc>
          <w:tcPr>
            <w:tcW w:w="1783" w:type="dxa"/>
            <w:vAlign w:val="top"/>
          </w:tcPr>
          <w:p w14:paraId="01085AC3">
            <w:pPr>
              <w:spacing w:before="175" w:line="230" w:lineRule="auto"/>
              <w:ind w:left="49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学</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2"/>
                <w:sz w:val="24"/>
                <w:szCs w:val="24"/>
                <w:highlight w:val="none"/>
              </w:rPr>
              <w:t>历</w:t>
            </w:r>
          </w:p>
        </w:tc>
        <w:tc>
          <w:tcPr>
            <w:tcW w:w="1386" w:type="dxa"/>
            <w:vAlign w:val="top"/>
          </w:tcPr>
          <w:p w14:paraId="5F864FCF">
            <w:pPr>
              <w:pStyle w:val="21"/>
              <w:rPr>
                <w:rFonts w:hint="eastAsia" w:ascii="宋体" w:hAnsi="宋体" w:eastAsia="宋体" w:cs="宋体"/>
                <w:color w:val="auto"/>
                <w:sz w:val="24"/>
                <w:szCs w:val="24"/>
                <w:highlight w:val="none"/>
              </w:rPr>
            </w:pPr>
          </w:p>
        </w:tc>
      </w:tr>
      <w:tr w14:paraId="7CDBF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1813" w:type="dxa"/>
            <w:gridSpan w:val="2"/>
            <w:vAlign w:val="top"/>
          </w:tcPr>
          <w:p w14:paraId="14018382">
            <w:pPr>
              <w:spacing w:before="175" w:line="229" w:lineRule="auto"/>
              <w:ind w:left="24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参加工作时间</w:t>
            </w:r>
          </w:p>
        </w:tc>
        <w:tc>
          <w:tcPr>
            <w:tcW w:w="2628" w:type="dxa"/>
            <w:gridSpan w:val="3"/>
            <w:vAlign w:val="top"/>
          </w:tcPr>
          <w:p w14:paraId="2F2884CD">
            <w:pPr>
              <w:pStyle w:val="21"/>
              <w:rPr>
                <w:rFonts w:hint="eastAsia" w:ascii="宋体" w:hAnsi="宋体" w:eastAsia="宋体" w:cs="宋体"/>
                <w:color w:val="auto"/>
                <w:sz w:val="24"/>
                <w:szCs w:val="24"/>
                <w:highlight w:val="none"/>
              </w:rPr>
            </w:pPr>
          </w:p>
        </w:tc>
        <w:tc>
          <w:tcPr>
            <w:tcW w:w="3830" w:type="dxa"/>
            <w:gridSpan w:val="2"/>
            <w:vAlign w:val="top"/>
          </w:tcPr>
          <w:p w14:paraId="1475BD90">
            <w:pPr>
              <w:spacing w:before="176" w:line="228" w:lineRule="auto"/>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从事工程建设项目管理工作年限</w:t>
            </w:r>
          </w:p>
        </w:tc>
        <w:tc>
          <w:tcPr>
            <w:tcW w:w="1386" w:type="dxa"/>
            <w:vAlign w:val="top"/>
          </w:tcPr>
          <w:p w14:paraId="6C32E237">
            <w:pPr>
              <w:pStyle w:val="21"/>
              <w:rPr>
                <w:rFonts w:hint="eastAsia" w:ascii="宋体" w:hAnsi="宋体" w:eastAsia="宋体" w:cs="宋体"/>
                <w:color w:val="auto"/>
                <w:sz w:val="24"/>
                <w:szCs w:val="24"/>
                <w:highlight w:val="none"/>
              </w:rPr>
            </w:pPr>
          </w:p>
        </w:tc>
      </w:tr>
      <w:tr w14:paraId="488B9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9657" w:type="dxa"/>
            <w:gridSpan w:val="8"/>
            <w:vAlign w:val="top"/>
          </w:tcPr>
          <w:p w14:paraId="5F95069B">
            <w:pPr>
              <w:spacing w:before="176" w:line="228" w:lineRule="auto"/>
              <w:ind w:left="204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以项目技术负责人身份参与过的主要业绩（已完工项目）</w:t>
            </w:r>
          </w:p>
        </w:tc>
      </w:tr>
      <w:tr w14:paraId="1766D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jc w:val="center"/>
        </w:trPr>
        <w:tc>
          <w:tcPr>
            <w:tcW w:w="810" w:type="dxa"/>
            <w:vAlign w:val="top"/>
          </w:tcPr>
          <w:p w14:paraId="1091015C">
            <w:pPr>
              <w:spacing w:before="176" w:line="230" w:lineRule="auto"/>
              <w:ind w:left="183"/>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1610" w:type="dxa"/>
            <w:gridSpan w:val="2"/>
            <w:vAlign w:val="top"/>
          </w:tcPr>
          <w:p w14:paraId="5142899E">
            <w:pPr>
              <w:spacing w:before="176" w:line="229" w:lineRule="auto"/>
              <w:ind w:left="35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项目名称</w:t>
            </w:r>
          </w:p>
        </w:tc>
        <w:tc>
          <w:tcPr>
            <w:tcW w:w="2021" w:type="dxa"/>
            <w:gridSpan w:val="2"/>
            <w:vAlign w:val="top"/>
          </w:tcPr>
          <w:p w14:paraId="4A3183BC">
            <w:pPr>
              <w:spacing w:before="176" w:line="229" w:lineRule="auto"/>
              <w:ind w:left="55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建设单位</w:t>
            </w:r>
          </w:p>
        </w:tc>
        <w:tc>
          <w:tcPr>
            <w:tcW w:w="2047" w:type="dxa"/>
            <w:vAlign w:val="top"/>
          </w:tcPr>
          <w:p w14:paraId="67784B04">
            <w:pPr>
              <w:spacing w:before="176"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建设内容和规模</w:t>
            </w:r>
          </w:p>
        </w:tc>
        <w:tc>
          <w:tcPr>
            <w:tcW w:w="1783" w:type="dxa"/>
            <w:vAlign w:val="top"/>
          </w:tcPr>
          <w:p w14:paraId="25EE5667">
            <w:pPr>
              <w:spacing w:before="176" w:line="228" w:lineRule="auto"/>
              <w:ind w:left="237"/>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开、竣工日期</w:t>
            </w:r>
          </w:p>
        </w:tc>
        <w:tc>
          <w:tcPr>
            <w:tcW w:w="1386" w:type="dxa"/>
            <w:vAlign w:val="top"/>
          </w:tcPr>
          <w:p w14:paraId="447C6AB8">
            <w:pPr>
              <w:spacing w:before="176" w:line="228" w:lineRule="auto"/>
              <w:ind w:left="251"/>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质量等级</w:t>
            </w:r>
          </w:p>
        </w:tc>
      </w:tr>
      <w:tr w14:paraId="53E32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472189AA">
            <w:pPr>
              <w:spacing w:before="214" w:line="195" w:lineRule="auto"/>
              <w:ind w:left="35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10" w:type="dxa"/>
            <w:gridSpan w:val="2"/>
            <w:vAlign w:val="top"/>
          </w:tcPr>
          <w:p w14:paraId="62B22E63">
            <w:pPr>
              <w:pStyle w:val="21"/>
              <w:rPr>
                <w:rFonts w:hint="eastAsia" w:ascii="宋体" w:hAnsi="宋体" w:eastAsia="宋体" w:cs="宋体"/>
                <w:color w:val="auto"/>
                <w:sz w:val="24"/>
                <w:szCs w:val="24"/>
                <w:highlight w:val="none"/>
              </w:rPr>
            </w:pPr>
          </w:p>
        </w:tc>
        <w:tc>
          <w:tcPr>
            <w:tcW w:w="2021" w:type="dxa"/>
            <w:gridSpan w:val="2"/>
            <w:vAlign w:val="top"/>
          </w:tcPr>
          <w:p w14:paraId="3F5ED66B">
            <w:pPr>
              <w:pStyle w:val="21"/>
              <w:rPr>
                <w:rFonts w:hint="eastAsia" w:ascii="宋体" w:hAnsi="宋体" w:eastAsia="宋体" w:cs="宋体"/>
                <w:color w:val="auto"/>
                <w:sz w:val="24"/>
                <w:szCs w:val="24"/>
                <w:highlight w:val="none"/>
              </w:rPr>
            </w:pPr>
          </w:p>
        </w:tc>
        <w:tc>
          <w:tcPr>
            <w:tcW w:w="2047" w:type="dxa"/>
            <w:vAlign w:val="top"/>
          </w:tcPr>
          <w:p w14:paraId="75504A0F">
            <w:pPr>
              <w:pStyle w:val="21"/>
              <w:rPr>
                <w:rFonts w:hint="eastAsia" w:ascii="宋体" w:hAnsi="宋体" w:eastAsia="宋体" w:cs="宋体"/>
                <w:color w:val="auto"/>
                <w:sz w:val="24"/>
                <w:szCs w:val="24"/>
                <w:highlight w:val="none"/>
              </w:rPr>
            </w:pPr>
          </w:p>
        </w:tc>
        <w:tc>
          <w:tcPr>
            <w:tcW w:w="1783" w:type="dxa"/>
            <w:vAlign w:val="top"/>
          </w:tcPr>
          <w:p w14:paraId="647437AC">
            <w:pPr>
              <w:pStyle w:val="21"/>
              <w:rPr>
                <w:rFonts w:hint="eastAsia" w:ascii="宋体" w:hAnsi="宋体" w:eastAsia="宋体" w:cs="宋体"/>
                <w:color w:val="auto"/>
                <w:sz w:val="24"/>
                <w:szCs w:val="24"/>
                <w:highlight w:val="none"/>
              </w:rPr>
            </w:pPr>
          </w:p>
        </w:tc>
        <w:tc>
          <w:tcPr>
            <w:tcW w:w="1386" w:type="dxa"/>
            <w:vAlign w:val="top"/>
          </w:tcPr>
          <w:p w14:paraId="5B367338">
            <w:pPr>
              <w:pStyle w:val="21"/>
              <w:rPr>
                <w:rFonts w:hint="eastAsia" w:ascii="宋体" w:hAnsi="宋体" w:eastAsia="宋体" w:cs="宋体"/>
                <w:color w:val="auto"/>
                <w:sz w:val="24"/>
                <w:szCs w:val="24"/>
                <w:highlight w:val="none"/>
              </w:rPr>
            </w:pPr>
          </w:p>
        </w:tc>
      </w:tr>
      <w:tr w14:paraId="1156F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jc w:val="center"/>
        </w:trPr>
        <w:tc>
          <w:tcPr>
            <w:tcW w:w="810" w:type="dxa"/>
            <w:vAlign w:val="top"/>
          </w:tcPr>
          <w:p w14:paraId="2909C01B">
            <w:pPr>
              <w:spacing w:before="213" w:line="195" w:lineRule="auto"/>
              <w:ind w:left="33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10" w:type="dxa"/>
            <w:gridSpan w:val="2"/>
            <w:vAlign w:val="top"/>
          </w:tcPr>
          <w:p w14:paraId="51422255">
            <w:pPr>
              <w:pStyle w:val="21"/>
              <w:rPr>
                <w:rFonts w:hint="eastAsia" w:ascii="宋体" w:hAnsi="宋体" w:eastAsia="宋体" w:cs="宋体"/>
                <w:color w:val="auto"/>
                <w:sz w:val="24"/>
                <w:szCs w:val="24"/>
                <w:highlight w:val="none"/>
              </w:rPr>
            </w:pPr>
          </w:p>
        </w:tc>
        <w:tc>
          <w:tcPr>
            <w:tcW w:w="2021" w:type="dxa"/>
            <w:gridSpan w:val="2"/>
            <w:vAlign w:val="top"/>
          </w:tcPr>
          <w:p w14:paraId="4273DA5B">
            <w:pPr>
              <w:pStyle w:val="21"/>
              <w:rPr>
                <w:rFonts w:hint="eastAsia" w:ascii="宋体" w:hAnsi="宋体" w:eastAsia="宋体" w:cs="宋体"/>
                <w:color w:val="auto"/>
                <w:sz w:val="24"/>
                <w:szCs w:val="24"/>
                <w:highlight w:val="none"/>
              </w:rPr>
            </w:pPr>
          </w:p>
        </w:tc>
        <w:tc>
          <w:tcPr>
            <w:tcW w:w="2047" w:type="dxa"/>
            <w:vAlign w:val="top"/>
          </w:tcPr>
          <w:p w14:paraId="1AAF2D51">
            <w:pPr>
              <w:pStyle w:val="21"/>
              <w:rPr>
                <w:rFonts w:hint="eastAsia" w:ascii="宋体" w:hAnsi="宋体" w:eastAsia="宋体" w:cs="宋体"/>
                <w:color w:val="auto"/>
                <w:sz w:val="24"/>
                <w:szCs w:val="24"/>
                <w:highlight w:val="none"/>
              </w:rPr>
            </w:pPr>
          </w:p>
        </w:tc>
        <w:tc>
          <w:tcPr>
            <w:tcW w:w="1783" w:type="dxa"/>
            <w:vAlign w:val="top"/>
          </w:tcPr>
          <w:p w14:paraId="051D15DF">
            <w:pPr>
              <w:pStyle w:val="21"/>
              <w:rPr>
                <w:rFonts w:hint="eastAsia" w:ascii="宋体" w:hAnsi="宋体" w:eastAsia="宋体" w:cs="宋体"/>
                <w:color w:val="auto"/>
                <w:sz w:val="24"/>
                <w:szCs w:val="24"/>
                <w:highlight w:val="none"/>
              </w:rPr>
            </w:pPr>
          </w:p>
        </w:tc>
        <w:tc>
          <w:tcPr>
            <w:tcW w:w="1386" w:type="dxa"/>
            <w:vAlign w:val="top"/>
          </w:tcPr>
          <w:p w14:paraId="4200AD4E">
            <w:pPr>
              <w:pStyle w:val="21"/>
              <w:rPr>
                <w:rFonts w:hint="eastAsia" w:ascii="宋体" w:hAnsi="宋体" w:eastAsia="宋体" w:cs="宋体"/>
                <w:color w:val="auto"/>
                <w:sz w:val="24"/>
                <w:szCs w:val="24"/>
                <w:highlight w:val="none"/>
              </w:rPr>
            </w:pPr>
          </w:p>
        </w:tc>
      </w:tr>
      <w:tr w14:paraId="75E63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6AE3C341">
            <w:pPr>
              <w:spacing w:before="178" w:line="324" w:lineRule="exact"/>
              <w:ind w:left="197"/>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610" w:type="dxa"/>
            <w:gridSpan w:val="2"/>
            <w:vAlign w:val="top"/>
          </w:tcPr>
          <w:p w14:paraId="5754BBC6">
            <w:pPr>
              <w:pStyle w:val="21"/>
              <w:rPr>
                <w:rFonts w:hint="eastAsia" w:ascii="宋体" w:hAnsi="宋体" w:eastAsia="宋体" w:cs="宋体"/>
                <w:color w:val="auto"/>
                <w:sz w:val="24"/>
                <w:szCs w:val="24"/>
                <w:highlight w:val="none"/>
              </w:rPr>
            </w:pPr>
          </w:p>
        </w:tc>
        <w:tc>
          <w:tcPr>
            <w:tcW w:w="2021" w:type="dxa"/>
            <w:gridSpan w:val="2"/>
            <w:vAlign w:val="top"/>
          </w:tcPr>
          <w:p w14:paraId="72F4C53F">
            <w:pPr>
              <w:pStyle w:val="21"/>
              <w:rPr>
                <w:rFonts w:hint="eastAsia" w:ascii="宋体" w:hAnsi="宋体" w:eastAsia="宋体" w:cs="宋体"/>
                <w:color w:val="auto"/>
                <w:sz w:val="24"/>
                <w:szCs w:val="24"/>
                <w:highlight w:val="none"/>
              </w:rPr>
            </w:pPr>
          </w:p>
        </w:tc>
        <w:tc>
          <w:tcPr>
            <w:tcW w:w="2047" w:type="dxa"/>
            <w:vAlign w:val="top"/>
          </w:tcPr>
          <w:p w14:paraId="0E072B1F">
            <w:pPr>
              <w:pStyle w:val="21"/>
              <w:rPr>
                <w:rFonts w:hint="eastAsia" w:ascii="宋体" w:hAnsi="宋体" w:eastAsia="宋体" w:cs="宋体"/>
                <w:color w:val="auto"/>
                <w:sz w:val="24"/>
                <w:szCs w:val="24"/>
                <w:highlight w:val="none"/>
              </w:rPr>
            </w:pPr>
          </w:p>
        </w:tc>
        <w:tc>
          <w:tcPr>
            <w:tcW w:w="1783" w:type="dxa"/>
            <w:vAlign w:val="top"/>
          </w:tcPr>
          <w:p w14:paraId="2FEEBEC8">
            <w:pPr>
              <w:pStyle w:val="21"/>
              <w:rPr>
                <w:rFonts w:hint="eastAsia" w:ascii="宋体" w:hAnsi="宋体" w:eastAsia="宋体" w:cs="宋体"/>
                <w:color w:val="auto"/>
                <w:sz w:val="24"/>
                <w:szCs w:val="24"/>
                <w:highlight w:val="none"/>
              </w:rPr>
            </w:pPr>
          </w:p>
        </w:tc>
        <w:tc>
          <w:tcPr>
            <w:tcW w:w="1386" w:type="dxa"/>
            <w:vAlign w:val="top"/>
          </w:tcPr>
          <w:p w14:paraId="45AD2BC7">
            <w:pPr>
              <w:pStyle w:val="21"/>
              <w:rPr>
                <w:rFonts w:hint="eastAsia" w:ascii="宋体" w:hAnsi="宋体" w:eastAsia="宋体" w:cs="宋体"/>
                <w:color w:val="auto"/>
                <w:sz w:val="24"/>
                <w:szCs w:val="24"/>
                <w:highlight w:val="none"/>
              </w:rPr>
            </w:pPr>
          </w:p>
        </w:tc>
      </w:tr>
      <w:tr w14:paraId="0E691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jc w:val="center"/>
        </w:trPr>
        <w:tc>
          <w:tcPr>
            <w:tcW w:w="810" w:type="dxa"/>
            <w:vAlign w:val="top"/>
          </w:tcPr>
          <w:p w14:paraId="100AE66B">
            <w:pPr>
              <w:pStyle w:val="21"/>
              <w:rPr>
                <w:rFonts w:hint="eastAsia" w:ascii="宋体" w:hAnsi="宋体" w:eastAsia="宋体" w:cs="宋体"/>
                <w:color w:val="auto"/>
                <w:sz w:val="24"/>
                <w:szCs w:val="24"/>
                <w:highlight w:val="none"/>
              </w:rPr>
            </w:pPr>
          </w:p>
        </w:tc>
        <w:tc>
          <w:tcPr>
            <w:tcW w:w="1610" w:type="dxa"/>
            <w:gridSpan w:val="2"/>
            <w:vAlign w:val="top"/>
          </w:tcPr>
          <w:p w14:paraId="3D172603">
            <w:pPr>
              <w:pStyle w:val="21"/>
              <w:rPr>
                <w:rFonts w:hint="eastAsia" w:ascii="宋体" w:hAnsi="宋体" w:eastAsia="宋体" w:cs="宋体"/>
                <w:color w:val="auto"/>
                <w:sz w:val="24"/>
                <w:szCs w:val="24"/>
                <w:highlight w:val="none"/>
              </w:rPr>
            </w:pPr>
          </w:p>
        </w:tc>
        <w:tc>
          <w:tcPr>
            <w:tcW w:w="2021" w:type="dxa"/>
            <w:gridSpan w:val="2"/>
            <w:vAlign w:val="top"/>
          </w:tcPr>
          <w:p w14:paraId="6088B8A2">
            <w:pPr>
              <w:pStyle w:val="21"/>
              <w:rPr>
                <w:rFonts w:hint="eastAsia" w:ascii="宋体" w:hAnsi="宋体" w:eastAsia="宋体" w:cs="宋体"/>
                <w:color w:val="auto"/>
                <w:sz w:val="24"/>
                <w:szCs w:val="24"/>
                <w:highlight w:val="none"/>
              </w:rPr>
            </w:pPr>
          </w:p>
        </w:tc>
        <w:tc>
          <w:tcPr>
            <w:tcW w:w="2047" w:type="dxa"/>
            <w:vAlign w:val="top"/>
          </w:tcPr>
          <w:p w14:paraId="71FA95CE">
            <w:pPr>
              <w:pStyle w:val="21"/>
              <w:rPr>
                <w:rFonts w:hint="eastAsia" w:ascii="宋体" w:hAnsi="宋体" w:eastAsia="宋体" w:cs="宋体"/>
                <w:color w:val="auto"/>
                <w:sz w:val="24"/>
                <w:szCs w:val="24"/>
                <w:highlight w:val="none"/>
              </w:rPr>
            </w:pPr>
          </w:p>
        </w:tc>
        <w:tc>
          <w:tcPr>
            <w:tcW w:w="1783" w:type="dxa"/>
            <w:vAlign w:val="top"/>
          </w:tcPr>
          <w:p w14:paraId="63618EC9">
            <w:pPr>
              <w:pStyle w:val="21"/>
              <w:rPr>
                <w:rFonts w:hint="eastAsia" w:ascii="宋体" w:hAnsi="宋体" w:eastAsia="宋体" w:cs="宋体"/>
                <w:color w:val="auto"/>
                <w:sz w:val="24"/>
                <w:szCs w:val="24"/>
                <w:highlight w:val="none"/>
              </w:rPr>
            </w:pPr>
          </w:p>
        </w:tc>
        <w:tc>
          <w:tcPr>
            <w:tcW w:w="1386" w:type="dxa"/>
            <w:vAlign w:val="top"/>
          </w:tcPr>
          <w:p w14:paraId="5F9677E7">
            <w:pPr>
              <w:pStyle w:val="21"/>
              <w:rPr>
                <w:rFonts w:hint="eastAsia" w:ascii="宋体" w:hAnsi="宋体" w:eastAsia="宋体" w:cs="宋体"/>
                <w:color w:val="auto"/>
                <w:sz w:val="24"/>
                <w:szCs w:val="24"/>
                <w:highlight w:val="none"/>
              </w:rPr>
            </w:pPr>
          </w:p>
        </w:tc>
      </w:tr>
      <w:tr w14:paraId="492D5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jc w:val="center"/>
        </w:trPr>
        <w:tc>
          <w:tcPr>
            <w:tcW w:w="810" w:type="dxa"/>
            <w:vAlign w:val="top"/>
          </w:tcPr>
          <w:p w14:paraId="7A0A0F26">
            <w:pPr>
              <w:pStyle w:val="21"/>
              <w:rPr>
                <w:rFonts w:hint="eastAsia" w:ascii="宋体" w:hAnsi="宋体" w:eastAsia="宋体" w:cs="宋体"/>
                <w:color w:val="auto"/>
                <w:sz w:val="24"/>
                <w:szCs w:val="24"/>
                <w:highlight w:val="none"/>
              </w:rPr>
            </w:pPr>
          </w:p>
        </w:tc>
        <w:tc>
          <w:tcPr>
            <w:tcW w:w="1610" w:type="dxa"/>
            <w:gridSpan w:val="2"/>
            <w:vAlign w:val="top"/>
          </w:tcPr>
          <w:p w14:paraId="2EA095B3">
            <w:pPr>
              <w:pStyle w:val="21"/>
              <w:rPr>
                <w:rFonts w:hint="eastAsia" w:ascii="宋体" w:hAnsi="宋体" w:eastAsia="宋体" w:cs="宋体"/>
                <w:color w:val="auto"/>
                <w:sz w:val="24"/>
                <w:szCs w:val="24"/>
                <w:highlight w:val="none"/>
              </w:rPr>
            </w:pPr>
          </w:p>
        </w:tc>
        <w:tc>
          <w:tcPr>
            <w:tcW w:w="2021" w:type="dxa"/>
            <w:gridSpan w:val="2"/>
            <w:vAlign w:val="top"/>
          </w:tcPr>
          <w:p w14:paraId="783DB79D">
            <w:pPr>
              <w:pStyle w:val="21"/>
              <w:rPr>
                <w:rFonts w:hint="eastAsia" w:ascii="宋体" w:hAnsi="宋体" w:eastAsia="宋体" w:cs="宋体"/>
                <w:color w:val="auto"/>
                <w:sz w:val="24"/>
                <w:szCs w:val="24"/>
                <w:highlight w:val="none"/>
              </w:rPr>
            </w:pPr>
          </w:p>
        </w:tc>
        <w:tc>
          <w:tcPr>
            <w:tcW w:w="2047" w:type="dxa"/>
            <w:vAlign w:val="top"/>
          </w:tcPr>
          <w:p w14:paraId="707CEA4B">
            <w:pPr>
              <w:pStyle w:val="21"/>
              <w:rPr>
                <w:rFonts w:hint="eastAsia" w:ascii="宋体" w:hAnsi="宋体" w:eastAsia="宋体" w:cs="宋体"/>
                <w:color w:val="auto"/>
                <w:sz w:val="24"/>
                <w:szCs w:val="24"/>
                <w:highlight w:val="none"/>
              </w:rPr>
            </w:pPr>
          </w:p>
        </w:tc>
        <w:tc>
          <w:tcPr>
            <w:tcW w:w="1783" w:type="dxa"/>
            <w:vAlign w:val="top"/>
          </w:tcPr>
          <w:p w14:paraId="6634F4F2">
            <w:pPr>
              <w:pStyle w:val="21"/>
              <w:rPr>
                <w:rFonts w:hint="eastAsia" w:ascii="宋体" w:hAnsi="宋体" w:eastAsia="宋体" w:cs="宋体"/>
                <w:color w:val="auto"/>
                <w:sz w:val="24"/>
                <w:szCs w:val="24"/>
                <w:highlight w:val="none"/>
              </w:rPr>
            </w:pPr>
          </w:p>
        </w:tc>
        <w:tc>
          <w:tcPr>
            <w:tcW w:w="1386" w:type="dxa"/>
            <w:vAlign w:val="top"/>
          </w:tcPr>
          <w:p w14:paraId="79AF8F10">
            <w:pPr>
              <w:pStyle w:val="21"/>
              <w:rPr>
                <w:rFonts w:hint="eastAsia" w:ascii="宋体" w:hAnsi="宋体" w:eastAsia="宋体" w:cs="宋体"/>
                <w:color w:val="auto"/>
                <w:sz w:val="24"/>
                <w:szCs w:val="24"/>
                <w:highlight w:val="none"/>
              </w:rPr>
            </w:pPr>
          </w:p>
        </w:tc>
      </w:tr>
    </w:tbl>
    <w:p w14:paraId="79842BF8">
      <w:pPr>
        <w:pStyle w:val="5"/>
        <w:spacing w:line="314" w:lineRule="auto"/>
        <w:rPr>
          <w:rFonts w:hint="eastAsia" w:ascii="宋体" w:hAnsi="宋体" w:eastAsia="宋体" w:cs="宋体"/>
          <w:color w:val="auto"/>
          <w:sz w:val="24"/>
          <w:szCs w:val="24"/>
          <w:highlight w:val="none"/>
        </w:rPr>
      </w:pPr>
    </w:p>
    <w:p w14:paraId="7F27F6D4">
      <w:pPr>
        <w:pStyle w:val="5"/>
        <w:spacing w:line="315" w:lineRule="auto"/>
        <w:rPr>
          <w:rFonts w:hint="eastAsia" w:ascii="宋体" w:hAnsi="宋体" w:eastAsia="宋体" w:cs="宋体"/>
          <w:color w:val="auto"/>
          <w:sz w:val="24"/>
          <w:szCs w:val="24"/>
          <w:highlight w:val="none"/>
        </w:rPr>
      </w:pPr>
    </w:p>
    <w:p w14:paraId="4C0BB797">
      <w:pPr>
        <w:pStyle w:val="5"/>
        <w:spacing w:line="315" w:lineRule="auto"/>
        <w:rPr>
          <w:rFonts w:hint="eastAsia" w:ascii="宋体" w:hAnsi="宋体" w:eastAsia="宋体" w:cs="宋体"/>
          <w:color w:val="auto"/>
          <w:sz w:val="24"/>
          <w:szCs w:val="24"/>
          <w:highlight w:val="none"/>
        </w:rPr>
      </w:pPr>
    </w:p>
    <w:p w14:paraId="502CE3BE">
      <w:pPr>
        <w:spacing w:before="78" w:line="220" w:lineRule="auto"/>
        <w:ind w:left="5165"/>
        <w:jc w:val="righ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项目技术负责人</w:t>
      </w:r>
      <w:r>
        <w:rPr>
          <w:rFonts w:hint="eastAsia" w:ascii="宋体" w:hAnsi="宋体" w:eastAsia="宋体" w:cs="宋体"/>
          <w:color w:val="auto"/>
          <w:spacing w:val="-18"/>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8"/>
          <w:sz w:val="24"/>
          <w:szCs w:val="24"/>
          <w:highlight w:val="none"/>
        </w:rPr>
        <w:t>（</w:t>
      </w:r>
      <w:r>
        <w:rPr>
          <w:rFonts w:hint="eastAsia" w:ascii="宋体" w:hAnsi="宋体" w:eastAsia="宋体" w:cs="宋体"/>
          <w:color w:val="auto"/>
          <w:spacing w:val="2"/>
          <w:sz w:val="24"/>
          <w:szCs w:val="24"/>
          <w:highlight w:val="none"/>
        </w:rPr>
        <w:t>签字）</w:t>
      </w:r>
    </w:p>
    <w:p w14:paraId="4A98DCFD">
      <w:pPr>
        <w:pStyle w:val="5"/>
        <w:spacing w:line="256" w:lineRule="auto"/>
        <w:jc w:val="right"/>
        <w:rPr>
          <w:rFonts w:hint="eastAsia" w:ascii="宋体" w:hAnsi="宋体" w:eastAsia="宋体" w:cs="宋体"/>
          <w:color w:val="auto"/>
          <w:sz w:val="24"/>
          <w:szCs w:val="24"/>
          <w:highlight w:val="none"/>
        </w:rPr>
      </w:pPr>
    </w:p>
    <w:p w14:paraId="5D66CCAB">
      <w:pPr>
        <w:pStyle w:val="5"/>
        <w:spacing w:line="257" w:lineRule="auto"/>
        <w:jc w:val="right"/>
        <w:rPr>
          <w:rFonts w:hint="eastAsia" w:ascii="宋体" w:hAnsi="宋体" w:eastAsia="宋体" w:cs="宋体"/>
          <w:color w:val="auto"/>
          <w:sz w:val="24"/>
          <w:szCs w:val="24"/>
          <w:highlight w:val="none"/>
        </w:rPr>
      </w:pPr>
    </w:p>
    <w:p w14:paraId="774C3229">
      <w:pPr>
        <w:pStyle w:val="5"/>
        <w:spacing w:line="254" w:lineRule="auto"/>
        <w:jc w:val="right"/>
        <w:rPr>
          <w:rFonts w:hint="eastAsia" w:ascii="宋体" w:hAnsi="宋体" w:eastAsia="宋体" w:cs="宋体"/>
          <w:color w:val="auto"/>
          <w:highlight w:val="none"/>
        </w:rPr>
      </w:pP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年</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月</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snapToGrid w:val="0"/>
          <w:color w:val="auto"/>
          <w:kern w:val="0"/>
          <w:szCs w:val="21"/>
          <w:highlight w:val="none"/>
        </w:rPr>
        <w:t>日</w:t>
      </w:r>
    </w:p>
    <w:p w14:paraId="74D04C94">
      <w:pPr>
        <w:spacing w:before="65" w:line="228" w:lineRule="auto"/>
        <w:ind w:left="47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说明：《项目技术负责人简历表》后应附拟派项目技术负责人以下资料：</w:t>
      </w:r>
    </w:p>
    <w:p w14:paraId="00FF6588">
      <w:pPr>
        <w:spacing w:before="155" w:line="228" w:lineRule="auto"/>
        <w:ind w:left="484"/>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3"/>
          <w:sz w:val="24"/>
          <w:szCs w:val="24"/>
          <w:highlight w:val="none"/>
        </w:rPr>
        <w:t>．身份证彩色扫描件；</w:t>
      </w:r>
    </w:p>
    <w:p w14:paraId="06698B75">
      <w:pPr>
        <w:spacing w:before="151" w:line="228" w:lineRule="auto"/>
        <w:ind w:left="464"/>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2</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5"/>
          <w:sz w:val="24"/>
          <w:szCs w:val="24"/>
          <w:highlight w:val="none"/>
        </w:rPr>
        <w:t>．职称证彩色扫描件；</w:t>
      </w:r>
    </w:p>
    <w:p w14:paraId="193BA85D">
      <w:pPr>
        <w:spacing w:before="153" w:line="299" w:lineRule="auto"/>
        <w:ind w:left="47" w:right="95" w:firstLine="42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3</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8"/>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00EC7063">
      <w:pPr>
        <w:spacing w:before="153" w:line="228" w:lineRule="auto"/>
        <w:ind w:left="463"/>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22"/>
          <w:sz w:val="24"/>
          <w:szCs w:val="24"/>
          <w:highlight w:val="none"/>
        </w:rPr>
        <w:t xml:space="preserve"> </w:t>
      </w:r>
      <w:r>
        <w:rPr>
          <w:rFonts w:hint="eastAsia" w:ascii="宋体" w:hAnsi="宋体" w:eastAsia="宋体" w:cs="宋体"/>
          <w:color w:val="auto"/>
          <w:spacing w:val="8"/>
          <w:sz w:val="24"/>
          <w:szCs w:val="24"/>
          <w:highlight w:val="none"/>
        </w:rPr>
        <w:t>．“进粤企业和人员诚信信息登记平台</w:t>
      </w:r>
      <w:r>
        <w:rPr>
          <w:rFonts w:hint="eastAsia" w:ascii="宋体" w:hAnsi="宋体" w:eastAsia="宋体" w:cs="宋体"/>
          <w:color w:val="auto"/>
          <w:spacing w:val="-70"/>
          <w:sz w:val="24"/>
          <w:szCs w:val="24"/>
          <w:highlight w:val="none"/>
        </w:rPr>
        <w:t xml:space="preserve"> </w:t>
      </w:r>
      <w:r>
        <w:rPr>
          <w:rFonts w:hint="eastAsia" w:ascii="宋体" w:hAnsi="宋体" w:eastAsia="宋体" w:cs="宋体"/>
          <w:color w:val="auto"/>
          <w:spacing w:val="8"/>
          <w:sz w:val="24"/>
          <w:szCs w:val="24"/>
          <w:highlight w:val="none"/>
        </w:rPr>
        <w:t>”个人信息情况截图。（适用于省外建筑企业）</w:t>
      </w:r>
    </w:p>
    <w:p w14:paraId="7A6F11C1">
      <w:pPr>
        <w:spacing w:line="228" w:lineRule="auto"/>
        <w:rPr>
          <w:rFonts w:hint="eastAsia" w:ascii="宋体" w:hAnsi="宋体" w:eastAsia="宋体" w:cs="宋体"/>
          <w:color w:val="auto"/>
          <w:sz w:val="20"/>
          <w:szCs w:val="20"/>
          <w:highlight w:val="none"/>
        </w:rPr>
        <w:sectPr>
          <w:footerReference r:id="rId21"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30E6C25C">
      <w:pPr>
        <w:spacing w:before="78" w:line="220" w:lineRule="auto"/>
        <w:outlineLvl w:val="2"/>
        <w:rPr>
          <w:rFonts w:hint="eastAsia" w:ascii="宋体" w:hAnsi="宋体" w:eastAsia="宋体" w:cs="宋体"/>
          <w:b/>
          <w:bCs/>
          <w:color w:val="auto"/>
          <w:spacing w:val="-4"/>
          <w:sz w:val="24"/>
          <w:szCs w:val="24"/>
          <w:highlight w:val="none"/>
        </w:rPr>
      </w:pPr>
      <w:bookmarkStart w:id="259" w:name="_Toc25235"/>
      <w:r>
        <w:rPr>
          <w:rFonts w:hint="eastAsia" w:ascii="宋体" w:hAnsi="宋体" w:eastAsia="宋体" w:cs="宋体"/>
          <w:b/>
          <w:bCs/>
          <w:color w:val="auto"/>
          <w:spacing w:val="-4"/>
          <w:sz w:val="24"/>
          <w:szCs w:val="24"/>
          <w:highlight w:val="none"/>
        </w:rPr>
        <w:t>格式十一 项目管理机构组成表</w:t>
      </w:r>
      <w:bookmarkEnd w:id="259"/>
    </w:p>
    <w:p w14:paraId="2EC5C59E">
      <w:pPr>
        <w:pStyle w:val="5"/>
        <w:spacing w:line="351" w:lineRule="auto"/>
        <w:rPr>
          <w:rFonts w:hint="eastAsia" w:ascii="宋体" w:hAnsi="宋体" w:eastAsia="宋体" w:cs="宋体"/>
          <w:color w:val="auto"/>
          <w:highlight w:val="none"/>
        </w:rPr>
      </w:pPr>
    </w:p>
    <w:p w14:paraId="0156357D">
      <w:pPr>
        <w:pStyle w:val="5"/>
        <w:spacing w:line="351" w:lineRule="auto"/>
        <w:rPr>
          <w:rFonts w:hint="eastAsia" w:ascii="宋体" w:hAnsi="宋体" w:eastAsia="宋体" w:cs="宋体"/>
          <w:color w:val="auto"/>
          <w:highlight w:val="none"/>
        </w:rPr>
      </w:pPr>
    </w:p>
    <w:p w14:paraId="7B0876F5">
      <w:pPr>
        <w:spacing w:before="97" w:line="219" w:lineRule="auto"/>
        <w:ind w:left="3200"/>
        <w:outlineLvl w:val="9"/>
        <w:rPr>
          <w:rFonts w:hint="eastAsia" w:ascii="宋体" w:hAnsi="宋体" w:eastAsia="宋体" w:cs="宋体"/>
          <w:color w:val="auto"/>
          <w:sz w:val="30"/>
          <w:szCs w:val="30"/>
          <w:highlight w:val="none"/>
        </w:rPr>
      </w:pPr>
      <w:bookmarkStart w:id="260" w:name="bookmark158"/>
      <w:bookmarkEnd w:id="260"/>
      <w:bookmarkStart w:id="261" w:name="_Toc19973"/>
      <w:bookmarkStart w:id="262" w:name="_Toc28765"/>
      <w:r>
        <w:rPr>
          <w:rFonts w:hint="eastAsia" w:ascii="宋体" w:hAnsi="宋体" w:eastAsia="宋体" w:cs="宋体"/>
          <w:b/>
          <w:bCs/>
          <w:color w:val="auto"/>
          <w:spacing w:val="-4"/>
          <w:sz w:val="30"/>
          <w:szCs w:val="30"/>
          <w:highlight w:val="none"/>
        </w:rPr>
        <w:t>项目管理机构组成表</w:t>
      </w:r>
      <w:bookmarkEnd w:id="261"/>
      <w:bookmarkEnd w:id="262"/>
    </w:p>
    <w:p w14:paraId="639C8DF8">
      <w:pPr>
        <w:spacing w:before="7"/>
        <w:rPr>
          <w:rFonts w:hint="eastAsia" w:ascii="宋体" w:hAnsi="宋体" w:eastAsia="宋体" w:cs="宋体"/>
          <w:color w:val="auto"/>
          <w:highlight w:val="none"/>
        </w:rPr>
      </w:pPr>
    </w:p>
    <w:tbl>
      <w:tblPr>
        <w:tblStyle w:val="14"/>
        <w:tblW w:w="963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1939"/>
        <w:gridCol w:w="1567"/>
        <w:gridCol w:w="1017"/>
        <w:gridCol w:w="1002"/>
        <w:gridCol w:w="1551"/>
        <w:gridCol w:w="1926"/>
      </w:tblGrid>
      <w:tr w14:paraId="73D8C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jc w:val="center"/>
        </w:trPr>
        <w:tc>
          <w:tcPr>
            <w:tcW w:w="634" w:type="dxa"/>
            <w:vAlign w:val="top"/>
          </w:tcPr>
          <w:p w14:paraId="583861F6">
            <w:pPr>
              <w:spacing w:before="229" w:line="231" w:lineRule="auto"/>
              <w:ind w:left="9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序号</w:t>
            </w:r>
          </w:p>
        </w:tc>
        <w:tc>
          <w:tcPr>
            <w:tcW w:w="1939" w:type="dxa"/>
            <w:vAlign w:val="top"/>
          </w:tcPr>
          <w:p w14:paraId="2BF4C40B">
            <w:pPr>
              <w:spacing w:before="228" w:line="231" w:lineRule="auto"/>
              <w:ind w:left="70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岗位</w:t>
            </w:r>
          </w:p>
        </w:tc>
        <w:tc>
          <w:tcPr>
            <w:tcW w:w="1567" w:type="dxa"/>
            <w:vAlign w:val="top"/>
          </w:tcPr>
          <w:p w14:paraId="587B57EE">
            <w:pPr>
              <w:spacing w:before="228" w:line="231" w:lineRule="auto"/>
              <w:ind w:left="52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姓名</w:t>
            </w:r>
          </w:p>
        </w:tc>
        <w:tc>
          <w:tcPr>
            <w:tcW w:w="1017" w:type="dxa"/>
            <w:vAlign w:val="top"/>
          </w:tcPr>
          <w:p w14:paraId="77114614">
            <w:pPr>
              <w:spacing w:before="228" w:line="230" w:lineRule="auto"/>
              <w:ind w:left="268"/>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性别</w:t>
            </w:r>
          </w:p>
        </w:tc>
        <w:tc>
          <w:tcPr>
            <w:tcW w:w="1002" w:type="dxa"/>
            <w:vAlign w:val="top"/>
          </w:tcPr>
          <w:p w14:paraId="780575A7">
            <w:pPr>
              <w:spacing w:before="229" w:line="231" w:lineRule="auto"/>
              <w:ind w:left="261"/>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年龄</w:t>
            </w:r>
          </w:p>
        </w:tc>
        <w:tc>
          <w:tcPr>
            <w:tcW w:w="1551" w:type="dxa"/>
            <w:vAlign w:val="top"/>
          </w:tcPr>
          <w:p w14:paraId="53F5271E">
            <w:pPr>
              <w:spacing w:before="228" w:line="230" w:lineRule="auto"/>
              <w:ind w:left="51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职称</w:t>
            </w:r>
          </w:p>
        </w:tc>
        <w:tc>
          <w:tcPr>
            <w:tcW w:w="1926" w:type="dxa"/>
            <w:vAlign w:val="top"/>
          </w:tcPr>
          <w:p w14:paraId="21D55D65">
            <w:pPr>
              <w:spacing w:before="228" w:line="230" w:lineRule="auto"/>
              <w:ind w:left="687"/>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备注</w:t>
            </w:r>
          </w:p>
        </w:tc>
      </w:tr>
      <w:tr w14:paraId="3CBB82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3B6E77B8">
            <w:pPr>
              <w:spacing w:before="185" w:line="195" w:lineRule="auto"/>
              <w:ind w:left="26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39" w:type="dxa"/>
            <w:vAlign w:val="top"/>
          </w:tcPr>
          <w:p w14:paraId="13CFEC27">
            <w:pPr>
              <w:spacing w:before="150" w:line="229" w:lineRule="auto"/>
              <w:ind w:left="486"/>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项目经理</w:t>
            </w:r>
          </w:p>
        </w:tc>
        <w:tc>
          <w:tcPr>
            <w:tcW w:w="1567" w:type="dxa"/>
            <w:vAlign w:val="top"/>
          </w:tcPr>
          <w:p w14:paraId="6337F935">
            <w:pPr>
              <w:pStyle w:val="21"/>
              <w:rPr>
                <w:rFonts w:hint="eastAsia" w:ascii="宋体" w:hAnsi="宋体" w:eastAsia="宋体" w:cs="宋体"/>
                <w:color w:val="auto"/>
                <w:sz w:val="24"/>
                <w:szCs w:val="24"/>
                <w:highlight w:val="none"/>
              </w:rPr>
            </w:pPr>
          </w:p>
        </w:tc>
        <w:tc>
          <w:tcPr>
            <w:tcW w:w="1017" w:type="dxa"/>
            <w:vAlign w:val="top"/>
          </w:tcPr>
          <w:p w14:paraId="215B5DE9">
            <w:pPr>
              <w:pStyle w:val="21"/>
              <w:rPr>
                <w:rFonts w:hint="eastAsia" w:ascii="宋体" w:hAnsi="宋体" w:eastAsia="宋体" w:cs="宋体"/>
                <w:color w:val="auto"/>
                <w:sz w:val="24"/>
                <w:szCs w:val="24"/>
                <w:highlight w:val="none"/>
              </w:rPr>
            </w:pPr>
          </w:p>
        </w:tc>
        <w:tc>
          <w:tcPr>
            <w:tcW w:w="1002" w:type="dxa"/>
            <w:vAlign w:val="top"/>
          </w:tcPr>
          <w:p w14:paraId="386DD35A">
            <w:pPr>
              <w:pStyle w:val="21"/>
              <w:rPr>
                <w:rFonts w:hint="eastAsia" w:ascii="宋体" w:hAnsi="宋体" w:eastAsia="宋体" w:cs="宋体"/>
                <w:color w:val="auto"/>
                <w:sz w:val="24"/>
                <w:szCs w:val="24"/>
                <w:highlight w:val="none"/>
              </w:rPr>
            </w:pPr>
          </w:p>
        </w:tc>
        <w:tc>
          <w:tcPr>
            <w:tcW w:w="1551" w:type="dxa"/>
            <w:vAlign w:val="top"/>
          </w:tcPr>
          <w:p w14:paraId="4C5E1A1C">
            <w:pPr>
              <w:pStyle w:val="21"/>
              <w:rPr>
                <w:rFonts w:hint="eastAsia" w:ascii="宋体" w:hAnsi="宋体" w:eastAsia="宋体" w:cs="宋体"/>
                <w:color w:val="auto"/>
                <w:sz w:val="24"/>
                <w:szCs w:val="24"/>
                <w:highlight w:val="none"/>
              </w:rPr>
            </w:pPr>
          </w:p>
        </w:tc>
        <w:tc>
          <w:tcPr>
            <w:tcW w:w="1926" w:type="dxa"/>
            <w:vAlign w:val="top"/>
          </w:tcPr>
          <w:p w14:paraId="16BC8A53">
            <w:pPr>
              <w:pStyle w:val="21"/>
              <w:rPr>
                <w:rFonts w:hint="eastAsia" w:ascii="宋体" w:hAnsi="宋体" w:eastAsia="宋体" w:cs="宋体"/>
                <w:color w:val="auto"/>
                <w:sz w:val="24"/>
                <w:szCs w:val="24"/>
                <w:highlight w:val="none"/>
              </w:rPr>
            </w:pPr>
          </w:p>
        </w:tc>
      </w:tr>
      <w:tr w14:paraId="3A605A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jc w:val="center"/>
        </w:trPr>
        <w:tc>
          <w:tcPr>
            <w:tcW w:w="634" w:type="dxa"/>
            <w:vAlign w:val="top"/>
          </w:tcPr>
          <w:p w14:paraId="3820C0AB">
            <w:pPr>
              <w:spacing w:before="187" w:line="195" w:lineRule="auto"/>
              <w:ind w:left="24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39" w:type="dxa"/>
            <w:vAlign w:val="top"/>
          </w:tcPr>
          <w:p w14:paraId="3D7EFEAE">
            <w:pPr>
              <w:spacing w:before="152" w:line="22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项目技术负责人</w:t>
            </w:r>
          </w:p>
        </w:tc>
        <w:tc>
          <w:tcPr>
            <w:tcW w:w="1567" w:type="dxa"/>
            <w:vAlign w:val="top"/>
          </w:tcPr>
          <w:p w14:paraId="3E2C0AAF">
            <w:pPr>
              <w:pStyle w:val="21"/>
              <w:rPr>
                <w:rFonts w:hint="eastAsia" w:ascii="宋体" w:hAnsi="宋体" w:eastAsia="宋体" w:cs="宋体"/>
                <w:color w:val="auto"/>
                <w:sz w:val="24"/>
                <w:szCs w:val="24"/>
                <w:highlight w:val="none"/>
              </w:rPr>
            </w:pPr>
          </w:p>
        </w:tc>
        <w:tc>
          <w:tcPr>
            <w:tcW w:w="1017" w:type="dxa"/>
            <w:vAlign w:val="top"/>
          </w:tcPr>
          <w:p w14:paraId="1E67812B">
            <w:pPr>
              <w:pStyle w:val="21"/>
              <w:rPr>
                <w:rFonts w:hint="eastAsia" w:ascii="宋体" w:hAnsi="宋体" w:eastAsia="宋体" w:cs="宋体"/>
                <w:color w:val="auto"/>
                <w:sz w:val="24"/>
                <w:szCs w:val="24"/>
                <w:highlight w:val="none"/>
              </w:rPr>
            </w:pPr>
          </w:p>
        </w:tc>
        <w:tc>
          <w:tcPr>
            <w:tcW w:w="1002" w:type="dxa"/>
            <w:vAlign w:val="top"/>
          </w:tcPr>
          <w:p w14:paraId="26A91E61">
            <w:pPr>
              <w:pStyle w:val="21"/>
              <w:rPr>
                <w:rFonts w:hint="eastAsia" w:ascii="宋体" w:hAnsi="宋体" w:eastAsia="宋体" w:cs="宋体"/>
                <w:color w:val="auto"/>
                <w:sz w:val="24"/>
                <w:szCs w:val="24"/>
                <w:highlight w:val="none"/>
              </w:rPr>
            </w:pPr>
          </w:p>
        </w:tc>
        <w:tc>
          <w:tcPr>
            <w:tcW w:w="1551" w:type="dxa"/>
            <w:vAlign w:val="top"/>
          </w:tcPr>
          <w:p w14:paraId="6BEE9151">
            <w:pPr>
              <w:pStyle w:val="21"/>
              <w:rPr>
                <w:rFonts w:hint="eastAsia" w:ascii="宋体" w:hAnsi="宋体" w:eastAsia="宋体" w:cs="宋体"/>
                <w:color w:val="auto"/>
                <w:sz w:val="24"/>
                <w:szCs w:val="24"/>
                <w:highlight w:val="none"/>
              </w:rPr>
            </w:pPr>
          </w:p>
        </w:tc>
        <w:tc>
          <w:tcPr>
            <w:tcW w:w="1926" w:type="dxa"/>
            <w:vAlign w:val="top"/>
          </w:tcPr>
          <w:p w14:paraId="5EE9AF99">
            <w:pPr>
              <w:pStyle w:val="21"/>
              <w:rPr>
                <w:rFonts w:hint="eastAsia" w:ascii="宋体" w:hAnsi="宋体" w:eastAsia="宋体" w:cs="宋体"/>
                <w:color w:val="auto"/>
                <w:sz w:val="24"/>
                <w:szCs w:val="24"/>
                <w:highlight w:val="none"/>
              </w:rPr>
            </w:pPr>
          </w:p>
        </w:tc>
      </w:tr>
      <w:tr w14:paraId="7376C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5F91FDBD">
            <w:pPr>
              <w:spacing w:before="189" w:line="195" w:lineRule="auto"/>
              <w:ind w:left="24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939" w:type="dxa"/>
            <w:vAlign w:val="center"/>
          </w:tcPr>
          <w:p w14:paraId="2D2019FB">
            <w:pPr>
              <w:spacing w:before="153" w:line="229" w:lineRule="auto"/>
              <w:ind w:left="378"/>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专职安全员</w:t>
            </w:r>
          </w:p>
        </w:tc>
        <w:tc>
          <w:tcPr>
            <w:tcW w:w="1567" w:type="dxa"/>
            <w:vAlign w:val="top"/>
          </w:tcPr>
          <w:p w14:paraId="54F777D2">
            <w:pPr>
              <w:pStyle w:val="21"/>
              <w:rPr>
                <w:rFonts w:hint="eastAsia" w:ascii="宋体" w:hAnsi="宋体" w:eastAsia="宋体" w:cs="宋体"/>
                <w:color w:val="auto"/>
                <w:sz w:val="24"/>
                <w:szCs w:val="24"/>
                <w:highlight w:val="none"/>
              </w:rPr>
            </w:pPr>
          </w:p>
        </w:tc>
        <w:tc>
          <w:tcPr>
            <w:tcW w:w="1017" w:type="dxa"/>
            <w:vAlign w:val="top"/>
          </w:tcPr>
          <w:p w14:paraId="1030E0E6">
            <w:pPr>
              <w:pStyle w:val="21"/>
              <w:rPr>
                <w:rFonts w:hint="eastAsia" w:ascii="宋体" w:hAnsi="宋体" w:eastAsia="宋体" w:cs="宋体"/>
                <w:color w:val="auto"/>
                <w:sz w:val="24"/>
                <w:szCs w:val="24"/>
                <w:highlight w:val="none"/>
              </w:rPr>
            </w:pPr>
          </w:p>
        </w:tc>
        <w:tc>
          <w:tcPr>
            <w:tcW w:w="1002" w:type="dxa"/>
            <w:vAlign w:val="top"/>
          </w:tcPr>
          <w:p w14:paraId="3463FE6D">
            <w:pPr>
              <w:pStyle w:val="21"/>
              <w:rPr>
                <w:rFonts w:hint="eastAsia" w:ascii="宋体" w:hAnsi="宋体" w:eastAsia="宋体" w:cs="宋体"/>
                <w:color w:val="auto"/>
                <w:sz w:val="24"/>
                <w:szCs w:val="24"/>
                <w:highlight w:val="none"/>
              </w:rPr>
            </w:pPr>
          </w:p>
        </w:tc>
        <w:tc>
          <w:tcPr>
            <w:tcW w:w="1551" w:type="dxa"/>
            <w:vAlign w:val="top"/>
          </w:tcPr>
          <w:p w14:paraId="521B8CC1">
            <w:pPr>
              <w:pStyle w:val="21"/>
              <w:rPr>
                <w:rFonts w:hint="eastAsia" w:ascii="宋体" w:hAnsi="宋体" w:eastAsia="宋体" w:cs="宋体"/>
                <w:color w:val="auto"/>
                <w:sz w:val="24"/>
                <w:szCs w:val="24"/>
                <w:highlight w:val="none"/>
              </w:rPr>
            </w:pPr>
          </w:p>
        </w:tc>
        <w:tc>
          <w:tcPr>
            <w:tcW w:w="1926" w:type="dxa"/>
            <w:vAlign w:val="top"/>
          </w:tcPr>
          <w:p w14:paraId="2FCE3AF2">
            <w:pPr>
              <w:pStyle w:val="21"/>
              <w:rPr>
                <w:rFonts w:hint="eastAsia" w:ascii="宋体" w:hAnsi="宋体" w:eastAsia="宋体" w:cs="宋体"/>
                <w:color w:val="auto"/>
                <w:sz w:val="24"/>
                <w:szCs w:val="24"/>
                <w:highlight w:val="none"/>
              </w:rPr>
            </w:pPr>
          </w:p>
        </w:tc>
      </w:tr>
      <w:tr w14:paraId="41584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634" w:type="dxa"/>
            <w:vAlign w:val="top"/>
          </w:tcPr>
          <w:p w14:paraId="44F56C77">
            <w:pPr>
              <w:spacing w:before="188" w:line="195" w:lineRule="auto"/>
              <w:ind w:left="24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4</w:t>
            </w:r>
          </w:p>
        </w:tc>
        <w:tc>
          <w:tcPr>
            <w:tcW w:w="1939" w:type="dxa"/>
            <w:vAlign w:val="top"/>
          </w:tcPr>
          <w:p w14:paraId="325320BA">
            <w:pPr>
              <w:spacing w:before="152" w:line="230" w:lineRule="auto"/>
              <w:ind w:left="588"/>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施工员</w:t>
            </w:r>
          </w:p>
        </w:tc>
        <w:tc>
          <w:tcPr>
            <w:tcW w:w="1567" w:type="dxa"/>
            <w:vAlign w:val="top"/>
          </w:tcPr>
          <w:p w14:paraId="5002FEB2">
            <w:pPr>
              <w:pStyle w:val="21"/>
              <w:rPr>
                <w:rFonts w:hint="eastAsia" w:ascii="宋体" w:hAnsi="宋体" w:eastAsia="宋体" w:cs="宋体"/>
                <w:color w:val="auto"/>
                <w:sz w:val="24"/>
                <w:szCs w:val="24"/>
                <w:highlight w:val="none"/>
              </w:rPr>
            </w:pPr>
          </w:p>
        </w:tc>
        <w:tc>
          <w:tcPr>
            <w:tcW w:w="1017" w:type="dxa"/>
            <w:vAlign w:val="top"/>
          </w:tcPr>
          <w:p w14:paraId="4508121F">
            <w:pPr>
              <w:pStyle w:val="21"/>
              <w:rPr>
                <w:rFonts w:hint="eastAsia" w:ascii="宋体" w:hAnsi="宋体" w:eastAsia="宋体" w:cs="宋体"/>
                <w:color w:val="auto"/>
                <w:sz w:val="24"/>
                <w:szCs w:val="24"/>
                <w:highlight w:val="none"/>
              </w:rPr>
            </w:pPr>
          </w:p>
        </w:tc>
        <w:tc>
          <w:tcPr>
            <w:tcW w:w="1002" w:type="dxa"/>
            <w:vAlign w:val="top"/>
          </w:tcPr>
          <w:p w14:paraId="2DC0E2D3">
            <w:pPr>
              <w:pStyle w:val="21"/>
              <w:rPr>
                <w:rFonts w:hint="eastAsia" w:ascii="宋体" w:hAnsi="宋体" w:eastAsia="宋体" w:cs="宋体"/>
                <w:color w:val="auto"/>
                <w:sz w:val="24"/>
                <w:szCs w:val="24"/>
                <w:highlight w:val="none"/>
              </w:rPr>
            </w:pPr>
          </w:p>
        </w:tc>
        <w:tc>
          <w:tcPr>
            <w:tcW w:w="1551" w:type="dxa"/>
            <w:vAlign w:val="top"/>
          </w:tcPr>
          <w:p w14:paraId="2D99A1F3">
            <w:pPr>
              <w:pStyle w:val="21"/>
              <w:rPr>
                <w:rFonts w:hint="eastAsia" w:ascii="宋体" w:hAnsi="宋体" w:eastAsia="宋体" w:cs="宋体"/>
                <w:color w:val="auto"/>
                <w:sz w:val="24"/>
                <w:szCs w:val="24"/>
                <w:highlight w:val="none"/>
              </w:rPr>
            </w:pPr>
          </w:p>
        </w:tc>
        <w:tc>
          <w:tcPr>
            <w:tcW w:w="1926" w:type="dxa"/>
            <w:vAlign w:val="top"/>
          </w:tcPr>
          <w:p w14:paraId="71DCF47A">
            <w:pPr>
              <w:pStyle w:val="21"/>
              <w:rPr>
                <w:rFonts w:hint="eastAsia" w:ascii="宋体" w:hAnsi="宋体" w:eastAsia="宋体" w:cs="宋体"/>
                <w:color w:val="auto"/>
                <w:sz w:val="24"/>
                <w:szCs w:val="24"/>
                <w:highlight w:val="none"/>
              </w:rPr>
            </w:pPr>
          </w:p>
        </w:tc>
      </w:tr>
      <w:tr w14:paraId="0D539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57C7341">
            <w:pPr>
              <w:spacing w:before="193" w:line="192" w:lineRule="auto"/>
              <w:ind w:left="2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39" w:type="dxa"/>
            <w:vAlign w:val="top"/>
          </w:tcPr>
          <w:p w14:paraId="2D145259">
            <w:pPr>
              <w:spacing w:before="154" w:line="229"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质量员</w:t>
            </w:r>
          </w:p>
        </w:tc>
        <w:tc>
          <w:tcPr>
            <w:tcW w:w="1567" w:type="dxa"/>
            <w:vAlign w:val="top"/>
          </w:tcPr>
          <w:p w14:paraId="7C414A00">
            <w:pPr>
              <w:pStyle w:val="21"/>
              <w:rPr>
                <w:rFonts w:hint="eastAsia" w:ascii="宋体" w:hAnsi="宋体" w:eastAsia="宋体" w:cs="宋体"/>
                <w:color w:val="auto"/>
                <w:sz w:val="24"/>
                <w:szCs w:val="24"/>
                <w:highlight w:val="none"/>
              </w:rPr>
            </w:pPr>
          </w:p>
        </w:tc>
        <w:tc>
          <w:tcPr>
            <w:tcW w:w="1017" w:type="dxa"/>
            <w:vAlign w:val="top"/>
          </w:tcPr>
          <w:p w14:paraId="0A047E98">
            <w:pPr>
              <w:pStyle w:val="21"/>
              <w:rPr>
                <w:rFonts w:hint="eastAsia" w:ascii="宋体" w:hAnsi="宋体" w:eastAsia="宋体" w:cs="宋体"/>
                <w:color w:val="auto"/>
                <w:sz w:val="24"/>
                <w:szCs w:val="24"/>
                <w:highlight w:val="none"/>
              </w:rPr>
            </w:pPr>
          </w:p>
        </w:tc>
        <w:tc>
          <w:tcPr>
            <w:tcW w:w="1002" w:type="dxa"/>
            <w:vAlign w:val="top"/>
          </w:tcPr>
          <w:p w14:paraId="01946ADC">
            <w:pPr>
              <w:pStyle w:val="21"/>
              <w:rPr>
                <w:rFonts w:hint="eastAsia" w:ascii="宋体" w:hAnsi="宋体" w:eastAsia="宋体" w:cs="宋体"/>
                <w:color w:val="auto"/>
                <w:sz w:val="24"/>
                <w:szCs w:val="24"/>
                <w:highlight w:val="none"/>
              </w:rPr>
            </w:pPr>
          </w:p>
        </w:tc>
        <w:tc>
          <w:tcPr>
            <w:tcW w:w="1551" w:type="dxa"/>
            <w:vAlign w:val="top"/>
          </w:tcPr>
          <w:p w14:paraId="10FAFF09">
            <w:pPr>
              <w:pStyle w:val="21"/>
              <w:rPr>
                <w:rFonts w:hint="eastAsia" w:ascii="宋体" w:hAnsi="宋体" w:eastAsia="宋体" w:cs="宋体"/>
                <w:color w:val="auto"/>
                <w:sz w:val="24"/>
                <w:szCs w:val="24"/>
                <w:highlight w:val="none"/>
              </w:rPr>
            </w:pPr>
          </w:p>
        </w:tc>
        <w:tc>
          <w:tcPr>
            <w:tcW w:w="1926" w:type="dxa"/>
            <w:vAlign w:val="top"/>
          </w:tcPr>
          <w:p w14:paraId="2CAFD4ED">
            <w:pPr>
              <w:pStyle w:val="21"/>
              <w:rPr>
                <w:rFonts w:hint="eastAsia" w:ascii="宋体" w:hAnsi="宋体" w:eastAsia="宋体" w:cs="宋体"/>
                <w:color w:val="auto"/>
                <w:sz w:val="24"/>
                <w:szCs w:val="24"/>
                <w:highlight w:val="none"/>
              </w:rPr>
            </w:pPr>
          </w:p>
        </w:tc>
      </w:tr>
      <w:tr w14:paraId="0B0E1C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60C985D6">
            <w:pPr>
              <w:spacing w:before="191" w:line="195" w:lineRule="auto"/>
              <w:ind w:left="24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39" w:type="dxa"/>
            <w:vAlign w:val="top"/>
          </w:tcPr>
          <w:p w14:paraId="2B0AD8AD">
            <w:pPr>
              <w:spacing w:before="155" w:line="228" w:lineRule="auto"/>
              <w:ind w:left="58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材料员</w:t>
            </w:r>
          </w:p>
        </w:tc>
        <w:tc>
          <w:tcPr>
            <w:tcW w:w="1567" w:type="dxa"/>
            <w:vAlign w:val="top"/>
          </w:tcPr>
          <w:p w14:paraId="30FD5B99">
            <w:pPr>
              <w:pStyle w:val="21"/>
              <w:rPr>
                <w:rFonts w:hint="eastAsia" w:ascii="宋体" w:hAnsi="宋体" w:eastAsia="宋体" w:cs="宋体"/>
                <w:color w:val="auto"/>
                <w:sz w:val="24"/>
                <w:szCs w:val="24"/>
                <w:highlight w:val="none"/>
              </w:rPr>
            </w:pPr>
          </w:p>
        </w:tc>
        <w:tc>
          <w:tcPr>
            <w:tcW w:w="1017" w:type="dxa"/>
            <w:vAlign w:val="top"/>
          </w:tcPr>
          <w:p w14:paraId="24920843">
            <w:pPr>
              <w:pStyle w:val="21"/>
              <w:rPr>
                <w:rFonts w:hint="eastAsia" w:ascii="宋体" w:hAnsi="宋体" w:eastAsia="宋体" w:cs="宋体"/>
                <w:color w:val="auto"/>
                <w:sz w:val="24"/>
                <w:szCs w:val="24"/>
                <w:highlight w:val="none"/>
              </w:rPr>
            </w:pPr>
          </w:p>
        </w:tc>
        <w:tc>
          <w:tcPr>
            <w:tcW w:w="1002" w:type="dxa"/>
            <w:vAlign w:val="top"/>
          </w:tcPr>
          <w:p w14:paraId="596EC4C2">
            <w:pPr>
              <w:pStyle w:val="21"/>
              <w:rPr>
                <w:rFonts w:hint="eastAsia" w:ascii="宋体" w:hAnsi="宋体" w:eastAsia="宋体" w:cs="宋体"/>
                <w:color w:val="auto"/>
                <w:sz w:val="24"/>
                <w:szCs w:val="24"/>
                <w:highlight w:val="none"/>
              </w:rPr>
            </w:pPr>
          </w:p>
        </w:tc>
        <w:tc>
          <w:tcPr>
            <w:tcW w:w="1551" w:type="dxa"/>
            <w:vAlign w:val="top"/>
          </w:tcPr>
          <w:p w14:paraId="14255466">
            <w:pPr>
              <w:pStyle w:val="21"/>
              <w:rPr>
                <w:rFonts w:hint="eastAsia" w:ascii="宋体" w:hAnsi="宋体" w:eastAsia="宋体" w:cs="宋体"/>
                <w:color w:val="auto"/>
                <w:sz w:val="24"/>
                <w:szCs w:val="24"/>
                <w:highlight w:val="none"/>
              </w:rPr>
            </w:pPr>
          </w:p>
        </w:tc>
        <w:tc>
          <w:tcPr>
            <w:tcW w:w="1926" w:type="dxa"/>
            <w:vAlign w:val="top"/>
          </w:tcPr>
          <w:p w14:paraId="39BF5C26">
            <w:pPr>
              <w:pStyle w:val="21"/>
              <w:rPr>
                <w:rFonts w:hint="eastAsia" w:ascii="宋体" w:hAnsi="宋体" w:eastAsia="宋体" w:cs="宋体"/>
                <w:color w:val="auto"/>
                <w:sz w:val="24"/>
                <w:szCs w:val="24"/>
                <w:highlight w:val="none"/>
              </w:rPr>
            </w:pPr>
          </w:p>
        </w:tc>
      </w:tr>
      <w:tr w14:paraId="3AB32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634" w:type="dxa"/>
            <w:vAlign w:val="top"/>
          </w:tcPr>
          <w:p w14:paraId="261E16D5">
            <w:pPr>
              <w:spacing w:before="192" w:line="192" w:lineRule="auto"/>
              <w:ind w:left="2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39" w:type="dxa"/>
            <w:vAlign w:val="top"/>
          </w:tcPr>
          <w:p w14:paraId="5ABFE278">
            <w:pPr>
              <w:spacing w:before="154" w:line="229" w:lineRule="auto"/>
              <w:ind w:left="59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资料员</w:t>
            </w:r>
          </w:p>
        </w:tc>
        <w:tc>
          <w:tcPr>
            <w:tcW w:w="1567" w:type="dxa"/>
            <w:vAlign w:val="top"/>
          </w:tcPr>
          <w:p w14:paraId="221D5657">
            <w:pPr>
              <w:pStyle w:val="21"/>
              <w:rPr>
                <w:rFonts w:hint="eastAsia" w:ascii="宋体" w:hAnsi="宋体" w:eastAsia="宋体" w:cs="宋体"/>
                <w:color w:val="auto"/>
                <w:sz w:val="24"/>
                <w:szCs w:val="24"/>
                <w:highlight w:val="none"/>
              </w:rPr>
            </w:pPr>
          </w:p>
        </w:tc>
        <w:tc>
          <w:tcPr>
            <w:tcW w:w="1017" w:type="dxa"/>
            <w:vAlign w:val="top"/>
          </w:tcPr>
          <w:p w14:paraId="731B0BB4">
            <w:pPr>
              <w:pStyle w:val="21"/>
              <w:rPr>
                <w:rFonts w:hint="eastAsia" w:ascii="宋体" w:hAnsi="宋体" w:eastAsia="宋体" w:cs="宋体"/>
                <w:color w:val="auto"/>
                <w:sz w:val="24"/>
                <w:szCs w:val="24"/>
                <w:highlight w:val="none"/>
              </w:rPr>
            </w:pPr>
          </w:p>
        </w:tc>
        <w:tc>
          <w:tcPr>
            <w:tcW w:w="1002" w:type="dxa"/>
            <w:vAlign w:val="top"/>
          </w:tcPr>
          <w:p w14:paraId="1CB4F26F">
            <w:pPr>
              <w:pStyle w:val="21"/>
              <w:rPr>
                <w:rFonts w:hint="eastAsia" w:ascii="宋体" w:hAnsi="宋体" w:eastAsia="宋体" w:cs="宋体"/>
                <w:color w:val="auto"/>
                <w:sz w:val="24"/>
                <w:szCs w:val="24"/>
                <w:highlight w:val="none"/>
              </w:rPr>
            </w:pPr>
          </w:p>
        </w:tc>
        <w:tc>
          <w:tcPr>
            <w:tcW w:w="1551" w:type="dxa"/>
            <w:vAlign w:val="top"/>
          </w:tcPr>
          <w:p w14:paraId="62B9287E">
            <w:pPr>
              <w:pStyle w:val="21"/>
              <w:rPr>
                <w:rFonts w:hint="eastAsia" w:ascii="宋体" w:hAnsi="宋体" w:eastAsia="宋体" w:cs="宋体"/>
                <w:color w:val="auto"/>
                <w:sz w:val="24"/>
                <w:szCs w:val="24"/>
                <w:highlight w:val="none"/>
              </w:rPr>
            </w:pPr>
          </w:p>
        </w:tc>
        <w:tc>
          <w:tcPr>
            <w:tcW w:w="1926" w:type="dxa"/>
            <w:vAlign w:val="top"/>
          </w:tcPr>
          <w:p w14:paraId="22A6499B">
            <w:pPr>
              <w:pStyle w:val="21"/>
              <w:rPr>
                <w:rFonts w:hint="eastAsia" w:ascii="宋体" w:hAnsi="宋体" w:eastAsia="宋体" w:cs="宋体"/>
                <w:color w:val="auto"/>
                <w:sz w:val="24"/>
                <w:szCs w:val="24"/>
                <w:highlight w:val="none"/>
              </w:rPr>
            </w:pPr>
          </w:p>
        </w:tc>
      </w:tr>
      <w:tr w14:paraId="4B6AD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jc w:val="center"/>
        </w:trPr>
        <w:tc>
          <w:tcPr>
            <w:tcW w:w="634" w:type="dxa"/>
            <w:vAlign w:val="top"/>
          </w:tcPr>
          <w:p w14:paraId="1F9DE00F">
            <w:pPr>
              <w:spacing w:before="154" w:line="325" w:lineRule="exact"/>
              <w:ind w:left="104"/>
              <w:rPr>
                <w:rFonts w:hint="eastAsia" w:ascii="宋体" w:hAnsi="宋体" w:eastAsia="宋体" w:cs="宋体"/>
                <w:color w:val="auto"/>
                <w:sz w:val="24"/>
                <w:szCs w:val="24"/>
                <w:highlight w:val="none"/>
              </w:rPr>
            </w:pPr>
            <w:r>
              <w:rPr>
                <w:rFonts w:hint="eastAsia" w:ascii="宋体" w:hAnsi="宋体" w:eastAsia="宋体" w:cs="宋体"/>
                <w:color w:val="auto"/>
                <w:spacing w:val="-2"/>
                <w:position w:val="3"/>
                <w:sz w:val="24"/>
                <w:szCs w:val="24"/>
                <w:highlight w:val="none"/>
              </w:rPr>
              <w:t>……</w:t>
            </w:r>
          </w:p>
        </w:tc>
        <w:tc>
          <w:tcPr>
            <w:tcW w:w="1939" w:type="dxa"/>
            <w:vAlign w:val="top"/>
          </w:tcPr>
          <w:p w14:paraId="75B37302">
            <w:pPr>
              <w:pStyle w:val="21"/>
              <w:rPr>
                <w:rFonts w:hint="eastAsia" w:ascii="宋体" w:hAnsi="宋体" w:eastAsia="宋体" w:cs="宋体"/>
                <w:color w:val="auto"/>
                <w:sz w:val="24"/>
                <w:szCs w:val="24"/>
                <w:highlight w:val="none"/>
              </w:rPr>
            </w:pPr>
          </w:p>
        </w:tc>
        <w:tc>
          <w:tcPr>
            <w:tcW w:w="1567" w:type="dxa"/>
            <w:vAlign w:val="top"/>
          </w:tcPr>
          <w:p w14:paraId="74287E00">
            <w:pPr>
              <w:pStyle w:val="21"/>
              <w:rPr>
                <w:rFonts w:hint="eastAsia" w:ascii="宋体" w:hAnsi="宋体" w:eastAsia="宋体" w:cs="宋体"/>
                <w:color w:val="auto"/>
                <w:sz w:val="24"/>
                <w:szCs w:val="24"/>
                <w:highlight w:val="none"/>
              </w:rPr>
            </w:pPr>
          </w:p>
        </w:tc>
        <w:tc>
          <w:tcPr>
            <w:tcW w:w="1017" w:type="dxa"/>
            <w:vAlign w:val="top"/>
          </w:tcPr>
          <w:p w14:paraId="5804450C">
            <w:pPr>
              <w:pStyle w:val="21"/>
              <w:rPr>
                <w:rFonts w:hint="eastAsia" w:ascii="宋体" w:hAnsi="宋体" w:eastAsia="宋体" w:cs="宋体"/>
                <w:color w:val="auto"/>
                <w:sz w:val="24"/>
                <w:szCs w:val="24"/>
                <w:highlight w:val="none"/>
              </w:rPr>
            </w:pPr>
          </w:p>
        </w:tc>
        <w:tc>
          <w:tcPr>
            <w:tcW w:w="1002" w:type="dxa"/>
            <w:vAlign w:val="top"/>
          </w:tcPr>
          <w:p w14:paraId="7C125147">
            <w:pPr>
              <w:pStyle w:val="21"/>
              <w:rPr>
                <w:rFonts w:hint="eastAsia" w:ascii="宋体" w:hAnsi="宋体" w:eastAsia="宋体" w:cs="宋体"/>
                <w:color w:val="auto"/>
                <w:sz w:val="24"/>
                <w:szCs w:val="24"/>
                <w:highlight w:val="none"/>
              </w:rPr>
            </w:pPr>
          </w:p>
        </w:tc>
        <w:tc>
          <w:tcPr>
            <w:tcW w:w="1551" w:type="dxa"/>
            <w:vAlign w:val="top"/>
          </w:tcPr>
          <w:p w14:paraId="4F54B0AF">
            <w:pPr>
              <w:pStyle w:val="21"/>
              <w:rPr>
                <w:rFonts w:hint="eastAsia" w:ascii="宋体" w:hAnsi="宋体" w:eastAsia="宋体" w:cs="宋体"/>
                <w:color w:val="auto"/>
                <w:sz w:val="24"/>
                <w:szCs w:val="24"/>
                <w:highlight w:val="none"/>
              </w:rPr>
            </w:pPr>
          </w:p>
        </w:tc>
        <w:tc>
          <w:tcPr>
            <w:tcW w:w="1926" w:type="dxa"/>
            <w:vAlign w:val="top"/>
          </w:tcPr>
          <w:p w14:paraId="4FFC9BC0">
            <w:pPr>
              <w:pStyle w:val="21"/>
              <w:rPr>
                <w:rFonts w:hint="eastAsia" w:ascii="宋体" w:hAnsi="宋体" w:eastAsia="宋体" w:cs="宋体"/>
                <w:color w:val="auto"/>
                <w:sz w:val="24"/>
                <w:szCs w:val="24"/>
                <w:highlight w:val="none"/>
              </w:rPr>
            </w:pPr>
          </w:p>
        </w:tc>
      </w:tr>
    </w:tbl>
    <w:p w14:paraId="7732D9E9">
      <w:pPr>
        <w:pStyle w:val="5"/>
        <w:spacing w:line="395" w:lineRule="auto"/>
        <w:rPr>
          <w:rFonts w:hint="eastAsia" w:ascii="宋体" w:hAnsi="宋体" w:eastAsia="宋体" w:cs="宋体"/>
          <w:color w:val="auto"/>
          <w:sz w:val="24"/>
          <w:szCs w:val="24"/>
          <w:highlight w:val="none"/>
        </w:rPr>
      </w:pPr>
    </w:p>
    <w:p w14:paraId="3B1E59B3">
      <w:pPr>
        <w:spacing w:before="65" w:line="228" w:lineRule="auto"/>
        <w:ind w:left="43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说明：</w:t>
      </w:r>
    </w:p>
    <w:p w14:paraId="6AA20B55">
      <w:pPr>
        <w:spacing w:before="153" w:line="228" w:lineRule="auto"/>
        <w:ind w:firstLine="496"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1</w:t>
      </w:r>
      <w:r>
        <w:rPr>
          <w:rFonts w:hint="eastAsia" w:ascii="宋体" w:hAnsi="宋体" w:eastAsia="宋体" w:cs="宋体"/>
          <w:color w:val="auto"/>
          <w:spacing w:val="-21"/>
          <w:sz w:val="24"/>
          <w:szCs w:val="24"/>
          <w:highlight w:val="none"/>
        </w:rPr>
        <w:t xml:space="preserve"> </w:t>
      </w:r>
      <w:r>
        <w:rPr>
          <w:rFonts w:hint="eastAsia" w:ascii="宋体" w:hAnsi="宋体" w:eastAsia="宋体" w:cs="宋体"/>
          <w:color w:val="auto"/>
          <w:spacing w:val="4"/>
          <w:sz w:val="24"/>
          <w:szCs w:val="24"/>
          <w:highlight w:val="none"/>
        </w:rPr>
        <w:t>．《项目管理机构组成表》后应附表中拟派人</w:t>
      </w:r>
      <w:r>
        <w:rPr>
          <w:rFonts w:hint="eastAsia" w:ascii="宋体" w:hAnsi="宋体" w:eastAsia="宋体" w:cs="宋体"/>
          <w:color w:val="auto"/>
          <w:spacing w:val="3"/>
          <w:sz w:val="24"/>
          <w:szCs w:val="24"/>
          <w:highlight w:val="none"/>
        </w:rPr>
        <w:t>员（项目经理、项目技术负责人除外）以下资料：</w:t>
      </w:r>
    </w:p>
    <w:p w14:paraId="4B601F95">
      <w:pPr>
        <w:spacing w:before="154" w:line="228" w:lineRule="auto"/>
        <w:ind w:left="448"/>
        <w:jc w:val="left"/>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1</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身份证彩色扫描件；</w:t>
      </w:r>
    </w:p>
    <w:p w14:paraId="133F901E">
      <w:pPr>
        <w:spacing w:before="152" w:line="228" w:lineRule="auto"/>
        <w:ind w:left="42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lang w:eastAsia="zh-CN"/>
        </w:rPr>
        <w:t>）</w:t>
      </w:r>
      <w:r>
        <w:rPr>
          <w:rFonts w:hint="eastAsia" w:ascii="宋体" w:hAnsi="宋体" w:eastAsia="宋体" w:cs="宋体"/>
          <w:color w:val="auto"/>
          <w:spacing w:val="9"/>
          <w:sz w:val="24"/>
          <w:szCs w:val="24"/>
          <w:highlight w:val="none"/>
        </w:rPr>
        <w:t>专职安全员须提供C类安全生产考核合格证书扫描件或“建筑施工企业管理人员安全生产考核信息系统”考核合格信息扫描件；施工员、质量员、材料员、资料员附岗位证书或培训证书彩色扫描件或打印件；</w:t>
      </w:r>
    </w:p>
    <w:p w14:paraId="43B3A6E0">
      <w:pPr>
        <w:spacing w:before="153" w:line="299" w:lineRule="auto"/>
        <w:ind w:left="11" w:right="89" w:firstLine="42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lang w:val="en-US" w:eastAsia="zh-CN"/>
        </w:rPr>
        <w:t>3</w:t>
      </w:r>
      <w:r>
        <w:rPr>
          <w:rFonts w:hint="eastAsia" w:ascii="宋体" w:hAnsi="宋体" w:eastAsia="宋体" w:cs="宋体"/>
          <w:color w:val="auto"/>
          <w:spacing w:val="9"/>
          <w:sz w:val="24"/>
          <w:szCs w:val="24"/>
          <w:highlight w:val="none"/>
          <w:lang w:eastAsia="zh-CN"/>
        </w:rPr>
        <w:t>）</w:t>
      </w:r>
      <w:r>
        <w:rPr>
          <w:rFonts w:hint="eastAsia" w:ascii="宋体" w:hAnsi="宋体" w:eastAsia="宋体" w:cs="宋体"/>
          <w:color w:val="auto"/>
          <w:spacing w:val="9"/>
          <w:sz w:val="24"/>
          <w:szCs w:val="24"/>
          <w:highlight w:val="none"/>
        </w:rPr>
        <w:t>在本单位缴纳社保的证明（</w:t>
      </w:r>
      <w:r>
        <w:rPr>
          <w:rFonts w:hint="eastAsia" w:ascii="宋体" w:hAnsi="宋体" w:eastAsia="宋体" w:cs="宋体"/>
          <w:color w:val="auto"/>
          <w:sz w:val="24"/>
          <w:szCs w:val="24"/>
          <w:highlight w:val="none"/>
          <w:lang w:eastAsia="zh-CN"/>
        </w:rPr>
        <w:t>至少</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个月，其中必须有20</w:t>
      </w:r>
      <w:r>
        <w:rPr>
          <w:rFonts w:hint="eastAsia" w:ascii="宋体" w:hAnsi="宋体" w:eastAsia="宋体" w:cs="宋体"/>
          <w:color w:val="auto"/>
          <w:sz w:val="24"/>
          <w:szCs w:val="24"/>
          <w:highlight w:val="none"/>
          <w:lang w:val="en-US" w:eastAsia="zh-CN"/>
        </w:rPr>
        <w:t>26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pacing w:val="8"/>
          <w:sz w:val="24"/>
          <w:szCs w:val="24"/>
          <w:highlight w:val="none"/>
        </w:rPr>
        <w:t>）彩色扫描件</w:t>
      </w:r>
      <w:r>
        <w:rPr>
          <w:rFonts w:hint="eastAsia" w:ascii="宋体" w:hAnsi="宋体" w:eastAsia="宋体" w:cs="宋体"/>
          <w:color w:val="auto"/>
          <w:spacing w:val="8"/>
          <w:sz w:val="24"/>
          <w:szCs w:val="24"/>
          <w:highlight w:val="none"/>
          <w:lang w:val="en-US" w:eastAsia="zh-CN"/>
        </w:rPr>
        <w:t>或打印件</w:t>
      </w:r>
      <w:r>
        <w:rPr>
          <w:rFonts w:hint="eastAsia" w:ascii="宋体" w:hAnsi="宋体" w:eastAsia="宋体" w:cs="宋体"/>
          <w:color w:val="auto"/>
          <w:spacing w:val="8"/>
          <w:sz w:val="24"/>
          <w:szCs w:val="24"/>
          <w:highlight w:val="none"/>
        </w:rPr>
        <w:t>。</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拟派项目技术负责人为退休返聘人员无法提供社</w:t>
      </w:r>
      <w:r>
        <w:rPr>
          <w:rFonts w:hint="eastAsia" w:ascii="宋体" w:hAnsi="宋体" w:eastAsia="宋体" w:cs="宋体"/>
          <w:color w:val="auto"/>
          <w:spacing w:val="9"/>
          <w:sz w:val="24"/>
          <w:szCs w:val="24"/>
          <w:highlight w:val="none"/>
        </w:rPr>
        <w:t>保证明的，提供退休证和劳动合同彩色扫描件。</w:t>
      </w:r>
    </w:p>
    <w:p w14:paraId="50403043">
      <w:pPr>
        <w:spacing w:before="152" w:line="228" w:lineRule="auto"/>
        <w:ind w:left="0" w:leftChars="0" w:firstLine="419" w:firstLineChars="164"/>
        <w:rPr>
          <w:rFonts w:hint="eastAsia" w:ascii="宋体" w:hAnsi="宋体" w:eastAsia="宋体" w:cs="宋体"/>
          <w:color w:val="auto"/>
          <w:spacing w:val="9"/>
          <w:sz w:val="24"/>
          <w:szCs w:val="24"/>
          <w:highlight w:val="none"/>
        </w:rPr>
      </w:pPr>
      <w:r>
        <w:rPr>
          <w:rFonts w:hint="eastAsia" w:ascii="宋体" w:hAnsi="宋体" w:eastAsia="宋体" w:cs="宋体"/>
          <w:color w:val="auto"/>
          <w:spacing w:val="8"/>
          <w:sz w:val="24"/>
          <w:szCs w:val="24"/>
          <w:highlight w:val="none"/>
        </w:rPr>
        <w:t>（4）</w:t>
      </w:r>
      <w:r>
        <w:rPr>
          <w:rFonts w:hint="eastAsia" w:ascii="宋体" w:hAnsi="宋体" w:eastAsia="宋体" w:cs="宋体"/>
          <w:color w:val="auto"/>
          <w:spacing w:val="9"/>
          <w:sz w:val="24"/>
          <w:szCs w:val="24"/>
          <w:highlight w:val="none"/>
        </w:rPr>
        <w:t>“进粤企业和人员诚信信息登记平台 ”个人信息情况截图。（适用于省外建筑企业）</w:t>
      </w:r>
    </w:p>
    <w:p w14:paraId="2829D625">
      <w:pPr>
        <w:spacing w:before="153" w:line="299" w:lineRule="auto"/>
        <w:ind w:left="16" w:right="40" w:firstLine="41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2.</w:t>
      </w:r>
      <w:r>
        <w:rPr>
          <w:rFonts w:hint="eastAsia" w:ascii="宋体" w:hAnsi="宋体" w:eastAsia="宋体" w:cs="宋体"/>
          <w:color w:val="auto"/>
          <w:spacing w:val="8"/>
          <w:sz w:val="24"/>
          <w:szCs w:val="24"/>
          <w:highlight w:val="none"/>
        </w:rPr>
        <w:t>联合体投标的，《项目管理机构组成表》应包括联合体成员单位参与项目管理</w:t>
      </w:r>
      <w:r>
        <w:rPr>
          <w:rFonts w:hint="eastAsia" w:ascii="宋体" w:hAnsi="宋体" w:eastAsia="宋体" w:cs="宋体"/>
          <w:color w:val="auto"/>
          <w:spacing w:val="7"/>
          <w:sz w:val="24"/>
          <w:szCs w:val="24"/>
          <w:highlight w:val="none"/>
        </w:rPr>
        <w:t>机构的人员，并提供以上所需资料。</w:t>
      </w:r>
    </w:p>
    <w:p w14:paraId="5069CF15">
      <w:pPr>
        <w:pStyle w:val="5"/>
        <w:spacing w:line="248" w:lineRule="auto"/>
        <w:rPr>
          <w:rFonts w:hint="eastAsia" w:ascii="宋体" w:hAnsi="宋体" w:eastAsia="宋体" w:cs="宋体"/>
          <w:color w:val="auto"/>
          <w:sz w:val="24"/>
          <w:szCs w:val="24"/>
          <w:highlight w:val="none"/>
        </w:rPr>
      </w:pPr>
    </w:p>
    <w:p w14:paraId="6BC18C6E">
      <w:pPr>
        <w:pStyle w:val="5"/>
        <w:spacing w:line="248" w:lineRule="auto"/>
        <w:rPr>
          <w:rFonts w:hint="eastAsia" w:ascii="宋体" w:hAnsi="宋体" w:eastAsia="宋体" w:cs="宋体"/>
          <w:color w:val="auto"/>
          <w:sz w:val="24"/>
          <w:szCs w:val="24"/>
          <w:highlight w:val="none"/>
        </w:rPr>
      </w:pPr>
    </w:p>
    <w:p w14:paraId="176F2752">
      <w:pPr>
        <w:pStyle w:val="5"/>
        <w:spacing w:line="248" w:lineRule="auto"/>
        <w:rPr>
          <w:rFonts w:hint="eastAsia" w:ascii="宋体" w:hAnsi="宋体" w:eastAsia="宋体" w:cs="宋体"/>
          <w:color w:val="auto"/>
          <w:highlight w:val="none"/>
        </w:rPr>
      </w:pPr>
    </w:p>
    <w:p w14:paraId="5D072C9A">
      <w:pPr>
        <w:pStyle w:val="5"/>
        <w:spacing w:line="248" w:lineRule="auto"/>
        <w:rPr>
          <w:rFonts w:hint="eastAsia" w:ascii="宋体" w:hAnsi="宋体" w:eastAsia="宋体" w:cs="宋体"/>
          <w:color w:val="auto"/>
          <w:highlight w:val="none"/>
        </w:rPr>
      </w:pPr>
    </w:p>
    <w:p w14:paraId="3AE49CA0">
      <w:pPr>
        <w:spacing w:before="79" w:line="220" w:lineRule="auto"/>
        <w:rPr>
          <w:rFonts w:hint="eastAsia" w:ascii="宋体" w:hAnsi="宋体" w:eastAsia="宋体" w:cs="宋体"/>
          <w:b/>
          <w:bCs/>
          <w:color w:val="auto"/>
          <w:spacing w:val="-2"/>
          <w:sz w:val="24"/>
          <w:szCs w:val="24"/>
          <w:highlight w:val="none"/>
        </w:rPr>
      </w:pPr>
    </w:p>
    <w:p w14:paraId="64B5E5D2">
      <w:pPr>
        <w:spacing w:before="78" w:line="220" w:lineRule="auto"/>
        <w:outlineLvl w:val="2"/>
        <w:rPr>
          <w:rFonts w:hint="eastAsia" w:ascii="宋体" w:hAnsi="宋体" w:eastAsia="宋体" w:cs="宋体"/>
          <w:b/>
          <w:bCs/>
          <w:color w:val="auto"/>
          <w:spacing w:val="-4"/>
          <w:sz w:val="24"/>
          <w:szCs w:val="24"/>
          <w:highlight w:val="none"/>
        </w:rPr>
      </w:pPr>
      <w:bookmarkStart w:id="263" w:name="_Toc16480"/>
      <w:r>
        <w:rPr>
          <w:rFonts w:hint="eastAsia" w:ascii="宋体" w:hAnsi="宋体" w:eastAsia="宋体" w:cs="宋体"/>
          <w:b/>
          <w:bCs/>
          <w:color w:val="auto"/>
          <w:spacing w:val="-4"/>
          <w:sz w:val="24"/>
          <w:szCs w:val="24"/>
          <w:highlight w:val="none"/>
        </w:rPr>
        <w:t>格式十二 建造师查询页（有效期+建造师签字）</w:t>
      </w:r>
      <w:bookmarkEnd w:id="263"/>
    </w:p>
    <w:p w14:paraId="450E46D9">
      <w:pPr>
        <w:outlineLvl w:val="9"/>
        <w:rPr>
          <w:rFonts w:hint="eastAsia" w:ascii="宋体" w:hAnsi="宋体" w:eastAsia="宋体" w:cs="宋体"/>
          <w:color w:val="auto"/>
          <w:highlight w:val="none"/>
        </w:rPr>
      </w:pPr>
      <w:r>
        <w:rPr>
          <w:rFonts w:hint="eastAsia" w:ascii="宋体" w:hAnsi="宋体" w:eastAsia="宋体" w:cs="宋体"/>
          <w:color w:val="auto"/>
          <w:position w:val="-235"/>
          <w:highlight w:val="none"/>
        </w:rPr>
        <w:drawing>
          <wp:inline distT="0" distB="0" distL="114300" distR="114300">
            <wp:extent cx="6239510" cy="8013700"/>
            <wp:effectExtent l="0" t="0" r="8890" b="6350"/>
            <wp:docPr id="6" name="图片 8"/>
            <wp:cNvGraphicFramePr/>
            <a:graphic xmlns:a="http://schemas.openxmlformats.org/drawingml/2006/main">
              <a:graphicData uri="http://schemas.openxmlformats.org/drawingml/2006/picture">
                <pic:pic xmlns:pic="http://schemas.openxmlformats.org/drawingml/2006/picture">
                  <pic:nvPicPr>
                    <pic:cNvPr id="6" name="图片 8"/>
                    <pic:cNvPicPr/>
                  </pic:nvPicPr>
                  <pic:blipFill>
                    <a:blip r:embed="rId54"/>
                    <a:stretch>
                      <a:fillRect/>
                    </a:stretch>
                  </pic:blipFill>
                  <pic:spPr>
                    <a:xfrm>
                      <a:off x="0" y="0"/>
                      <a:ext cx="6239510" cy="8013700"/>
                    </a:xfrm>
                    <a:prstGeom prst="rect">
                      <a:avLst/>
                    </a:prstGeom>
                    <a:noFill/>
                    <a:ln>
                      <a:noFill/>
                    </a:ln>
                  </pic:spPr>
                </pic:pic>
              </a:graphicData>
            </a:graphic>
          </wp:inline>
        </w:drawing>
      </w:r>
    </w:p>
    <w:p w14:paraId="1386CCA3">
      <w:pPr>
        <w:spacing w:line="220" w:lineRule="auto"/>
        <w:rPr>
          <w:rFonts w:hint="eastAsia" w:ascii="宋体" w:hAnsi="宋体" w:eastAsia="宋体" w:cs="宋体"/>
          <w:color w:val="auto"/>
          <w:sz w:val="24"/>
          <w:szCs w:val="24"/>
          <w:highlight w:val="none"/>
        </w:rPr>
        <w:sectPr>
          <w:footerReference r:id="rId22"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6CEE8513">
      <w:pPr>
        <w:spacing w:line="10744" w:lineRule="exact"/>
        <w:rPr>
          <w:rFonts w:hint="eastAsia" w:ascii="宋体" w:hAnsi="宋体" w:eastAsia="宋体" w:cs="宋体"/>
          <w:color w:val="auto"/>
          <w:highlight w:val="none"/>
        </w:rPr>
      </w:pPr>
      <w:r>
        <w:rPr>
          <w:rFonts w:hint="eastAsia" w:ascii="宋体" w:hAnsi="宋体" w:eastAsia="宋体" w:cs="宋体"/>
          <w:color w:val="auto"/>
          <w:position w:val="-214"/>
          <w:highlight w:val="none"/>
        </w:rPr>
        <w:drawing>
          <wp:inline distT="0" distB="0" distL="114300" distR="114300">
            <wp:extent cx="6285865" cy="6925310"/>
            <wp:effectExtent l="0" t="0" r="635" b="8890"/>
            <wp:docPr id="4" name="图片 9"/>
            <wp:cNvGraphicFramePr/>
            <a:graphic xmlns:a="http://schemas.openxmlformats.org/drawingml/2006/main">
              <a:graphicData uri="http://schemas.openxmlformats.org/drawingml/2006/picture">
                <pic:pic xmlns:pic="http://schemas.openxmlformats.org/drawingml/2006/picture">
                  <pic:nvPicPr>
                    <pic:cNvPr id="4" name="图片 9"/>
                    <pic:cNvPicPr/>
                  </pic:nvPicPr>
                  <pic:blipFill>
                    <a:blip r:embed="rId55"/>
                    <a:stretch>
                      <a:fillRect/>
                    </a:stretch>
                  </pic:blipFill>
                  <pic:spPr>
                    <a:xfrm>
                      <a:off x="0" y="0"/>
                      <a:ext cx="6285865" cy="6925310"/>
                    </a:xfrm>
                    <a:prstGeom prst="rect">
                      <a:avLst/>
                    </a:prstGeom>
                    <a:noFill/>
                    <a:ln>
                      <a:noFill/>
                    </a:ln>
                  </pic:spPr>
                </pic:pic>
              </a:graphicData>
            </a:graphic>
          </wp:inline>
        </w:drawing>
      </w:r>
    </w:p>
    <w:p w14:paraId="7813AADB">
      <w:pPr>
        <w:spacing w:line="10744" w:lineRule="exact"/>
        <w:rPr>
          <w:rFonts w:hint="eastAsia" w:ascii="宋体" w:hAnsi="宋体" w:eastAsia="宋体" w:cs="宋体"/>
          <w:color w:val="auto"/>
          <w:highlight w:val="none"/>
        </w:rPr>
        <w:sectPr>
          <w:footerReference r:id="rId23"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5D36A69A">
      <w:pPr>
        <w:spacing w:before="78" w:line="220" w:lineRule="auto"/>
        <w:outlineLvl w:val="2"/>
        <w:rPr>
          <w:rFonts w:hint="eastAsia" w:ascii="宋体" w:hAnsi="宋体" w:eastAsia="宋体" w:cs="宋体"/>
          <w:b/>
          <w:bCs/>
          <w:color w:val="auto"/>
          <w:spacing w:val="-4"/>
          <w:sz w:val="24"/>
          <w:szCs w:val="24"/>
          <w:highlight w:val="none"/>
        </w:rPr>
      </w:pPr>
      <w:bookmarkStart w:id="264" w:name="_Toc28779"/>
      <w:r>
        <w:rPr>
          <w:rFonts w:hint="eastAsia" w:ascii="宋体" w:hAnsi="宋体" w:eastAsia="宋体" w:cs="宋体"/>
          <w:b/>
          <w:bCs/>
          <w:color w:val="auto"/>
          <w:spacing w:val="-4"/>
          <w:sz w:val="24"/>
          <w:szCs w:val="24"/>
          <w:highlight w:val="none"/>
        </w:rPr>
        <w:t>格式十三：</w:t>
      </w:r>
      <w:r>
        <w:rPr>
          <w:rFonts w:hint="eastAsia" w:ascii="宋体" w:hAnsi="宋体" w:eastAsia="宋体" w:cs="宋体"/>
          <w:b/>
          <w:bCs/>
          <w:color w:val="auto"/>
          <w:spacing w:val="7"/>
          <w:sz w:val="22"/>
          <w:szCs w:val="22"/>
          <w:highlight w:val="none"/>
        </w:rPr>
        <w:t>危险性较大的分部分项工程清单及超过一定规模的危险性较大的</w:t>
      </w:r>
      <w:r>
        <w:rPr>
          <w:rFonts w:hint="eastAsia" w:ascii="宋体" w:hAnsi="宋体" w:eastAsia="宋体" w:cs="宋体"/>
          <w:b/>
          <w:bCs/>
          <w:color w:val="auto"/>
          <w:spacing w:val="5"/>
          <w:sz w:val="22"/>
          <w:szCs w:val="22"/>
          <w:highlight w:val="none"/>
        </w:rPr>
        <w:t>分部分项工程清单</w:t>
      </w:r>
      <w:bookmarkEnd w:id="264"/>
    </w:p>
    <w:p w14:paraId="233B3372">
      <w:pPr>
        <w:pStyle w:val="5"/>
        <w:spacing w:line="269" w:lineRule="auto"/>
        <w:rPr>
          <w:rFonts w:hint="eastAsia" w:ascii="宋体" w:hAnsi="宋体" w:eastAsia="宋体" w:cs="宋体"/>
          <w:color w:val="auto"/>
          <w:highlight w:val="none"/>
        </w:rPr>
      </w:pPr>
    </w:p>
    <w:p w14:paraId="73CEABAE">
      <w:pPr>
        <w:tabs>
          <w:tab w:val="left" w:pos="2940"/>
        </w:tabs>
        <w:spacing w:before="101" w:line="377" w:lineRule="auto"/>
        <w:ind w:left="3179" w:leftChars="0" w:right="41" w:hanging="3133" w:firstLineChars="0"/>
        <w:rPr>
          <w:rFonts w:hint="eastAsia" w:ascii="宋体" w:hAnsi="宋体" w:eastAsia="宋体" w:cs="宋体"/>
          <w:color w:val="auto"/>
          <w:sz w:val="31"/>
          <w:szCs w:val="31"/>
          <w:highlight w:val="none"/>
        </w:rPr>
      </w:pPr>
      <w:bookmarkStart w:id="265" w:name="bookmark160"/>
      <w:bookmarkEnd w:id="265"/>
      <w:bookmarkStart w:id="266" w:name="OLE_LINK41"/>
      <w:r>
        <w:rPr>
          <w:rFonts w:hint="eastAsia" w:ascii="宋体" w:hAnsi="宋体" w:eastAsia="宋体" w:cs="宋体"/>
          <w:b/>
          <w:bCs/>
          <w:color w:val="auto"/>
          <w:spacing w:val="7"/>
          <w:sz w:val="31"/>
          <w:szCs w:val="31"/>
          <w:highlight w:val="none"/>
        </w:rPr>
        <w:t>危险性较大的分部分项工程清单及超过一定规模的危险性较大的</w:t>
      </w:r>
      <w:r>
        <w:rPr>
          <w:rFonts w:hint="eastAsia" w:ascii="宋体" w:hAnsi="宋体" w:eastAsia="宋体" w:cs="宋体"/>
          <w:b/>
          <w:bCs/>
          <w:color w:val="auto"/>
          <w:spacing w:val="5"/>
          <w:sz w:val="31"/>
          <w:szCs w:val="31"/>
          <w:highlight w:val="none"/>
        </w:rPr>
        <w:t>分部分项工程清单</w:t>
      </w:r>
    </w:p>
    <w:bookmarkEnd w:id="266"/>
    <w:p w14:paraId="5733B35F">
      <w:pPr>
        <w:spacing w:before="6" w:line="326" w:lineRule="auto"/>
        <w:ind w:left="5" w:firstLine="492"/>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1、根据中华人民共和国住房和城乡建设部令第37号《危险性较大的分部分项工程</w:t>
      </w:r>
      <w:r>
        <w:rPr>
          <w:rFonts w:hint="eastAsia" w:ascii="宋体" w:hAnsi="宋体" w:eastAsia="宋体" w:cs="宋体"/>
          <w:color w:val="auto"/>
          <w:spacing w:val="-2"/>
          <w:sz w:val="24"/>
          <w:szCs w:val="24"/>
          <w:highlight w:val="none"/>
        </w:rPr>
        <w:t>安全管理规定》（以下简称“37号文</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2"/>
          <w:sz w:val="24"/>
          <w:szCs w:val="24"/>
          <w:highlight w:val="none"/>
        </w:rPr>
        <w:t>投标人在投标时须补充完善危大工程清单并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明确相应的安全管理措施。</w:t>
      </w:r>
    </w:p>
    <w:p w14:paraId="1BA34EDA">
      <w:pPr>
        <w:spacing w:before="208" w:line="326" w:lineRule="auto"/>
        <w:ind w:left="1" w:firstLine="481"/>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2、招标人根据设计文件的要求及37号文、粤建规范〔2019〕2号文的规定列出“危险性较大的分部分项工程清单及超过一定规模的危</w:t>
      </w:r>
      <w:r>
        <w:rPr>
          <w:rFonts w:hint="eastAsia" w:ascii="宋体" w:hAnsi="宋体" w:eastAsia="宋体" w:cs="宋体"/>
          <w:color w:val="auto"/>
          <w:spacing w:val="-3"/>
          <w:sz w:val="24"/>
          <w:szCs w:val="24"/>
          <w:highlight w:val="none"/>
        </w:rPr>
        <w:t>险性较大的分部分项工程清单</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”中与</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本招标项目相关的清单项，具体详见第5点“打</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5"/>
          <w:sz w:val="24"/>
          <w:szCs w:val="24"/>
          <w:highlight w:val="none"/>
        </w:rPr>
        <w:t>”标识。</w:t>
      </w:r>
    </w:p>
    <w:p w14:paraId="1F8B397A">
      <w:pPr>
        <w:spacing w:before="209" w:line="299" w:lineRule="auto"/>
        <w:ind w:left="3" w:right="72" w:firstLine="488"/>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（1）投标单位同意建设单位在清单中标识的该</w:t>
      </w:r>
      <w:r>
        <w:rPr>
          <w:rFonts w:hint="eastAsia" w:ascii="宋体" w:hAnsi="宋体" w:eastAsia="宋体" w:cs="宋体"/>
          <w:color w:val="auto"/>
          <w:spacing w:val="-4"/>
          <w:sz w:val="24"/>
          <w:szCs w:val="24"/>
          <w:highlight w:val="none"/>
        </w:rPr>
        <w:t>项请在对应项打“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w:t>
      </w:r>
      <w:r>
        <w:rPr>
          <w:rFonts w:hint="eastAsia" w:ascii="宋体" w:hAnsi="宋体" w:eastAsia="宋体" w:cs="宋体"/>
          <w:color w:val="auto"/>
          <w:spacing w:val="-1"/>
          <w:sz w:val="24"/>
          <w:szCs w:val="24"/>
          <w:highlight w:val="none"/>
        </w:rPr>
        <w:t>投标文件中提供相应的安全管理措施。</w:t>
      </w:r>
    </w:p>
    <w:p w14:paraId="7869C183">
      <w:pPr>
        <w:spacing w:before="208" w:line="299" w:lineRule="auto"/>
        <w:ind w:left="2" w:right="72" w:firstLine="48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（2）投标单位对清单中认为需要补充的该项请</w:t>
      </w:r>
      <w:r>
        <w:rPr>
          <w:rFonts w:hint="eastAsia" w:ascii="宋体" w:hAnsi="宋体" w:eastAsia="宋体" w:cs="宋体"/>
          <w:color w:val="auto"/>
          <w:spacing w:val="-4"/>
          <w:sz w:val="24"/>
          <w:szCs w:val="24"/>
          <w:highlight w:val="none"/>
        </w:rPr>
        <w:t>在对应项打“</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4"/>
          <w:sz w:val="24"/>
          <w:szCs w:val="24"/>
          <w:highlight w:val="none"/>
        </w:rPr>
        <w:t>”标识，并与投标</w:t>
      </w:r>
      <w:r>
        <w:rPr>
          <w:rFonts w:hint="eastAsia" w:ascii="宋体" w:hAnsi="宋体" w:eastAsia="宋体" w:cs="宋体"/>
          <w:color w:val="auto"/>
          <w:spacing w:val="-1"/>
          <w:sz w:val="24"/>
          <w:szCs w:val="24"/>
          <w:highlight w:val="none"/>
        </w:rPr>
        <w:t>文件中提供相应的安全管理措施。</w:t>
      </w:r>
    </w:p>
    <w:p w14:paraId="5AF6072E">
      <w:pPr>
        <w:spacing w:before="210" w:line="300" w:lineRule="auto"/>
        <w:ind w:right="72" w:firstLine="49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（3）投标单位不同意建设单位在清单中标识的该项请在对应项打“</w:t>
      </w:r>
      <w:r>
        <w:rPr>
          <w:rFonts w:hint="eastAsia" w:ascii="宋体" w:hAnsi="宋体" w:eastAsia="宋体" w:cs="宋体"/>
          <w:color w:val="auto"/>
          <w:spacing w:val="-66"/>
          <w:sz w:val="24"/>
          <w:szCs w:val="24"/>
          <w:highlight w:val="none"/>
        </w:rPr>
        <w:t xml:space="preserve"> </w:t>
      </w:r>
      <w:r>
        <w:rPr>
          <w:rFonts w:hint="eastAsia" w:ascii="宋体" w:hAnsi="宋体" w:eastAsia="宋体" w:cs="宋体"/>
          <w:color w:val="auto"/>
          <w:spacing w:val="-3"/>
          <w:sz w:val="24"/>
          <w:szCs w:val="24"/>
          <w:highlight w:val="none"/>
        </w:rPr>
        <w:t>×</w:t>
      </w:r>
      <w:r>
        <w:rPr>
          <w:rFonts w:hint="eastAsia" w:ascii="宋体" w:hAnsi="宋体" w:eastAsia="宋体" w:cs="宋体"/>
          <w:color w:val="auto"/>
          <w:spacing w:val="-88"/>
          <w:sz w:val="24"/>
          <w:szCs w:val="24"/>
          <w:highlight w:val="none"/>
        </w:rPr>
        <w:t xml:space="preserve"> </w:t>
      </w:r>
      <w:r>
        <w:rPr>
          <w:rFonts w:hint="eastAsia" w:ascii="宋体" w:hAnsi="宋体" w:eastAsia="宋体" w:cs="宋体"/>
          <w:color w:val="auto"/>
          <w:spacing w:val="-3"/>
          <w:sz w:val="24"/>
          <w:szCs w:val="24"/>
          <w:highlight w:val="none"/>
        </w:rPr>
        <w:t>”标识，并</w:t>
      </w:r>
      <w:r>
        <w:rPr>
          <w:rFonts w:hint="eastAsia" w:ascii="宋体" w:hAnsi="宋体" w:eastAsia="宋体" w:cs="宋体"/>
          <w:color w:val="auto"/>
          <w:spacing w:val="-1"/>
          <w:sz w:val="24"/>
          <w:szCs w:val="24"/>
          <w:highlight w:val="none"/>
        </w:rPr>
        <w:t>在备注栏填上相关说明。</w:t>
      </w:r>
    </w:p>
    <w:p w14:paraId="1CD3BDFD">
      <w:pPr>
        <w:spacing w:before="207" w:line="371" w:lineRule="auto"/>
        <w:ind w:firstLine="484"/>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u w:val="single"/>
        </w:rPr>
        <w:t>3、投标单位应当在投标时根据招标人提供的下述第5点清单，</w:t>
      </w:r>
      <w:r>
        <w:rPr>
          <w:rFonts w:hint="eastAsia" w:ascii="宋体" w:hAnsi="宋体" w:eastAsia="宋体" w:cs="宋体"/>
          <w:b/>
          <w:bCs/>
          <w:color w:val="auto"/>
          <w:spacing w:val="-5"/>
          <w:sz w:val="24"/>
          <w:szCs w:val="24"/>
          <w:highlight w:val="none"/>
          <w:u w:val="single"/>
        </w:rPr>
        <w:t>在投标施工组织中回</w:t>
      </w:r>
      <w:r>
        <w:rPr>
          <w:rFonts w:hint="eastAsia" w:ascii="宋体" w:hAnsi="宋体" w:eastAsia="宋体" w:cs="宋体"/>
          <w:b/>
          <w:bCs/>
          <w:color w:val="auto"/>
          <w:spacing w:val="-4"/>
          <w:sz w:val="24"/>
          <w:szCs w:val="24"/>
          <w:highlight w:val="none"/>
          <w:u w:val="single"/>
        </w:rPr>
        <w:t>应建设单位提供的危大工程清单，补充相应的安全管理措施。（为减轻标书编制</w:t>
      </w:r>
      <w:r>
        <w:rPr>
          <w:rFonts w:hint="eastAsia" w:ascii="宋体" w:hAnsi="宋体" w:eastAsia="宋体" w:cs="宋体"/>
          <w:b/>
          <w:bCs/>
          <w:color w:val="auto"/>
          <w:spacing w:val="-5"/>
          <w:sz w:val="24"/>
          <w:szCs w:val="24"/>
          <w:highlight w:val="none"/>
          <w:u w:val="single"/>
        </w:rPr>
        <w:t>的工作</w:t>
      </w:r>
      <w:r>
        <w:rPr>
          <w:rFonts w:hint="eastAsia" w:ascii="宋体" w:hAnsi="宋体" w:eastAsia="宋体" w:cs="宋体"/>
          <w:b/>
          <w:bCs/>
          <w:color w:val="auto"/>
          <w:spacing w:val="-2"/>
          <w:sz w:val="24"/>
          <w:szCs w:val="24"/>
          <w:highlight w:val="none"/>
          <w:u w:val="single"/>
        </w:rPr>
        <w:t>量，投标单位回应的危大工程清单该部分的页数应控制在3页内）</w:t>
      </w:r>
    </w:p>
    <w:p w14:paraId="6A389843">
      <w:pPr>
        <w:spacing w:before="33" w:line="326" w:lineRule="auto"/>
        <w:ind w:left="1" w:firstLine="47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4、对于超过一定规模的危大工程，中标单位应当组织召开</w:t>
      </w:r>
      <w:r>
        <w:rPr>
          <w:rFonts w:hint="eastAsia" w:ascii="宋体" w:hAnsi="宋体" w:eastAsia="宋体" w:cs="宋体"/>
          <w:color w:val="auto"/>
          <w:spacing w:val="-1"/>
          <w:sz w:val="24"/>
          <w:szCs w:val="24"/>
          <w:highlight w:val="none"/>
        </w:rPr>
        <w:t>专家论证会对专项施工</w:t>
      </w:r>
      <w:r>
        <w:rPr>
          <w:rFonts w:hint="eastAsia" w:ascii="宋体" w:hAnsi="宋体" w:eastAsia="宋体" w:cs="宋体"/>
          <w:color w:val="auto"/>
          <w:spacing w:val="-2"/>
          <w:sz w:val="24"/>
          <w:szCs w:val="24"/>
          <w:highlight w:val="none"/>
        </w:rPr>
        <w:t>方案进行论证。实行施工总承包的，由施工总承包单位组织召开专家论证会。专家论证</w:t>
      </w:r>
      <w:r>
        <w:rPr>
          <w:rFonts w:hint="eastAsia" w:ascii="宋体" w:hAnsi="宋体" w:eastAsia="宋体" w:cs="宋体"/>
          <w:color w:val="auto"/>
          <w:spacing w:val="-1"/>
          <w:sz w:val="24"/>
          <w:szCs w:val="24"/>
          <w:highlight w:val="none"/>
        </w:rPr>
        <w:t>前专项施工方案应当通过施工总承包单位审核和总监理工程师审查。</w:t>
      </w:r>
    </w:p>
    <w:p w14:paraId="60957CC1">
      <w:pPr>
        <w:spacing w:before="208" w:line="301" w:lineRule="auto"/>
        <w:ind w:firstLine="484"/>
        <w:rPr>
          <w:rFonts w:hint="eastAsia" w:ascii="宋体" w:hAnsi="宋体" w:eastAsia="宋体" w:cs="宋体"/>
          <w:color w:val="auto"/>
          <w:highlight w:val="none"/>
        </w:rPr>
      </w:pPr>
      <w:r>
        <w:rPr>
          <w:rFonts w:hint="eastAsia" w:ascii="宋体" w:hAnsi="宋体" w:eastAsia="宋体" w:cs="宋体"/>
          <w:color w:val="auto"/>
          <w:spacing w:val="2"/>
          <w:sz w:val="24"/>
          <w:szCs w:val="24"/>
          <w:highlight w:val="none"/>
        </w:rPr>
        <w:t>5、危险性较大的分部分项工程清单及超过一</w:t>
      </w:r>
      <w:r>
        <w:rPr>
          <w:rFonts w:hint="eastAsia" w:ascii="宋体" w:hAnsi="宋体" w:eastAsia="宋体" w:cs="宋体"/>
          <w:color w:val="auto"/>
          <w:spacing w:val="1"/>
          <w:sz w:val="24"/>
          <w:szCs w:val="24"/>
          <w:highlight w:val="none"/>
        </w:rPr>
        <w:t>定规模的危险性较大的分部分项工程</w:t>
      </w:r>
      <w:r>
        <w:rPr>
          <w:rFonts w:hint="eastAsia" w:ascii="宋体" w:hAnsi="宋体" w:eastAsia="宋体" w:cs="宋体"/>
          <w:color w:val="auto"/>
          <w:spacing w:val="-4"/>
          <w:sz w:val="24"/>
          <w:szCs w:val="24"/>
          <w:highlight w:val="none"/>
        </w:rPr>
        <w:t>清单</w:t>
      </w:r>
    </w:p>
    <w:p w14:paraId="59A3F64C">
      <w:pPr>
        <w:spacing w:before="40"/>
        <w:rPr>
          <w:rFonts w:hint="eastAsia" w:ascii="宋体" w:hAnsi="宋体" w:eastAsia="宋体" w:cs="宋体"/>
          <w:color w:val="auto"/>
          <w:highlight w:val="none"/>
        </w:rPr>
      </w:pPr>
    </w:p>
    <w:tbl>
      <w:tblPr>
        <w:tblStyle w:val="14"/>
        <w:tblW w:w="98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4862"/>
        <w:gridCol w:w="1294"/>
        <w:gridCol w:w="1294"/>
        <w:gridCol w:w="2428"/>
      </w:tblGrid>
      <w:tr w14:paraId="37B791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DB67323">
            <w:pPr>
              <w:spacing w:before="133" w:line="220" w:lineRule="auto"/>
              <w:ind w:firstLine="235" w:firstLineChars="100"/>
              <w:rPr>
                <w:rFonts w:hint="eastAsia" w:ascii="宋体" w:hAnsi="宋体" w:eastAsia="宋体" w:cs="宋体"/>
                <w:color w:val="auto"/>
                <w:spacing w:val="-2"/>
                <w:sz w:val="24"/>
                <w:szCs w:val="24"/>
                <w:highlight w:val="none"/>
              </w:rPr>
            </w:pPr>
            <w:r>
              <w:rPr>
                <w:rFonts w:hint="eastAsia" w:ascii="宋体" w:hAnsi="宋体" w:eastAsia="宋体" w:cs="宋体"/>
                <w:b/>
                <w:bCs/>
                <w:color w:val="auto"/>
                <w:spacing w:val="-3"/>
                <w:sz w:val="24"/>
                <w:szCs w:val="24"/>
                <w:highlight w:val="none"/>
              </w:rPr>
              <w:t>一、危险性较大的分部分项工程清单</w:t>
            </w:r>
          </w:p>
        </w:tc>
        <w:tc>
          <w:tcPr>
            <w:tcW w:w="1294" w:type="dxa"/>
            <w:vAlign w:val="top"/>
          </w:tcPr>
          <w:p w14:paraId="0C1FF68D">
            <w:pPr>
              <w:spacing w:before="133" w:line="221" w:lineRule="auto"/>
              <w:ind w:left="20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4"/>
                <w:sz w:val="24"/>
                <w:szCs w:val="24"/>
                <w:highlight w:val="none"/>
              </w:rPr>
              <w:t>建设单位</w:t>
            </w:r>
          </w:p>
        </w:tc>
        <w:tc>
          <w:tcPr>
            <w:tcW w:w="1294" w:type="dxa"/>
            <w:vAlign w:val="top"/>
          </w:tcPr>
          <w:p w14:paraId="77CD326D">
            <w:pPr>
              <w:spacing w:before="133" w:line="221" w:lineRule="auto"/>
              <w:ind w:left="205" w:leftChars="0"/>
              <w:rPr>
                <w:rFonts w:hint="eastAsia" w:ascii="宋体" w:hAnsi="宋体" w:eastAsia="宋体" w:cs="宋体"/>
                <w:color w:val="auto"/>
                <w:spacing w:val="-19"/>
                <w:w w:val="94"/>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7FFF95E4">
            <w:pPr>
              <w:spacing w:before="133" w:line="222" w:lineRule="auto"/>
              <w:ind w:left="360" w:leftChars="0"/>
              <w:rPr>
                <w:rFonts w:hint="eastAsia" w:ascii="宋体" w:hAnsi="宋体" w:eastAsia="宋体" w:cs="宋体"/>
                <w:color w:val="auto"/>
                <w:highlight w:val="none"/>
              </w:rPr>
            </w:pPr>
            <w:r>
              <w:rPr>
                <w:rFonts w:hint="eastAsia" w:ascii="宋体" w:hAnsi="宋体" w:eastAsia="宋体" w:cs="宋体"/>
                <w:color w:val="auto"/>
                <w:spacing w:val="-7"/>
                <w:sz w:val="24"/>
                <w:szCs w:val="24"/>
                <w:highlight w:val="none"/>
              </w:rPr>
              <w:t>备注</w:t>
            </w:r>
          </w:p>
        </w:tc>
      </w:tr>
      <w:tr w14:paraId="28219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08DA2F3E">
            <w:pPr>
              <w:spacing w:before="128" w:line="221" w:lineRule="auto"/>
              <w:ind w:left="120" w:left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3"/>
                <w:sz w:val="24"/>
                <w:szCs w:val="24"/>
                <w:highlight w:val="none"/>
              </w:rPr>
              <w:t>一、基坑支护</w:t>
            </w:r>
          </w:p>
        </w:tc>
        <w:tc>
          <w:tcPr>
            <w:tcW w:w="1294" w:type="dxa"/>
            <w:vAlign w:val="top"/>
          </w:tcPr>
          <w:p w14:paraId="42AC4C0C">
            <w:pPr>
              <w:spacing w:before="128" w:line="223" w:lineRule="auto"/>
              <w:jc w:val="center"/>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bookmarkStart w:id="267" w:name="OLE_LINK39"/>
            <w:r>
              <w:rPr>
                <w:rFonts w:hint="eastAsia" w:ascii="宋体" w:hAnsi="宋体" w:eastAsia="宋体" w:cs="宋体"/>
                <w:color w:val="auto"/>
                <w:spacing w:val="5"/>
                <w:sz w:val="24"/>
                <w:szCs w:val="24"/>
                <w:highlight w:val="none"/>
              </w:rPr>
              <w:t xml:space="preserve">  </w:t>
            </w:r>
            <w:bookmarkEnd w:id="267"/>
            <w:r>
              <w:rPr>
                <w:rFonts w:hint="eastAsia" w:ascii="宋体" w:hAnsi="宋体" w:eastAsia="宋体" w:cs="宋体"/>
                <w:color w:val="auto"/>
                <w:spacing w:val="-19"/>
                <w:w w:val="94"/>
                <w:sz w:val="24"/>
                <w:szCs w:val="24"/>
                <w:highlight w:val="none"/>
              </w:rPr>
              <w:t>)</w:t>
            </w:r>
          </w:p>
        </w:tc>
        <w:tc>
          <w:tcPr>
            <w:tcW w:w="1294" w:type="dxa"/>
            <w:vAlign w:val="top"/>
          </w:tcPr>
          <w:p w14:paraId="729C1AF4">
            <w:pPr>
              <w:spacing w:before="12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A808EA">
            <w:pPr>
              <w:pStyle w:val="21"/>
              <w:rPr>
                <w:rFonts w:hint="eastAsia" w:ascii="宋体" w:hAnsi="宋体" w:eastAsia="宋体" w:cs="宋体"/>
                <w:color w:val="auto"/>
                <w:highlight w:val="none"/>
              </w:rPr>
            </w:pPr>
          </w:p>
        </w:tc>
      </w:tr>
      <w:tr w14:paraId="6475C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AD0DD21">
            <w:pPr>
              <w:spacing w:before="129" w:line="328" w:lineRule="auto"/>
              <w:ind w:left="135" w:leftChars="0" w:right="68" w:rightChars="0" w:hanging="8"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4"/>
                <w:sz w:val="24"/>
                <w:szCs w:val="24"/>
                <w:highlight w:val="none"/>
              </w:rPr>
              <w:t>（一）开挖深度超过</w:t>
            </w:r>
            <w:r>
              <w:rPr>
                <w:rFonts w:hint="eastAsia" w:ascii="宋体" w:hAnsi="宋体" w:eastAsia="宋体" w:cs="宋体"/>
                <w:color w:val="auto"/>
                <w:spacing w:val="-29"/>
                <w:sz w:val="24"/>
                <w:szCs w:val="24"/>
                <w:highlight w:val="none"/>
              </w:rPr>
              <w:t xml:space="preserve"> </w:t>
            </w:r>
            <w:r>
              <w:rPr>
                <w:rFonts w:hint="eastAsia" w:ascii="宋体" w:hAnsi="宋体" w:eastAsia="宋体" w:cs="宋体"/>
                <w:color w:val="auto"/>
                <w:spacing w:val="-4"/>
                <w:sz w:val="24"/>
                <w:szCs w:val="24"/>
                <w:highlight w:val="none"/>
              </w:rPr>
              <w:t>3m（含</w:t>
            </w:r>
            <w:r>
              <w:rPr>
                <w:rFonts w:hint="eastAsia" w:ascii="宋体" w:hAnsi="宋体" w:eastAsia="宋体" w:cs="宋体"/>
                <w:color w:val="auto"/>
                <w:spacing w:val="-46"/>
                <w:sz w:val="24"/>
                <w:szCs w:val="24"/>
                <w:highlight w:val="none"/>
              </w:rPr>
              <w:t xml:space="preserve"> </w:t>
            </w:r>
            <w:r>
              <w:rPr>
                <w:rFonts w:hint="eastAsia" w:ascii="宋体" w:hAnsi="宋体" w:eastAsia="宋体" w:cs="宋体"/>
                <w:color w:val="auto"/>
                <w:spacing w:val="-4"/>
                <w:sz w:val="24"/>
                <w:szCs w:val="24"/>
                <w:highlight w:val="none"/>
              </w:rPr>
              <w:t>3m）的基坑（槽）</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的土方开挖、支护、降水工程。</w:t>
            </w:r>
          </w:p>
        </w:tc>
        <w:tc>
          <w:tcPr>
            <w:tcW w:w="1294" w:type="dxa"/>
            <w:vAlign w:val="top"/>
          </w:tcPr>
          <w:p w14:paraId="5AC8CD72">
            <w:pPr>
              <w:pStyle w:val="21"/>
              <w:spacing w:line="297" w:lineRule="auto"/>
              <w:rPr>
                <w:rFonts w:hint="eastAsia" w:ascii="宋体" w:hAnsi="宋体" w:eastAsia="宋体" w:cs="宋体"/>
                <w:color w:val="auto"/>
                <w:highlight w:val="none"/>
              </w:rPr>
            </w:pPr>
          </w:p>
          <w:p w14:paraId="63C1F1C4">
            <w:pPr>
              <w:spacing w:before="78" w:line="223" w:lineRule="auto"/>
              <w:ind w:left="396"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EED3AAA">
            <w:pPr>
              <w:pStyle w:val="21"/>
              <w:spacing w:line="297" w:lineRule="auto"/>
              <w:rPr>
                <w:rFonts w:hint="eastAsia" w:ascii="宋体" w:hAnsi="宋体" w:eastAsia="宋体" w:cs="宋体"/>
                <w:color w:val="auto"/>
                <w:highlight w:val="none"/>
              </w:rPr>
            </w:pPr>
          </w:p>
          <w:p w14:paraId="58C7B8EB">
            <w:pPr>
              <w:spacing w:before="78" w:line="223" w:lineRule="auto"/>
              <w:ind w:left="367" w:leftChars="0"/>
              <w:rPr>
                <w:rFonts w:hint="eastAsia" w:ascii="宋体" w:hAnsi="宋体" w:eastAsia="宋体" w:cs="宋体"/>
                <w:color w:val="auto"/>
                <w:spacing w:val="-19"/>
                <w:w w:val="94"/>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E76357E">
            <w:pPr>
              <w:pStyle w:val="21"/>
              <w:rPr>
                <w:rFonts w:hint="eastAsia" w:ascii="宋体" w:hAnsi="宋体" w:eastAsia="宋体" w:cs="宋体"/>
                <w:color w:val="auto"/>
                <w:highlight w:val="none"/>
              </w:rPr>
            </w:pPr>
          </w:p>
        </w:tc>
      </w:tr>
      <w:tr w14:paraId="1131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97C24D5">
            <w:pPr>
              <w:spacing w:before="132" w:line="354" w:lineRule="auto"/>
              <w:ind w:left="116" w:right="108" w:firstLine="11"/>
              <w:jc w:val="both"/>
              <w:rPr>
                <w:rFonts w:hint="eastAsia" w:ascii="宋体" w:hAnsi="宋体" w:eastAsia="宋体" w:cs="宋体"/>
                <w:color w:val="auto"/>
                <w:sz w:val="24"/>
                <w:szCs w:val="24"/>
                <w:highlight w:val="none"/>
              </w:rPr>
            </w:pPr>
            <w:bookmarkStart w:id="268" w:name="bookmark161"/>
            <w:bookmarkEnd w:id="268"/>
            <w:r>
              <w:rPr>
                <w:rFonts w:hint="eastAsia" w:ascii="宋体" w:hAnsi="宋体" w:eastAsia="宋体" w:cs="宋体"/>
                <w:color w:val="auto"/>
                <w:spacing w:val="-2"/>
                <w:sz w:val="24"/>
                <w:szCs w:val="24"/>
                <w:highlight w:val="none"/>
              </w:rPr>
              <w:t>（二）开挖深度虽未超过</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3m，但地质条件、周</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围环境和地下管线复杂，或影响毗邻建、构筑</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物安全的基坑（槽）的土方开挖、支护、降水</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4"/>
                <w:sz w:val="24"/>
                <w:szCs w:val="24"/>
                <w:highlight w:val="none"/>
              </w:rPr>
              <w:t>工程。</w:t>
            </w:r>
          </w:p>
        </w:tc>
        <w:tc>
          <w:tcPr>
            <w:tcW w:w="1294" w:type="dxa"/>
            <w:vAlign w:val="top"/>
          </w:tcPr>
          <w:p w14:paraId="2A0F264F">
            <w:pPr>
              <w:pStyle w:val="21"/>
              <w:spacing w:line="263" w:lineRule="auto"/>
              <w:rPr>
                <w:rFonts w:hint="eastAsia" w:ascii="宋体" w:hAnsi="宋体" w:eastAsia="宋体" w:cs="宋体"/>
                <w:color w:val="auto"/>
                <w:highlight w:val="none"/>
              </w:rPr>
            </w:pPr>
          </w:p>
          <w:p w14:paraId="638F75B7">
            <w:pPr>
              <w:pStyle w:val="21"/>
              <w:spacing w:line="263" w:lineRule="auto"/>
              <w:rPr>
                <w:rFonts w:hint="eastAsia" w:ascii="宋体" w:hAnsi="宋体" w:eastAsia="宋体" w:cs="宋体"/>
                <w:color w:val="auto"/>
                <w:highlight w:val="none"/>
              </w:rPr>
            </w:pPr>
          </w:p>
          <w:p w14:paraId="23BFCF36">
            <w:pPr>
              <w:pStyle w:val="21"/>
              <w:spacing w:line="264" w:lineRule="auto"/>
              <w:rPr>
                <w:rFonts w:hint="eastAsia" w:ascii="宋体" w:hAnsi="宋体" w:eastAsia="宋体" w:cs="宋体"/>
                <w:color w:val="auto"/>
                <w:highlight w:val="none"/>
              </w:rPr>
            </w:pPr>
          </w:p>
          <w:p w14:paraId="65485CE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bookmarkStart w:id="269" w:name="OLE_LINK40"/>
            <w:r>
              <w:rPr>
                <w:rFonts w:hint="eastAsia" w:ascii="宋体" w:hAnsi="宋体" w:eastAsia="宋体" w:cs="宋体"/>
                <w:color w:val="auto"/>
                <w:spacing w:val="2"/>
                <w:sz w:val="24"/>
                <w:szCs w:val="24"/>
                <w:highlight w:val="none"/>
              </w:rPr>
              <w:t xml:space="preserve">     </w:t>
            </w:r>
            <w:bookmarkEnd w:id="269"/>
            <w:r>
              <w:rPr>
                <w:rFonts w:hint="eastAsia" w:ascii="宋体" w:hAnsi="宋体" w:eastAsia="宋体" w:cs="宋体"/>
                <w:color w:val="auto"/>
                <w:spacing w:val="-19"/>
                <w:w w:val="94"/>
                <w:sz w:val="24"/>
                <w:szCs w:val="24"/>
                <w:highlight w:val="none"/>
              </w:rPr>
              <w:t>)</w:t>
            </w:r>
          </w:p>
        </w:tc>
        <w:tc>
          <w:tcPr>
            <w:tcW w:w="1294" w:type="dxa"/>
            <w:vAlign w:val="top"/>
          </w:tcPr>
          <w:p w14:paraId="0254F9FD">
            <w:pPr>
              <w:pStyle w:val="21"/>
              <w:spacing w:line="263" w:lineRule="auto"/>
              <w:rPr>
                <w:rFonts w:hint="eastAsia" w:ascii="宋体" w:hAnsi="宋体" w:eastAsia="宋体" w:cs="宋体"/>
                <w:color w:val="auto"/>
                <w:highlight w:val="none"/>
              </w:rPr>
            </w:pPr>
          </w:p>
          <w:p w14:paraId="4910C2A3">
            <w:pPr>
              <w:pStyle w:val="21"/>
              <w:spacing w:line="263" w:lineRule="auto"/>
              <w:rPr>
                <w:rFonts w:hint="eastAsia" w:ascii="宋体" w:hAnsi="宋体" w:eastAsia="宋体" w:cs="宋体"/>
                <w:color w:val="auto"/>
                <w:highlight w:val="none"/>
              </w:rPr>
            </w:pPr>
          </w:p>
          <w:p w14:paraId="5A766BEE">
            <w:pPr>
              <w:pStyle w:val="21"/>
              <w:spacing w:line="264" w:lineRule="auto"/>
              <w:rPr>
                <w:rFonts w:hint="eastAsia" w:ascii="宋体" w:hAnsi="宋体" w:eastAsia="宋体" w:cs="宋体"/>
                <w:color w:val="auto"/>
                <w:highlight w:val="none"/>
              </w:rPr>
            </w:pPr>
          </w:p>
          <w:p w14:paraId="2996396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B9F9EE">
            <w:pPr>
              <w:pStyle w:val="21"/>
              <w:rPr>
                <w:rFonts w:hint="eastAsia" w:ascii="宋体" w:hAnsi="宋体" w:eastAsia="宋体" w:cs="宋体"/>
                <w:color w:val="auto"/>
                <w:highlight w:val="none"/>
              </w:rPr>
            </w:pPr>
          </w:p>
        </w:tc>
      </w:tr>
      <w:tr w14:paraId="4A5C4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0CC122F">
            <w:pPr>
              <w:spacing w:before="128"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514B1741">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5FB0A89">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8E09DDC">
            <w:pPr>
              <w:pStyle w:val="21"/>
              <w:rPr>
                <w:rFonts w:hint="eastAsia" w:ascii="宋体" w:hAnsi="宋体" w:eastAsia="宋体" w:cs="宋体"/>
                <w:color w:val="auto"/>
                <w:highlight w:val="none"/>
              </w:rPr>
            </w:pPr>
          </w:p>
        </w:tc>
      </w:tr>
      <w:tr w14:paraId="3CF41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FB30F0E">
            <w:pPr>
              <w:spacing w:before="128" w:line="328"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3E7233C1">
            <w:pPr>
              <w:pStyle w:val="21"/>
              <w:spacing w:line="293" w:lineRule="auto"/>
              <w:rPr>
                <w:rFonts w:hint="eastAsia" w:ascii="宋体" w:hAnsi="宋体" w:eastAsia="宋体" w:cs="宋体"/>
                <w:color w:val="auto"/>
                <w:highlight w:val="none"/>
              </w:rPr>
            </w:pPr>
          </w:p>
          <w:p w14:paraId="48B93E8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EA3362C">
            <w:pPr>
              <w:pStyle w:val="21"/>
              <w:spacing w:line="293" w:lineRule="auto"/>
              <w:rPr>
                <w:rFonts w:hint="eastAsia" w:ascii="宋体" w:hAnsi="宋体" w:eastAsia="宋体" w:cs="宋体"/>
                <w:color w:val="auto"/>
                <w:highlight w:val="none"/>
              </w:rPr>
            </w:pPr>
          </w:p>
          <w:p w14:paraId="4351171D">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4BFEAAA">
            <w:pPr>
              <w:pStyle w:val="21"/>
              <w:rPr>
                <w:rFonts w:hint="eastAsia" w:ascii="宋体" w:hAnsi="宋体" w:eastAsia="宋体" w:cs="宋体"/>
                <w:color w:val="auto"/>
                <w:highlight w:val="none"/>
              </w:rPr>
            </w:pPr>
          </w:p>
        </w:tc>
      </w:tr>
      <w:tr w14:paraId="0B8832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67BEBEEB">
            <w:pPr>
              <w:spacing w:before="131" w:line="362" w:lineRule="auto"/>
              <w:ind w:left="115" w:right="105" w:firstLine="12"/>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（二）混凝土模板支撑工程：搭设高度</w:t>
            </w:r>
            <w:r>
              <w:rPr>
                <w:rFonts w:hint="eastAsia" w:ascii="宋体" w:hAnsi="宋体" w:eastAsia="宋体" w:cs="宋体"/>
                <w:color w:val="auto"/>
                <w:spacing w:val="-43"/>
                <w:sz w:val="24"/>
                <w:szCs w:val="24"/>
                <w:highlight w:val="none"/>
              </w:rPr>
              <w:t xml:space="preserve"> </w:t>
            </w:r>
            <w:r>
              <w:rPr>
                <w:rFonts w:hint="eastAsia" w:ascii="宋体" w:hAnsi="宋体" w:eastAsia="宋体" w:cs="宋体"/>
                <w:color w:val="auto"/>
                <w:spacing w:val="-5"/>
                <w:sz w:val="24"/>
                <w:szCs w:val="24"/>
                <w:highlight w:val="none"/>
              </w:rPr>
              <w:t>5m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5"/>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0"/>
                <w:sz w:val="24"/>
                <w:szCs w:val="24"/>
                <w:highlight w:val="none"/>
              </w:rPr>
              <w:t>上，或搭设跨度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10"/>
                <w:sz w:val="24"/>
                <w:szCs w:val="24"/>
                <w:highlight w:val="none"/>
              </w:rPr>
              <w:t>10m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0"/>
                <w:sz w:val="24"/>
                <w:szCs w:val="24"/>
                <w:highlight w:val="none"/>
              </w:rPr>
              <w:t>及以上，或施工总荷</w:t>
            </w:r>
            <w:r>
              <w:rPr>
                <w:rFonts w:hint="eastAsia" w:ascii="宋体" w:hAnsi="宋体" w:eastAsia="宋体" w:cs="宋体"/>
                <w:color w:val="auto"/>
                <w:spacing w:val="-11"/>
                <w:sz w:val="24"/>
                <w:szCs w:val="24"/>
                <w:highlight w:val="none"/>
              </w:rPr>
              <w:t>载（荷</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载效应基本组合的设计值，以下简称设计值）</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14"/>
                <w:sz w:val="24"/>
                <w:szCs w:val="24"/>
                <w:highlight w:val="none"/>
              </w:rPr>
              <w:t>10kN/m2</w:t>
            </w:r>
            <w:r>
              <w:rPr>
                <w:rFonts w:hint="eastAsia" w:ascii="宋体" w:hAnsi="宋体" w:eastAsia="宋体" w:cs="宋体"/>
                <w:color w:val="auto"/>
                <w:spacing w:val="-35"/>
                <w:sz w:val="24"/>
                <w:szCs w:val="24"/>
                <w:highlight w:val="none"/>
              </w:rPr>
              <w:t xml:space="preserve"> </w:t>
            </w:r>
            <w:r>
              <w:rPr>
                <w:rFonts w:hint="eastAsia" w:ascii="宋体" w:hAnsi="宋体" w:eastAsia="宋体" w:cs="宋体"/>
                <w:color w:val="auto"/>
                <w:spacing w:val="-14"/>
                <w:sz w:val="24"/>
                <w:szCs w:val="24"/>
                <w:highlight w:val="none"/>
              </w:rPr>
              <w:t>及以上，或集中线荷载（设计值）15kN/m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及以上，或高度大于支撑水平投影宽度且相对</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独立无联系构件的混凝土模板支撑工程。</w:t>
            </w:r>
          </w:p>
        </w:tc>
        <w:tc>
          <w:tcPr>
            <w:tcW w:w="1294" w:type="dxa"/>
            <w:vAlign w:val="top"/>
          </w:tcPr>
          <w:p w14:paraId="27728F90">
            <w:pPr>
              <w:pStyle w:val="21"/>
              <w:spacing w:line="255" w:lineRule="auto"/>
              <w:rPr>
                <w:rFonts w:hint="eastAsia" w:ascii="宋体" w:hAnsi="宋体" w:eastAsia="宋体" w:cs="宋体"/>
                <w:color w:val="auto"/>
                <w:highlight w:val="none"/>
              </w:rPr>
            </w:pPr>
          </w:p>
          <w:p w14:paraId="7788A6EE">
            <w:pPr>
              <w:pStyle w:val="21"/>
              <w:spacing w:line="255" w:lineRule="auto"/>
              <w:rPr>
                <w:rFonts w:hint="eastAsia" w:ascii="宋体" w:hAnsi="宋体" w:eastAsia="宋体" w:cs="宋体"/>
                <w:color w:val="auto"/>
                <w:highlight w:val="none"/>
              </w:rPr>
            </w:pPr>
          </w:p>
          <w:p w14:paraId="2BCB404B">
            <w:pPr>
              <w:pStyle w:val="21"/>
              <w:spacing w:line="255" w:lineRule="auto"/>
              <w:rPr>
                <w:rFonts w:hint="eastAsia" w:ascii="宋体" w:hAnsi="宋体" w:eastAsia="宋体" w:cs="宋体"/>
                <w:color w:val="auto"/>
                <w:highlight w:val="none"/>
              </w:rPr>
            </w:pPr>
          </w:p>
          <w:p w14:paraId="249CA7A5">
            <w:pPr>
              <w:pStyle w:val="21"/>
              <w:spacing w:line="255" w:lineRule="auto"/>
              <w:rPr>
                <w:rFonts w:hint="eastAsia" w:ascii="宋体" w:hAnsi="宋体" w:eastAsia="宋体" w:cs="宋体"/>
                <w:color w:val="auto"/>
                <w:highlight w:val="none"/>
              </w:rPr>
            </w:pPr>
          </w:p>
          <w:p w14:paraId="7D3872E1">
            <w:pPr>
              <w:pStyle w:val="21"/>
              <w:spacing w:line="256" w:lineRule="auto"/>
              <w:rPr>
                <w:rFonts w:hint="eastAsia" w:ascii="宋体" w:hAnsi="宋体" w:eastAsia="宋体" w:cs="宋体"/>
                <w:color w:val="auto"/>
                <w:highlight w:val="none"/>
              </w:rPr>
            </w:pPr>
          </w:p>
          <w:p w14:paraId="76E1D0C8">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CDF99B3">
            <w:pPr>
              <w:pStyle w:val="21"/>
              <w:spacing w:line="255" w:lineRule="auto"/>
              <w:rPr>
                <w:rFonts w:hint="eastAsia" w:ascii="宋体" w:hAnsi="宋体" w:eastAsia="宋体" w:cs="宋体"/>
                <w:color w:val="auto"/>
                <w:highlight w:val="none"/>
              </w:rPr>
            </w:pPr>
          </w:p>
          <w:p w14:paraId="7D5CFE83">
            <w:pPr>
              <w:pStyle w:val="21"/>
              <w:spacing w:line="255" w:lineRule="auto"/>
              <w:rPr>
                <w:rFonts w:hint="eastAsia" w:ascii="宋体" w:hAnsi="宋体" w:eastAsia="宋体" w:cs="宋体"/>
                <w:color w:val="auto"/>
                <w:highlight w:val="none"/>
              </w:rPr>
            </w:pPr>
          </w:p>
          <w:p w14:paraId="7FC4BBB3">
            <w:pPr>
              <w:pStyle w:val="21"/>
              <w:spacing w:line="255" w:lineRule="auto"/>
              <w:rPr>
                <w:rFonts w:hint="eastAsia" w:ascii="宋体" w:hAnsi="宋体" w:eastAsia="宋体" w:cs="宋体"/>
                <w:color w:val="auto"/>
                <w:highlight w:val="none"/>
              </w:rPr>
            </w:pPr>
          </w:p>
          <w:p w14:paraId="7BCBE041">
            <w:pPr>
              <w:pStyle w:val="21"/>
              <w:spacing w:line="255" w:lineRule="auto"/>
              <w:rPr>
                <w:rFonts w:hint="eastAsia" w:ascii="宋体" w:hAnsi="宋体" w:eastAsia="宋体" w:cs="宋体"/>
                <w:color w:val="auto"/>
                <w:highlight w:val="none"/>
              </w:rPr>
            </w:pPr>
          </w:p>
          <w:p w14:paraId="364F6940">
            <w:pPr>
              <w:pStyle w:val="21"/>
              <w:spacing w:line="256" w:lineRule="auto"/>
              <w:rPr>
                <w:rFonts w:hint="eastAsia" w:ascii="宋体" w:hAnsi="宋体" w:eastAsia="宋体" w:cs="宋体"/>
                <w:color w:val="auto"/>
                <w:highlight w:val="none"/>
              </w:rPr>
            </w:pPr>
          </w:p>
          <w:p w14:paraId="2DA3FF2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AACDC33">
            <w:pPr>
              <w:pStyle w:val="21"/>
              <w:rPr>
                <w:rFonts w:hint="eastAsia" w:ascii="宋体" w:hAnsi="宋体" w:eastAsia="宋体" w:cs="宋体"/>
                <w:color w:val="auto"/>
                <w:highlight w:val="none"/>
              </w:rPr>
            </w:pPr>
          </w:p>
        </w:tc>
      </w:tr>
      <w:tr w14:paraId="487A4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05B8F87">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3"/>
                <w:sz w:val="24"/>
                <w:szCs w:val="24"/>
                <w:highlight w:val="none"/>
              </w:rPr>
              <w:t>支撑体系。</w:t>
            </w:r>
          </w:p>
        </w:tc>
        <w:tc>
          <w:tcPr>
            <w:tcW w:w="1294" w:type="dxa"/>
            <w:vAlign w:val="top"/>
          </w:tcPr>
          <w:p w14:paraId="3872BE3A">
            <w:pPr>
              <w:pStyle w:val="21"/>
              <w:spacing w:line="296" w:lineRule="auto"/>
              <w:rPr>
                <w:rFonts w:hint="eastAsia" w:ascii="宋体" w:hAnsi="宋体" w:eastAsia="宋体" w:cs="宋体"/>
                <w:color w:val="auto"/>
                <w:highlight w:val="none"/>
              </w:rPr>
            </w:pPr>
          </w:p>
          <w:p w14:paraId="0AD2F277">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FBB796">
            <w:pPr>
              <w:pStyle w:val="21"/>
              <w:spacing w:line="296" w:lineRule="auto"/>
              <w:rPr>
                <w:rFonts w:hint="eastAsia" w:ascii="宋体" w:hAnsi="宋体" w:eastAsia="宋体" w:cs="宋体"/>
                <w:color w:val="auto"/>
                <w:highlight w:val="none"/>
              </w:rPr>
            </w:pPr>
          </w:p>
          <w:p w14:paraId="05E14F8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7F728E">
            <w:pPr>
              <w:pStyle w:val="21"/>
              <w:rPr>
                <w:rFonts w:hint="eastAsia" w:ascii="宋体" w:hAnsi="宋体" w:eastAsia="宋体" w:cs="宋体"/>
                <w:color w:val="auto"/>
                <w:highlight w:val="none"/>
              </w:rPr>
            </w:pPr>
          </w:p>
        </w:tc>
      </w:tr>
      <w:tr w14:paraId="2C2B1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2F577AB">
            <w:pPr>
              <w:spacing w:before="130"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79F09CB7">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50D15B8">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E456BC8">
            <w:pPr>
              <w:pStyle w:val="21"/>
              <w:rPr>
                <w:rFonts w:hint="eastAsia" w:ascii="宋体" w:hAnsi="宋体" w:eastAsia="宋体" w:cs="宋体"/>
                <w:color w:val="auto"/>
                <w:highlight w:val="none"/>
              </w:rPr>
            </w:pPr>
          </w:p>
        </w:tc>
      </w:tr>
      <w:tr w14:paraId="42946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30297AC3">
            <w:pPr>
              <w:spacing w:before="131" w:line="327"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32"/>
                <w:sz w:val="24"/>
                <w:szCs w:val="24"/>
                <w:highlight w:val="none"/>
              </w:rPr>
              <w:t xml:space="preserve"> </w:t>
            </w:r>
            <w:r>
              <w:rPr>
                <w:rFonts w:hint="eastAsia" w:ascii="宋体" w:hAnsi="宋体" w:eastAsia="宋体" w:cs="宋体"/>
                <w:color w:val="auto"/>
                <w:spacing w:val="-4"/>
                <w:sz w:val="24"/>
                <w:szCs w:val="24"/>
                <w:highlight w:val="none"/>
              </w:rPr>
              <w:t>10kN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028D138">
            <w:pPr>
              <w:pStyle w:val="21"/>
              <w:spacing w:line="297" w:lineRule="auto"/>
              <w:rPr>
                <w:rFonts w:hint="eastAsia" w:ascii="宋体" w:hAnsi="宋体" w:eastAsia="宋体" w:cs="宋体"/>
                <w:color w:val="auto"/>
                <w:highlight w:val="none"/>
              </w:rPr>
            </w:pPr>
          </w:p>
          <w:p w14:paraId="1FFA298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19D8392">
            <w:pPr>
              <w:pStyle w:val="21"/>
              <w:spacing w:line="297" w:lineRule="auto"/>
              <w:rPr>
                <w:rFonts w:hint="eastAsia" w:ascii="宋体" w:hAnsi="宋体" w:eastAsia="宋体" w:cs="宋体"/>
                <w:color w:val="auto"/>
                <w:highlight w:val="none"/>
              </w:rPr>
            </w:pPr>
          </w:p>
          <w:p w14:paraId="1847EDDE">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3A9D01E">
            <w:pPr>
              <w:pStyle w:val="21"/>
              <w:rPr>
                <w:rFonts w:hint="eastAsia" w:ascii="宋体" w:hAnsi="宋体" w:eastAsia="宋体" w:cs="宋体"/>
                <w:color w:val="auto"/>
                <w:highlight w:val="none"/>
              </w:rPr>
            </w:pPr>
          </w:p>
        </w:tc>
      </w:tr>
      <w:tr w14:paraId="23189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5DFDDCAE">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（二）采用起重机械进行安装的工程。</w:t>
            </w:r>
          </w:p>
        </w:tc>
        <w:tc>
          <w:tcPr>
            <w:tcW w:w="1294" w:type="dxa"/>
            <w:vAlign w:val="top"/>
          </w:tcPr>
          <w:p w14:paraId="73E2B2FD">
            <w:pPr>
              <w:spacing w:before="131"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A1B418">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B10414">
            <w:pPr>
              <w:pStyle w:val="21"/>
              <w:rPr>
                <w:rFonts w:hint="eastAsia" w:ascii="宋体" w:hAnsi="宋体" w:eastAsia="宋体" w:cs="宋体"/>
                <w:color w:val="auto"/>
                <w:highlight w:val="none"/>
              </w:rPr>
            </w:pPr>
          </w:p>
        </w:tc>
      </w:tr>
      <w:tr w14:paraId="11ABF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2BDF9EE">
            <w:pPr>
              <w:spacing w:before="130"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（三）起重机械安装和拆卸工程。</w:t>
            </w:r>
          </w:p>
        </w:tc>
        <w:tc>
          <w:tcPr>
            <w:tcW w:w="1294" w:type="dxa"/>
            <w:vAlign w:val="top"/>
          </w:tcPr>
          <w:p w14:paraId="311B1A9B">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8111A50">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28F6123">
            <w:pPr>
              <w:pStyle w:val="21"/>
              <w:rPr>
                <w:rFonts w:hint="eastAsia" w:ascii="宋体" w:hAnsi="宋体" w:eastAsia="宋体" w:cs="宋体"/>
                <w:color w:val="auto"/>
                <w:highlight w:val="none"/>
              </w:rPr>
            </w:pPr>
          </w:p>
        </w:tc>
      </w:tr>
      <w:tr w14:paraId="0D12D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8552F38">
            <w:pPr>
              <w:spacing w:before="131"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4CA28C12">
            <w:pPr>
              <w:spacing w:before="130"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5"/>
                <w:sz w:val="24"/>
                <w:szCs w:val="24"/>
                <w:highlight w:val="none"/>
                <w:lang w:val="en-US" w:eastAsia="zh-CN"/>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ABBE1EE">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CC1C5D0">
            <w:pPr>
              <w:pStyle w:val="21"/>
              <w:rPr>
                <w:rFonts w:hint="eastAsia" w:ascii="宋体" w:hAnsi="宋体" w:eastAsia="宋体" w:cs="宋体"/>
                <w:color w:val="auto"/>
                <w:highlight w:val="none"/>
              </w:rPr>
            </w:pPr>
          </w:p>
        </w:tc>
      </w:tr>
      <w:tr w14:paraId="204D2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1CF062AD">
            <w:pPr>
              <w:spacing w:before="130"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24m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架工程（包括采光井、电梯井脚手架）。</w:t>
            </w:r>
          </w:p>
        </w:tc>
        <w:tc>
          <w:tcPr>
            <w:tcW w:w="1294" w:type="dxa"/>
            <w:vAlign w:val="top"/>
          </w:tcPr>
          <w:p w14:paraId="77E60063">
            <w:pPr>
              <w:pStyle w:val="21"/>
              <w:spacing w:line="297" w:lineRule="auto"/>
              <w:rPr>
                <w:rFonts w:hint="eastAsia" w:ascii="宋体" w:hAnsi="宋体" w:eastAsia="宋体" w:cs="宋体"/>
                <w:color w:val="auto"/>
                <w:highlight w:val="none"/>
              </w:rPr>
            </w:pPr>
          </w:p>
          <w:p w14:paraId="13AABED5">
            <w:pPr>
              <w:spacing w:before="7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ABCF526">
            <w:pPr>
              <w:pStyle w:val="21"/>
              <w:spacing w:line="297" w:lineRule="auto"/>
              <w:rPr>
                <w:rFonts w:hint="eastAsia" w:ascii="宋体" w:hAnsi="宋体" w:eastAsia="宋体" w:cs="宋体"/>
                <w:color w:val="auto"/>
                <w:highlight w:val="none"/>
              </w:rPr>
            </w:pPr>
          </w:p>
          <w:p w14:paraId="5555859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579C10A">
            <w:pPr>
              <w:pStyle w:val="21"/>
              <w:rPr>
                <w:rFonts w:hint="eastAsia" w:ascii="宋体" w:hAnsi="宋体" w:eastAsia="宋体" w:cs="宋体"/>
                <w:color w:val="auto"/>
                <w:highlight w:val="none"/>
              </w:rPr>
            </w:pPr>
          </w:p>
        </w:tc>
      </w:tr>
      <w:tr w14:paraId="19013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36035BE">
            <w:pPr>
              <w:spacing w:before="131"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（二）附着式升降脚手架工程。</w:t>
            </w:r>
          </w:p>
        </w:tc>
        <w:tc>
          <w:tcPr>
            <w:tcW w:w="1294" w:type="dxa"/>
            <w:vAlign w:val="top"/>
          </w:tcPr>
          <w:p w14:paraId="5D1375CD">
            <w:pPr>
              <w:spacing w:before="130"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910759B">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0531831">
            <w:pPr>
              <w:pStyle w:val="21"/>
              <w:rPr>
                <w:rFonts w:hint="eastAsia" w:ascii="宋体" w:hAnsi="宋体" w:eastAsia="宋体" w:cs="宋体"/>
                <w:color w:val="auto"/>
                <w:highlight w:val="none"/>
              </w:rPr>
            </w:pPr>
          </w:p>
        </w:tc>
      </w:tr>
      <w:tr w14:paraId="06779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63A5972">
            <w:pPr>
              <w:spacing w:before="132"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（三）悬挑式脚手架工程。</w:t>
            </w:r>
          </w:p>
        </w:tc>
        <w:tc>
          <w:tcPr>
            <w:tcW w:w="1294" w:type="dxa"/>
            <w:vAlign w:val="top"/>
          </w:tcPr>
          <w:p w14:paraId="54DC2E3A">
            <w:pPr>
              <w:spacing w:before="131"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EFF0634">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8B116F1">
            <w:pPr>
              <w:pStyle w:val="21"/>
              <w:rPr>
                <w:rFonts w:hint="eastAsia" w:ascii="宋体" w:hAnsi="宋体" w:eastAsia="宋体" w:cs="宋体"/>
                <w:color w:val="auto"/>
                <w:highlight w:val="none"/>
              </w:rPr>
            </w:pPr>
          </w:p>
        </w:tc>
      </w:tr>
      <w:tr w14:paraId="47C6C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7F9F56F5">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（四）高处作业吊篮。</w:t>
            </w:r>
          </w:p>
        </w:tc>
        <w:tc>
          <w:tcPr>
            <w:tcW w:w="1294" w:type="dxa"/>
            <w:vAlign w:val="top"/>
          </w:tcPr>
          <w:p w14:paraId="4316A812">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DAE7DD1">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82F466D">
            <w:pPr>
              <w:pStyle w:val="21"/>
              <w:rPr>
                <w:rFonts w:hint="eastAsia" w:ascii="宋体" w:hAnsi="宋体" w:eastAsia="宋体" w:cs="宋体"/>
                <w:color w:val="auto"/>
                <w:highlight w:val="none"/>
              </w:rPr>
            </w:pPr>
          </w:p>
        </w:tc>
      </w:tr>
      <w:tr w14:paraId="3DE13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41255D24">
            <w:pPr>
              <w:spacing w:before="132"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（五）卸料平台、操作平台工程。</w:t>
            </w:r>
          </w:p>
        </w:tc>
        <w:tc>
          <w:tcPr>
            <w:tcW w:w="1294" w:type="dxa"/>
            <w:vAlign w:val="top"/>
          </w:tcPr>
          <w:p w14:paraId="63DCCA37">
            <w:pPr>
              <w:spacing w:before="132" w:line="223" w:lineRule="auto"/>
              <w:ind w:left="24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6E0A6D1">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C903B44">
            <w:pPr>
              <w:pStyle w:val="21"/>
              <w:rPr>
                <w:rFonts w:hint="eastAsia" w:ascii="宋体" w:hAnsi="宋体" w:eastAsia="宋体" w:cs="宋体"/>
                <w:color w:val="auto"/>
                <w:highlight w:val="none"/>
              </w:rPr>
            </w:pPr>
          </w:p>
        </w:tc>
      </w:tr>
      <w:tr w14:paraId="39920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0" w:hRule="atLeast"/>
        </w:trPr>
        <w:tc>
          <w:tcPr>
            <w:tcW w:w="4862" w:type="dxa"/>
            <w:vAlign w:val="top"/>
          </w:tcPr>
          <w:p w14:paraId="2721E282">
            <w:pPr>
              <w:spacing w:before="133"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（六）异型脚手架工程。</w:t>
            </w:r>
          </w:p>
        </w:tc>
        <w:tc>
          <w:tcPr>
            <w:tcW w:w="1294" w:type="dxa"/>
            <w:vAlign w:val="top"/>
          </w:tcPr>
          <w:p w14:paraId="61461711">
            <w:pPr>
              <w:spacing w:before="132"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AD85856">
            <w:pPr>
              <w:spacing w:before="132"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B18E3D9">
            <w:pPr>
              <w:pStyle w:val="21"/>
              <w:rPr>
                <w:rFonts w:hint="eastAsia" w:ascii="宋体" w:hAnsi="宋体" w:eastAsia="宋体" w:cs="宋体"/>
                <w:color w:val="auto"/>
                <w:highlight w:val="none"/>
              </w:rPr>
            </w:pPr>
          </w:p>
        </w:tc>
      </w:tr>
      <w:tr w14:paraId="34B43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AE143C4">
            <w:pPr>
              <w:spacing w:before="131" w:line="220" w:lineRule="auto"/>
              <w:ind w:left="120"/>
              <w:rPr>
                <w:rFonts w:hint="eastAsia" w:ascii="宋体" w:hAnsi="宋体" w:eastAsia="宋体" w:cs="宋体"/>
                <w:color w:val="auto"/>
                <w:sz w:val="24"/>
                <w:szCs w:val="24"/>
                <w:highlight w:val="none"/>
              </w:rPr>
            </w:pPr>
            <w:bookmarkStart w:id="270" w:name="bookmark162"/>
            <w:bookmarkEnd w:id="270"/>
            <w:r>
              <w:rPr>
                <w:rFonts w:hint="eastAsia" w:ascii="宋体" w:hAnsi="宋体" w:eastAsia="宋体" w:cs="宋体"/>
                <w:color w:val="auto"/>
                <w:spacing w:val="-3"/>
                <w:sz w:val="24"/>
                <w:szCs w:val="24"/>
                <w:highlight w:val="none"/>
              </w:rPr>
              <w:t>五、拆除工程</w:t>
            </w:r>
          </w:p>
        </w:tc>
        <w:tc>
          <w:tcPr>
            <w:tcW w:w="1294" w:type="dxa"/>
            <w:vAlign w:val="top"/>
          </w:tcPr>
          <w:p w14:paraId="3EE6E7FD">
            <w:pPr>
              <w:spacing w:before="131" w:line="223" w:lineRule="auto"/>
              <w:ind w:left="48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5"/>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7DBDBEC">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AA5EDC0">
            <w:pPr>
              <w:pStyle w:val="21"/>
              <w:rPr>
                <w:rFonts w:hint="eastAsia" w:ascii="宋体" w:hAnsi="宋体" w:eastAsia="宋体" w:cs="宋体"/>
                <w:color w:val="auto"/>
                <w:highlight w:val="none"/>
              </w:rPr>
            </w:pPr>
          </w:p>
        </w:tc>
      </w:tr>
      <w:tr w14:paraId="6887D9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6A50D40">
            <w:pPr>
              <w:spacing w:before="126" w:line="329" w:lineRule="auto"/>
              <w:ind w:left="117" w:right="168"/>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可能影响行人、交通、电力设施、通讯设施或</w:t>
            </w:r>
            <w:r>
              <w:rPr>
                <w:rFonts w:hint="eastAsia" w:ascii="宋体" w:hAnsi="宋体" w:eastAsia="宋体" w:cs="宋体"/>
                <w:color w:val="auto"/>
                <w:spacing w:val="7"/>
                <w:sz w:val="24"/>
                <w:szCs w:val="24"/>
                <w:highlight w:val="none"/>
              </w:rPr>
              <w:t xml:space="preserve"> </w:t>
            </w:r>
            <w:r>
              <w:rPr>
                <w:rFonts w:hint="eastAsia" w:ascii="宋体" w:hAnsi="宋体" w:eastAsia="宋体" w:cs="宋体"/>
                <w:color w:val="auto"/>
                <w:spacing w:val="-1"/>
                <w:sz w:val="24"/>
                <w:szCs w:val="24"/>
                <w:highlight w:val="none"/>
              </w:rPr>
              <w:t>其它建、构筑物安全的拆除工程。</w:t>
            </w:r>
          </w:p>
        </w:tc>
        <w:tc>
          <w:tcPr>
            <w:tcW w:w="1294" w:type="dxa"/>
            <w:vAlign w:val="top"/>
          </w:tcPr>
          <w:p w14:paraId="2976489A">
            <w:pPr>
              <w:pStyle w:val="21"/>
              <w:spacing w:line="294" w:lineRule="auto"/>
              <w:rPr>
                <w:rFonts w:hint="eastAsia" w:ascii="宋体" w:hAnsi="宋体" w:eastAsia="宋体" w:cs="宋体"/>
                <w:color w:val="auto"/>
                <w:highlight w:val="none"/>
              </w:rPr>
            </w:pPr>
          </w:p>
          <w:p w14:paraId="1B4AF630">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9A28A7">
            <w:pPr>
              <w:pStyle w:val="21"/>
              <w:spacing w:line="294" w:lineRule="auto"/>
              <w:rPr>
                <w:rFonts w:hint="eastAsia" w:ascii="宋体" w:hAnsi="宋体" w:eastAsia="宋体" w:cs="宋体"/>
                <w:color w:val="auto"/>
                <w:highlight w:val="none"/>
              </w:rPr>
            </w:pPr>
          </w:p>
          <w:p w14:paraId="6C56A77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94ECA69">
            <w:pPr>
              <w:pStyle w:val="21"/>
              <w:rPr>
                <w:rFonts w:hint="eastAsia" w:ascii="宋体" w:hAnsi="宋体" w:eastAsia="宋体" w:cs="宋体"/>
                <w:color w:val="auto"/>
                <w:highlight w:val="none"/>
              </w:rPr>
            </w:pPr>
          </w:p>
        </w:tc>
      </w:tr>
      <w:tr w14:paraId="580D1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BDB86E8">
            <w:pPr>
              <w:spacing w:before="126" w:line="221" w:lineRule="auto"/>
              <w:ind w:left="35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0D725E26">
            <w:pPr>
              <w:spacing w:before="126"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66CBF70">
            <w:pPr>
              <w:spacing w:before="126"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A9A264">
            <w:pPr>
              <w:pStyle w:val="21"/>
              <w:rPr>
                <w:rFonts w:hint="eastAsia" w:ascii="宋体" w:hAnsi="宋体" w:eastAsia="宋体" w:cs="宋体"/>
                <w:color w:val="auto"/>
                <w:highlight w:val="none"/>
              </w:rPr>
            </w:pPr>
          </w:p>
        </w:tc>
      </w:tr>
      <w:tr w14:paraId="75849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2BEEB7C">
            <w:pPr>
              <w:spacing w:before="128" w:line="328"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5AFA9CB6">
            <w:pPr>
              <w:pStyle w:val="21"/>
              <w:spacing w:line="294" w:lineRule="auto"/>
              <w:rPr>
                <w:rFonts w:hint="eastAsia" w:ascii="宋体" w:hAnsi="宋体" w:eastAsia="宋体" w:cs="宋体"/>
                <w:color w:val="auto"/>
                <w:highlight w:val="none"/>
              </w:rPr>
            </w:pPr>
          </w:p>
          <w:p w14:paraId="245F305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C3468FB">
            <w:pPr>
              <w:pStyle w:val="21"/>
              <w:spacing w:line="294" w:lineRule="auto"/>
              <w:rPr>
                <w:rFonts w:hint="eastAsia" w:ascii="宋体" w:hAnsi="宋体" w:eastAsia="宋体" w:cs="宋体"/>
                <w:color w:val="auto"/>
                <w:highlight w:val="none"/>
              </w:rPr>
            </w:pPr>
          </w:p>
          <w:p w14:paraId="2E5FDFD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DE85800">
            <w:pPr>
              <w:pStyle w:val="21"/>
              <w:rPr>
                <w:rFonts w:hint="eastAsia" w:ascii="宋体" w:hAnsi="宋体" w:eastAsia="宋体" w:cs="宋体"/>
                <w:color w:val="auto"/>
                <w:highlight w:val="none"/>
              </w:rPr>
            </w:pPr>
          </w:p>
        </w:tc>
      </w:tr>
      <w:tr w14:paraId="64269D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1E22049">
            <w:pPr>
              <w:spacing w:before="129"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09AF0E99">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4EAB5A1">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C4098FC">
            <w:pPr>
              <w:pStyle w:val="21"/>
              <w:rPr>
                <w:rFonts w:hint="eastAsia" w:ascii="宋体" w:hAnsi="宋体" w:eastAsia="宋体" w:cs="宋体"/>
                <w:color w:val="auto"/>
                <w:highlight w:val="none"/>
              </w:rPr>
            </w:pPr>
          </w:p>
        </w:tc>
      </w:tr>
      <w:tr w14:paraId="35A42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249239F">
            <w:pPr>
              <w:spacing w:before="128" w:line="219"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（一）建筑幕墙安装工程。</w:t>
            </w:r>
          </w:p>
        </w:tc>
        <w:tc>
          <w:tcPr>
            <w:tcW w:w="1294" w:type="dxa"/>
            <w:vAlign w:val="top"/>
          </w:tcPr>
          <w:p w14:paraId="43F4BA55">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16A9A31">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06A3908">
            <w:pPr>
              <w:pStyle w:val="21"/>
              <w:rPr>
                <w:rFonts w:hint="eastAsia" w:ascii="宋体" w:hAnsi="宋体" w:eastAsia="宋体" w:cs="宋体"/>
                <w:color w:val="auto"/>
                <w:highlight w:val="none"/>
              </w:rPr>
            </w:pPr>
          </w:p>
        </w:tc>
      </w:tr>
      <w:tr w14:paraId="0BB8D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CA51A43">
            <w:pPr>
              <w:spacing w:before="128"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（二）钢结构、网架和索膜结构安装工程。</w:t>
            </w:r>
          </w:p>
        </w:tc>
        <w:tc>
          <w:tcPr>
            <w:tcW w:w="1294" w:type="dxa"/>
            <w:vAlign w:val="top"/>
          </w:tcPr>
          <w:p w14:paraId="401304C6">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3FC255">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58F0207">
            <w:pPr>
              <w:pStyle w:val="21"/>
              <w:rPr>
                <w:rFonts w:hint="eastAsia" w:ascii="宋体" w:hAnsi="宋体" w:eastAsia="宋体" w:cs="宋体"/>
                <w:color w:val="auto"/>
                <w:highlight w:val="none"/>
              </w:rPr>
            </w:pPr>
          </w:p>
        </w:tc>
      </w:tr>
      <w:tr w14:paraId="75E2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8ABE65A">
            <w:pPr>
              <w:spacing w:before="128"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（三）人工挖孔桩工程。</w:t>
            </w:r>
          </w:p>
        </w:tc>
        <w:tc>
          <w:tcPr>
            <w:tcW w:w="1294" w:type="dxa"/>
            <w:vAlign w:val="top"/>
          </w:tcPr>
          <w:p w14:paraId="0BE95884">
            <w:pPr>
              <w:spacing w:before="12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6F07FB8">
            <w:pPr>
              <w:spacing w:before="12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6B35F88">
            <w:pPr>
              <w:pStyle w:val="21"/>
              <w:rPr>
                <w:rFonts w:hint="eastAsia" w:ascii="宋体" w:hAnsi="宋体" w:eastAsia="宋体" w:cs="宋体"/>
                <w:color w:val="auto"/>
                <w:highlight w:val="none"/>
              </w:rPr>
            </w:pPr>
          </w:p>
        </w:tc>
      </w:tr>
      <w:tr w14:paraId="1F9FA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9BACD5F">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1B5FF8DC">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AAA7824">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3F57263">
            <w:pPr>
              <w:pStyle w:val="21"/>
              <w:rPr>
                <w:rFonts w:hint="eastAsia" w:ascii="宋体" w:hAnsi="宋体" w:eastAsia="宋体" w:cs="宋体"/>
                <w:color w:val="auto"/>
                <w:highlight w:val="none"/>
              </w:rPr>
            </w:pPr>
          </w:p>
        </w:tc>
      </w:tr>
      <w:tr w14:paraId="54DBA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0A4D10B">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（五）装配式建筑混凝土预制构件安装工程。</w:t>
            </w:r>
          </w:p>
        </w:tc>
        <w:tc>
          <w:tcPr>
            <w:tcW w:w="1294" w:type="dxa"/>
            <w:vAlign w:val="top"/>
          </w:tcPr>
          <w:p w14:paraId="58DA37E3">
            <w:pPr>
              <w:spacing w:before="129"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EF1004F">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248BF22">
            <w:pPr>
              <w:pStyle w:val="21"/>
              <w:rPr>
                <w:rFonts w:hint="eastAsia" w:ascii="宋体" w:hAnsi="宋体" w:eastAsia="宋体" w:cs="宋体"/>
                <w:color w:val="auto"/>
                <w:highlight w:val="none"/>
              </w:rPr>
            </w:pPr>
          </w:p>
        </w:tc>
      </w:tr>
      <w:tr w14:paraId="2D381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6137013">
            <w:pPr>
              <w:spacing w:before="129" w:line="345"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7BF7AFBD">
            <w:pPr>
              <w:pStyle w:val="21"/>
              <w:spacing w:line="270" w:lineRule="auto"/>
              <w:rPr>
                <w:rFonts w:hint="eastAsia" w:ascii="宋体" w:hAnsi="宋体" w:eastAsia="宋体" w:cs="宋体"/>
                <w:color w:val="auto"/>
                <w:highlight w:val="none"/>
              </w:rPr>
            </w:pPr>
          </w:p>
          <w:p w14:paraId="75444E30">
            <w:pPr>
              <w:pStyle w:val="21"/>
              <w:spacing w:line="271" w:lineRule="auto"/>
              <w:rPr>
                <w:rFonts w:hint="eastAsia" w:ascii="宋体" w:hAnsi="宋体" w:eastAsia="宋体" w:cs="宋体"/>
                <w:color w:val="auto"/>
                <w:highlight w:val="none"/>
              </w:rPr>
            </w:pPr>
          </w:p>
          <w:p w14:paraId="319352A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8C2F09E">
            <w:pPr>
              <w:pStyle w:val="21"/>
              <w:spacing w:line="270" w:lineRule="auto"/>
              <w:rPr>
                <w:rFonts w:hint="eastAsia" w:ascii="宋体" w:hAnsi="宋体" w:eastAsia="宋体" w:cs="宋体"/>
                <w:color w:val="auto"/>
                <w:highlight w:val="none"/>
              </w:rPr>
            </w:pPr>
          </w:p>
          <w:p w14:paraId="31947C68">
            <w:pPr>
              <w:pStyle w:val="21"/>
              <w:spacing w:line="271" w:lineRule="auto"/>
              <w:rPr>
                <w:rFonts w:hint="eastAsia" w:ascii="宋体" w:hAnsi="宋体" w:eastAsia="宋体" w:cs="宋体"/>
                <w:color w:val="auto"/>
                <w:highlight w:val="none"/>
              </w:rPr>
            </w:pPr>
          </w:p>
          <w:p w14:paraId="3A126A4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FBC3D1B">
            <w:pPr>
              <w:pStyle w:val="21"/>
              <w:rPr>
                <w:rFonts w:hint="eastAsia" w:ascii="宋体" w:hAnsi="宋体" w:eastAsia="宋体" w:cs="宋体"/>
                <w:color w:val="auto"/>
                <w:highlight w:val="none"/>
              </w:rPr>
            </w:pPr>
          </w:p>
        </w:tc>
      </w:tr>
      <w:tr w14:paraId="60BCE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E860443">
            <w:pPr>
              <w:spacing w:before="129" w:line="328" w:lineRule="auto"/>
              <w:ind w:left="115" w:right="108" w:firstLine="4"/>
              <w:rPr>
                <w:rFonts w:hint="eastAsia" w:ascii="宋体" w:hAnsi="宋体" w:eastAsia="宋体" w:cs="宋体"/>
                <w:color w:val="auto"/>
                <w:sz w:val="24"/>
                <w:szCs w:val="24"/>
                <w:highlight w:val="none"/>
              </w:rPr>
            </w:pPr>
            <w:r>
              <w:rPr>
                <w:rFonts w:hint="eastAsia" w:ascii="宋体" w:hAnsi="宋体" w:eastAsia="宋体" w:cs="宋体"/>
                <w:b/>
                <w:bCs/>
                <w:color w:val="auto"/>
                <w:spacing w:val="-1"/>
                <w:sz w:val="24"/>
                <w:szCs w:val="24"/>
                <w:highlight w:val="none"/>
              </w:rPr>
              <w:t>二、超过一定规模的危险性较大的分部分项工</w:t>
            </w:r>
            <w:r>
              <w:rPr>
                <w:rFonts w:hint="eastAsia" w:ascii="宋体" w:hAnsi="宋体" w:eastAsia="宋体" w:cs="宋体"/>
                <w:b/>
                <w:bCs/>
                <w:color w:val="auto"/>
                <w:spacing w:val="-5"/>
                <w:sz w:val="24"/>
                <w:szCs w:val="24"/>
                <w:highlight w:val="none"/>
              </w:rPr>
              <w:t>程清单</w:t>
            </w:r>
          </w:p>
        </w:tc>
        <w:tc>
          <w:tcPr>
            <w:tcW w:w="1294" w:type="dxa"/>
            <w:vAlign w:val="top"/>
          </w:tcPr>
          <w:p w14:paraId="6D9FBC9E">
            <w:pPr>
              <w:pStyle w:val="21"/>
              <w:spacing w:line="295" w:lineRule="auto"/>
              <w:rPr>
                <w:rFonts w:hint="eastAsia" w:ascii="宋体" w:hAnsi="宋体" w:eastAsia="宋体" w:cs="宋体"/>
                <w:color w:val="auto"/>
                <w:highlight w:val="none"/>
              </w:rPr>
            </w:pPr>
          </w:p>
          <w:p w14:paraId="5A67A057">
            <w:pPr>
              <w:spacing w:before="78" w:line="221" w:lineRule="auto"/>
              <w:ind w:left="206"/>
              <w:rPr>
                <w:rFonts w:hint="eastAsia" w:ascii="宋体" w:hAnsi="宋体" w:eastAsia="宋体" w:cs="宋体"/>
                <w:color w:val="auto"/>
                <w:sz w:val="24"/>
                <w:szCs w:val="24"/>
                <w:highlight w:val="none"/>
              </w:rPr>
            </w:pPr>
            <w:r>
              <w:rPr>
                <w:rFonts w:hint="eastAsia" w:ascii="宋体" w:hAnsi="宋体" w:eastAsia="宋体" w:cs="宋体"/>
                <w:b/>
                <w:bCs/>
                <w:color w:val="auto"/>
                <w:spacing w:val="-4"/>
                <w:sz w:val="24"/>
                <w:szCs w:val="24"/>
                <w:highlight w:val="none"/>
              </w:rPr>
              <w:t>建设单位</w:t>
            </w:r>
          </w:p>
        </w:tc>
        <w:tc>
          <w:tcPr>
            <w:tcW w:w="1294" w:type="dxa"/>
            <w:vAlign w:val="top"/>
          </w:tcPr>
          <w:p w14:paraId="7C992003">
            <w:pPr>
              <w:pStyle w:val="21"/>
              <w:spacing w:line="295" w:lineRule="auto"/>
              <w:rPr>
                <w:rFonts w:hint="eastAsia" w:ascii="宋体" w:hAnsi="宋体" w:eastAsia="宋体" w:cs="宋体"/>
                <w:color w:val="auto"/>
                <w:highlight w:val="none"/>
              </w:rPr>
            </w:pPr>
          </w:p>
          <w:p w14:paraId="62869952">
            <w:pPr>
              <w:spacing w:before="78" w:line="221" w:lineRule="auto"/>
              <w:ind w:left="119"/>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投标单位</w:t>
            </w:r>
          </w:p>
        </w:tc>
        <w:tc>
          <w:tcPr>
            <w:tcW w:w="2428" w:type="dxa"/>
            <w:vAlign w:val="top"/>
          </w:tcPr>
          <w:p w14:paraId="2C11E991">
            <w:pPr>
              <w:pStyle w:val="21"/>
              <w:spacing w:line="295" w:lineRule="auto"/>
              <w:rPr>
                <w:rFonts w:hint="eastAsia" w:ascii="宋体" w:hAnsi="宋体" w:eastAsia="宋体" w:cs="宋体"/>
                <w:color w:val="auto"/>
                <w:highlight w:val="none"/>
              </w:rPr>
            </w:pPr>
          </w:p>
          <w:p w14:paraId="6A4E2DF1">
            <w:pPr>
              <w:spacing w:before="78" w:line="222" w:lineRule="auto"/>
              <w:ind w:left="300"/>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备注</w:t>
            </w:r>
          </w:p>
        </w:tc>
      </w:tr>
      <w:tr w14:paraId="0A3FE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3BBA24">
            <w:pPr>
              <w:spacing w:before="129" w:line="221"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一、深基坑工程</w:t>
            </w:r>
          </w:p>
        </w:tc>
        <w:tc>
          <w:tcPr>
            <w:tcW w:w="1294" w:type="dxa"/>
            <w:vAlign w:val="top"/>
          </w:tcPr>
          <w:p w14:paraId="64B70823">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C0969A2">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006549A">
            <w:pPr>
              <w:pStyle w:val="21"/>
              <w:rPr>
                <w:rFonts w:hint="eastAsia" w:ascii="宋体" w:hAnsi="宋体" w:eastAsia="宋体" w:cs="宋体"/>
                <w:color w:val="auto"/>
                <w:highlight w:val="none"/>
              </w:rPr>
            </w:pPr>
          </w:p>
        </w:tc>
      </w:tr>
      <w:tr w14:paraId="38331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3EDEC4E">
            <w:pPr>
              <w:spacing w:before="131" w:line="327" w:lineRule="auto"/>
              <w:ind w:left="117" w:right="10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开挖深度超过</w:t>
            </w:r>
            <w:r>
              <w:rPr>
                <w:rFonts w:hint="eastAsia" w:ascii="宋体" w:hAnsi="宋体" w:eastAsia="宋体" w:cs="宋体"/>
                <w:color w:val="auto"/>
                <w:spacing w:val="-34"/>
                <w:sz w:val="24"/>
                <w:szCs w:val="24"/>
                <w:highlight w:val="none"/>
              </w:rPr>
              <w:t xml:space="preserve"> </w:t>
            </w:r>
            <w:r>
              <w:rPr>
                <w:rFonts w:hint="eastAsia" w:ascii="宋体" w:hAnsi="宋体" w:eastAsia="宋体" w:cs="宋体"/>
                <w:color w:val="auto"/>
                <w:spacing w:val="-5"/>
                <w:sz w:val="24"/>
                <w:szCs w:val="24"/>
                <w:highlight w:val="none"/>
              </w:rPr>
              <w:t>5m（含</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5m）的基坑（槽）的土方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开挖、支护、降水工程。</w:t>
            </w:r>
          </w:p>
        </w:tc>
        <w:tc>
          <w:tcPr>
            <w:tcW w:w="1294" w:type="dxa"/>
            <w:vAlign w:val="top"/>
          </w:tcPr>
          <w:p w14:paraId="749CE2D0">
            <w:pPr>
              <w:pStyle w:val="21"/>
              <w:spacing w:line="295" w:lineRule="auto"/>
              <w:rPr>
                <w:rFonts w:hint="eastAsia" w:ascii="宋体" w:hAnsi="宋体" w:eastAsia="宋体" w:cs="宋体"/>
                <w:color w:val="auto"/>
                <w:highlight w:val="none"/>
              </w:rPr>
            </w:pPr>
          </w:p>
          <w:p w14:paraId="0B2740CB">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A18381">
            <w:pPr>
              <w:pStyle w:val="21"/>
              <w:spacing w:line="295" w:lineRule="auto"/>
              <w:rPr>
                <w:rFonts w:hint="eastAsia" w:ascii="宋体" w:hAnsi="宋体" w:eastAsia="宋体" w:cs="宋体"/>
                <w:color w:val="auto"/>
                <w:highlight w:val="none"/>
              </w:rPr>
            </w:pPr>
          </w:p>
          <w:p w14:paraId="1E819802">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11192D3">
            <w:pPr>
              <w:pStyle w:val="21"/>
              <w:rPr>
                <w:rFonts w:hint="eastAsia" w:ascii="宋体" w:hAnsi="宋体" w:eastAsia="宋体" w:cs="宋体"/>
                <w:color w:val="auto"/>
                <w:highlight w:val="none"/>
              </w:rPr>
            </w:pPr>
          </w:p>
        </w:tc>
      </w:tr>
      <w:tr w14:paraId="2BEE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ED5E7A7">
            <w:pPr>
              <w:spacing w:before="130" w:line="219"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二、模板工程及支撑体系</w:t>
            </w:r>
          </w:p>
        </w:tc>
        <w:tc>
          <w:tcPr>
            <w:tcW w:w="1294" w:type="dxa"/>
            <w:vAlign w:val="top"/>
          </w:tcPr>
          <w:p w14:paraId="4A003752">
            <w:pPr>
              <w:spacing w:before="129"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default" w:ascii="宋体" w:hAnsi="宋体" w:eastAsia="宋体" w:cs="宋体"/>
                <w:color w:val="auto"/>
                <w:spacing w:val="2"/>
                <w:sz w:val="24"/>
                <w:szCs w:val="24"/>
                <w:highlight w:val="none"/>
                <w:lang w:val="en-US"/>
              </w:rPr>
              <w:t xml:space="preserve">  </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A5D87FE">
            <w:pPr>
              <w:spacing w:before="129"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4996F6C">
            <w:pPr>
              <w:pStyle w:val="21"/>
              <w:rPr>
                <w:rFonts w:hint="eastAsia" w:ascii="宋体" w:hAnsi="宋体" w:eastAsia="宋体" w:cs="宋体"/>
                <w:color w:val="auto"/>
                <w:highlight w:val="none"/>
              </w:rPr>
            </w:pPr>
          </w:p>
        </w:tc>
      </w:tr>
      <w:tr w14:paraId="30A913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4DBE1E8">
            <w:pPr>
              <w:spacing w:before="130" w:line="327" w:lineRule="auto"/>
              <w:ind w:left="123" w:right="25" w:firstLine="4"/>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（一）各类工具式模板工程：包括滑模、爬模、</w:t>
            </w:r>
            <w:r>
              <w:rPr>
                <w:rFonts w:hint="eastAsia" w:ascii="宋体" w:hAnsi="宋体" w:eastAsia="宋体" w:cs="宋体"/>
                <w:color w:val="auto"/>
                <w:spacing w:val="6"/>
                <w:sz w:val="24"/>
                <w:szCs w:val="24"/>
                <w:highlight w:val="none"/>
              </w:rPr>
              <w:t xml:space="preserve"> </w:t>
            </w:r>
            <w:r>
              <w:rPr>
                <w:rFonts w:hint="eastAsia" w:ascii="宋体" w:hAnsi="宋体" w:eastAsia="宋体" w:cs="宋体"/>
                <w:color w:val="auto"/>
                <w:spacing w:val="-2"/>
                <w:sz w:val="24"/>
                <w:szCs w:val="24"/>
                <w:highlight w:val="none"/>
              </w:rPr>
              <w:t>飞模、隧道模等工程。</w:t>
            </w:r>
          </w:p>
        </w:tc>
        <w:tc>
          <w:tcPr>
            <w:tcW w:w="1294" w:type="dxa"/>
            <w:vAlign w:val="top"/>
          </w:tcPr>
          <w:p w14:paraId="64D0319C">
            <w:pPr>
              <w:pStyle w:val="21"/>
              <w:spacing w:line="294" w:lineRule="auto"/>
              <w:rPr>
                <w:rFonts w:hint="eastAsia" w:ascii="宋体" w:hAnsi="宋体" w:eastAsia="宋体" w:cs="宋体"/>
                <w:color w:val="auto"/>
                <w:highlight w:val="none"/>
              </w:rPr>
            </w:pPr>
          </w:p>
          <w:p w14:paraId="2F8D8B6C">
            <w:pPr>
              <w:spacing w:before="78" w:line="223" w:lineRule="auto"/>
              <w:ind w:left="30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A6FAE2C">
            <w:pPr>
              <w:pStyle w:val="21"/>
              <w:spacing w:line="294" w:lineRule="auto"/>
              <w:rPr>
                <w:rFonts w:hint="eastAsia" w:ascii="宋体" w:hAnsi="宋体" w:eastAsia="宋体" w:cs="宋体"/>
                <w:color w:val="auto"/>
                <w:highlight w:val="none"/>
              </w:rPr>
            </w:pPr>
          </w:p>
          <w:p w14:paraId="71DF4A3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3808B2F5">
            <w:pPr>
              <w:pStyle w:val="21"/>
              <w:rPr>
                <w:rFonts w:hint="eastAsia" w:ascii="宋体" w:hAnsi="宋体" w:eastAsia="宋体" w:cs="宋体"/>
                <w:color w:val="auto"/>
                <w:highlight w:val="none"/>
              </w:rPr>
            </w:pPr>
          </w:p>
        </w:tc>
      </w:tr>
      <w:tr w14:paraId="7EC92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BA171E1">
            <w:pPr>
              <w:spacing w:before="132" w:line="353" w:lineRule="auto"/>
              <w:ind w:left="116" w:right="6" w:firstLine="11"/>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（二）混凝土模板支撑工程：搭设高度8m</w:t>
            </w:r>
            <w:r>
              <w:rPr>
                <w:rFonts w:hint="eastAsia" w:ascii="宋体" w:hAnsi="宋体" w:eastAsia="宋体" w:cs="宋体"/>
                <w:color w:val="auto"/>
                <w:spacing w:val="-38"/>
                <w:sz w:val="24"/>
                <w:szCs w:val="24"/>
                <w:highlight w:val="none"/>
              </w:rPr>
              <w:t xml:space="preserve"> </w:t>
            </w:r>
            <w:r>
              <w:rPr>
                <w:rFonts w:hint="eastAsia" w:ascii="宋体" w:hAnsi="宋体" w:eastAsia="宋体" w:cs="宋体"/>
                <w:color w:val="auto"/>
                <w:spacing w:val="-2"/>
                <w:sz w:val="24"/>
                <w:szCs w:val="24"/>
                <w:highlight w:val="none"/>
              </w:rPr>
              <w:t>及以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上，或搭设跨度</w:t>
            </w:r>
            <w:r>
              <w:rPr>
                <w:rFonts w:hint="eastAsia" w:ascii="宋体" w:hAnsi="宋体" w:eastAsia="宋体" w:cs="宋体"/>
                <w:color w:val="auto"/>
                <w:spacing w:val="-15"/>
                <w:sz w:val="24"/>
                <w:szCs w:val="24"/>
                <w:highlight w:val="none"/>
              </w:rPr>
              <w:t xml:space="preserve"> </w:t>
            </w:r>
            <w:r>
              <w:rPr>
                <w:rFonts w:hint="eastAsia" w:ascii="宋体" w:hAnsi="宋体" w:eastAsia="宋体" w:cs="宋体"/>
                <w:color w:val="auto"/>
                <w:spacing w:val="-11"/>
                <w:sz w:val="24"/>
                <w:szCs w:val="24"/>
                <w:highlight w:val="none"/>
              </w:rPr>
              <w:t>18m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及以上，或施工总荷载（设</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计值）15kN/m2</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1"/>
                <w:sz w:val="24"/>
                <w:szCs w:val="24"/>
                <w:highlight w:val="none"/>
              </w:rPr>
              <w:t>及以上，或集中线荷载（设</w:t>
            </w:r>
            <w:r>
              <w:rPr>
                <w:rFonts w:hint="eastAsia" w:ascii="宋体" w:hAnsi="宋体" w:eastAsia="宋体" w:cs="宋体"/>
                <w:color w:val="auto"/>
                <w:spacing w:val="-12"/>
                <w:sz w:val="24"/>
                <w:szCs w:val="24"/>
                <w:highlight w:val="none"/>
              </w:rPr>
              <w:t>计值）</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20kN/m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584A3439">
            <w:pPr>
              <w:pStyle w:val="21"/>
              <w:spacing w:line="262" w:lineRule="auto"/>
              <w:rPr>
                <w:rFonts w:hint="eastAsia" w:ascii="宋体" w:hAnsi="宋体" w:eastAsia="宋体" w:cs="宋体"/>
                <w:color w:val="auto"/>
                <w:highlight w:val="none"/>
              </w:rPr>
            </w:pPr>
          </w:p>
          <w:p w14:paraId="591D6F3F">
            <w:pPr>
              <w:pStyle w:val="21"/>
              <w:spacing w:line="263" w:lineRule="auto"/>
              <w:rPr>
                <w:rFonts w:hint="eastAsia" w:ascii="宋体" w:hAnsi="宋体" w:eastAsia="宋体" w:cs="宋体"/>
                <w:color w:val="auto"/>
                <w:highlight w:val="none"/>
              </w:rPr>
            </w:pPr>
          </w:p>
          <w:p w14:paraId="10A8F9CC">
            <w:pPr>
              <w:pStyle w:val="21"/>
              <w:spacing w:line="263" w:lineRule="auto"/>
              <w:rPr>
                <w:rFonts w:hint="eastAsia" w:ascii="宋体" w:hAnsi="宋体" w:eastAsia="宋体" w:cs="宋体"/>
                <w:color w:val="auto"/>
                <w:highlight w:val="none"/>
              </w:rPr>
            </w:pPr>
          </w:p>
          <w:p w14:paraId="5AC904A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13B0127">
            <w:pPr>
              <w:pStyle w:val="21"/>
              <w:spacing w:line="262" w:lineRule="auto"/>
              <w:rPr>
                <w:rFonts w:hint="eastAsia" w:ascii="宋体" w:hAnsi="宋体" w:eastAsia="宋体" w:cs="宋体"/>
                <w:color w:val="auto"/>
                <w:highlight w:val="none"/>
              </w:rPr>
            </w:pPr>
          </w:p>
          <w:p w14:paraId="0E1C888F">
            <w:pPr>
              <w:pStyle w:val="21"/>
              <w:spacing w:line="263" w:lineRule="auto"/>
              <w:rPr>
                <w:rFonts w:hint="eastAsia" w:ascii="宋体" w:hAnsi="宋体" w:eastAsia="宋体" w:cs="宋体"/>
                <w:color w:val="auto"/>
                <w:highlight w:val="none"/>
              </w:rPr>
            </w:pPr>
          </w:p>
          <w:p w14:paraId="28451CF8">
            <w:pPr>
              <w:pStyle w:val="21"/>
              <w:spacing w:line="263" w:lineRule="auto"/>
              <w:rPr>
                <w:rFonts w:hint="eastAsia" w:ascii="宋体" w:hAnsi="宋体" w:eastAsia="宋体" w:cs="宋体"/>
                <w:color w:val="auto"/>
                <w:highlight w:val="none"/>
              </w:rPr>
            </w:pPr>
          </w:p>
          <w:p w14:paraId="50AEAF47">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BD2BFDC">
            <w:pPr>
              <w:pStyle w:val="21"/>
              <w:rPr>
                <w:rFonts w:hint="eastAsia" w:ascii="宋体" w:hAnsi="宋体" w:eastAsia="宋体" w:cs="宋体"/>
                <w:color w:val="auto"/>
                <w:highlight w:val="none"/>
              </w:rPr>
            </w:pPr>
          </w:p>
        </w:tc>
      </w:tr>
      <w:tr w14:paraId="149E6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4EC55F6">
            <w:pPr>
              <w:spacing w:before="131"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（三）承重支撑体系：用于钢结构安装等满堂</w:t>
            </w:r>
          </w:p>
        </w:tc>
        <w:tc>
          <w:tcPr>
            <w:tcW w:w="1294" w:type="dxa"/>
            <w:vAlign w:val="top"/>
          </w:tcPr>
          <w:p w14:paraId="26F396AE">
            <w:pPr>
              <w:spacing w:before="131"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2BD7F34">
            <w:pPr>
              <w:spacing w:before="131"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EAE096D">
            <w:pPr>
              <w:pStyle w:val="21"/>
              <w:rPr>
                <w:rFonts w:hint="eastAsia" w:ascii="宋体" w:hAnsi="宋体" w:eastAsia="宋体" w:cs="宋体"/>
                <w:color w:val="auto"/>
                <w:highlight w:val="none"/>
              </w:rPr>
            </w:pPr>
          </w:p>
        </w:tc>
      </w:tr>
      <w:tr w14:paraId="12060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C50553">
            <w:pPr>
              <w:spacing w:before="131" w:line="220" w:lineRule="auto"/>
              <w:ind w:left="1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支撑体系，承受单点集中荷载</w:t>
            </w:r>
            <w:r>
              <w:rPr>
                <w:rFonts w:hint="eastAsia" w:ascii="宋体" w:hAnsi="宋体" w:eastAsia="宋体" w:cs="宋体"/>
                <w:color w:val="auto"/>
                <w:spacing w:val="-40"/>
                <w:sz w:val="24"/>
                <w:szCs w:val="24"/>
                <w:highlight w:val="none"/>
              </w:rPr>
              <w:t xml:space="preserve"> </w:t>
            </w:r>
            <w:r>
              <w:rPr>
                <w:rFonts w:hint="eastAsia" w:ascii="宋体" w:hAnsi="宋体" w:eastAsia="宋体" w:cs="宋体"/>
                <w:color w:val="auto"/>
                <w:spacing w:val="-2"/>
                <w:sz w:val="24"/>
                <w:szCs w:val="24"/>
                <w:highlight w:val="none"/>
              </w:rPr>
              <w:t>7kN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w:t>
            </w:r>
          </w:p>
        </w:tc>
        <w:tc>
          <w:tcPr>
            <w:tcW w:w="1294" w:type="dxa"/>
            <w:vAlign w:val="top"/>
          </w:tcPr>
          <w:p w14:paraId="7910744C">
            <w:pPr>
              <w:pStyle w:val="21"/>
              <w:rPr>
                <w:rFonts w:hint="eastAsia" w:ascii="宋体" w:hAnsi="宋体" w:eastAsia="宋体" w:cs="宋体"/>
                <w:color w:val="auto"/>
                <w:highlight w:val="none"/>
              </w:rPr>
            </w:pPr>
          </w:p>
        </w:tc>
        <w:tc>
          <w:tcPr>
            <w:tcW w:w="1294" w:type="dxa"/>
            <w:vAlign w:val="top"/>
          </w:tcPr>
          <w:p w14:paraId="398F043F">
            <w:pPr>
              <w:pStyle w:val="21"/>
              <w:rPr>
                <w:rFonts w:hint="eastAsia" w:ascii="宋体" w:hAnsi="宋体" w:eastAsia="宋体" w:cs="宋体"/>
                <w:color w:val="auto"/>
                <w:highlight w:val="none"/>
              </w:rPr>
            </w:pPr>
          </w:p>
        </w:tc>
        <w:tc>
          <w:tcPr>
            <w:tcW w:w="2428" w:type="dxa"/>
            <w:vAlign w:val="top"/>
          </w:tcPr>
          <w:p w14:paraId="645EE9F1">
            <w:pPr>
              <w:pStyle w:val="21"/>
              <w:rPr>
                <w:rFonts w:hint="eastAsia" w:ascii="宋体" w:hAnsi="宋体" w:eastAsia="宋体" w:cs="宋体"/>
                <w:color w:val="auto"/>
                <w:highlight w:val="none"/>
              </w:rPr>
            </w:pPr>
          </w:p>
        </w:tc>
      </w:tr>
      <w:tr w14:paraId="16EAC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D49FCA9">
            <w:pPr>
              <w:spacing w:before="128" w:line="219" w:lineRule="auto"/>
              <w:ind w:left="356"/>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三、起重吊装及起重机械安装拆卸工程</w:t>
            </w:r>
          </w:p>
        </w:tc>
        <w:tc>
          <w:tcPr>
            <w:tcW w:w="1294" w:type="dxa"/>
            <w:vAlign w:val="top"/>
          </w:tcPr>
          <w:p w14:paraId="6AA0C792">
            <w:pPr>
              <w:spacing w:before="127"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C0465E2">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06C0D12">
            <w:pPr>
              <w:pStyle w:val="21"/>
              <w:rPr>
                <w:rFonts w:hint="eastAsia" w:ascii="宋体" w:hAnsi="宋体" w:eastAsia="宋体" w:cs="宋体"/>
                <w:color w:val="auto"/>
                <w:highlight w:val="none"/>
              </w:rPr>
            </w:pPr>
          </w:p>
        </w:tc>
      </w:tr>
      <w:tr w14:paraId="3A28B4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E6F72FE">
            <w:pPr>
              <w:spacing w:before="129" w:line="328" w:lineRule="auto"/>
              <w:ind w:left="144" w:right="168" w:hanging="1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（一）采用非常规起重设备、方法，且单件起</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4"/>
                <w:sz w:val="24"/>
                <w:szCs w:val="24"/>
                <w:highlight w:val="none"/>
              </w:rPr>
              <w:t>吊重量在</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4"/>
                <w:sz w:val="24"/>
                <w:szCs w:val="24"/>
                <w:highlight w:val="none"/>
              </w:rPr>
              <w:t>100kN</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4"/>
                <w:sz w:val="24"/>
                <w:szCs w:val="24"/>
                <w:highlight w:val="none"/>
              </w:rPr>
              <w:t>及以上的起重吊装工程。</w:t>
            </w:r>
          </w:p>
        </w:tc>
        <w:tc>
          <w:tcPr>
            <w:tcW w:w="1294" w:type="dxa"/>
            <w:vAlign w:val="top"/>
          </w:tcPr>
          <w:p w14:paraId="22FD1833">
            <w:pPr>
              <w:pStyle w:val="21"/>
              <w:spacing w:line="295" w:lineRule="auto"/>
              <w:rPr>
                <w:rFonts w:hint="eastAsia" w:ascii="宋体" w:hAnsi="宋体" w:eastAsia="宋体" w:cs="宋体"/>
                <w:color w:val="auto"/>
                <w:highlight w:val="none"/>
              </w:rPr>
            </w:pPr>
          </w:p>
          <w:p w14:paraId="3C9D396A">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E7461C6">
            <w:pPr>
              <w:pStyle w:val="21"/>
              <w:spacing w:line="295" w:lineRule="auto"/>
              <w:rPr>
                <w:rFonts w:hint="eastAsia" w:ascii="宋体" w:hAnsi="宋体" w:eastAsia="宋体" w:cs="宋体"/>
                <w:color w:val="auto"/>
                <w:highlight w:val="none"/>
              </w:rPr>
            </w:pPr>
          </w:p>
          <w:p w14:paraId="4308C7C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791790">
            <w:pPr>
              <w:pStyle w:val="21"/>
              <w:rPr>
                <w:rFonts w:hint="eastAsia" w:ascii="宋体" w:hAnsi="宋体" w:eastAsia="宋体" w:cs="宋体"/>
                <w:color w:val="auto"/>
                <w:highlight w:val="none"/>
              </w:rPr>
            </w:pPr>
          </w:p>
        </w:tc>
      </w:tr>
      <w:tr w14:paraId="0E36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90AE667">
            <w:pPr>
              <w:spacing w:before="129" w:line="345" w:lineRule="auto"/>
              <w:ind w:left="115" w:right="105" w:firstLine="12"/>
              <w:jc w:val="both"/>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（二）起重量</w:t>
            </w:r>
            <w:r>
              <w:rPr>
                <w:rFonts w:hint="eastAsia" w:ascii="宋体" w:hAnsi="宋体" w:eastAsia="宋体" w:cs="宋体"/>
                <w:color w:val="auto"/>
                <w:spacing w:val="-41"/>
                <w:sz w:val="24"/>
                <w:szCs w:val="24"/>
                <w:highlight w:val="none"/>
              </w:rPr>
              <w:t xml:space="preserve"> </w:t>
            </w:r>
            <w:r>
              <w:rPr>
                <w:rFonts w:hint="eastAsia" w:ascii="宋体" w:hAnsi="宋体" w:eastAsia="宋体" w:cs="宋体"/>
                <w:color w:val="auto"/>
                <w:spacing w:val="-12"/>
                <w:sz w:val="24"/>
                <w:szCs w:val="24"/>
                <w:highlight w:val="none"/>
              </w:rPr>
              <w:t>300kN</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12"/>
                <w:sz w:val="24"/>
                <w:szCs w:val="24"/>
                <w:highlight w:val="none"/>
              </w:rPr>
              <w:t>及以上，或搭设总高度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12"/>
                <w:sz w:val="24"/>
                <w:szCs w:val="24"/>
                <w:highlight w:val="none"/>
              </w:rPr>
              <w:t>200m</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4"/>
                <w:sz w:val="24"/>
                <w:szCs w:val="24"/>
                <w:highlight w:val="none"/>
              </w:rPr>
              <w:t>及以上，或搭设基础标高在</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4"/>
                <w:sz w:val="24"/>
                <w:szCs w:val="24"/>
                <w:highlight w:val="none"/>
              </w:rPr>
              <w:t>200m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4"/>
                <w:sz w:val="24"/>
                <w:szCs w:val="24"/>
                <w:highlight w:val="none"/>
              </w:rPr>
              <w:t>及以上的起重</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机械安装和拆卸工程。</w:t>
            </w:r>
          </w:p>
        </w:tc>
        <w:tc>
          <w:tcPr>
            <w:tcW w:w="1294" w:type="dxa"/>
            <w:vAlign w:val="top"/>
          </w:tcPr>
          <w:p w14:paraId="725A6774">
            <w:pPr>
              <w:pStyle w:val="21"/>
              <w:spacing w:line="270" w:lineRule="auto"/>
              <w:rPr>
                <w:rFonts w:hint="eastAsia" w:ascii="宋体" w:hAnsi="宋体" w:eastAsia="宋体" w:cs="宋体"/>
                <w:color w:val="auto"/>
                <w:highlight w:val="none"/>
              </w:rPr>
            </w:pPr>
          </w:p>
          <w:p w14:paraId="3BBB42CD">
            <w:pPr>
              <w:pStyle w:val="21"/>
              <w:spacing w:line="270" w:lineRule="auto"/>
              <w:rPr>
                <w:rFonts w:hint="eastAsia" w:ascii="宋体" w:hAnsi="宋体" w:eastAsia="宋体" w:cs="宋体"/>
                <w:color w:val="auto"/>
                <w:highlight w:val="none"/>
              </w:rPr>
            </w:pPr>
          </w:p>
          <w:p w14:paraId="01CFD4D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75B7902B">
            <w:pPr>
              <w:pStyle w:val="21"/>
              <w:spacing w:line="270" w:lineRule="auto"/>
              <w:rPr>
                <w:rFonts w:hint="eastAsia" w:ascii="宋体" w:hAnsi="宋体" w:eastAsia="宋体" w:cs="宋体"/>
                <w:color w:val="auto"/>
                <w:highlight w:val="none"/>
              </w:rPr>
            </w:pPr>
          </w:p>
          <w:p w14:paraId="7D084EF3">
            <w:pPr>
              <w:pStyle w:val="21"/>
              <w:spacing w:line="270" w:lineRule="auto"/>
              <w:rPr>
                <w:rFonts w:hint="eastAsia" w:ascii="宋体" w:hAnsi="宋体" w:eastAsia="宋体" w:cs="宋体"/>
                <w:color w:val="auto"/>
                <w:highlight w:val="none"/>
              </w:rPr>
            </w:pPr>
          </w:p>
          <w:p w14:paraId="197E153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10A8AC3">
            <w:pPr>
              <w:pStyle w:val="21"/>
              <w:rPr>
                <w:rFonts w:hint="eastAsia" w:ascii="宋体" w:hAnsi="宋体" w:eastAsia="宋体" w:cs="宋体"/>
                <w:color w:val="auto"/>
                <w:highlight w:val="none"/>
              </w:rPr>
            </w:pPr>
          </w:p>
        </w:tc>
      </w:tr>
      <w:tr w14:paraId="50AD0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3B6D56CF">
            <w:pPr>
              <w:spacing w:before="128" w:line="219" w:lineRule="auto"/>
              <w:ind w:left="138"/>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四、脚手架工程</w:t>
            </w:r>
          </w:p>
        </w:tc>
        <w:tc>
          <w:tcPr>
            <w:tcW w:w="1294" w:type="dxa"/>
            <w:vAlign w:val="top"/>
          </w:tcPr>
          <w:p w14:paraId="1F29C052">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45E79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1D58FE">
            <w:pPr>
              <w:pStyle w:val="21"/>
              <w:rPr>
                <w:rFonts w:hint="eastAsia" w:ascii="宋体" w:hAnsi="宋体" w:eastAsia="宋体" w:cs="宋体"/>
                <w:color w:val="auto"/>
                <w:highlight w:val="none"/>
              </w:rPr>
            </w:pPr>
          </w:p>
        </w:tc>
      </w:tr>
      <w:tr w14:paraId="55FA2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0B1AF653">
            <w:pPr>
              <w:spacing w:before="128" w:line="328"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（一）搭设高度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及以上的落地式钢管脚手</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3"/>
                <w:sz w:val="24"/>
                <w:szCs w:val="24"/>
                <w:highlight w:val="none"/>
              </w:rPr>
              <w:t>架工程。</w:t>
            </w:r>
          </w:p>
        </w:tc>
        <w:tc>
          <w:tcPr>
            <w:tcW w:w="1294" w:type="dxa"/>
            <w:vAlign w:val="top"/>
          </w:tcPr>
          <w:p w14:paraId="4EEA0859">
            <w:pPr>
              <w:pStyle w:val="21"/>
              <w:spacing w:line="296" w:lineRule="auto"/>
              <w:rPr>
                <w:rFonts w:hint="eastAsia" w:ascii="宋体" w:hAnsi="宋体" w:eastAsia="宋体" w:cs="宋体"/>
                <w:color w:val="auto"/>
                <w:highlight w:val="none"/>
              </w:rPr>
            </w:pPr>
          </w:p>
          <w:p w14:paraId="1D361E67">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38CFE3D1">
            <w:pPr>
              <w:pStyle w:val="21"/>
              <w:spacing w:line="296" w:lineRule="auto"/>
              <w:rPr>
                <w:rFonts w:hint="eastAsia" w:ascii="宋体" w:hAnsi="宋体" w:eastAsia="宋体" w:cs="宋体"/>
                <w:color w:val="auto"/>
                <w:highlight w:val="none"/>
              </w:rPr>
            </w:pPr>
          </w:p>
          <w:p w14:paraId="6EADF53F">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0E736F3B">
            <w:pPr>
              <w:pStyle w:val="21"/>
              <w:rPr>
                <w:rFonts w:hint="eastAsia" w:ascii="宋体" w:hAnsi="宋体" w:eastAsia="宋体" w:cs="宋体"/>
                <w:color w:val="auto"/>
                <w:highlight w:val="none"/>
              </w:rPr>
            </w:pPr>
          </w:p>
        </w:tc>
      </w:tr>
      <w:tr w14:paraId="0277A4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BD34014">
            <w:pPr>
              <w:spacing w:before="131" w:line="327" w:lineRule="auto"/>
              <w:ind w:left="116" w:right="105" w:firstLine="11"/>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（二）提升高度在</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6"/>
                <w:sz w:val="24"/>
                <w:szCs w:val="24"/>
                <w:highlight w:val="none"/>
                <w:lang w:eastAsia="zh-CN"/>
              </w:rPr>
              <w:t>450</w:t>
            </w:r>
            <w:r>
              <w:rPr>
                <w:rFonts w:hint="eastAsia" w:ascii="宋体" w:hAnsi="宋体" w:eastAsia="宋体" w:cs="宋体"/>
                <w:color w:val="auto"/>
                <w:spacing w:val="-6"/>
                <w:sz w:val="24"/>
                <w:szCs w:val="24"/>
                <w:highlight w:val="none"/>
              </w:rPr>
              <w:t>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6"/>
                <w:sz w:val="24"/>
                <w:szCs w:val="24"/>
                <w:highlight w:val="none"/>
              </w:rPr>
              <w:t>及以上的附着式升降脚</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手架工程或附着式升降操作平台工程。</w:t>
            </w:r>
          </w:p>
        </w:tc>
        <w:tc>
          <w:tcPr>
            <w:tcW w:w="1294" w:type="dxa"/>
            <w:vAlign w:val="top"/>
          </w:tcPr>
          <w:p w14:paraId="54C96205">
            <w:pPr>
              <w:pStyle w:val="21"/>
              <w:spacing w:line="296" w:lineRule="auto"/>
              <w:rPr>
                <w:rFonts w:hint="eastAsia" w:ascii="宋体" w:hAnsi="宋体" w:eastAsia="宋体" w:cs="宋体"/>
                <w:color w:val="auto"/>
                <w:highlight w:val="none"/>
              </w:rPr>
            </w:pPr>
          </w:p>
          <w:p w14:paraId="53C9362E">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3518539">
            <w:pPr>
              <w:pStyle w:val="21"/>
              <w:spacing w:line="296" w:lineRule="auto"/>
              <w:rPr>
                <w:rFonts w:hint="eastAsia" w:ascii="宋体" w:hAnsi="宋体" w:eastAsia="宋体" w:cs="宋体"/>
                <w:color w:val="auto"/>
                <w:highlight w:val="none"/>
              </w:rPr>
            </w:pPr>
          </w:p>
          <w:p w14:paraId="72929B5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7A701AD">
            <w:pPr>
              <w:pStyle w:val="21"/>
              <w:rPr>
                <w:rFonts w:hint="eastAsia" w:ascii="宋体" w:hAnsi="宋体" w:eastAsia="宋体" w:cs="宋体"/>
                <w:color w:val="auto"/>
                <w:highlight w:val="none"/>
              </w:rPr>
            </w:pPr>
          </w:p>
        </w:tc>
      </w:tr>
      <w:tr w14:paraId="03864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1100D4C">
            <w:pPr>
              <w:spacing w:before="129" w:line="328"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（三）分段架体搭设高度</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2"/>
                <w:sz w:val="24"/>
                <w:szCs w:val="24"/>
                <w:highlight w:val="none"/>
              </w:rPr>
              <w:t>20m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及以上的悬挑式</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脚手架工程。</w:t>
            </w:r>
          </w:p>
        </w:tc>
        <w:tc>
          <w:tcPr>
            <w:tcW w:w="1294" w:type="dxa"/>
            <w:vAlign w:val="top"/>
          </w:tcPr>
          <w:p w14:paraId="6A40EF66">
            <w:pPr>
              <w:pStyle w:val="21"/>
              <w:spacing w:line="297" w:lineRule="auto"/>
              <w:rPr>
                <w:rFonts w:hint="eastAsia" w:ascii="宋体" w:hAnsi="宋体" w:eastAsia="宋体" w:cs="宋体"/>
                <w:color w:val="auto"/>
                <w:highlight w:val="none"/>
              </w:rPr>
            </w:pPr>
          </w:p>
          <w:p w14:paraId="6062BC78">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238BDB6">
            <w:pPr>
              <w:pStyle w:val="21"/>
              <w:spacing w:line="297" w:lineRule="auto"/>
              <w:rPr>
                <w:rFonts w:hint="eastAsia" w:ascii="宋体" w:hAnsi="宋体" w:eastAsia="宋体" w:cs="宋体"/>
                <w:color w:val="auto"/>
                <w:highlight w:val="none"/>
              </w:rPr>
            </w:pPr>
          </w:p>
          <w:p w14:paraId="62C0EC81">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51F4561">
            <w:pPr>
              <w:pStyle w:val="21"/>
              <w:rPr>
                <w:rFonts w:hint="eastAsia" w:ascii="宋体" w:hAnsi="宋体" w:eastAsia="宋体" w:cs="宋体"/>
                <w:color w:val="auto"/>
                <w:highlight w:val="none"/>
              </w:rPr>
            </w:pPr>
          </w:p>
        </w:tc>
      </w:tr>
      <w:tr w14:paraId="7C23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F226201">
            <w:pPr>
              <w:spacing w:before="131" w:line="220" w:lineRule="auto"/>
              <w:ind w:left="12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五、拆除工程</w:t>
            </w:r>
          </w:p>
        </w:tc>
        <w:tc>
          <w:tcPr>
            <w:tcW w:w="1294" w:type="dxa"/>
            <w:vAlign w:val="top"/>
          </w:tcPr>
          <w:p w14:paraId="502A49D4">
            <w:pPr>
              <w:spacing w:before="158" w:line="223" w:lineRule="auto"/>
              <w:ind w:left="42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3"/>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F208268">
            <w:pPr>
              <w:spacing w:before="15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8956D09">
            <w:pPr>
              <w:pStyle w:val="21"/>
              <w:rPr>
                <w:rFonts w:hint="eastAsia" w:ascii="宋体" w:hAnsi="宋体" w:eastAsia="宋体" w:cs="宋体"/>
                <w:color w:val="auto"/>
                <w:highlight w:val="none"/>
              </w:rPr>
            </w:pPr>
          </w:p>
        </w:tc>
      </w:tr>
      <w:tr w14:paraId="3A960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4238A37F">
            <w:pPr>
              <w:spacing w:before="132" w:line="353"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（一）码头、桥梁、高架、烟囱、水塔或拆除</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中容易引起有毒有害气（液）体或粉尘扩散、</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易燃易爆事故发生的特殊建、构筑物的拆除工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3D765D52">
            <w:pPr>
              <w:pStyle w:val="21"/>
              <w:spacing w:line="262" w:lineRule="auto"/>
              <w:rPr>
                <w:rFonts w:hint="eastAsia" w:ascii="宋体" w:hAnsi="宋体" w:eastAsia="宋体" w:cs="宋体"/>
                <w:color w:val="auto"/>
                <w:highlight w:val="none"/>
              </w:rPr>
            </w:pPr>
          </w:p>
          <w:p w14:paraId="28A878F7">
            <w:pPr>
              <w:pStyle w:val="21"/>
              <w:spacing w:line="262" w:lineRule="auto"/>
              <w:rPr>
                <w:rFonts w:hint="eastAsia" w:ascii="宋体" w:hAnsi="宋体" w:eastAsia="宋体" w:cs="宋体"/>
                <w:color w:val="auto"/>
                <w:highlight w:val="none"/>
              </w:rPr>
            </w:pPr>
          </w:p>
          <w:p w14:paraId="62E7D8C1">
            <w:pPr>
              <w:pStyle w:val="21"/>
              <w:spacing w:line="262" w:lineRule="auto"/>
              <w:rPr>
                <w:rFonts w:hint="eastAsia" w:ascii="宋体" w:hAnsi="宋体" w:eastAsia="宋体" w:cs="宋体"/>
                <w:color w:val="auto"/>
                <w:highlight w:val="none"/>
              </w:rPr>
            </w:pPr>
          </w:p>
          <w:p w14:paraId="33FA6C29">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D8491A6">
            <w:pPr>
              <w:pStyle w:val="21"/>
              <w:spacing w:line="262" w:lineRule="auto"/>
              <w:rPr>
                <w:rFonts w:hint="eastAsia" w:ascii="宋体" w:hAnsi="宋体" w:eastAsia="宋体" w:cs="宋体"/>
                <w:color w:val="auto"/>
                <w:highlight w:val="none"/>
              </w:rPr>
            </w:pPr>
          </w:p>
          <w:p w14:paraId="04142454">
            <w:pPr>
              <w:pStyle w:val="21"/>
              <w:spacing w:line="262" w:lineRule="auto"/>
              <w:rPr>
                <w:rFonts w:hint="eastAsia" w:ascii="宋体" w:hAnsi="宋体" w:eastAsia="宋体" w:cs="宋体"/>
                <w:color w:val="auto"/>
                <w:highlight w:val="none"/>
              </w:rPr>
            </w:pPr>
          </w:p>
          <w:p w14:paraId="3FCE4EE4">
            <w:pPr>
              <w:pStyle w:val="21"/>
              <w:spacing w:line="262" w:lineRule="auto"/>
              <w:rPr>
                <w:rFonts w:hint="eastAsia" w:ascii="宋体" w:hAnsi="宋体" w:eastAsia="宋体" w:cs="宋体"/>
                <w:color w:val="auto"/>
                <w:highlight w:val="none"/>
              </w:rPr>
            </w:pPr>
          </w:p>
          <w:p w14:paraId="4C9C32D6">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C8B491D">
            <w:pPr>
              <w:pStyle w:val="21"/>
              <w:rPr>
                <w:rFonts w:hint="eastAsia" w:ascii="宋体" w:hAnsi="宋体" w:eastAsia="宋体" w:cs="宋体"/>
                <w:color w:val="auto"/>
                <w:highlight w:val="none"/>
              </w:rPr>
            </w:pPr>
          </w:p>
        </w:tc>
      </w:tr>
      <w:tr w14:paraId="568C0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94EBDD6">
            <w:pPr>
              <w:spacing w:before="131" w:line="327" w:lineRule="auto"/>
              <w:ind w:left="117" w:right="168" w:firstLine="1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（二）文物保护建筑、优秀历史建筑或历史文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化风貌区影响范围内的拆除工程。</w:t>
            </w:r>
          </w:p>
        </w:tc>
        <w:tc>
          <w:tcPr>
            <w:tcW w:w="1294" w:type="dxa"/>
            <w:vAlign w:val="top"/>
          </w:tcPr>
          <w:p w14:paraId="4038AA31">
            <w:pPr>
              <w:pStyle w:val="21"/>
              <w:spacing w:line="297" w:lineRule="auto"/>
              <w:rPr>
                <w:rFonts w:hint="eastAsia" w:ascii="宋体" w:hAnsi="宋体" w:eastAsia="宋体" w:cs="宋体"/>
                <w:color w:val="auto"/>
                <w:highlight w:val="none"/>
              </w:rPr>
            </w:pPr>
          </w:p>
          <w:p w14:paraId="61D720D0">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08B14B3">
            <w:pPr>
              <w:pStyle w:val="21"/>
              <w:spacing w:line="297" w:lineRule="auto"/>
              <w:rPr>
                <w:rFonts w:hint="eastAsia" w:ascii="宋体" w:hAnsi="宋体" w:eastAsia="宋体" w:cs="宋体"/>
                <w:color w:val="auto"/>
                <w:highlight w:val="none"/>
              </w:rPr>
            </w:pPr>
          </w:p>
          <w:p w14:paraId="0046E8F0">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19EC3C3D">
            <w:pPr>
              <w:pStyle w:val="21"/>
              <w:rPr>
                <w:rFonts w:hint="eastAsia" w:ascii="宋体" w:hAnsi="宋体" w:eastAsia="宋体" w:cs="宋体"/>
                <w:color w:val="auto"/>
                <w:highlight w:val="none"/>
              </w:rPr>
            </w:pPr>
          </w:p>
        </w:tc>
      </w:tr>
      <w:tr w14:paraId="195908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7F08CF0">
            <w:pPr>
              <w:spacing w:before="131" w:line="221" w:lineRule="auto"/>
              <w:ind w:left="118"/>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六、暗挖工程</w:t>
            </w:r>
          </w:p>
        </w:tc>
        <w:tc>
          <w:tcPr>
            <w:tcW w:w="1294" w:type="dxa"/>
            <w:vAlign w:val="top"/>
          </w:tcPr>
          <w:p w14:paraId="5A7B0AC0">
            <w:pPr>
              <w:spacing w:before="14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7A0EEB6">
            <w:pPr>
              <w:spacing w:before="14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FD13D2E">
            <w:pPr>
              <w:pStyle w:val="21"/>
              <w:rPr>
                <w:rFonts w:hint="eastAsia" w:ascii="宋体" w:hAnsi="宋体" w:eastAsia="宋体" w:cs="宋体"/>
                <w:color w:val="auto"/>
                <w:highlight w:val="none"/>
              </w:rPr>
            </w:pPr>
          </w:p>
        </w:tc>
      </w:tr>
      <w:tr w14:paraId="21132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6BE14B9C">
            <w:pPr>
              <w:spacing w:before="131" w:line="327" w:lineRule="auto"/>
              <w:ind w:left="119" w:right="168" w:hanging="4"/>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采用矿山法、盾构法、顶管法施工的隧道、洞</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4"/>
                <w:sz w:val="24"/>
                <w:szCs w:val="24"/>
                <w:highlight w:val="none"/>
              </w:rPr>
              <w:t>室工程。</w:t>
            </w:r>
          </w:p>
        </w:tc>
        <w:tc>
          <w:tcPr>
            <w:tcW w:w="1294" w:type="dxa"/>
            <w:vAlign w:val="top"/>
          </w:tcPr>
          <w:p w14:paraId="4E4D4330">
            <w:pPr>
              <w:pStyle w:val="21"/>
              <w:spacing w:line="298" w:lineRule="auto"/>
              <w:rPr>
                <w:rFonts w:hint="eastAsia" w:ascii="宋体" w:hAnsi="宋体" w:eastAsia="宋体" w:cs="宋体"/>
                <w:color w:val="auto"/>
                <w:highlight w:val="none"/>
              </w:rPr>
            </w:pPr>
          </w:p>
          <w:p w14:paraId="0DBA9243">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9690364">
            <w:pPr>
              <w:pStyle w:val="21"/>
              <w:spacing w:line="298" w:lineRule="auto"/>
              <w:rPr>
                <w:rFonts w:hint="eastAsia" w:ascii="宋体" w:hAnsi="宋体" w:eastAsia="宋体" w:cs="宋体"/>
                <w:color w:val="auto"/>
                <w:highlight w:val="none"/>
              </w:rPr>
            </w:pPr>
          </w:p>
          <w:p w14:paraId="2D80C20B">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9332325">
            <w:pPr>
              <w:pStyle w:val="21"/>
              <w:rPr>
                <w:rFonts w:hint="eastAsia" w:ascii="宋体" w:hAnsi="宋体" w:eastAsia="宋体" w:cs="宋体"/>
                <w:color w:val="auto"/>
                <w:highlight w:val="none"/>
              </w:rPr>
            </w:pPr>
          </w:p>
        </w:tc>
      </w:tr>
      <w:tr w14:paraId="5BB34F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3EECE4F">
            <w:pPr>
              <w:spacing w:before="130" w:line="222" w:lineRule="auto"/>
              <w:ind w:left="115"/>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七、其它</w:t>
            </w:r>
          </w:p>
        </w:tc>
        <w:tc>
          <w:tcPr>
            <w:tcW w:w="1294" w:type="dxa"/>
            <w:vAlign w:val="top"/>
          </w:tcPr>
          <w:p w14:paraId="562BD6A2">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49CA8655">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26B0F9A">
            <w:pPr>
              <w:pStyle w:val="21"/>
              <w:rPr>
                <w:rFonts w:hint="eastAsia" w:ascii="宋体" w:hAnsi="宋体" w:eastAsia="宋体" w:cs="宋体"/>
                <w:color w:val="auto"/>
                <w:highlight w:val="none"/>
              </w:rPr>
            </w:pPr>
          </w:p>
        </w:tc>
      </w:tr>
      <w:tr w14:paraId="0BDA8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1F22301">
            <w:pPr>
              <w:spacing w:before="130" w:line="327" w:lineRule="auto"/>
              <w:ind w:left="115" w:right="168" w:firstLine="12"/>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（一）施工高度</w:t>
            </w:r>
            <w:r>
              <w:rPr>
                <w:rFonts w:hint="eastAsia" w:ascii="宋体" w:hAnsi="宋体" w:eastAsia="宋体" w:cs="宋体"/>
                <w:color w:val="auto"/>
                <w:spacing w:val="-28"/>
                <w:sz w:val="24"/>
                <w:szCs w:val="24"/>
                <w:highlight w:val="none"/>
              </w:rPr>
              <w:t xml:space="preserve"> </w:t>
            </w:r>
            <w:r>
              <w:rPr>
                <w:rFonts w:hint="eastAsia" w:ascii="宋体" w:hAnsi="宋体" w:eastAsia="宋体" w:cs="宋体"/>
                <w:color w:val="auto"/>
                <w:spacing w:val="-3"/>
                <w:sz w:val="24"/>
                <w:szCs w:val="24"/>
                <w:highlight w:val="none"/>
              </w:rPr>
              <w:t>50m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3"/>
                <w:sz w:val="24"/>
                <w:szCs w:val="24"/>
                <w:highlight w:val="none"/>
              </w:rPr>
              <w:t>及以上的建筑幕墙安装工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5"/>
                <w:sz w:val="24"/>
                <w:szCs w:val="24"/>
                <w:highlight w:val="none"/>
              </w:rPr>
              <w:t>程。</w:t>
            </w:r>
          </w:p>
        </w:tc>
        <w:tc>
          <w:tcPr>
            <w:tcW w:w="1294" w:type="dxa"/>
            <w:vAlign w:val="top"/>
          </w:tcPr>
          <w:p w14:paraId="0435F83C">
            <w:pPr>
              <w:pStyle w:val="21"/>
              <w:spacing w:line="297" w:lineRule="auto"/>
              <w:rPr>
                <w:rFonts w:hint="eastAsia" w:ascii="宋体" w:hAnsi="宋体" w:eastAsia="宋体" w:cs="宋体"/>
                <w:color w:val="auto"/>
                <w:highlight w:val="none"/>
              </w:rPr>
            </w:pPr>
          </w:p>
          <w:p w14:paraId="64AEE5E6">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607534F2">
            <w:pPr>
              <w:pStyle w:val="21"/>
              <w:spacing w:line="297" w:lineRule="auto"/>
              <w:rPr>
                <w:rFonts w:hint="eastAsia" w:ascii="宋体" w:hAnsi="宋体" w:eastAsia="宋体" w:cs="宋体"/>
                <w:color w:val="auto"/>
                <w:highlight w:val="none"/>
              </w:rPr>
            </w:pPr>
          </w:p>
          <w:p w14:paraId="40B72F04">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5746FEA">
            <w:pPr>
              <w:pStyle w:val="21"/>
              <w:rPr>
                <w:rFonts w:hint="eastAsia" w:ascii="宋体" w:hAnsi="宋体" w:eastAsia="宋体" w:cs="宋体"/>
                <w:color w:val="auto"/>
                <w:highlight w:val="none"/>
              </w:rPr>
            </w:pPr>
          </w:p>
        </w:tc>
      </w:tr>
      <w:tr w14:paraId="53394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864CD62">
            <w:pPr>
              <w:spacing w:before="130" w:line="221"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（二）跨度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36m</w:t>
            </w:r>
            <w:r>
              <w:rPr>
                <w:rFonts w:hint="eastAsia" w:ascii="宋体" w:hAnsi="宋体" w:eastAsia="宋体" w:cs="宋体"/>
                <w:color w:val="auto"/>
                <w:spacing w:val="-51"/>
                <w:sz w:val="24"/>
                <w:szCs w:val="24"/>
                <w:highlight w:val="none"/>
              </w:rPr>
              <w:t xml:space="preserve"> </w:t>
            </w:r>
            <w:r>
              <w:rPr>
                <w:rFonts w:hint="eastAsia" w:ascii="宋体" w:hAnsi="宋体" w:eastAsia="宋体" w:cs="宋体"/>
                <w:color w:val="auto"/>
                <w:spacing w:val="-2"/>
                <w:sz w:val="24"/>
                <w:szCs w:val="24"/>
                <w:highlight w:val="none"/>
              </w:rPr>
              <w:t>及以上的钢结构安装工程，或</w:t>
            </w:r>
          </w:p>
        </w:tc>
        <w:tc>
          <w:tcPr>
            <w:tcW w:w="1294" w:type="dxa"/>
            <w:vAlign w:val="top"/>
          </w:tcPr>
          <w:p w14:paraId="1F421C18">
            <w:pPr>
              <w:spacing w:before="130"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00727DE7">
            <w:pPr>
              <w:spacing w:before="130"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6CF515EB">
            <w:pPr>
              <w:pStyle w:val="21"/>
              <w:rPr>
                <w:rFonts w:hint="eastAsia" w:ascii="宋体" w:hAnsi="宋体" w:eastAsia="宋体" w:cs="宋体"/>
                <w:color w:val="auto"/>
                <w:highlight w:val="none"/>
              </w:rPr>
            </w:pPr>
          </w:p>
        </w:tc>
      </w:tr>
      <w:tr w14:paraId="559C6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0CB18AB">
            <w:pPr>
              <w:spacing w:before="131" w:line="221" w:lineRule="auto"/>
              <w:ind w:left="116"/>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跨度</w:t>
            </w:r>
            <w:r>
              <w:rPr>
                <w:rFonts w:hint="eastAsia" w:ascii="宋体" w:hAnsi="宋体" w:eastAsia="宋体" w:cs="宋体"/>
                <w:color w:val="auto"/>
                <w:spacing w:val="-37"/>
                <w:sz w:val="24"/>
                <w:szCs w:val="24"/>
                <w:highlight w:val="none"/>
              </w:rPr>
              <w:t xml:space="preserve"> </w:t>
            </w:r>
            <w:r>
              <w:rPr>
                <w:rFonts w:hint="eastAsia" w:ascii="宋体" w:hAnsi="宋体" w:eastAsia="宋体" w:cs="宋体"/>
                <w:color w:val="auto"/>
                <w:spacing w:val="-2"/>
                <w:sz w:val="24"/>
                <w:szCs w:val="24"/>
                <w:highlight w:val="none"/>
              </w:rPr>
              <w:t>60m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2"/>
                <w:sz w:val="24"/>
                <w:szCs w:val="24"/>
                <w:highlight w:val="none"/>
              </w:rPr>
              <w:t>及以上的网架和索膜结构安装工程。</w:t>
            </w:r>
          </w:p>
        </w:tc>
        <w:tc>
          <w:tcPr>
            <w:tcW w:w="1294" w:type="dxa"/>
            <w:vAlign w:val="top"/>
          </w:tcPr>
          <w:p w14:paraId="254809FB">
            <w:pPr>
              <w:pStyle w:val="21"/>
              <w:rPr>
                <w:rFonts w:hint="eastAsia" w:ascii="宋体" w:hAnsi="宋体" w:eastAsia="宋体" w:cs="宋体"/>
                <w:color w:val="auto"/>
                <w:highlight w:val="none"/>
              </w:rPr>
            </w:pPr>
          </w:p>
        </w:tc>
        <w:tc>
          <w:tcPr>
            <w:tcW w:w="1294" w:type="dxa"/>
            <w:vAlign w:val="top"/>
          </w:tcPr>
          <w:p w14:paraId="65F2DD31">
            <w:pPr>
              <w:pStyle w:val="21"/>
              <w:rPr>
                <w:rFonts w:hint="eastAsia" w:ascii="宋体" w:hAnsi="宋体" w:eastAsia="宋体" w:cs="宋体"/>
                <w:color w:val="auto"/>
                <w:highlight w:val="none"/>
              </w:rPr>
            </w:pPr>
          </w:p>
        </w:tc>
        <w:tc>
          <w:tcPr>
            <w:tcW w:w="2428" w:type="dxa"/>
            <w:vAlign w:val="top"/>
          </w:tcPr>
          <w:p w14:paraId="0C7A41FD">
            <w:pPr>
              <w:pStyle w:val="21"/>
              <w:rPr>
                <w:rFonts w:hint="eastAsia" w:ascii="宋体" w:hAnsi="宋体" w:eastAsia="宋体" w:cs="宋体"/>
                <w:color w:val="auto"/>
                <w:highlight w:val="none"/>
              </w:rPr>
            </w:pPr>
          </w:p>
        </w:tc>
      </w:tr>
      <w:tr w14:paraId="013490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10CA8CE0">
            <w:pPr>
              <w:spacing w:before="127" w:line="220" w:lineRule="auto"/>
              <w:jc w:val="right"/>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（三）开挖深度</w:t>
            </w:r>
            <w:r>
              <w:rPr>
                <w:rFonts w:hint="eastAsia" w:ascii="宋体" w:hAnsi="宋体" w:eastAsia="宋体" w:cs="宋体"/>
                <w:color w:val="auto"/>
                <w:spacing w:val="-33"/>
                <w:sz w:val="24"/>
                <w:szCs w:val="24"/>
                <w:highlight w:val="none"/>
              </w:rPr>
              <w:t xml:space="preserve"> </w:t>
            </w:r>
            <w:r>
              <w:rPr>
                <w:rFonts w:hint="eastAsia" w:ascii="宋体" w:hAnsi="宋体" w:eastAsia="宋体" w:cs="宋体"/>
                <w:color w:val="auto"/>
                <w:spacing w:val="-7"/>
                <w:sz w:val="24"/>
                <w:szCs w:val="24"/>
                <w:highlight w:val="none"/>
              </w:rPr>
              <w:t>16m</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7"/>
                <w:sz w:val="24"/>
                <w:szCs w:val="24"/>
                <w:highlight w:val="none"/>
              </w:rPr>
              <w:t>及以上的人工挖孔桩工程。</w:t>
            </w:r>
          </w:p>
        </w:tc>
        <w:tc>
          <w:tcPr>
            <w:tcW w:w="1294" w:type="dxa"/>
            <w:vAlign w:val="top"/>
          </w:tcPr>
          <w:p w14:paraId="3BC86D48">
            <w:pPr>
              <w:spacing w:before="127"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579E6C2A">
            <w:pPr>
              <w:spacing w:before="127"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7F7535E5">
            <w:pPr>
              <w:pStyle w:val="21"/>
              <w:rPr>
                <w:rFonts w:hint="eastAsia" w:ascii="宋体" w:hAnsi="宋体" w:eastAsia="宋体" w:cs="宋体"/>
                <w:color w:val="auto"/>
                <w:highlight w:val="none"/>
              </w:rPr>
            </w:pPr>
          </w:p>
        </w:tc>
      </w:tr>
      <w:tr w14:paraId="1CD8F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2278F83D">
            <w:pPr>
              <w:spacing w:before="129" w:line="220" w:lineRule="auto"/>
              <w:ind w:left="127"/>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（四）水下作业工程。</w:t>
            </w:r>
          </w:p>
        </w:tc>
        <w:tc>
          <w:tcPr>
            <w:tcW w:w="1294" w:type="dxa"/>
            <w:vAlign w:val="top"/>
          </w:tcPr>
          <w:p w14:paraId="013AC85E">
            <w:pPr>
              <w:spacing w:before="163"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1DBBCCBF">
            <w:pPr>
              <w:spacing w:before="163"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597FC29E">
            <w:pPr>
              <w:pStyle w:val="21"/>
              <w:rPr>
                <w:rFonts w:hint="eastAsia" w:ascii="宋体" w:hAnsi="宋体" w:eastAsia="宋体" w:cs="宋体"/>
                <w:color w:val="auto"/>
                <w:highlight w:val="none"/>
              </w:rPr>
            </w:pPr>
          </w:p>
        </w:tc>
      </w:tr>
      <w:tr w14:paraId="79FC9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7346933C">
            <w:pPr>
              <w:spacing w:before="130" w:line="327" w:lineRule="auto"/>
              <w:ind w:left="115" w:right="25" w:firstLine="12"/>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（五）重量</w:t>
            </w:r>
            <w:r>
              <w:rPr>
                <w:rFonts w:hint="eastAsia" w:ascii="宋体" w:hAnsi="宋体" w:eastAsia="宋体" w:cs="宋体"/>
                <w:color w:val="auto"/>
                <w:spacing w:val="-48"/>
                <w:sz w:val="24"/>
                <w:szCs w:val="24"/>
                <w:highlight w:val="none"/>
              </w:rPr>
              <w:t xml:space="preserve"> </w:t>
            </w:r>
            <w:r>
              <w:rPr>
                <w:rFonts w:hint="eastAsia" w:ascii="宋体" w:hAnsi="宋体" w:eastAsia="宋体" w:cs="宋体"/>
                <w:color w:val="auto"/>
                <w:spacing w:val="-8"/>
                <w:sz w:val="24"/>
                <w:szCs w:val="24"/>
                <w:highlight w:val="none"/>
              </w:rPr>
              <w:t>1000kN及以上的大型结构整体顶升、</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平移、转体等施工工艺。</w:t>
            </w:r>
          </w:p>
        </w:tc>
        <w:tc>
          <w:tcPr>
            <w:tcW w:w="1294" w:type="dxa"/>
            <w:vAlign w:val="top"/>
          </w:tcPr>
          <w:p w14:paraId="69A35218">
            <w:pPr>
              <w:pStyle w:val="21"/>
              <w:spacing w:line="296" w:lineRule="auto"/>
              <w:rPr>
                <w:rFonts w:hint="eastAsia" w:ascii="宋体" w:hAnsi="宋体" w:eastAsia="宋体" w:cs="宋体"/>
                <w:color w:val="auto"/>
                <w:highlight w:val="none"/>
              </w:rPr>
            </w:pPr>
          </w:p>
          <w:p w14:paraId="4E274FB5">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F18575E">
            <w:pPr>
              <w:pStyle w:val="21"/>
              <w:spacing w:line="296" w:lineRule="auto"/>
              <w:rPr>
                <w:rFonts w:hint="eastAsia" w:ascii="宋体" w:hAnsi="宋体" w:eastAsia="宋体" w:cs="宋体"/>
                <w:color w:val="auto"/>
                <w:highlight w:val="none"/>
              </w:rPr>
            </w:pPr>
          </w:p>
          <w:p w14:paraId="3224A749">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4AB0890B">
            <w:pPr>
              <w:pStyle w:val="21"/>
              <w:rPr>
                <w:rFonts w:hint="eastAsia" w:ascii="宋体" w:hAnsi="宋体" w:eastAsia="宋体" w:cs="宋体"/>
                <w:color w:val="auto"/>
                <w:highlight w:val="none"/>
              </w:rPr>
            </w:pPr>
          </w:p>
        </w:tc>
      </w:tr>
      <w:tr w14:paraId="67BA3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4864" w:type="dxa"/>
            <w:gridSpan w:val="2"/>
            <w:vAlign w:val="top"/>
          </w:tcPr>
          <w:p w14:paraId="58CBD14F">
            <w:pPr>
              <w:spacing w:before="129" w:line="346" w:lineRule="auto"/>
              <w:ind w:left="117" w:right="168" w:firstLine="10"/>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（六）采用新技术、新工艺、新材料、新设备</w:t>
            </w:r>
            <w:r>
              <w:rPr>
                <w:rFonts w:hint="eastAsia" w:ascii="宋体" w:hAnsi="宋体" w:eastAsia="宋体" w:cs="宋体"/>
                <w:color w:val="auto"/>
                <w:spacing w:val="18"/>
                <w:sz w:val="24"/>
                <w:szCs w:val="24"/>
                <w:highlight w:val="none"/>
              </w:rPr>
              <w:t xml:space="preserve"> </w:t>
            </w:r>
            <w:r>
              <w:rPr>
                <w:rFonts w:hint="eastAsia" w:ascii="宋体" w:hAnsi="宋体" w:eastAsia="宋体" w:cs="宋体"/>
                <w:color w:val="auto"/>
                <w:spacing w:val="-1"/>
                <w:sz w:val="24"/>
                <w:szCs w:val="24"/>
                <w:highlight w:val="none"/>
              </w:rPr>
              <w:t>可能影响工程施工安全，尚无国家、行业及地</w:t>
            </w:r>
            <w:r>
              <w:rPr>
                <w:rFonts w:hint="eastAsia" w:ascii="宋体" w:hAnsi="宋体" w:eastAsia="宋体" w:cs="宋体"/>
                <w:color w:val="auto"/>
                <w:spacing w:val="8"/>
                <w:sz w:val="24"/>
                <w:szCs w:val="24"/>
                <w:highlight w:val="none"/>
              </w:rPr>
              <w:t xml:space="preserve"> </w:t>
            </w:r>
            <w:r>
              <w:rPr>
                <w:rFonts w:hint="eastAsia" w:ascii="宋体" w:hAnsi="宋体" w:eastAsia="宋体" w:cs="宋体"/>
                <w:color w:val="auto"/>
                <w:spacing w:val="-1"/>
                <w:sz w:val="24"/>
                <w:szCs w:val="24"/>
                <w:highlight w:val="none"/>
              </w:rPr>
              <w:t>方技术标准的分部分项工程。</w:t>
            </w:r>
          </w:p>
        </w:tc>
        <w:tc>
          <w:tcPr>
            <w:tcW w:w="1294" w:type="dxa"/>
            <w:vAlign w:val="top"/>
          </w:tcPr>
          <w:p w14:paraId="06BAFBBB">
            <w:pPr>
              <w:pStyle w:val="21"/>
              <w:spacing w:line="272" w:lineRule="auto"/>
              <w:rPr>
                <w:rFonts w:hint="eastAsia" w:ascii="宋体" w:hAnsi="宋体" w:eastAsia="宋体" w:cs="宋体"/>
                <w:color w:val="auto"/>
                <w:highlight w:val="none"/>
              </w:rPr>
            </w:pPr>
          </w:p>
          <w:p w14:paraId="07AEE88E">
            <w:pPr>
              <w:pStyle w:val="21"/>
              <w:spacing w:line="272" w:lineRule="auto"/>
              <w:rPr>
                <w:rFonts w:hint="eastAsia" w:ascii="宋体" w:hAnsi="宋体" w:eastAsia="宋体" w:cs="宋体"/>
                <w:color w:val="auto"/>
                <w:highlight w:val="none"/>
              </w:rPr>
            </w:pPr>
          </w:p>
          <w:p w14:paraId="3B13F3A1">
            <w:pPr>
              <w:spacing w:before="78" w:line="223" w:lineRule="auto"/>
              <w:ind w:left="365"/>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1294" w:type="dxa"/>
            <w:vAlign w:val="top"/>
          </w:tcPr>
          <w:p w14:paraId="22CFD9AB">
            <w:pPr>
              <w:pStyle w:val="21"/>
              <w:spacing w:line="272" w:lineRule="auto"/>
              <w:rPr>
                <w:rFonts w:hint="eastAsia" w:ascii="宋体" w:hAnsi="宋体" w:eastAsia="宋体" w:cs="宋体"/>
                <w:color w:val="auto"/>
                <w:highlight w:val="none"/>
              </w:rPr>
            </w:pPr>
          </w:p>
          <w:p w14:paraId="393AC5F9">
            <w:pPr>
              <w:pStyle w:val="21"/>
              <w:spacing w:line="272" w:lineRule="auto"/>
              <w:rPr>
                <w:rFonts w:hint="eastAsia" w:ascii="宋体" w:hAnsi="宋体" w:eastAsia="宋体" w:cs="宋体"/>
                <w:color w:val="auto"/>
                <w:highlight w:val="none"/>
              </w:rPr>
            </w:pPr>
          </w:p>
          <w:p w14:paraId="4E605A2A">
            <w:pPr>
              <w:spacing w:before="78" w:line="223" w:lineRule="auto"/>
              <w:ind w:left="367"/>
              <w:rPr>
                <w:rFonts w:hint="eastAsia" w:ascii="宋体" w:hAnsi="宋体" w:eastAsia="宋体" w:cs="宋体"/>
                <w:color w:val="auto"/>
                <w:sz w:val="24"/>
                <w:szCs w:val="24"/>
                <w:highlight w:val="none"/>
              </w:rPr>
            </w:pPr>
            <w:r>
              <w:rPr>
                <w:rFonts w:hint="eastAsia" w:ascii="宋体" w:hAnsi="宋体" w:eastAsia="宋体" w:cs="宋体"/>
                <w:color w:val="auto"/>
                <w:spacing w:val="-19"/>
                <w:w w:val="94"/>
                <w:sz w:val="24"/>
                <w:szCs w:val="24"/>
                <w:highlight w:val="none"/>
              </w:rPr>
              <w:t>(</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pacing w:val="-19"/>
                <w:w w:val="94"/>
                <w:sz w:val="24"/>
                <w:szCs w:val="24"/>
                <w:highlight w:val="none"/>
              </w:rPr>
              <w:t>)</w:t>
            </w:r>
          </w:p>
        </w:tc>
        <w:tc>
          <w:tcPr>
            <w:tcW w:w="2428" w:type="dxa"/>
            <w:vAlign w:val="top"/>
          </w:tcPr>
          <w:p w14:paraId="29CA5625">
            <w:pPr>
              <w:pStyle w:val="21"/>
              <w:rPr>
                <w:rFonts w:hint="eastAsia" w:ascii="宋体" w:hAnsi="宋体" w:eastAsia="宋体" w:cs="宋体"/>
                <w:color w:val="auto"/>
                <w:highlight w:val="none"/>
              </w:rPr>
            </w:pPr>
          </w:p>
        </w:tc>
      </w:tr>
    </w:tbl>
    <w:p w14:paraId="754B549B">
      <w:pPr>
        <w:pStyle w:val="5"/>
        <w:spacing w:line="288" w:lineRule="auto"/>
        <w:rPr>
          <w:rFonts w:hint="eastAsia" w:ascii="宋体" w:hAnsi="宋体" w:eastAsia="宋体" w:cs="宋体"/>
          <w:color w:val="auto"/>
          <w:highlight w:val="none"/>
        </w:rPr>
      </w:pPr>
    </w:p>
    <w:p w14:paraId="44E6AB1E">
      <w:pPr>
        <w:pStyle w:val="5"/>
        <w:spacing w:line="288" w:lineRule="auto"/>
        <w:rPr>
          <w:rFonts w:hint="eastAsia" w:ascii="宋体" w:hAnsi="宋体" w:eastAsia="宋体" w:cs="宋体"/>
          <w:color w:val="auto"/>
          <w:highlight w:val="none"/>
        </w:rPr>
      </w:pPr>
    </w:p>
    <w:p w14:paraId="53809DE3">
      <w:pPr>
        <w:spacing w:before="21" w:line="376" w:lineRule="exact"/>
        <w:ind w:firstLine="520" w:firstLineChars="200"/>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10"/>
          <w:sz w:val="24"/>
          <w:szCs w:val="24"/>
          <w:highlight w:val="none"/>
        </w:rPr>
        <w:t>备注：1.根据《危险性较大的分部分项工程安全管理</w:t>
      </w:r>
      <w:r>
        <w:rPr>
          <w:rFonts w:hint="eastAsia" w:ascii="宋体" w:hAnsi="宋体" w:eastAsia="宋体" w:cs="宋体"/>
          <w:color w:val="auto"/>
          <w:spacing w:val="9"/>
          <w:sz w:val="24"/>
          <w:szCs w:val="24"/>
          <w:highlight w:val="none"/>
        </w:rPr>
        <w:t>规定》，该《危险性较大的分部分项工程清单及超</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过一定规模的危险性较大的分部分项工程清单》</w:t>
      </w:r>
      <w:r>
        <w:rPr>
          <w:rFonts w:hint="eastAsia" w:ascii="宋体" w:hAnsi="宋体" w:eastAsia="宋体" w:cs="宋体"/>
          <w:color w:val="auto"/>
          <w:spacing w:val="9"/>
          <w:sz w:val="24"/>
          <w:szCs w:val="24"/>
          <w:highlight w:val="none"/>
          <w:lang w:eastAsia="zh-CN"/>
        </w:rPr>
        <w:t>应由建设单位组织勘察、设计等单位在招标文件中“勾选（对应项打“√”标识”危险性较大的分部分项工程。</w:t>
      </w:r>
    </w:p>
    <w:p w14:paraId="5CF1F685">
      <w:pPr>
        <w:spacing w:before="21" w:line="376" w:lineRule="exact"/>
        <w:ind w:firstLine="512"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2.该《危险性较大的分部分项工程清单及超过一定规模的危险性较</w:t>
      </w:r>
      <w:r>
        <w:rPr>
          <w:rFonts w:hint="eastAsia" w:ascii="宋体" w:hAnsi="宋体" w:eastAsia="宋体" w:cs="宋体"/>
          <w:color w:val="auto"/>
          <w:spacing w:val="7"/>
          <w:sz w:val="24"/>
          <w:szCs w:val="24"/>
          <w:highlight w:val="none"/>
        </w:rPr>
        <w:t>大的分部分项工程清单》在办理</w:t>
      </w:r>
      <w:r>
        <w:rPr>
          <w:rFonts w:hint="eastAsia" w:ascii="宋体" w:hAnsi="宋体" w:eastAsia="宋体" w:cs="宋体"/>
          <w:color w:val="auto"/>
          <w:spacing w:val="10"/>
          <w:sz w:val="24"/>
          <w:szCs w:val="24"/>
          <w:highlight w:val="none"/>
        </w:rPr>
        <w:t>建设项目施工许可时必须提供，且各地建设行政主管部门可按照《广东省建设工</w:t>
      </w:r>
      <w:r>
        <w:rPr>
          <w:rFonts w:hint="eastAsia" w:ascii="宋体" w:hAnsi="宋体" w:eastAsia="宋体" w:cs="宋体"/>
          <w:color w:val="auto"/>
          <w:spacing w:val="9"/>
          <w:sz w:val="24"/>
          <w:szCs w:val="24"/>
          <w:highlight w:val="none"/>
        </w:rPr>
        <w:t>程项目招标中标后监督</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检查办法》相关规定开展检查。</w:t>
      </w:r>
    </w:p>
    <w:p w14:paraId="2407D028">
      <w:pPr>
        <w:spacing w:before="28" w:line="228" w:lineRule="auto"/>
        <w:ind w:left="553" w:leftChars="244" w:hanging="41" w:hangingChars="16"/>
        <w:rPr>
          <w:rFonts w:hint="eastAsia" w:ascii="宋体" w:hAnsi="宋体" w:eastAsia="宋体" w:cs="宋体"/>
          <w:color w:val="auto"/>
          <w:spacing w:val="8"/>
          <w:sz w:val="24"/>
          <w:szCs w:val="24"/>
          <w:highlight w:val="none"/>
          <w:lang w:eastAsia="zh-CN"/>
        </w:rPr>
      </w:pPr>
      <w:r>
        <w:rPr>
          <w:rFonts w:hint="eastAsia" w:ascii="宋体" w:hAnsi="宋体" w:eastAsia="宋体" w:cs="宋体"/>
          <w:color w:val="auto"/>
          <w:spacing w:val="9"/>
          <w:sz w:val="24"/>
          <w:szCs w:val="24"/>
          <w:highlight w:val="none"/>
        </w:rPr>
        <w:t>3.如果需要（如需要通过计算编制专项方案，或者需要专家论证</w:t>
      </w:r>
      <w:r>
        <w:rPr>
          <w:rFonts w:hint="eastAsia" w:ascii="宋体" w:hAnsi="宋体" w:eastAsia="宋体" w:cs="宋体"/>
          <w:color w:val="auto"/>
          <w:spacing w:val="15"/>
          <w:sz w:val="24"/>
          <w:szCs w:val="24"/>
          <w:highlight w:val="none"/>
        </w:rPr>
        <w:t>），</w:t>
      </w:r>
      <w:r>
        <w:rPr>
          <w:rFonts w:hint="eastAsia" w:ascii="宋体" w:hAnsi="宋体" w:eastAsia="宋体" w:cs="宋体"/>
          <w:color w:val="auto"/>
          <w:spacing w:val="9"/>
          <w:sz w:val="24"/>
          <w:szCs w:val="24"/>
          <w:highlight w:val="none"/>
        </w:rPr>
        <w:t>可中</w:t>
      </w:r>
      <w:r>
        <w:rPr>
          <w:rFonts w:hint="eastAsia" w:ascii="宋体" w:hAnsi="宋体" w:eastAsia="宋体" w:cs="宋体"/>
          <w:color w:val="auto"/>
          <w:spacing w:val="8"/>
          <w:sz w:val="24"/>
          <w:szCs w:val="24"/>
          <w:highlight w:val="none"/>
        </w:rPr>
        <w:t>标后提供</w:t>
      </w:r>
      <w:r>
        <w:rPr>
          <w:rFonts w:hint="eastAsia" w:ascii="宋体" w:hAnsi="宋体" w:eastAsia="宋体" w:cs="宋体"/>
          <w:color w:val="auto"/>
          <w:spacing w:val="8"/>
          <w:sz w:val="24"/>
          <w:szCs w:val="24"/>
          <w:highlight w:val="none"/>
          <w:lang w:eastAsia="zh-CN"/>
        </w:rPr>
        <w:t>详细版。</w:t>
      </w:r>
    </w:p>
    <w:p w14:paraId="52D3F718">
      <w:pPr>
        <w:rPr>
          <w:color w:val="auto"/>
          <w:highlight w:val="none"/>
        </w:rPr>
      </w:pPr>
    </w:p>
    <w:p w14:paraId="77B667EE">
      <w:pPr>
        <w:pStyle w:val="13"/>
        <w:rPr>
          <w:rFonts w:hint="eastAsia" w:ascii="宋体" w:hAnsi="宋体" w:eastAsia="宋体" w:cs="宋体"/>
          <w:b/>
          <w:bCs/>
          <w:color w:val="auto"/>
          <w:spacing w:val="-4"/>
          <w:sz w:val="24"/>
          <w:szCs w:val="24"/>
          <w:highlight w:val="none"/>
        </w:rPr>
      </w:pPr>
    </w:p>
    <w:p w14:paraId="7353CEAB">
      <w:pPr>
        <w:pStyle w:val="13"/>
        <w:rPr>
          <w:rFonts w:hint="eastAsia" w:ascii="宋体" w:hAnsi="宋体" w:eastAsia="宋体" w:cs="宋体"/>
          <w:b/>
          <w:bCs/>
          <w:color w:val="auto"/>
          <w:spacing w:val="-4"/>
          <w:sz w:val="24"/>
          <w:szCs w:val="24"/>
          <w:highlight w:val="none"/>
        </w:rPr>
      </w:pPr>
    </w:p>
    <w:p w14:paraId="7BC0F757">
      <w:pPr>
        <w:pStyle w:val="13"/>
        <w:rPr>
          <w:rFonts w:hint="eastAsia" w:ascii="宋体" w:hAnsi="宋体" w:eastAsia="宋体" w:cs="宋体"/>
          <w:b/>
          <w:bCs/>
          <w:color w:val="auto"/>
          <w:spacing w:val="-4"/>
          <w:sz w:val="24"/>
          <w:szCs w:val="24"/>
          <w:highlight w:val="none"/>
        </w:rPr>
      </w:pPr>
    </w:p>
    <w:p w14:paraId="25244F8F">
      <w:pPr>
        <w:pStyle w:val="13"/>
        <w:rPr>
          <w:rFonts w:hint="eastAsia" w:ascii="宋体" w:hAnsi="宋体" w:eastAsia="宋体" w:cs="宋体"/>
          <w:b/>
          <w:bCs/>
          <w:color w:val="auto"/>
          <w:spacing w:val="-4"/>
          <w:sz w:val="24"/>
          <w:szCs w:val="24"/>
          <w:highlight w:val="none"/>
        </w:rPr>
      </w:pPr>
    </w:p>
    <w:p w14:paraId="2099144E">
      <w:pPr>
        <w:pStyle w:val="13"/>
        <w:rPr>
          <w:rFonts w:hint="eastAsia" w:ascii="宋体" w:hAnsi="宋体" w:eastAsia="宋体" w:cs="宋体"/>
          <w:b/>
          <w:bCs/>
          <w:color w:val="auto"/>
          <w:spacing w:val="-4"/>
          <w:sz w:val="24"/>
          <w:szCs w:val="24"/>
          <w:highlight w:val="none"/>
        </w:rPr>
      </w:pPr>
    </w:p>
    <w:p w14:paraId="3EA8987A">
      <w:pPr>
        <w:pStyle w:val="13"/>
        <w:ind w:left="0" w:leftChars="0" w:firstLine="0" w:firstLineChars="0"/>
        <w:rPr>
          <w:rFonts w:hint="eastAsia" w:ascii="宋体" w:hAnsi="宋体" w:eastAsia="宋体" w:cs="宋体"/>
          <w:b/>
          <w:bCs/>
          <w:color w:val="auto"/>
          <w:spacing w:val="-4"/>
          <w:sz w:val="24"/>
          <w:szCs w:val="24"/>
          <w:highlight w:val="none"/>
        </w:rPr>
      </w:pPr>
    </w:p>
    <w:p w14:paraId="103650DD">
      <w:pPr>
        <w:spacing w:before="78" w:line="220" w:lineRule="auto"/>
        <w:jc w:val="left"/>
        <w:outlineLvl w:val="9"/>
        <w:rPr>
          <w:rFonts w:hint="eastAsia" w:ascii="宋体" w:hAnsi="宋体" w:eastAsia="宋体" w:cs="宋体"/>
          <w:b/>
          <w:bCs/>
          <w:color w:val="auto"/>
          <w:spacing w:val="-4"/>
          <w:sz w:val="24"/>
          <w:szCs w:val="24"/>
          <w:highlight w:val="none"/>
        </w:rPr>
      </w:pPr>
    </w:p>
    <w:p w14:paraId="6C9A6F64">
      <w:pPr>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rPr>
        <w:br w:type="page"/>
      </w:r>
    </w:p>
    <w:p w14:paraId="4E112B74">
      <w:pPr>
        <w:spacing w:before="78" w:line="220" w:lineRule="auto"/>
        <w:jc w:val="both"/>
        <w:outlineLvl w:val="2"/>
        <w:rPr>
          <w:rFonts w:hint="default" w:ascii="宋体" w:hAnsi="宋体" w:eastAsia="宋体" w:cs="宋体"/>
          <w:b/>
          <w:bCs/>
          <w:color w:val="auto"/>
          <w:spacing w:val="-4"/>
          <w:sz w:val="24"/>
          <w:szCs w:val="24"/>
          <w:highlight w:val="none"/>
          <w:lang w:val="en-US" w:eastAsia="zh-CN"/>
        </w:rPr>
      </w:pPr>
      <w:bookmarkStart w:id="271" w:name="_Toc738"/>
      <w:r>
        <w:rPr>
          <w:rFonts w:hint="eastAsia" w:ascii="宋体" w:hAnsi="宋体" w:eastAsia="宋体" w:cs="宋体"/>
          <w:b/>
          <w:bCs/>
          <w:color w:val="auto"/>
          <w:spacing w:val="-4"/>
          <w:sz w:val="24"/>
          <w:szCs w:val="24"/>
          <w:highlight w:val="none"/>
        </w:rPr>
        <w:t>格式十四</w:t>
      </w:r>
      <w:r>
        <w:rPr>
          <w:rFonts w:hint="eastAsia" w:ascii="宋体" w:hAnsi="宋体" w:eastAsia="宋体" w:cs="宋体"/>
          <w:b/>
          <w:bCs/>
          <w:color w:val="auto"/>
          <w:spacing w:val="-4"/>
          <w:sz w:val="24"/>
          <w:szCs w:val="24"/>
          <w:highlight w:val="none"/>
          <w:lang w:val="en-US" w:eastAsia="zh-CN"/>
        </w:rPr>
        <w:t xml:space="preserve">  </w:t>
      </w:r>
      <w:r>
        <w:rPr>
          <w:rFonts w:hint="eastAsia" w:ascii="宋体" w:hAnsi="宋体" w:eastAsia="宋体" w:cs="宋体"/>
          <w:b/>
          <w:bCs/>
          <w:color w:val="auto"/>
          <w:spacing w:val="4"/>
          <w:position w:val="3"/>
          <w:sz w:val="21"/>
          <w:szCs w:val="21"/>
          <w:highlight w:val="none"/>
        </w:rPr>
        <w:t>投标保证金信用承诺函</w:t>
      </w:r>
      <w:bookmarkEnd w:id="271"/>
    </w:p>
    <w:p w14:paraId="20478BA2">
      <w:pPr>
        <w:spacing w:before="140" w:line="604" w:lineRule="exact"/>
        <w:jc w:val="center"/>
        <w:rPr>
          <w:rFonts w:hint="eastAsia" w:ascii="宋体" w:hAnsi="宋体" w:eastAsia="宋体" w:cs="宋体"/>
          <w:color w:val="auto"/>
          <w:sz w:val="28"/>
          <w:szCs w:val="28"/>
          <w:highlight w:val="none"/>
        </w:rPr>
      </w:pPr>
      <w:r>
        <w:rPr>
          <w:rFonts w:hint="eastAsia" w:ascii="宋体" w:hAnsi="宋体" w:eastAsia="宋体" w:cs="宋体"/>
          <w:b/>
          <w:bCs/>
          <w:color w:val="auto"/>
          <w:spacing w:val="4"/>
          <w:position w:val="3"/>
          <w:sz w:val="28"/>
          <w:szCs w:val="28"/>
          <w:highlight w:val="none"/>
        </w:rPr>
        <w:t>投标保证金信用承诺函</w:t>
      </w:r>
    </w:p>
    <w:p w14:paraId="06CA68F3">
      <w:pPr>
        <w:pStyle w:val="5"/>
        <w:spacing w:line="408" w:lineRule="auto"/>
        <w:rPr>
          <w:rFonts w:hint="eastAsia" w:ascii="宋体" w:hAnsi="宋体" w:eastAsia="宋体" w:cs="宋体"/>
          <w:color w:val="auto"/>
          <w:highlight w:val="none"/>
        </w:rPr>
      </w:pPr>
    </w:p>
    <w:p w14:paraId="6190CB97">
      <w:pPr>
        <w:spacing w:before="101" w:line="257" w:lineRule="auto"/>
        <w:ind w:left="3" w:firstLine="965"/>
        <w:jc w:val="both"/>
        <w:rPr>
          <w:rFonts w:hint="eastAsia" w:ascii="宋体" w:hAnsi="宋体" w:eastAsia="宋体" w:cs="宋体"/>
          <w:color w:val="auto"/>
          <w:sz w:val="24"/>
          <w:szCs w:val="24"/>
          <w:highlight w:val="none"/>
        </w:rPr>
      </w:pPr>
      <w:r>
        <w:rPr>
          <w:rFonts w:hint="eastAsia" w:ascii="宋体" w:hAnsi="宋体" w:eastAsia="宋体" w:cs="宋体"/>
          <w:b/>
          <w:bCs/>
          <w:color w:val="auto"/>
          <w:spacing w:val="7"/>
          <w:sz w:val="24"/>
          <w:szCs w:val="24"/>
          <w:highlight w:val="none"/>
        </w:rPr>
        <w:t>一、</w:t>
      </w:r>
      <w:r>
        <w:rPr>
          <w:rFonts w:hint="eastAsia" w:ascii="宋体" w:hAnsi="宋体" w:eastAsia="宋体" w:cs="宋体"/>
          <w:color w:val="auto"/>
          <w:spacing w:val="7"/>
          <w:sz w:val="24"/>
          <w:szCs w:val="24"/>
          <w:highlight w:val="none"/>
        </w:rPr>
        <w:t>我单位参加</w:t>
      </w:r>
      <w:r>
        <w:rPr>
          <w:rFonts w:hint="eastAsia" w:ascii="宋体" w:hAnsi="宋体" w:eastAsia="宋体" w:cs="宋体"/>
          <w:color w:val="auto"/>
          <w:spacing w:val="7"/>
          <w:sz w:val="24"/>
          <w:szCs w:val="24"/>
          <w:highlight w:val="none"/>
          <w:u w:val="single"/>
        </w:rPr>
        <w:t xml:space="preserve">  （工程项目名称）  </w:t>
      </w:r>
      <w:r>
        <w:rPr>
          <w:rFonts w:hint="eastAsia" w:ascii="宋体" w:hAnsi="宋体" w:eastAsia="宋体" w:cs="宋体"/>
          <w:color w:val="auto"/>
          <w:spacing w:val="-116"/>
          <w:sz w:val="24"/>
          <w:szCs w:val="24"/>
          <w:highlight w:val="none"/>
        </w:rPr>
        <w:t xml:space="preserve"> </w:t>
      </w:r>
      <w:r>
        <w:rPr>
          <w:rFonts w:hint="eastAsia" w:ascii="宋体" w:hAnsi="宋体" w:eastAsia="宋体" w:cs="宋体"/>
          <w:color w:val="auto"/>
          <w:spacing w:val="7"/>
          <w:sz w:val="24"/>
          <w:szCs w:val="24"/>
          <w:highlight w:val="none"/>
        </w:rPr>
        <w:t>的投标活动，</w:t>
      </w:r>
      <w:r>
        <w:rPr>
          <w:rFonts w:hint="eastAsia" w:ascii="宋体" w:hAnsi="宋体" w:eastAsia="宋体" w:cs="宋体"/>
          <w:color w:val="auto"/>
          <w:spacing w:val="6"/>
          <w:sz w:val="24"/>
          <w:szCs w:val="24"/>
          <w:highlight w:val="none"/>
        </w:rPr>
        <w:t>现承</w:t>
      </w:r>
      <w:r>
        <w:rPr>
          <w:rFonts w:hint="eastAsia" w:ascii="宋体" w:hAnsi="宋体" w:eastAsia="宋体" w:cs="宋体"/>
          <w:color w:val="auto"/>
          <w:spacing w:val="9"/>
          <w:sz w:val="24"/>
          <w:szCs w:val="24"/>
          <w:highlight w:val="none"/>
        </w:rPr>
        <w:t>诺：将严格按照法律法规规定参与交易活动，按照招标文件要求</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依法履行投标人义务；我方若出现违反《中华人民共和国招标投</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标法》、《中华人民共和国招标投标法实施条例》、《电子招标</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9"/>
          <w:sz w:val="24"/>
          <w:szCs w:val="24"/>
          <w:highlight w:val="none"/>
        </w:rPr>
        <w:t>投标办法》等有关法律法规的行为，将于投标有效期内全额付清</w:t>
      </w:r>
      <w:r>
        <w:rPr>
          <w:rFonts w:hint="eastAsia" w:ascii="宋体" w:hAnsi="宋体" w:eastAsia="宋体" w:cs="宋体"/>
          <w:color w:val="auto"/>
          <w:spacing w:val="13"/>
          <w:sz w:val="24"/>
          <w:szCs w:val="24"/>
          <w:highlight w:val="none"/>
        </w:rPr>
        <w:t xml:space="preserve"> </w:t>
      </w:r>
      <w:r>
        <w:rPr>
          <w:rFonts w:hint="eastAsia" w:ascii="宋体" w:hAnsi="宋体" w:eastAsia="宋体" w:cs="宋体"/>
          <w:color w:val="auto"/>
          <w:spacing w:val="7"/>
          <w:sz w:val="24"/>
          <w:szCs w:val="24"/>
          <w:highlight w:val="none"/>
        </w:rPr>
        <w:t>招标文件规定的投标保证金</w:t>
      </w:r>
      <w:r>
        <w:rPr>
          <w:rFonts w:hint="eastAsia" w:ascii="宋体" w:hAnsi="宋体" w:eastAsia="宋体" w:cs="宋体"/>
          <w:color w:val="auto"/>
          <w:spacing w:val="-153"/>
          <w:sz w:val="24"/>
          <w:szCs w:val="24"/>
          <w:highlight w:val="none"/>
        </w:rPr>
        <w:t xml:space="preserve"> </w:t>
      </w:r>
      <w:r>
        <w:rPr>
          <w:rFonts w:hint="eastAsia" w:ascii="宋体" w:hAnsi="宋体" w:eastAsia="宋体" w:cs="宋体"/>
          <w:color w:val="auto"/>
          <w:spacing w:val="5"/>
          <w:sz w:val="24"/>
          <w:szCs w:val="24"/>
          <w:highlight w:val="none"/>
          <w:u w:val="single"/>
        </w:rPr>
        <w:t xml:space="preserve">     </w:t>
      </w:r>
      <w:r>
        <w:rPr>
          <w:rFonts w:hint="eastAsia" w:ascii="宋体" w:hAnsi="宋体" w:eastAsia="宋体" w:cs="宋体"/>
          <w:color w:val="auto"/>
          <w:spacing w:val="-138"/>
          <w:sz w:val="24"/>
          <w:szCs w:val="24"/>
          <w:highlight w:val="none"/>
        </w:rPr>
        <w:t xml:space="preserve"> </w:t>
      </w:r>
      <w:r>
        <w:rPr>
          <w:rFonts w:hint="eastAsia" w:ascii="宋体" w:hAnsi="宋体" w:eastAsia="宋体" w:cs="宋体"/>
          <w:color w:val="auto"/>
          <w:spacing w:val="7"/>
          <w:sz w:val="24"/>
          <w:szCs w:val="24"/>
          <w:highlight w:val="none"/>
        </w:rPr>
        <w:t>元。</w:t>
      </w:r>
    </w:p>
    <w:p w14:paraId="2A1A631F">
      <w:pPr>
        <w:spacing w:before="48" w:line="252" w:lineRule="auto"/>
        <w:ind w:left="1" w:firstLine="647"/>
        <w:jc w:val="both"/>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二、至投标文件提交当天，本公司无严重不良信用记录或存在曾作出虚假承诺的情形，且不属于韶关市建筑市场信用管理平</w:t>
      </w:r>
      <w:r>
        <w:rPr>
          <w:rFonts w:hint="eastAsia" w:ascii="宋体" w:hAnsi="宋体" w:eastAsia="宋体" w:cs="宋体"/>
          <w:color w:val="auto"/>
          <w:spacing w:val="14"/>
          <w:sz w:val="24"/>
          <w:szCs w:val="24"/>
          <w:highlight w:val="none"/>
        </w:rPr>
        <w:t xml:space="preserve"> </w:t>
      </w:r>
      <w:r>
        <w:rPr>
          <w:rFonts w:hint="eastAsia" w:ascii="宋体" w:hAnsi="宋体" w:eastAsia="宋体" w:cs="宋体"/>
          <w:color w:val="auto"/>
          <w:spacing w:val="5"/>
          <w:sz w:val="24"/>
          <w:szCs w:val="24"/>
          <w:highlight w:val="none"/>
        </w:rPr>
        <w:t>台公布的信用等级为</w:t>
      </w:r>
      <w:r>
        <w:rPr>
          <w:rFonts w:hint="eastAsia" w:ascii="宋体" w:hAnsi="宋体" w:eastAsia="宋体" w:cs="宋体"/>
          <w:color w:val="auto"/>
          <w:spacing w:val="-62"/>
          <w:sz w:val="24"/>
          <w:szCs w:val="24"/>
          <w:highlight w:val="none"/>
        </w:rPr>
        <w:t xml:space="preserve"> </w:t>
      </w:r>
      <w:r>
        <w:rPr>
          <w:rFonts w:hint="eastAsia" w:ascii="宋体" w:hAnsi="宋体" w:eastAsia="宋体" w:cs="宋体"/>
          <w:color w:val="auto"/>
          <w:spacing w:val="5"/>
          <w:sz w:val="24"/>
          <w:szCs w:val="24"/>
          <w:highlight w:val="none"/>
        </w:rPr>
        <w:t>B</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级、C</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级、D</w:t>
      </w:r>
      <w:r>
        <w:rPr>
          <w:rFonts w:hint="eastAsia" w:ascii="宋体" w:hAnsi="宋体" w:eastAsia="宋体" w:cs="宋体"/>
          <w:color w:val="auto"/>
          <w:spacing w:val="-57"/>
          <w:sz w:val="24"/>
          <w:szCs w:val="24"/>
          <w:highlight w:val="none"/>
        </w:rPr>
        <w:t xml:space="preserve"> </w:t>
      </w:r>
      <w:r>
        <w:rPr>
          <w:rFonts w:hint="eastAsia" w:ascii="宋体" w:hAnsi="宋体" w:eastAsia="宋体" w:cs="宋体"/>
          <w:color w:val="auto"/>
          <w:spacing w:val="5"/>
          <w:sz w:val="24"/>
          <w:szCs w:val="24"/>
          <w:highlight w:val="none"/>
        </w:rPr>
        <w:t>级的企业。</w:t>
      </w:r>
    </w:p>
    <w:p w14:paraId="77797558">
      <w:pPr>
        <w:spacing w:before="52" w:line="247" w:lineRule="auto"/>
        <w:ind w:left="6" w:right="2" w:firstLine="638"/>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本企业对以上承诺和声明负责。如有虚假，愿接受行政主管</w:t>
      </w:r>
      <w:r>
        <w:rPr>
          <w:rFonts w:hint="eastAsia" w:ascii="宋体" w:hAnsi="宋体" w:eastAsia="宋体" w:cs="宋体"/>
          <w:color w:val="auto"/>
          <w:spacing w:val="8"/>
          <w:sz w:val="24"/>
          <w:szCs w:val="24"/>
          <w:highlight w:val="none"/>
        </w:rPr>
        <w:t>部门作出的处罚，并承担以下后果：</w:t>
      </w:r>
    </w:p>
    <w:p w14:paraId="6FDADFEA">
      <w:pPr>
        <w:spacing w:before="48"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（一）取消本单位在本项目中的投标资格或中标资格；</w:t>
      </w:r>
    </w:p>
    <w:p w14:paraId="2E4988C1">
      <w:pPr>
        <w:spacing w:before="64"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（二）将本单位不良行为纳入信用信息管理系统；</w:t>
      </w:r>
    </w:p>
    <w:p w14:paraId="2BE0B852">
      <w:pPr>
        <w:spacing w:before="60" w:line="244" w:lineRule="auto"/>
        <w:ind w:left="41" w:right="2" w:firstLine="615"/>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（三）主动在产生不良行为所在的各县（市、区）行</w:t>
      </w:r>
      <w:r>
        <w:rPr>
          <w:rFonts w:hint="eastAsia" w:ascii="宋体" w:hAnsi="宋体" w:eastAsia="宋体" w:cs="宋体"/>
          <w:color w:val="auto"/>
          <w:spacing w:val="8"/>
          <w:sz w:val="24"/>
          <w:szCs w:val="24"/>
          <w:highlight w:val="none"/>
        </w:rPr>
        <w:t>政区域</w:t>
      </w:r>
      <w:r>
        <w:rPr>
          <w:rFonts w:hint="eastAsia" w:ascii="宋体" w:hAnsi="宋体" w:eastAsia="宋体" w:cs="宋体"/>
          <w:color w:val="auto"/>
          <w:spacing w:val="6"/>
          <w:sz w:val="24"/>
          <w:szCs w:val="24"/>
          <w:highlight w:val="none"/>
        </w:rPr>
        <w:t>内不参加房建市政工程项目的投标活动一年；</w:t>
      </w:r>
    </w:p>
    <w:p w14:paraId="2977FF7D">
      <w:pPr>
        <w:spacing w:before="63" w:line="225" w:lineRule="auto"/>
        <w:ind w:left="656"/>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（四）应付的赔偿责任和相应法律责任。</w:t>
      </w:r>
    </w:p>
    <w:p w14:paraId="6935A407">
      <w:pPr>
        <w:pStyle w:val="5"/>
        <w:spacing w:line="329" w:lineRule="auto"/>
        <w:rPr>
          <w:rFonts w:hint="eastAsia" w:ascii="宋体" w:hAnsi="宋体" w:eastAsia="宋体" w:cs="宋体"/>
          <w:color w:val="auto"/>
          <w:sz w:val="24"/>
          <w:szCs w:val="24"/>
          <w:highlight w:val="none"/>
        </w:rPr>
      </w:pPr>
    </w:p>
    <w:p w14:paraId="28791B82">
      <w:pPr>
        <w:spacing w:before="102" w:line="225" w:lineRule="auto"/>
        <w:ind w:left="845"/>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单位名称（公章</w:t>
      </w:r>
      <w:r>
        <w:rPr>
          <w:rFonts w:hint="eastAsia" w:ascii="宋体" w:hAnsi="宋体" w:eastAsia="宋体" w:cs="宋体"/>
          <w:color w:val="auto"/>
          <w:spacing w:val="1"/>
          <w:sz w:val="24"/>
          <w:szCs w:val="24"/>
          <w:highlight w:val="none"/>
        </w:rPr>
        <w:t>）：</w:t>
      </w:r>
    </w:p>
    <w:p w14:paraId="251FED33">
      <w:pPr>
        <w:pStyle w:val="5"/>
        <w:spacing w:line="457" w:lineRule="auto"/>
        <w:rPr>
          <w:rFonts w:hint="eastAsia" w:ascii="宋体" w:hAnsi="宋体" w:eastAsia="宋体" w:cs="宋体"/>
          <w:color w:val="auto"/>
          <w:sz w:val="24"/>
          <w:szCs w:val="24"/>
          <w:highlight w:val="none"/>
        </w:rPr>
      </w:pPr>
    </w:p>
    <w:p w14:paraId="74661644">
      <w:pPr>
        <w:spacing w:before="100" w:line="225" w:lineRule="auto"/>
        <w:ind w:left="850"/>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统一社会信用代码：</w:t>
      </w:r>
    </w:p>
    <w:p w14:paraId="433913F6">
      <w:pPr>
        <w:pStyle w:val="5"/>
        <w:spacing w:line="457" w:lineRule="auto"/>
        <w:rPr>
          <w:rFonts w:hint="eastAsia" w:ascii="宋体" w:hAnsi="宋体" w:eastAsia="宋体" w:cs="宋体"/>
          <w:color w:val="auto"/>
          <w:sz w:val="24"/>
          <w:szCs w:val="24"/>
          <w:highlight w:val="none"/>
        </w:rPr>
      </w:pPr>
    </w:p>
    <w:p w14:paraId="12B0B2E7">
      <w:pPr>
        <w:spacing w:before="102" w:line="543" w:lineRule="auto"/>
        <w:ind w:left="844" w:right="5000"/>
        <w:rPr>
          <w:rFonts w:hint="eastAsia" w:ascii="宋体" w:hAnsi="宋体" w:eastAsia="宋体" w:cs="宋体"/>
          <w:color w:val="auto"/>
          <w:spacing w:val="-29"/>
          <w:sz w:val="24"/>
          <w:szCs w:val="24"/>
          <w:highlight w:val="none"/>
        </w:rPr>
      </w:pPr>
      <w:r>
        <w:rPr>
          <w:rFonts w:hint="eastAsia" w:ascii="宋体" w:hAnsi="宋体" w:eastAsia="宋体" w:cs="宋体"/>
          <w:color w:val="auto"/>
          <w:spacing w:val="8"/>
          <w:sz w:val="24"/>
          <w:szCs w:val="24"/>
          <w:highlight w:val="none"/>
        </w:rPr>
        <w:t>法定代表人（签字</w:t>
      </w:r>
      <w:r>
        <w:rPr>
          <w:rFonts w:hint="eastAsia" w:ascii="宋体" w:hAnsi="宋体" w:eastAsia="宋体" w:cs="宋体"/>
          <w:color w:val="auto"/>
          <w:spacing w:val="-29"/>
          <w:sz w:val="24"/>
          <w:szCs w:val="24"/>
          <w:highlight w:val="none"/>
        </w:rPr>
        <w:t>）：</w:t>
      </w:r>
    </w:p>
    <w:p w14:paraId="4DA818FA">
      <w:pPr>
        <w:spacing w:before="102" w:line="543" w:lineRule="auto"/>
        <w:ind w:left="844" w:right="5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39"/>
          <w:sz w:val="24"/>
          <w:szCs w:val="24"/>
          <w:highlight w:val="none"/>
        </w:rPr>
        <w:t xml:space="preserve"> </w:t>
      </w:r>
      <w:r>
        <w:rPr>
          <w:rFonts w:hint="eastAsia" w:ascii="宋体" w:hAnsi="宋体" w:eastAsia="宋体" w:cs="宋体"/>
          <w:color w:val="auto"/>
          <w:spacing w:val="39"/>
          <w:sz w:val="24"/>
          <w:szCs w:val="24"/>
          <w:highlight w:val="none"/>
          <w:lang w:val="en-US" w:eastAsia="zh-CN"/>
        </w:rPr>
        <w:t xml:space="preserve">  </w:t>
      </w:r>
      <w:r>
        <w:rPr>
          <w:rFonts w:hint="eastAsia" w:ascii="宋体" w:hAnsi="宋体" w:eastAsia="宋体" w:cs="宋体"/>
          <w:color w:val="auto"/>
          <w:spacing w:val="-6"/>
          <w:sz w:val="24"/>
          <w:szCs w:val="24"/>
          <w:highlight w:val="none"/>
        </w:rPr>
        <w:t>日</w:t>
      </w:r>
    </w:p>
    <w:p w14:paraId="364BC4A7">
      <w:pPr>
        <w:pStyle w:val="13"/>
        <w:rPr>
          <w:rFonts w:hint="eastAsia" w:ascii="宋体" w:hAnsi="宋体" w:eastAsia="宋体" w:cs="宋体"/>
          <w:color w:val="auto"/>
          <w:highlight w:val="none"/>
        </w:rPr>
      </w:pPr>
    </w:p>
    <w:p w14:paraId="473A10BB">
      <w:pPr>
        <w:pStyle w:val="13"/>
        <w:rPr>
          <w:rFonts w:hint="eastAsia" w:ascii="宋体" w:hAnsi="宋体" w:eastAsia="宋体" w:cs="宋体"/>
          <w:color w:val="auto"/>
          <w:spacing w:val="8"/>
          <w:sz w:val="24"/>
          <w:szCs w:val="24"/>
          <w:highlight w:val="none"/>
          <w:lang w:eastAsia="zh-CN"/>
        </w:rPr>
        <w:sectPr>
          <w:footerReference r:id="rId24"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pPr>
    </w:p>
    <w:p w14:paraId="168C9B33">
      <w:pPr>
        <w:spacing w:before="78" w:line="220" w:lineRule="auto"/>
        <w:outlineLvl w:val="2"/>
        <w:rPr>
          <w:rFonts w:hint="eastAsia" w:ascii="宋体" w:hAnsi="宋体" w:eastAsia="宋体" w:cs="宋体"/>
          <w:b/>
          <w:bCs/>
          <w:color w:val="auto"/>
          <w:spacing w:val="-4"/>
          <w:sz w:val="24"/>
          <w:szCs w:val="24"/>
          <w:highlight w:val="none"/>
        </w:rPr>
      </w:pPr>
      <w:bookmarkStart w:id="272" w:name="_Toc9960"/>
      <w:r>
        <w:rPr>
          <w:rFonts w:hint="eastAsia" w:ascii="宋体" w:hAnsi="宋体" w:eastAsia="宋体" w:cs="宋体"/>
          <w:b/>
          <w:bCs/>
          <w:color w:val="auto"/>
          <w:spacing w:val="-4"/>
          <w:sz w:val="24"/>
          <w:szCs w:val="24"/>
          <w:highlight w:val="none"/>
        </w:rPr>
        <w:t>格式十</w:t>
      </w:r>
      <w:r>
        <w:rPr>
          <w:rFonts w:hint="eastAsia" w:ascii="宋体" w:hAnsi="宋体" w:eastAsia="宋体" w:cs="宋体"/>
          <w:b/>
          <w:bCs/>
          <w:color w:val="auto"/>
          <w:spacing w:val="-4"/>
          <w:sz w:val="24"/>
          <w:szCs w:val="24"/>
          <w:highlight w:val="none"/>
          <w:lang w:eastAsia="zh-CN"/>
        </w:rPr>
        <w:t>五</w:t>
      </w:r>
      <w:r>
        <w:rPr>
          <w:rFonts w:hint="eastAsia" w:ascii="宋体" w:hAnsi="宋体" w:eastAsia="宋体" w:cs="宋体"/>
          <w:b/>
          <w:bCs/>
          <w:color w:val="auto"/>
          <w:spacing w:val="-4"/>
          <w:sz w:val="24"/>
          <w:szCs w:val="24"/>
          <w:highlight w:val="none"/>
        </w:rPr>
        <w:t xml:space="preserve">  原件一览表</w:t>
      </w:r>
      <w:bookmarkEnd w:id="272"/>
    </w:p>
    <w:tbl>
      <w:tblPr>
        <w:tblStyle w:val="14"/>
        <w:tblW w:w="9440" w:type="dxa"/>
        <w:tblInd w:w="12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8"/>
        <w:gridCol w:w="1896"/>
        <w:gridCol w:w="1725"/>
        <w:gridCol w:w="964"/>
        <w:gridCol w:w="719"/>
        <w:gridCol w:w="780"/>
        <w:gridCol w:w="991"/>
        <w:gridCol w:w="1637"/>
      </w:tblGrid>
      <w:tr w14:paraId="096EF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9440" w:type="dxa"/>
            <w:gridSpan w:val="8"/>
            <w:vAlign w:val="top"/>
          </w:tcPr>
          <w:p w14:paraId="1C6E7B85">
            <w:pPr>
              <w:spacing w:before="132" w:line="220" w:lineRule="auto"/>
              <w:ind w:left="3965"/>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原件一览表</w:t>
            </w:r>
          </w:p>
        </w:tc>
      </w:tr>
      <w:tr w14:paraId="59C9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2624" w:type="dxa"/>
            <w:gridSpan w:val="2"/>
            <w:vAlign w:val="top"/>
          </w:tcPr>
          <w:p w14:paraId="295EBC76">
            <w:pPr>
              <w:pStyle w:val="21"/>
              <w:spacing w:line="253" w:lineRule="auto"/>
              <w:rPr>
                <w:rFonts w:hint="eastAsia" w:ascii="宋体" w:hAnsi="宋体" w:eastAsia="宋体" w:cs="宋体"/>
                <w:color w:val="auto"/>
                <w:sz w:val="24"/>
                <w:szCs w:val="24"/>
                <w:highlight w:val="none"/>
              </w:rPr>
            </w:pPr>
          </w:p>
          <w:p w14:paraId="47396859">
            <w:pPr>
              <w:spacing w:before="62"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工程名称</w:t>
            </w:r>
          </w:p>
        </w:tc>
        <w:tc>
          <w:tcPr>
            <w:tcW w:w="6816" w:type="dxa"/>
            <w:gridSpan w:val="6"/>
            <w:vAlign w:val="top"/>
          </w:tcPr>
          <w:p w14:paraId="7B225A4B">
            <w:pPr>
              <w:pStyle w:val="21"/>
              <w:rPr>
                <w:rFonts w:hint="eastAsia" w:ascii="宋体" w:hAnsi="宋体" w:eastAsia="宋体" w:cs="宋体"/>
                <w:color w:val="auto"/>
                <w:sz w:val="24"/>
                <w:szCs w:val="24"/>
                <w:highlight w:val="none"/>
              </w:rPr>
            </w:pPr>
          </w:p>
        </w:tc>
      </w:tr>
      <w:tr w14:paraId="7AE46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0" w:hRule="atLeast"/>
        </w:trPr>
        <w:tc>
          <w:tcPr>
            <w:tcW w:w="2624" w:type="dxa"/>
            <w:gridSpan w:val="2"/>
            <w:vAlign w:val="top"/>
          </w:tcPr>
          <w:p w14:paraId="4265B267">
            <w:pPr>
              <w:spacing w:before="150" w:line="230"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投标人名称</w:t>
            </w:r>
            <w:r>
              <w:rPr>
                <w:rFonts w:hint="eastAsia" w:ascii="宋体" w:hAnsi="宋体" w:eastAsia="宋体" w:cs="宋体"/>
                <w:color w:val="auto"/>
                <w:spacing w:val="5"/>
                <w:sz w:val="24"/>
                <w:szCs w:val="24"/>
                <w:highlight w:val="none"/>
              </w:rPr>
              <w:t>(请务必填写单位全称)</w:t>
            </w:r>
          </w:p>
        </w:tc>
        <w:tc>
          <w:tcPr>
            <w:tcW w:w="6816" w:type="dxa"/>
            <w:gridSpan w:val="6"/>
            <w:vAlign w:val="top"/>
          </w:tcPr>
          <w:p w14:paraId="461DE122">
            <w:pPr>
              <w:pStyle w:val="21"/>
              <w:rPr>
                <w:rFonts w:hint="eastAsia" w:ascii="宋体" w:hAnsi="宋体" w:eastAsia="宋体" w:cs="宋体"/>
                <w:color w:val="auto"/>
                <w:sz w:val="24"/>
                <w:szCs w:val="24"/>
                <w:highlight w:val="none"/>
              </w:rPr>
            </w:pPr>
          </w:p>
        </w:tc>
      </w:tr>
      <w:tr w14:paraId="36A18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2624" w:type="dxa"/>
            <w:gridSpan w:val="2"/>
            <w:vAlign w:val="top"/>
          </w:tcPr>
          <w:p w14:paraId="75E2154B">
            <w:pPr>
              <w:spacing w:before="151"/>
              <w:ind w:right="14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投标人法定代表人或其委托代理人签名</w:t>
            </w:r>
          </w:p>
        </w:tc>
        <w:tc>
          <w:tcPr>
            <w:tcW w:w="2689" w:type="dxa"/>
            <w:gridSpan w:val="2"/>
            <w:vAlign w:val="top"/>
          </w:tcPr>
          <w:p w14:paraId="578C1669">
            <w:pPr>
              <w:pStyle w:val="21"/>
              <w:rPr>
                <w:rFonts w:hint="eastAsia" w:ascii="宋体" w:hAnsi="宋体" w:eastAsia="宋体" w:cs="宋体"/>
                <w:color w:val="auto"/>
                <w:sz w:val="24"/>
                <w:szCs w:val="24"/>
                <w:highlight w:val="none"/>
              </w:rPr>
            </w:pPr>
          </w:p>
        </w:tc>
        <w:tc>
          <w:tcPr>
            <w:tcW w:w="1499" w:type="dxa"/>
            <w:gridSpan w:val="2"/>
            <w:vAlign w:val="top"/>
          </w:tcPr>
          <w:p w14:paraId="01659EE4">
            <w:pPr>
              <w:spacing w:before="151" w:line="312" w:lineRule="auto"/>
              <w:ind w:right="17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手机</w:t>
            </w:r>
            <w:r>
              <w:rPr>
                <w:rFonts w:hint="eastAsia" w:ascii="宋体" w:hAnsi="宋体" w:eastAsia="宋体" w:cs="宋体"/>
                <w:color w:val="auto"/>
                <w:spacing w:val="2"/>
                <w:sz w:val="24"/>
                <w:szCs w:val="24"/>
                <w:highlight w:val="none"/>
              </w:rPr>
              <w:t>号码</w:t>
            </w:r>
          </w:p>
        </w:tc>
        <w:tc>
          <w:tcPr>
            <w:tcW w:w="2628" w:type="dxa"/>
            <w:gridSpan w:val="2"/>
            <w:vAlign w:val="top"/>
          </w:tcPr>
          <w:p w14:paraId="128A2057">
            <w:pPr>
              <w:pStyle w:val="21"/>
              <w:rPr>
                <w:rFonts w:hint="eastAsia" w:ascii="宋体" w:hAnsi="宋体" w:eastAsia="宋体" w:cs="宋体"/>
                <w:color w:val="auto"/>
                <w:sz w:val="24"/>
                <w:szCs w:val="24"/>
                <w:highlight w:val="none"/>
              </w:rPr>
            </w:pPr>
          </w:p>
        </w:tc>
      </w:tr>
      <w:tr w14:paraId="65111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9440" w:type="dxa"/>
            <w:gridSpan w:val="8"/>
            <w:vAlign w:val="top"/>
          </w:tcPr>
          <w:p w14:paraId="166D45BA">
            <w:pPr>
              <w:spacing w:before="62" w:line="228" w:lineRule="auto"/>
              <w:ind w:left="3361"/>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递交的证明材料原件如下：</w:t>
            </w:r>
          </w:p>
        </w:tc>
      </w:tr>
      <w:tr w14:paraId="6A6F27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28" w:type="dxa"/>
            <w:vAlign w:val="top"/>
          </w:tcPr>
          <w:p w14:paraId="07314B8A">
            <w:pPr>
              <w:pStyle w:val="21"/>
              <w:spacing w:line="257" w:lineRule="auto"/>
              <w:rPr>
                <w:rFonts w:hint="eastAsia" w:ascii="宋体" w:hAnsi="宋体" w:eastAsia="宋体" w:cs="宋体"/>
                <w:color w:val="auto"/>
                <w:sz w:val="24"/>
                <w:szCs w:val="24"/>
                <w:highlight w:val="none"/>
              </w:rPr>
            </w:pPr>
          </w:p>
          <w:p w14:paraId="5581F312">
            <w:pPr>
              <w:spacing w:before="62" w:line="230" w:lineRule="auto"/>
              <w:ind w:left="155"/>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序号</w:t>
            </w:r>
          </w:p>
        </w:tc>
        <w:tc>
          <w:tcPr>
            <w:tcW w:w="5304" w:type="dxa"/>
            <w:gridSpan w:val="4"/>
            <w:vAlign w:val="top"/>
          </w:tcPr>
          <w:p w14:paraId="6E8FCB44">
            <w:pPr>
              <w:pStyle w:val="21"/>
              <w:spacing w:line="257" w:lineRule="auto"/>
              <w:rPr>
                <w:rFonts w:hint="eastAsia" w:ascii="宋体" w:hAnsi="宋体" w:eastAsia="宋体" w:cs="宋体"/>
                <w:color w:val="auto"/>
                <w:sz w:val="24"/>
                <w:szCs w:val="24"/>
                <w:highlight w:val="none"/>
              </w:rPr>
            </w:pPr>
          </w:p>
          <w:p w14:paraId="5B666611">
            <w:pPr>
              <w:spacing w:before="61" w:line="228" w:lineRule="auto"/>
              <w:ind w:left="1765"/>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证明材料原件名称</w:t>
            </w:r>
          </w:p>
        </w:tc>
        <w:tc>
          <w:tcPr>
            <w:tcW w:w="1771" w:type="dxa"/>
            <w:gridSpan w:val="2"/>
            <w:vAlign w:val="top"/>
          </w:tcPr>
          <w:p w14:paraId="7C34E44A">
            <w:pPr>
              <w:pStyle w:val="21"/>
              <w:spacing w:line="256" w:lineRule="auto"/>
              <w:rPr>
                <w:rFonts w:hint="eastAsia" w:ascii="宋体" w:hAnsi="宋体" w:eastAsia="宋体" w:cs="宋体"/>
                <w:color w:val="auto"/>
                <w:sz w:val="24"/>
                <w:szCs w:val="24"/>
                <w:highlight w:val="none"/>
              </w:rPr>
            </w:pPr>
          </w:p>
          <w:p w14:paraId="7FF59202">
            <w:pPr>
              <w:spacing w:before="62" w:line="230" w:lineRule="auto"/>
              <w:ind w:left="664"/>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单位</w:t>
            </w:r>
          </w:p>
        </w:tc>
        <w:tc>
          <w:tcPr>
            <w:tcW w:w="1637" w:type="dxa"/>
            <w:vAlign w:val="top"/>
          </w:tcPr>
          <w:p w14:paraId="73A683D8">
            <w:pPr>
              <w:pStyle w:val="21"/>
              <w:spacing w:line="256" w:lineRule="auto"/>
              <w:rPr>
                <w:rFonts w:hint="eastAsia" w:ascii="宋体" w:hAnsi="宋体" w:eastAsia="宋体" w:cs="宋体"/>
                <w:color w:val="auto"/>
                <w:sz w:val="24"/>
                <w:szCs w:val="24"/>
                <w:highlight w:val="none"/>
              </w:rPr>
            </w:pPr>
          </w:p>
          <w:p w14:paraId="66B6886C">
            <w:pPr>
              <w:spacing w:before="62" w:line="229" w:lineRule="auto"/>
              <w:ind w:left="592"/>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数量</w:t>
            </w:r>
          </w:p>
        </w:tc>
      </w:tr>
      <w:tr w14:paraId="45F8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7911FA08">
            <w:pPr>
              <w:spacing w:before="287" w:line="184" w:lineRule="auto"/>
              <w:ind w:left="3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304" w:type="dxa"/>
            <w:gridSpan w:val="4"/>
            <w:vAlign w:val="top"/>
          </w:tcPr>
          <w:p w14:paraId="39E65176">
            <w:pPr>
              <w:pStyle w:val="21"/>
              <w:rPr>
                <w:rFonts w:hint="eastAsia" w:ascii="宋体" w:hAnsi="宋体" w:eastAsia="宋体" w:cs="宋体"/>
                <w:color w:val="auto"/>
                <w:sz w:val="24"/>
                <w:szCs w:val="24"/>
                <w:highlight w:val="none"/>
              </w:rPr>
            </w:pPr>
          </w:p>
        </w:tc>
        <w:tc>
          <w:tcPr>
            <w:tcW w:w="1771" w:type="dxa"/>
            <w:gridSpan w:val="2"/>
            <w:vAlign w:val="top"/>
          </w:tcPr>
          <w:p w14:paraId="7168FCC1">
            <w:pPr>
              <w:pStyle w:val="21"/>
              <w:rPr>
                <w:rFonts w:hint="eastAsia" w:ascii="宋体" w:hAnsi="宋体" w:eastAsia="宋体" w:cs="宋体"/>
                <w:color w:val="auto"/>
                <w:sz w:val="24"/>
                <w:szCs w:val="24"/>
                <w:highlight w:val="none"/>
              </w:rPr>
            </w:pPr>
          </w:p>
        </w:tc>
        <w:tc>
          <w:tcPr>
            <w:tcW w:w="1637" w:type="dxa"/>
            <w:vAlign w:val="top"/>
          </w:tcPr>
          <w:p w14:paraId="0A86B06F">
            <w:pPr>
              <w:pStyle w:val="21"/>
              <w:rPr>
                <w:rFonts w:hint="eastAsia" w:ascii="宋体" w:hAnsi="宋体" w:eastAsia="宋体" w:cs="宋体"/>
                <w:color w:val="auto"/>
                <w:sz w:val="24"/>
                <w:szCs w:val="24"/>
                <w:highlight w:val="none"/>
              </w:rPr>
            </w:pPr>
          </w:p>
        </w:tc>
      </w:tr>
      <w:tr w14:paraId="5A16A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0BE3C710">
            <w:pPr>
              <w:spacing w:before="288" w:line="183" w:lineRule="auto"/>
              <w:ind w:left="3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304" w:type="dxa"/>
            <w:gridSpan w:val="4"/>
            <w:vAlign w:val="top"/>
          </w:tcPr>
          <w:p w14:paraId="04A8B72A">
            <w:pPr>
              <w:pStyle w:val="21"/>
              <w:rPr>
                <w:rFonts w:hint="eastAsia" w:ascii="宋体" w:hAnsi="宋体" w:eastAsia="宋体" w:cs="宋体"/>
                <w:color w:val="auto"/>
                <w:sz w:val="24"/>
                <w:szCs w:val="24"/>
                <w:highlight w:val="none"/>
              </w:rPr>
            </w:pPr>
          </w:p>
        </w:tc>
        <w:tc>
          <w:tcPr>
            <w:tcW w:w="1771" w:type="dxa"/>
            <w:gridSpan w:val="2"/>
            <w:vAlign w:val="top"/>
          </w:tcPr>
          <w:p w14:paraId="7BD1D335">
            <w:pPr>
              <w:pStyle w:val="21"/>
              <w:rPr>
                <w:rFonts w:hint="eastAsia" w:ascii="宋体" w:hAnsi="宋体" w:eastAsia="宋体" w:cs="宋体"/>
                <w:color w:val="auto"/>
                <w:sz w:val="24"/>
                <w:szCs w:val="24"/>
                <w:highlight w:val="none"/>
              </w:rPr>
            </w:pPr>
          </w:p>
        </w:tc>
        <w:tc>
          <w:tcPr>
            <w:tcW w:w="1637" w:type="dxa"/>
            <w:vAlign w:val="top"/>
          </w:tcPr>
          <w:p w14:paraId="74734796">
            <w:pPr>
              <w:pStyle w:val="21"/>
              <w:rPr>
                <w:rFonts w:hint="eastAsia" w:ascii="宋体" w:hAnsi="宋体" w:eastAsia="宋体" w:cs="宋体"/>
                <w:color w:val="auto"/>
                <w:sz w:val="24"/>
                <w:szCs w:val="24"/>
                <w:highlight w:val="none"/>
              </w:rPr>
            </w:pPr>
          </w:p>
        </w:tc>
      </w:tr>
      <w:tr w14:paraId="621D61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6F346157">
            <w:pPr>
              <w:spacing w:before="287" w:line="183" w:lineRule="auto"/>
              <w:ind w:left="3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304" w:type="dxa"/>
            <w:gridSpan w:val="4"/>
            <w:vAlign w:val="top"/>
          </w:tcPr>
          <w:p w14:paraId="6D49235F">
            <w:pPr>
              <w:pStyle w:val="21"/>
              <w:rPr>
                <w:rFonts w:hint="eastAsia" w:ascii="宋体" w:hAnsi="宋体" w:eastAsia="宋体" w:cs="宋体"/>
                <w:color w:val="auto"/>
                <w:sz w:val="24"/>
                <w:szCs w:val="24"/>
                <w:highlight w:val="none"/>
              </w:rPr>
            </w:pPr>
          </w:p>
        </w:tc>
        <w:tc>
          <w:tcPr>
            <w:tcW w:w="1771" w:type="dxa"/>
            <w:gridSpan w:val="2"/>
            <w:vAlign w:val="top"/>
          </w:tcPr>
          <w:p w14:paraId="02FF66A5">
            <w:pPr>
              <w:pStyle w:val="21"/>
              <w:rPr>
                <w:rFonts w:hint="eastAsia" w:ascii="宋体" w:hAnsi="宋体" w:eastAsia="宋体" w:cs="宋体"/>
                <w:color w:val="auto"/>
                <w:sz w:val="24"/>
                <w:szCs w:val="24"/>
                <w:highlight w:val="none"/>
              </w:rPr>
            </w:pPr>
          </w:p>
        </w:tc>
        <w:tc>
          <w:tcPr>
            <w:tcW w:w="1637" w:type="dxa"/>
            <w:vAlign w:val="top"/>
          </w:tcPr>
          <w:p w14:paraId="177B8CBE">
            <w:pPr>
              <w:pStyle w:val="21"/>
              <w:rPr>
                <w:rFonts w:hint="eastAsia" w:ascii="宋体" w:hAnsi="宋体" w:eastAsia="宋体" w:cs="宋体"/>
                <w:color w:val="auto"/>
                <w:sz w:val="24"/>
                <w:szCs w:val="24"/>
                <w:highlight w:val="none"/>
              </w:rPr>
            </w:pPr>
          </w:p>
        </w:tc>
      </w:tr>
      <w:tr w14:paraId="793EC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28" w:type="dxa"/>
            <w:vAlign w:val="top"/>
          </w:tcPr>
          <w:p w14:paraId="5B061D3A">
            <w:pPr>
              <w:pStyle w:val="21"/>
              <w:spacing w:line="348" w:lineRule="auto"/>
              <w:rPr>
                <w:rFonts w:hint="eastAsia" w:ascii="宋体" w:hAnsi="宋体" w:eastAsia="宋体" w:cs="宋体"/>
                <w:color w:val="auto"/>
                <w:sz w:val="24"/>
                <w:szCs w:val="24"/>
                <w:highlight w:val="none"/>
              </w:rPr>
            </w:pPr>
          </w:p>
          <w:p w14:paraId="02E200D6">
            <w:pPr>
              <w:spacing w:before="78" w:line="99" w:lineRule="exact"/>
              <w:ind w:left="186"/>
              <w:rPr>
                <w:rFonts w:hint="eastAsia"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5304" w:type="dxa"/>
            <w:gridSpan w:val="4"/>
            <w:vAlign w:val="top"/>
          </w:tcPr>
          <w:p w14:paraId="536D7121">
            <w:pPr>
              <w:pStyle w:val="21"/>
              <w:rPr>
                <w:rFonts w:hint="eastAsia" w:ascii="宋体" w:hAnsi="宋体" w:eastAsia="宋体" w:cs="宋体"/>
                <w:color w:val="auto"/>
                <w:sz w:val="24"/>
                <w:szCs w:val="24"/>
                <w:highlight w:val="none"/>
              </w:rPr>
            </w:pPr>
          </w:p>
        </w:tc>
        <w:tc>
          <w:tcPr>
            <w:tcW w:w="1771" w:type="dxa"/>
            <w:gridSpan w:val="2"/>
            <w:vAlign w:val="top"/>
          </w:tcPr>
          <w:p w14:paraId="0DCF009C">
            <w:pPr>
              <w:pStyle w:val="21"/>
              <w:rPr>
                <w:rFonts w:hint="eastAsia" w:ascii="宋体" w:hAnsi="宋体" w:eastAsia="宋体" w:cs="宋体"/>
                <w:color w:val="auto"/>
                <w:sz w:val="24"/>
                <w:szCs w:val="24"/>
                <w:highlight w:val="none"/>
              </w:rPr>
            </w:pPr>
          </w:p>
        </w:tc>
        <w:tc>
          <w:tcPr>
            <w:tcW w:w="1637" w:type="dxa"/>
            <w:vAlign w:val="top"/>
          </w:tcPr>
          <w:p w14:paraId="685D7DF6">
            <w:pPr>
              <w:pStyle w:val="21"/>
              <w:rPr>
                <w:rFonts w:hint="eastAsia" w:ascii="宋体" w:hAnsi="宋体" w:eastAsia="宋体" w:cs="宋体"/>
                <w:color w:val="auto"/>
                <w:sz w:val="24"/>
                <w:szCs w:val="24"/>
                <w:highlight w:val="none"/>
              </w:rPr>
            </w:pPr>
          </w:p>
        </w:tc>
      </w:tr>
      <w:tr w14:paraId="324E4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7" w:hRule="atLeast"/>
        </w:trPr>
        <w:tc>
          <w:tcPr>
            <w:tcW w:w="728" w:type="dxa"/>
            <w:vAlign w:val="top"/>
          </w:tcPr>
          <w:p w14:paraId="04F8D1F1">
            <w:pPr>
              <w:pStyle w:val="21"/>
              <w:spacing w:line="274" w:lineRule="auto"/>
              <w:rPr>
                <w:rFonts w:hint="eastAsia" w:ascii="宋体" w:hAnsi="宋体" w:eastAsia="宋体" w:cs="宋体"/>
                <w:color w:val="auto"/>
                <w:sz w:val="24"/>
                <w:szCs w:val="24"/>
                <w:highlight w:val="none"/>
              </w:rPr>
            </w:pPr>
          </w:p>
          <w:p w14:paraId="7C7AA007">
            <w:pPr>
              <w:pStyle w:val="21"/>
              <w:spacing w:line="275" w:lineRule="auto"/>
              <w:rPr>
                <w:rFonts w:hint="eastAsia" w:ascii="宋体" w:hAnsi="宋体" w:eastAsia="宋体" w:cs="宋体"/>
                <w:color w:val="auto"/>
                <w:sz w:val="24"/>
                <w:szCs w:val="24"/>
                <w:highlight w:val="none"/>
              </w:rPr>
            </w:pPr>
          </w:p>
          <w:p w14:paraId="25B22B5E">
            <w:pPr>
              <w:pStyle w:val="21"/>
              <w:spacing w:line="275" w:lineRule="auto"/>
              <w:rPr>
                <w:rFonts w:hint="eastAsia" w:ascii="宋体" w:hAnsi="宋体" w:eastAsia="宋体" w:cs="宋体"/>
                <w:color w:val="auto"/>
                <w:sz w:val="24"/>
                <w:szCs w:val="24"/>
                <w:highlight w:val="none"/>
              </w:rPr>
            </w:pPr>
          </w:p>
          <w:p w14:paraId="78D89547">
            <w:pPr>
              <w:spacing w:before="62" w:line="233" w:lineRule="auto"/>
              <w:ind w:left="29"/>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注意：</w:t>
            </w:r>
          </w:p>
        </w:tc>
        <w:tc>
          <w:tcPr>
            <w:tcW w:w="8712" w:type="dxa"/>
            <w:gridSpan w:val="7"/>
            <w:vAlign w:val="top"/>
          </w:tcPr>
          <w:p w14:paraId="18C3922D">
            <w:pPr>
              <w:spacing w:before="148"/>
              <w:ind w:left="111" w:right="107" w:firstLine="48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该表一式两份，两份表格投标人均需如实填写各项内容，两份表格的填写内容应一致。一</w:t>
            </w:r>
            <w:r>
              <w:rPr>
                <w:rFonts w:hint="eastAsia" w:ascii="宋体" w:hAnsi="宋体" w:eastAsia="宋体" w:cs="宋体"/>
                <w:color w:val="auto"/>
                <w:spacing w:val="9"/>
                <w:sz w:val="24"/>
                <w:szCs w:val="24"/>
                <w:highlight w:val="none"/>
              </w:rPr>
              <w:t>份贴于装纳原件的文件袋（箱</w:t>
            </w:r>
            <w:r>
              <w:rPr>
                <w:rFonts w:hint="eastAsia" w:ascii="宋体" w:hAnsi="宋体" w:eastAsia="宋体" w:cs="宋体"/>
                <w:color w:val="auto"/>
                <w:spacing w:val="20"/>
                <w:sz w:val="24"/>
                <w:szCs w:val="24"/>
                <w:highlight w:val="none"/>
              </w:rPr>
              <w:t>），</w:t>
            </w:r>
            <w:r>
              <w:rPr>
                <w:rFonts w:hint="eastAsia" w:ascii="宋体" w:hAnsi="宋体" w:eastAsia="宋体" w:cs="宋体"/>
                <w:color w:val="auto"/>
                <w:spacing w:val="9"/>
                <w:sz w:val="24"/>
                <w:szCs w:val="24"/>
                <w:highlight w:val="none"/>
              </w:rPr>
              <w:t>一份在递交文件袋（箱）时由招标代理机构、投标人签字后交招标代理机构。招标代理机构仅代签收装纳原件的文件袋（箱</w:t>
            </w:r>
            <w:r>
              <w:rPr>
                <w:rFonts w:hint="eastAsia" w:ascii="宋体" w:hAnsi="宋体" w:eastAsia="宋体" w:cs="宋体"/>
                <w:color w:val="auto"/>
                <w:spacing w:val="19"/>
                <w:sz w:val="24"/>
                <w:szCs w:val="24"/>
                <w:highlight w:val="none"/>
              </w:rPr>
              <w:t>），</w:t>
            </w:r>
            <w:r>
              <w:rPr>
                <w:rFonts w:hint="eastAsia" w:ascii="宋体" w:hAnsi="宋体" w:eastAsia="宋体" w:cs="宋体"/>
                <w:color w:val="auto"/>
                <w:spacing w:val="9"/>
                <w:sz w:val="24"/>
                <w:szCs w:val="24"/>
                <w:highlight w:val="none"/>
              </w:rPr>
              <w:t>而不对文件袋（箱）中资</w:t>
            </w:r>
            <w:r>
              <w:rPr>
                <w:rFonts w:hint="eastAsia" w:ascii="宋体" w:hAnsi="宋体" w:eastAsia="宋体" w:cs="宋体"/>
                <w:color w:val="auto"/>
                <w:spacing w:val="5"/>
                <w:sz w:val="24"/>
                <w:szCs w:val="24"/>
                <w:highlight w:val="none"/>
              </w:rPr>
              <w:t>料的数量、</w:t>
            </w:r>
            <w:r>
              <w:rPr>
                <w:rFonts w:hint="eastAsia" w:ascii="宋体" w:hAnsi="宋体" w:eastAsia="宋体" w:cs="宋体"/>
                <w:color w:val="auto"/>
                <w:spacing w:val="-45"/>
                <w:sz w:val="24"/>
                <w:szCs w:val="24"/>
                <w:highlight w:val="none"/>
              </w:rPr>
              <w:t xml:space="preserve"> </w:t>
            </w:r>
            <w:r>
              <w:rPr>
                <w:rFonts w:hint="eastAsia" w:ascii="宋体" w:hAnsi="宋体" w:eastAsia="宋体" w:cs="宋体"/>
                <w:color w:val="auto"/>
                <w:spacing w:val="5"/>
                <w:sz w:val="24"/>
                <w:szCs w:val="24"/>
                <w:highlight w:val="none"/>
              </w:rPr>
              <w:t>内容及真实性负责。</w:t>
            </w:r>
          </w:p>
        </w:tc>
      </w:tr>
      <w:tr w14:paraId="5BABE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trPr>
        <w:tc>
          <w:tcPr>
            <w:tcW w:w="2624" w:type="dxa"/>
            <w:gridSpan w:val="2"/>
            <w:vAlign w:val="top"/>
          </w:tcPr>
          <w:p w14:paraId="1D2BB987">
            <w:pPr>
              <w:pStyle w:val="21"/>
              <w:spacing w:line="240" w:lineRule="auto"/>
              <w:rPr>
                <w:rFonts w:hint="eastAsia" w:ascii="宋体" w:hAnsi="宋体" w:eastAsia="宋体" w:cs="宋体"/>
                <w:color w:val="auto"/>
                <w:sz w:val="24"/>
                <w:szCs w:val="24"/>
                <w:highlight w:val="none"/>
              </w:rPr>
            </w:pPr>
          </w:p>
          <w:p w14:paraId="14A5F96A">
            <w:pPr>
              <w:spacing w:before="61" w:line="240" w:lineRule="auto"/>
              <w:ind w:left="760" w:right="153" w:hanging="600"/>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接收原件经办人</w:t>
            </w:r>
          </w:p>
          <w:p w14:paraId="4E9EC2D8">
            <w:pPr>
              <w:spacing w:before="61" w:line="240" w:lineRule="auto"/>
              <w:ind w:left="760" w:right="153" w:hanging="600"/>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(招标</w:t>
            </w:r>
            <w:r>
              <w:rPr>
                <w:rFonts w:hint="eastAsia" w:ascii="宋体" w:hAnsi="宋体" w:eastAsia="宋体" w:cs="宋体"/>
                <w:color w:val="auto"/>
                <w:spacing w:val="3"/>
                <w:sz w:val="24"/>
                <w:szCs w:val="24"/>
                <w:highlight w:val="none"/>
              </w:rPr>
              <w:t>代理)：</w:t>
            </w:r>
          </w:p>
        </w:tc>
        <w:tc>
          <w:tcPr>
            <w:tcW w:w="1725" w:type="dxa"/>
            <w:vAlign w:val="top"/>
          </w:tcPr>
          <w:p w14:paraId="30D94A7C">
            <w:pPr>
              <w:pStyle w:val="21"/>
              <w:rPr>
                <w:rFonts w:hint="eastAsia" w:ascii="宋体" w:hAnsi="宋体" w:eastAsia="宋体" w:cs="宋体"/>
                <w:color w:val="auto"/>
                <w:sz w:val="24"/>
                <w:szCs w:val="24"/>
                <w:highlight w:val="none"/>
              </w:rPr>
            </w:pPr>
          </w:p>
        </w:tc>
        <w:tc>
          <w:tcPr>
            <w:tcW w:w="1683" w:type="dxa"/>
            <w:gridSpan w:val="2"/>
            <w:vAlign w:val="top"/>
          </w:tcPr>
          <w:p w14:paraId="76A44D1C">
            <w:pPr>
              <w:pStyle w:val="21"/>
              <w:spacing w:line="288" w:lineRule="auto"/>
              <w:rPr>
                <w:rFonts w:hint="eastAsia" w:ascii="宋体" w:hAnsi="宋体" w:eastAsia="宋体" w:cs="宋体"/>
                <w:color w:val="auto"/>
                <w:sz w:val="24"/>
                <w:szCs w:val="24"/>
                <w:highlight w:val="none"/>
              </w:rPr>
            </w:pPr>
          </w:p>
          <w:p w14:paraId="5BD3A69A">
            <w:pPr>
              <w:pStyle w:val="21"/>
              <w:spacing w:line="289" w:lineRule="auto"/>
              <w:rPr>
                <w:rFonts w:hint="eastAsia" w:ascii="宋体" w:hAnsi="宋体" w:eastAsia="宋体" w:cs="宋体"/>
                <w:color w:val="auto"/>
                <w:sz w:val="24"/>
                <w:szCs w:val="24"/>
                <w:highlight w:val="none"/>
              </w:rPr>
            </w:pPr>
          </w:p>
          <w:p w14:paraId="42A3A6F8">
            <w:pPr>
              <w:spacing w:before="62" w:line="229" w:lineRule="auto"/>
              <w:ind w:left="315"/>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接收时间：</w:t>
            </w:r>
          </w:p>
        </w:tc>
        <w:tc>
          <w:tcPr>
            <w:tcW w:w="3408" w:type="dxa"/>
            <w:gridSpan w:val="3"/>
            <w:vAlign w:val="top"/>
          </w:tcPr>
          <w:p w14:paraId="0C366FD6">
            <w:pPr>
              <w:pStyle w:val="21"/>
              <w:spacing w:line="288" w:lineRule="auto"/>
              <w:rPr>
                <w:rFonts w:hint="eastAsia" w:ascii="宋体" w:hAnsi="宋体" w:eastAsia="宋体" w:cs="宋体"/>
                <w:color w:val="auto"/>
                <w:sz w:val="24"/>
                <w:szCs w:val="24"/>
                <w:highlight w:val="none"/>
              </w:rPr>
            </w:pPr>
          </w:p>
          <w:p w14:paraId="7E762E7A">
            <w:pPr>
              <w:pStyle w:val="21"/>
              <w:spacing w:line="289" w:lineRule="auto"/>
              <w:rPr>
                <w:rFonts w:hint="eastAsia" w:ascii="宋体" w:hAnsi="宋体" w:eastAsia="宋体" w:cs="宋体"/>
                <w:color w:val="auto"/>
                <w:sz w:val="24"/>
                <w:szCs w:val="24"/>
                <w:highlight w:val="none"/>
              </w:rPr>
            </w:pPr>
          </w:p>
          <w:p w14:paraId="77DFBA6D">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2"/>
                <w:sz w:val="24"/>
                <w:szCs w:val="24"/>
                <w:highlight w:val="none"/>
              </w:rPr>
              <w:t xml:space="preserve">  </w:t>
            </w:r>
            <w:r>
              <w:rPr>
                <w:rFonts w:hint="eastAsia" w:ascii="宋体" w:hAnsi="宋体" w:eastAsia="宋体" w:cs="宋体"/>
                <w:color w:val="auto"/>
                <w:spacing w:val="-9"/>
                <w:sz w:val="24"/>
                <w:szCs w:val="24"/>
                <w:highlight w:val="none"/>
              </w:rPr>
              <w:t>分</w:t>
            </w:r>
          </w:p>
        </w:tc>
      </w:tr>
      <w:tr w14:paraId="05C4B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4" w:hRule="atLeast"/>
        </w:trPr>
        <w:tc>
          <w:tcPr>
            <w:tcW w:w="2624" w:type="dxa"/>
            <w:gridSpan w:val="2"/>
            <w:vAlign w:val="top"/>
          </w:tcPr>
          <w:p w14:paraId="75D870FC">
            <w:pPr>
              <w:spacing w:before="155" w:line="240" w:lineRule="auto"/>
              <w:ind w:left="861" w:right="153" w:hanging="699"/>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退还原件接收人</w:t>
            </w:r>
          </w:p>
          <w:p w14:paraId="19E3EA06">
            <w:pPr>
              <w:spacing w:before="155" w:line="240" w:lineRule="auto"/>
              <w:ind w:left="861" w:right="153" w:hanging="69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(投标</w:t>
            </w:r>
            <w:r>
              <w:rPr>
                <w:rFonts w:hint="eastAsia" w:ascii="宋体" w:hAnsi="宋体" w:eastAsia="宋体" w:cs="宋体"/>
                <w:color w:val="auto"/>
                <w:spacing w:val="2"/>
                <w:sz w:val="24"/>
                <w:szCs w:val="24"/>
                <w:highlight w:val="none"/>
              </w:rPr>
              <w:t>人)：</w:t>
            </w:r>
          </w:p>
        </w:tc>
        <w:tc>
          <w:tcPr>
            <w:tcW w:w="1725" w:type="dxa"/>
            <w:vAlign w:val="top"/>
          </w:tcPr>
          <w:p w14:paraId="2FBC4ECD">
            <w:pPr>
              <w:pStyle w:val="21"/>
              <w:rPr>
                <w:rFonts w:hint="eastAsia" w:ascii="宋体" w:hAnsi="宋体" w:eastAsia="宋体" w:cs="宋体"/>
                <w:color w:val="auto"/>
                <w:sz w:val="24"/>
                <w:szCs w:val="24"/>
                <w:highlight w:val="none"/>
              </w:rPr>
            </w:pPr>
          </w:p>
        </w:tc>
        <w:tc>
          <w:tcPr>
            <w:tcW w:w="1683" w:type="dxa"/>
            <w:gridSpan w:val="2"/>
            <w:vAlign w:val="top"/>
          </w:tcPr>
          <w:p w14:paraId="0B4C8580">
            <w:pPr>
              <w:pStyle w:val="21"/>
              <w:spacing w:line="336" w:lineRule="auto"/>
              <w:rPr>
                <w:rFonts w:hint="eastAsia" w:ascii="宋体" w:hAnsi="宋体" w:eastAsia="宋体" w:cs="宋体"/>
                <w:color w:val="auto"/>
                <w:sz w:val="24"/>
                <w:szCs w:val="24"/>
                <w:highlight w:val="none"/>
              </w:rPr>
            </w:pPr>
          </w:p>
          <w:p w14:paraId="3906D1A1">
            <w:pPr>
              <w:spacing w:before="61" w:line="231" w:lineRule="auto"/>
              <w:ind w:left="317"/>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退还时间：</w:t>
            </w:r>
          </w:p>
        </w:tc>
        <w:tc>
          <w:tcPr>
            <w:tcW w:w="3408" w:type="dxa"/>
            <w:gridSpan w:val="3"/>
            <w:vAlign w:val="top"/>
          </w:tcPr>
          <w:p w14:paraId="36714926">
            <w:pPr>
              <w:pStyle w:val="21"/>
              <w:spacing w:line="335" w:lineRule="auto"/>
              <w:rPr>
                <w:rFonts w:hint="eastAsia" w:ascii="宋体" w:hAnsi="宋体" w:eastAsia="宋体" w:cs="宋体"/>
                <w:color w:val="auto"/>
                <w:sz w:val="24"/>
                <w:szCs w:val="24"/>
                <w:highlight w:val="none"/>
              </w:rPr>
            </w:pPr>
          </w:p>
          <w:p w14:paraId="2538A7C2">
            <w:pPr>
              <w:spacing w:before="62" w:line="229" w:lineRule="auto"/>
              <w:ind w:firstLine="444"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年</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月</w:t>
            </w:r>
            <w:r>
              <w:rPr>
                <w:rFonts w:hint="eastAsia" w:ascii="宋体" w:hAnsi="宋体" w:eastAsia="宋体" w:cs="宋体"/>
                <w:color w:val="auto"/>
                <w:spacing w:val="19"/>
                <w:sz w:val="24"/>
                <w:szCs w:val="24"/>
                <w:highlight w:val="none"/>
              </w:rPr>
              <w:t xml:space="preserve">   </w:t>
            </w:r>
            <w:r>
              <w:rPr>
                <w:rFonts w:hint="eastAsia" w:ascii="宋体" w:hAnsi="宋体" w:eastAsia="宋体" w:cs="宋体"/>
                <w:color w:val="auto"/>
                <w:spacing w:val="-9"/>
                <w:sz w:val="24"/>
                <w:szCs w:val="24"/>
                <w:highlight w:val="none"/>
              </w:rPr>
              <w:t>日</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时</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9"/>
                <w:sz w:val="24"/>
                <w:szCs w:val="24"/>
                <w:highlight w:val="none"/>
              </w:rPr>
              <w:t>分</w:t>
            </w:r>
          </w:p>
        </w:tc>
      </w:tr>
    </w:tbl>
    <w:p w14:paraId="7C4C967F">
      <w:pPr>
        <w:rPr>
          <w:rFonts w:hint="eastAsia" w:ascii="宋体" w:hAnsi="宋体" w:eastAsia="宋体" w:cs="宋体"/>
          <w:b/>
          <w:bCs/>
          <w:color w:val="auto"/>
          <w:spacing w:val="-3"/>
          <w:sz w:val="24"/>
          <w:szCs w:val="24"/>
          <w:highlight w:val="none"/>
        </w:rPr>
      </w:pPr>
      <w:bookmarkStart w:id="273" w:name="bookmark107"/>
      <w:bookmarkEnd w:id="273"/>
      <w:r>
        <w:rPr>
          <w:rFonts w:hint="eastAsia" w:ascii="宋体" w:hAnsi="宋体" w:eastAsia="宋体" w:cs="宋体"/>
          <w:b/>
          <w:bCs/>
          <w:color w:val="auto"/>
          <w:spacing w:val="-3"/>
          <w:sz w:val="24"/>
          <w:szCs w:val="24"/>
          <w:highlight w:val="none"/>
        </w:rPr>
        <w:br w:type="page"/>
      </w:r>
    </w:p>
    <w:p w14:paraId="24545604">
      <w:pPr>
        <w:keepNext w:val="0"/>
        <w:keepLines w:val="0"/>
        <w:pageBreakBefore w:val="0"/>
        <w:widowControl w:val="0"/>
        <w:kinsoku/>
        <w:wordWrap/>
        <w:overflowPunct/>
        <w:topLinePunct w:val="0"/>
        <w:autoSpaceDE/>
        <w:autoSpaceDN/>
        <w:bidi w:val="0"/>
        <w:adjustRightInd/>
        <w:snapToGrid/>
        <w:spacing w:line="380" w:lineRule="exact"/>
        <w:jc w:val="left"/>
        <w:textAlignment w:val="auto"/>
        <w:outlineLvl w:val="1"/>
        <w:rPr>
          <w:rFonts w:hint="eastAsia" w:ascii="宋体" w:hAnsi="宋体" w:eastAsia="宋体" w:cs="宋体"/>
          <w:b/>
          <w:bCs w:val="0"/>
          <w:color w:val="auto"/>
          <w:highlight w:val="none"/>
          <w:lang w:val="en-US" w:eastAsia="zh-CN"/>
        </w:rPr>
      </w:pPr>
      <w:bookmarkStart w:id="274" w:name="_Toc3970"/>
      <w:bookmarkStart w:id="275" w:name="_Toc7940"/>
      <w:r>
        <w:rPr>
          <w:rStyle w:val="20"/>
          <w:rFonts w:hint="eastAsia" w:ascii="Times New Roman" w:hAnsi="宋体" w:eastAsia="宋体" w:cs="Times New Roman"/>
          <w:b/>
          <w:bCs/>
          <w:color w:val="auto"/>
          <w:kern w:val="0"/>
          <w:sz w:val="21"/>
          <w:szCs w:val="21"/>
          <w:highlight w:val="none"/>
          <w:lang w:val="en-US" w:eastAsia="zh-CN" w:bidi="ar-SA"/>
        </w:rPr>
        <w:t>格式十六 助力项目承诺书</w:t>
      </w:r>
      <w:bookmarkEnd w:id="274"/>
      <w:bookmarkEnd w:id="275"/>
    </w:p>
    <w:p w14:paraId="422F43FF">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助力项目承诺书</w:t>
      </w:r>
    </w:p>
    <w:p w14:paraId="32DCA12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4"/>
          <w:szCs w:val="24"/>
          <w:highlight w:val="none"/>
        </w:rPr>
      </w:pPr>
    </w:p>
    <w:p w14:paraId="2C5C2EE5">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致招标人：</w:t>
      </w:r>
      <w:r>
        <w:rPr>
          <w:rFonts w:hint="eastAsia" w:ascii="宋体" w:hAnsi="宋体" w:eastAsia="宋体" w:cs="宋体"/>
          <w:color w:val="auto"/>
          <w:sz w:val="21"/>
          <w:szCs w:val="21"/>
          <w:highlight w:val="none"/>
          <w:u w:val="single"/>
        </w:rPr>
        <w:t xml:space="preserve">                      </w:t>
      </w:r>
    </w:p>
    <w:p w14:paraId="29988C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i w:val="0"/>
          <w:iCs w:val="0"/>
          <w:color w:val="auto"/>
          <w:kern w:val="2"/>
          <w:sz w:val="21"/>
          <w:szCs w:val="21"/>
          <w:highlight w:val="none"/>
          <w:vertAlign w:val="baseline"/>
          <w:lang w:val="en-US" w:eastAsia="zh-CN" w:bidi="ar-SA"/>
        </w:rPr>
        <w:t>为落实省委、省政府关于实施“百县千镇万村高质量发展工程”（以下简称“百千</w:t>
      </w:r>
      <w:r>
        <w:rPr>
          <w:rFonts w:hint="eastAsia" w:ascii="宋体" w:hAnsi="宋体" w:eastAsia="宋体" w:cs="宋体"/>
          <w:color w:val="auto"/>
          <w:sz w:val="21"/>
          <w:szCs w:val="21"/>
          <w:highlight w:val="none"/>
          <w:u w:val="none"/>
          <w:lang w:val="en-US" w:eastAsia="zh-CN"/>
        </w:rPr>
        <w:t>万工程”）工作部署以及</w:t>
      </w:r>
      <w:r>
        <w:rPr>
          <w:rFonts w:hint="eastAsia" w:ascii="宋体" w:hAnsi="宋体" w:eastAsia="宋体" w:cs="宋体"/>
          <w:b w:val="0"/>
          <w:bCs w:val="0"/>
          <w:i w:val="0"/>
          <w:iCs w:val="0"/>
          <w:color w:val="auto"/>
          <w:kern w:val="2"/>
          <w:sz w:val="21"/>
          <w:szCs w:val="21"/>
          <w:highlight w:val="none"/>
          <w:vertAlign w:val="baseline"/>
          <w:lang w:val="en-US" w:eastAsia="zh-CN" w:bidi="ar-SA"/>
        </w:rPr>
        <w:t>省“百千万工程”指挥部关于建筑业企业“微利＋公益”参与“百千万工程”建设方式和《广东省“百县千镇万村高质量发展工程”指挥部城镇建设专班办公室印发关于推动建筑业央企助力“百千万工程”工作指引的通知》（粤城镇建设</w:t>
      </w:r>
      <w:r>
        <w:rPr>
          <w:rFonts w:hint="eastAsia" w:ascii="宋体" w:hAnsi="宋体" w:eastAsia="宋体" w:cs="宋体"/>
          <w:b w:val="0"/>
          <w:bCs w:val="0"/>
          <w:i w:val="0"/>
          <w:iCs w:val="0"/>
          <w:color w:val="auto"/>
          <w:kern w:val="0"/>
          <w:sz w:val="21"/>
          <w:szCs w:val="21"/>
          <w:highlight w:val="none"/>
          <w:vertAlign w:val="baseline"/>
          <w:lang w:val="en-US" w:eastAsia="zh-CN" w:bidi="ar-SA"/>
        </w:rPr>
        <w:t>〔2024〕11号</w:t>
      </w:r>
      <w:r>
        <w:rPr>
          <w:rFonts w:hint="eastAsia" w:ascii="宋体" w:hAnsi="宋体" w:eastAsia="宋体" w:cs="宋体"/>
          <w:b w:val="0"/>
          <w:bCs w:val="0"/>
          <w:i w:val="0"/>
          <w:iCs w:val="0"/>
          <w:color w:val="auto"/>
          <w:kern w:val="2"/>
          <w:sz w:val="21"/>
          <w:szCs w:val="21"/>
          <w:highlight w:val="none"/>
          <w:vertAlign w:val="baseline"/>
          <w:lang w:val="en-US" w:eastAsia="zh-CN" w:bidi="ar-SA"/>
        </w:rPr>
        <w:t>）等工作要求，我公司将按要求完成中标项目的同时，自愿利用</w:t>
      </w:r>
      <w:r>
        <w:rPr>
          <w:rFonts w:hint="eastAsia" w:ascii="宋体" w:hAnsi="宋体" w:eastAsia="宋体" w:cs="宋体"/>
          <w:color w:val="auto"/>
          <w:sz w:val="21"/>
          <w:szCs w:val="21"/>
          <w:highlight w:val="none"/>
          <w:lang w:val="en-US" w:eastAsia="zh-CN"/>
        </w:rPr>
        <w:t>本企业的合理利润，积极做好</w:t>
      </w:r>
      <w:r>
        <w:rPr>
          <w:rFonts w:hint="eastAsia" w:ascii="宋体" w:hAnsi="宋体" w:eastAsia="宋体" w:cs="宋体"/>
          <w:color w:val="auto"/>
          <w:sz w:val="21"/>
          <w:szCs w:val="21"/>
          <w:highlight w:val="none"/>
          <w:u w:val="none"/>
          <w:lang w:val="en-US" w:eastAsia="zh-CN"/>
        </w:rPr>
        <w:t>助力项目建设，就此</w:t>
      </w:r>
      <w:r>
        <w:rPr>
          <w:rFonts w:hint="eastAsia" w:ascii="宋体" w:hAnsi="宋体" w:eastAsia="宋体" w:cs="宋体"/>
          <w:color w:val="auto"/>
          <w:sz w:val="21"/>
          <w:szCs w:val="21"/>
          <w:highlight w:val="none"/>
        </w:rPr>
        <w:t>我方承诺如下：</w:t>
      </w:r>
    </w:p>
    <w:p w14:paraId="6F781B6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color w:val="auto"/>
          <w:sz w:val="21"/>
          <w:szCs w:val="21"/>
          <w:highlight w:val="none"/>
        </w:rPr>
        <w:t>我方愿以</w:t>
      </w:r>
      <w:r>
        <w:rPr>
          <w:rFonts w:hint="eastAsia" w:ascii="宋体" w:hAnsi="宋体" w:eastAsia="宋体" w:cs="宋体"/>
          <w:b w:val="0"/>
          <w:bCs w:val="0"/>
          <w:i w:val="0"/>
          <w:iCs w:val="0"/>
          <w:color w:val="auto"/>
          <w:kern w:val="2"/>
          <w:sz w:val="21"/>
          <w:szCs w:val="21"/>
          <w:highlight w:val="none"/>
          <w:vertAlign w:val="baseline"/>
          <w:lang w:val="en-US" w:eastAsia="zh-CN" w:bidi="ar-SA"/>
        </w:rPr>
        <w:t>本项</w:t>
      </w:r>
      <w:r>
        <w:rPr>
          <w:rFonts w:hint="eastAsia" w:ascii="宋体" w:hAnsi="宋体" w:eastAsia="宋体" w:cs="宋体"/>
          <w:color w:val="auto"/>
          <w:sz w:val="21"/>
          <w:szCs w:val="21"/>
          <w:highlight w:val="none"/>
          <w:u w:val="none"/>
          <w:lang w:val="en-US" w:eastAsia="zh-CN"/>
        </w:rPr>
        <w:t>目施工最高投标限价</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en-US" w:eastAsia="zh-CN"/>
        </w:rPr>
        <w:t>%的资金，用于助力“百千万工程”中的公益性项目建设，具体实施助力项目从各级“百千万工程”指挥部提供的项目建设清单（项目库）中选取。</w:t>
      </w:r>
    </w:p>
    <w:p w14:paraId="2AB03F8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2、如我方中标，承诺完成助力项目建设所用的资金是本企业的自有资金，不使用中标项目内的资金作为助力项目建设资金。</w:t>
      </w:r>
    </w:p>
    <w:p w14:paraId="1E3D8C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如我方中标，在中标项目发出中标通知书之日起至签订中标项目承包合同前，我方将按要求与助力项目业主单位按招标文件要求签订助力协议书，确定具体助力项目、投资额度、工期进度和质量标准等内容（含折算助力项目投资金额中的预扣减或扣减额处理办法）。</w:t>
      </w:r>
    </w:p>
    <w:p w14:paraId="1396C84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如我方中标，我方将按照协议书要求做好助力项目建设工作，按时保质保量完成“百千万工程”助力任务并移交整个工程，确保助力项目质量达到合格标准，并承诺本工程的保修期按有关规定及双方签署的协议要求执行。同时，按规定做好助力项目结算工作。</w:t>
      </w:r>
    </w:p>
    <w:p w14:paraId="24202CA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outlineLvl w:val="9"/>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如我方中标，将严格履行助力协议。招标人或助力项目业主单位发现我方有未按协议书履行投标助力承诺行为的，愿接受有关部门对我方进行诚信扣分及将有关失信行为上传信用广东和信用中国等诚信平台；对于有严重违反投标承诺，影响助力项目建设质量、进度或损害公共利益的，我方将接受依法依规作出的处理。</w:t>
      </w:r>
    </w:p>
    <w:p w14:paraId="6AF3896D">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color w:val="auto"/>
          <w:sz w:val="21"/>
          <w:szCs w:val="21"/>
          <w:highlight w:val="none"/>
        </w:rPr>
        <w:t>我方同意在投标人须知规定的投标有效期内严格遵守本企业投标文件的各项承诺，如有违约，愿承担相应违约责任。</w:t>
      </w:r>
    </w:p>
    <w:p w14:paraId="27BD62B1">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41B8BC38">
      <w:pPr>
        <w:pStyle w:val="5"/>
        <w:keepNext w:val="0"/>
        <w:keepLines w:val="0"/>
        <w:pageBreakBefore w:val="0"/>
        <w:widowControl w:val="0"/>
        <w:kinsoku/>
        <w:wordWrap/>
        <w:overflowPunct/>
        <w:topLinePunct w:val="0"/>
        <w:autoSpaceDE/>
        <w:autoSpaceDN/>
        <w:bidi w:val="0"/>
        <w:adjustRightInd/>
        <w:snapToGrid/>
        <w:spacing w:after="0" w:afterLines="0" w:line="3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p>
    <w:p w14:paraId="0847358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(盖电子印章）</w:t>
      </w:r>
    </w:p>
    <w:p w14:paraId="7560B2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278CBC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（电子签名</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rPr>
        <w:t>盖电子印章）</w:t>
      </w:r>
    </w:p>
    <w:p w14:paraId="300EE9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p>
    <w:p w14:paraId="661AB8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9813039">
      <w:pPr>
        <w:keepNext w:val="0"/>
        <w:keepLines w:val="0"/>
        <w:pageBreakBefore w:val="0"/>
        <w:widowControl w:val="0"/>
        <w:kinsoku/>
        <w:wordWrap/>
        <w:overflowPunct/>
        <w:topLinePunct w:val="0"/>
        <w:autoSpaceDE/>
        <w:autoSpaceDN/>
        <w:bidi w:val="0"/>
        <w:adjustRightInd/>
        <w:snapToGrid/>
        <w:spacing w:line="300" w:lineRule="exact"/>
        <w:textAlignment w:val="auto"/>
        <w:outlineLvl w:val="9"/>
        <w:rPr>
          <w:rFonts w:hint="eastAsia" w:ascii="宋体" w:hAnsi="宋体" w:eastAsia="宋体" w:cs="宋体"/>
          <w:color w:val="auto"/>
          <w:sz w:val="21"/>
          <w:szCs w:val="21"/>
          <w:highlight w:val="none"/>
          <w:lang w:eastAsia="zh-CN"/>
        </w:rPr>
      </w:pPr>
    </w:p>
    <w:p w14:paraId="3853E81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注：上述承诺书中的</w:t>
      </w:r>
      <w:r>
        <w:rPr>
          <w:rFonts w:hint="eastAsia" w:ascii="宋体" w:hAnsi="宋体" w:eastAsia="宋体" w:cs="宋体"/>
          <w:b w:val="0"/>
          <w:bCs w:val="0"/>
          <w:i w:val="0"/>
          <w:iCs w:val="0"/>
          <w:color w:val="auto"/>
          <w:kern w:val="2"/>
          <w:sz w:val="21"/>
          <w:szCs w:val="21"/>
          <w:highlight w:val="none"/>
          <w:u w:val="none" w:color="auto"/>
          <w:vertAlign w:val="baseline"/>
          <w:lang w:val="en-US" w:eastAsia="zh-CN" w:bidi="ar-SA"/>
        </w:rPr>
        <w:t>企业社会贡献最高投标限价百分比要使用阿拉伯数字填报，不得填报负值，企业社会贡献没有填报任何数字或填报负值的按无企业社会贡献处理，但不作无效投标处理。</w:t>
      </w:r>
    </w:p>
    <w:p w14:paraId="639E852E">
      <w:pPr>
        <w:pStyle w:val="39"/>
        <w:ind w:left="0" w:leftChars="0" w:firstLine="0" w:firstLineChars="0"/>
        <w:rPr>
          <w:rStyle w:val="43"/>
          <w:rFonts w:hint="eastAsia" w:ascii="宋体" w:hAnsi="宋体" w:eastAsia="宋体" w:cs="宋体"/>
          <w:bCs/>
          <w:color w:val="auto"/>
          <w:kern w:val="2"/>
          <w:sz w:val="21"/>
          <w:szCs w:val="21"/>
          <w:highlight w:val="none"/>
        </w:rPr>
      </w:pPr>
    </w:p>
    <w:p w14:paraId="7680BC03">
      <w:pPr>
        <w:pStyle w:val="45"/>
        <w:snapToGrid w:val="0"/>
        <w:spacing w:line="440" w:lineRule="exact"/>
        <w:outlineLvl w:val="1"/>
        <w:rPr>
          <w:rStyle w:val="20"/>
          <w:rFonts w:hint="eastAsia" w:ascii="Times New Roman" w:hAnsi="宋体" w:eastAsia="宋体" w:cs="Times New Roman"/>
          <w:b/>
          <w:bCs/>
          <w:color w:val="auto"/>
          <w:sz w:val="21"/>
          <w:szCs w:val="21"/>
          <w:highlight w:val="none"/>
          <w:lang w:val="en-US" w:eastAsia="zh-CN"/>
        </w:rPr>
      </w:pPr>
      <w:r>
        <w:rPr>
          <w:rStyle w:val="43"/>
          <w:rFonts w:hint="eastAsia" w:ascii="宋体" w:hAnsi="宋体" w:eastAsia="宋体" w:cs="宋体"/>
          <w:bCs/>
          <w:color w:val="auto"/>
          <w:kern w:val="2"/>
          <w:sz w:val="21"/>
          <w:szCs w:val="21"/>
          <w:highlight w:val="none"/>
        </w:rPr>
        <w:br w:type="page"/>
      </w:r>
      <w:bookmarkStart w:id="276" w:name="_Toc26323"/>
      <w:bookmarkStart w:id="277" w:name="_Toc26911"/>
      <w:r>
        <w:rPr>
          <w:rStyle w:val="20"/>
          <w:rFonts w:hint="eastAsia" w:ascii="Times New Roman" w:hAnsi="宋体" w:eastAsia="宋体" w:cs="Times New Roman"/>
          <w:b/>
          <w:bCs/>
          <w:color w:val="auto"/>
          <w:sz w:val="21"/>
          <w:szCs w:val="21"/>
          <w:highlight w:val="none"/>
          <w:lang w:eastAsia="zh-CN"/>
        </w:rPr>
        <w:t>格式十</w:t>
      </w:r>
      <w:r>
        <w:rPr>
          <w:rStyle w:val="20"/>
          <w:rFonts w:hint="eastAsia" w:ascii="Times New Roman" w:hAnsi="宋体" w:cs="Times New Roman"/>
          <w:b/>
          <w:bCs/>
          <w:color w:val="auto"/>
          <w:sz w:val="21"/>
          <w:szCs w:val="21"/>
          <w:highlight w:val="none"/>
          <w:lang w:val="en-US" w:eastAsia="zh-CN"/>
        </w:rPr>
        <w:t xml:space="preserve">七  </w:t>
      </w:r>
      <w:r>
        <w:rPr>
          <w:rStyle w:val="20"/>
          <w:rFonts w:hint="eastAsia" w:ascii="Times New Roman" w:hAnsi="宋体" w:eastAsia="宋体" w:cs="Times New Roman"/>
          <w:b/>
          <w:bCs/>
          <w:color w:val="auto"/>
          <w:sz w:val="21"/>
          <w:szCs w:val="21"/>
          <w:highlight w:val="none"/>
          <w:lang w:val="en-US" w:eastAsia="zh-CN"/>
        </w:rPr>
        <w:t>定标因素评审资料</w:t>
      </w:r>
      <w:bookmarkEnd w:id="276"/>
      <w:bookmarkEnd w:id="277"/>
    </w:p>
    <w:p w14:paraId="2D4CC842">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24"/>
          <w:szCs w:val="24"/>
          <w:highlight w:val="none"/>
          <w:lang w:eastAsia="zh-CN"/>
        </w:rPr>
        <w:t>定标因素评审资料</w:t>
      </w:r>
    </w:p>
    <w:p w14:paraId="7F172C61">
      <w:pPr>
        <w:jc w:val="left"/>
        <w:rPr>
          <w:rFonts w:hint="eastAsia" w:ascii="宋体" w:hAnsi="宋体" w:eastAsia="宋体" w:cs="宋体"/>
          <w:color w:val="auto"/>
          <w:sz w:val="24"/>
          <w:highlight w:val="none"/>
          <w:lang w:eastAsia="zh-CN"/>
        </w:rPr>
      </w:pPr>
    </w:p>
    <w:p w14:paraId="726A3E52">
      <w:pPr>
        <w:pStyle w:val="39"/>
        <w:ind w:left="0" w:leftChars="0" w:firstLine="0" w:firstLineChars="0"/>
        <w:rPr>
          <w:rStyle w:val="43"/>
          <w:rFonts w:hint="eastAsia" w:ascii="宋体" w:hAnsi="宋体" w:eastAsia="宋体" w:cs="宋体"/>
          <w:b/>
          <w:bCs/>
          <w:color w:val="auto"/>
          <w:kern w:val="2"/>
          <w:sz w:val="24"/>
          <w:szCs w:val="24"/>
          <w:highlight w:val="none"/>
        </w:rPr>
      </w:pPr>
      <w:r>
        <w:rPr>
          <w:rFonts w:hint="eastAsia" w:ascii="宋体" w:hAnsi="宋体" w:eastAsia="宋体" w:cs="宋体"/>
          <w:b/>
          <w:bCs/>
          <w:color w:val="auto"/>
          <w:sz w:val="24"/>
          <w:szCs w:val="24"/>
          <w:highlight w:val="none"/>
          <w:lang w:val="en-US" w:eastAsia="zh-CN"/>
        </w:rPr>
        <w:t>投标人根据“</w:t>
      </w:r>
      <w:r>
        <w:rPr>
          <w:rFonts w:hint="eastAsia" w:ascii="宋体" w:hAnsi="宋体" w:eastAsia="宋体" w:cs="宋体"/>
          <w:b/>
          <w:bCs/>
          <w:color w:val="auto"/>
          <w:sz w:val="24"/>
          <w:szCs w:val="24"/>
          <w:highlight w:val="none"/>
        </w:rPr>
        <w:t>第</w:t>
      </w: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章 第</w:t>
      </w: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节 定标</w:t>
      </w:r>
      <w:r>
        <w:rPr>
          <w:rFonts w:hint="eastAsia" w:ascii="宋体" w:hAnsi="宋体" w:eastAsia="宋体" w:cs="宋体"/>
          <w:b/>
          <w:bCs/>
          <w:color w:val="auto"/>
          <w:sz w:val="24"/>
          <w:szCs w:val="24"/>
          <w:highlight w:val="none"/>
          <w:lang w:eastAsia="zh-CN"/>
        </w:rPr>
        <w:t>规定</w:t>
      </w:r>
      <w:r>
        <w:rPr>
          <w:rFonts w:hint="eastAsia" w:ascii="宋体" w:hAnsi="宋体" w:eastAsia="宋体" w:cs="宋体"/>
          <w:b/>
          <w:bCs/>
          <w:color w:val="auto"/>
          <w:sz w:val="24"/>
          <w:szCs w:val="24"/>
          <w:highlight w:val="none"/>
          <w:lang w:val="en-US" w:eastAsia="zh-CN"/>
        </w:rPr>
        <w:t>及细则”载明的</w:t>
      </w:r>
      <w:r>
        <w:rPr>
          <w:rFonts w:hint="eastAsia" w:ascii="宋体" w:hAnsi="宋体" w:eastAsia="宋体" w:cs="宋体"/>
          <w:b/>
          <w:bCs/>
          <w:color w:val="auto"/>
          <w:sz w:val="24"/>
          <w:szCs w:val="24"/>
          <w:highlight w:val="none"/>
          <w:lang w:eastAsia="zh-CN"/>
        </w:rPr>
        <w:t>定标因素，</w:t>
      </w:r>
      <w:r>
        <w:rPr>
          <w:rFonts w:hint="eastAsia" w:ascii="宋体" w:hAnsi="宋体" w:eastAsia="宋体" w:cs="宋体"/>
          <w:b/>
          <w:bCs/>
          <w:color w:val="auto"/>
          <w:sz w:val="24"/>
          <w:szCs w:val="24"/>
          <w:highlight w:val="none"/>
          <w:lang w:val="en-US" w:eastAsia="zh-CN"/>
        </w:rPr>
        <w:t>提交</w:t>
      </w:r>
      <w:r>
        <w:rPr>
          <w:rFonts w:hint="eastAsia" w:ascii="宋体" w:hAnsi="宋体" w:eastAsia="宋体" w:cs="宋体"/>
          <w:b/>
          <w:bCs/>
          <w:color w:val="auto"/>
          <w:sz w:val="24"/>
          <w:szCs w:val="24"/>
          <w:highlight w:val="none"/>
          <w:lang w:eastAsia="zh-CN"/>
        </w:rPr>
        <w:t>评审资料。</w:t>
      </w:r>
    </w:p>
    <w:p w14:paraId="388AC736">
      <w:pPr>
        <w:spacing w:before="78" w:line="219" w:lineRule="auto"/>
        <w:jc w:val="center"/>
        <w:outlineLvl w:val="1"/>
        <w:rPr>
          <w:rFonts w:hint="eastAsia" w:ascii="宋体" w:hAnsi="宋体" w:eastAsia="宋体" w:cs="宋体"/>
          <w:b/>
          <w:bCs/>
          <w:color w:val="auto"/>
          <w:spacing w:val="-3"/>
          <w:sz w:val="24"/>
          <w:szCs w:val="24"/>
          <w:highlight w:val="none"/>
        </w:rPr>
      </w:pPr>
    </w:p>
    <w:p w14:paraId="5D94E8E4">
      <w:pPr>
        <w:spacing w:before="78" w:line="219" w:lineRule="auto"/>
        <w:jc w:val="center"/>
        <w:outlineLvl w:val="1"/>
        <w:rPr>
          <w:rFonts w:hint="eastAsia" w:ascii="宋体" w:hAnsi="宋体" w:eastAsia="宋体" w:cs="宋体"/>
          <w:b/>
          <w:bCs/>
          <w:color w:val="auto"/>
          <w:spacing w:val="-3"/>
          <w:sz w:val="24"/>
          <w:szCs w:val="24"/>
          <w:highlight w:val="none"/>
        </w:rPr>
      </w:pPr>
    </w:p>
    <w:p w14:paraId="25987E99">
      <w:pPr>
        <w:spacing w:before="78" w:line="219" w:lineRule="auto"/>
        <w:jc w:val="center"/>
        <w:outlineLvl w:val="1"/>
        <w:rPr>
          <w:rFonts w:hint="eastAsia" w:ascii="宋体" w:hAnsi="宋体" w:eastAsia="宋体" w:cs="宋体"/>
          <w:b/>
          <w:bCs/>
          <w:color w:val="auto"/>
          <w:spacing w:val="-3"/>
          <w:sz w:val="24"/>
          <w:szCs w:val="24"/>
          <w:highlight w:val="none"/>
        </w:rPr>
      </w:pPr>
    </w:p>
    <w:p w14:paraId="1386DFE3">
      <w:pPr>
        <w:spacing w:before="78" w:line="219" w:lineRule="auto"/>
        <w:jc w:val="center"/>
        <w:outlineLvl w:val="1"/>
        <w:rPr>
          <w:rFonts w:hint="eastAsia" w:ascii="宋体" w:hAnsi="宋体" w:eastAsia="宋体" w:cs="宋体"/>
          <w:b/>
          <w:bCs/>
          <w:color w:val="auto"/>
          <w:spacing w:val="-3"/>
          <w:sz w:val="24"/>
          <w:szCs w:val="24"/>
          <w:highlight w:val="none"/>
        </w:rPr>
      </w:pPr>
    </w:p>
    <w:p w14:paraId="3CF95731">
      <w:pPr>
        <w:spacing w:before="78" w:line="219" w:lineRule="auto"/>
        <w:jc w:val="center"/>
        <w:outlineLvl w:val="1"/>
        <w:rPr>
          <w:rFonts w:hint="eastAsia" w:ascii="宋体" w:hAnsi="宋体" w:eastAsia="宋体" w:cs="宋体"/>
          <w:b/>
          <w:bCs/>
          <w:color w:val="auto"/>
          <w:spacing w:val="-3"/>
          <w:sz w:val="24"/>
          <w:szCs w:val="24"/>
          <w:highlight w:val="none"/>
        </w:rPr>
      </w:pPr>
    </w:p>
    <w:p w14:paraId="7C26BAA4">
      <w:pPr>
        <w:spacing w:before="78" w:line="219" w:lineRule="auto"/>
        <w:jc w:val="center"/>
        <w:outlineLvl w:val="1"/>
        <w:rPr>
          <w:rFonts w:hint="eastAsia" w:ascii="宋体" w:hAnsi="宋体" w:eastAsia="宋体" w:cs="宋体"/>
          <w:b/>
          <w:bCs/>
          <w:color w:val="auto"/>
          <w:spacing w:val="-3"/>
          <w:sz w:val="24"/>
          <w:szCs w:val="24"/>
          <w:highlight w:val="none"/>
        </w:rPr>
      </w:pPr>
    </w:p>
    <w:p w14:paraId="6031DE05">
      <w:pPr>
        <w:spacing w:before="78" w:line="219" w:lineRule="auto"/>
        <w:jc w:val="center"/>
        <w:outlineLvl w:val="1"/>
        <w:rPr>
          <w:rFonts w:hint="eastAsia" w:ascii="宋体" w:hAnsi="宋体" w:eastAsia="宋体" w:cs="宋体"/>
          <w:b/>
          <w:bCs/>
          <w:color w:val="auto"/>
          <w:spacing w:val="-3"/>
          <w:sz w:val="24"/>
          <w:szCs w:val="24"/>
          <w:highlight w:val="none"/>
        </w:rPr>
      </w:pPr>
    </w:p>
    <w:p w14:paraId="64CD36A6">
      <w:pPr>
        <w:spacing w:before="78" w:line="219" w:lineRule="auto"/>
        <w:jc w:val="center"/>
        <w:outlineLvl w:val="1"/>
        <w:rPr>
          <w:rFonts w:hint="eastAsia" w:ascii="宋体" w:hAnsi="宋体" w:eastAsia="宋体" w:cs="宋体"/>
          <w:b/>
          <w:bCs/>
          <w:color w:val="auto"/>
          <w:spacing w:val="-3"/>
          <w:sz w:val="24"/>
          <w:szCs w:val="24"/>
          <w:highlight w:val="none"/>
        </w:rPr>
      </w:pPr>
    </w:p>
    <w:p w14:paraId="574E0CC1">
      <w:pPr>
        <w:spacing w:before="78" w:line="219" w:lineRule="auto"/>
        <w:jc w:val="center"/>
        <w:outlineLvl w:val="1"/>
        <w:rPr>
          <w:rFonts w:hint="eastAsia" w:ascii="宋体" w:hAnsi="宋体" w:eastAsia="宋体" w:cs="宋体"/>
          <w:b/>
          <w:bCs/>
          <w:color w:val="auto"/>
          <w:spacing w:val="-3"/>
          <w:sz w:val="24"/>
          <w:szCs w:val="24"/>
          <w:highlight w:val="none"/>
        </w:rPr>
      </w:pPr>
    </w:p>
    <w:p w14:paraId="06A23923">
      <w:pPr>
        <w:spacing w:before="78" w:line="219" w:lineRule="auto"/>
        <w:jc w:val="center"/>
        <w:outlineLvl w:val="1"/>
        <w:rPr>
          <w:rFonts w:hint="eastAsia" w:ascii="宋体" w:hAnsi="宋体" w:eastAsia="宋体" w:cs="宋体"/>
          <w:b/>
          <w:bCs/>
          <w:color w:val="auto"/>
          <w:spacing w:val="-3"/>
          <w:sz w:val="24"/>
          <w:szCs w:val="24"/>
          <w:highlight w:val="none"/>
        </w:rPr>
      </w:pPr>
    </w:p>
    <w:p w14:paraId="50F27CC9">
      <w:pPr>
        <w:spacing w:before="78" w:line="219" w:lineRule="auto"/>
        <w:jc w:val="center"/>
        <w:outlineLvl w:val="1"/>
        <w:rPr>
          <w:rFonts w:hint="eastAsia" w:ascii="宋体" w:hAnsi="宋体" w:eastAsia="宋体" w:cs="宋体"/>
          <w:b/>
          <w:bCs/>
          <w:color w:val="auto"/>
          <w:spacing w:val="-3"/>
          <w:sz w:val="24"/>
          <w:szCs w:val="24"/>
          <w:highlight w:val="none"/>
        </w:rPr>
      </w:pPr>
    </w:p>
    <w:p w14:paraId="205EA7EB">
      <w:pPr>
        <w:spacing w:before="78" w:line="219" w:lineRule="auto"/>
        <w:jc w:val="center"/>
        <w:outlineLvl w:val="1"/>
        <w:rPr>
          <w:rFonts w:hint="eastAsia" w:ascii="宋体" w:hAnsi="宋体" w:eastAsia="宋体" w:cs="宋体"/>
          <w:b/>
          <w:bCs/>
          <w:color w:val="auto"/>
          <w:spacing w:val="-3"/>
          <w:sz w:val="24"/>
          <w:szCs w:val="24"/>
          <w:highlight w:val="none"/>
        </w:rPr>
      </w:pPr>
    </w:p>
    <w:p w14:paraId="7C6D4CC9">
      <w:pPr>
        <w:spacing w:before="78" w:line="219" w:lineRule="auto"/>
        <w:jc w:val="center"/>
        <w:outlineLvl w:val="1"/>
        <w:rPr>
          <w:rFonts w:hint="eastAsia" w:ascii="宋体" w:hAnsi="宋体" w:eastAsia="宋体" w:cs="宋体"/>
          <w:b/>
          <w:bCs/>
          <w:color w:val="auto"/>
          <w:spacing w:val="-3"/>
          <w:sz w:val="24"/>
          <w:szCs w:val="24"/>
          <w:highlight w:val="none"/>
        </w:rPr>
      </w:pPr>
    </w:p>
    <w:p w14:paraId="30193241">
      <w:pPr>
        <w:spacing w:before="78" w:line="219" w:lineRule="auto"/>
        <w:jc w:val="center"/>
        <w:outlineLvl w:val="1"/>
        <w:rPr>
          <w:rFonts w:hint="eastAsia" w:ascii="宋体" w:hAnsi="宋体" w:eastAsia="宋体" w:cs="宋体"/>
          <w:b/>
          <w:bCs/>
          <w:color w:val="auto"/>
          <w:spacing w:val="-3"/>
          <w:sz w:val="24"/>
          <w:szCs w:val="24"/>
          <w:highlight w:val="none"/>
        </w:rPr>
      </w:pPr>
    </w:p>
    <w:p w14:paraId="20D40A6B">
      <w:pPr>
        <w:spacing w:before="78" w:line="219" w:lineRule="auto"/>
        <w:jc w:val="center"/>
        <w:outlineLvl w:val="1"/>
        <w:rPr>
          <w:rFonts w:hint="eastAsia" w:ascii="宋体" w:hAnsi="宋体" w:eastAsia="宋体" w:cs="宋体"/>
          <w:b/>
          <w:bCs/>
          <w:color w:val="auto"/>
          <w:spacing w:val="-3"/>
          <w:sz w:val="24"/>
          <w:szCs w:val="24"/>
          <w:highlight w:val="none"/>
        </w:rPr>
      </w:pPr>
    </w:p>
    <w:p w14:paraId="2C3333F2">
      <w:pPr>
        <w:spacing w:before="78" w:line="219" w:lineRule="auto"/>
        <w:jc w:val="center"/>
        <w:outlineLvl w:val="1"/>
        <w:rPr>
          <w:rFonts w:hint="eastAsia" w:ascii="宋体" w:hAnsi="宋体" w:eastAsia="宋体" w:cs="宋体"/>
          <w:b/>
          <w:bCs/>
          <w:color w:val="auto"/>
          <w:spacing w:val="-3"/>
          <w:sz w:val="24"/>
          <w:szCs w:val="24"/>
          <w:highlight w:val="none"/>
        </w:rPr>
      </w:pPr>
    </w:p>
    <w:p w14:paraId="6D622BC9">
      <w:pPr>
        <w:spacing w:before="78" w:line="219" w:lineRule="auto"/>
        <w:jc w:val="center"/>
        <w:outlineLvl w:val="1"/>
        <w:rPr>
          <w:rFonts w:hint="eastAsia" w:ascii="宋体" w:hAnsi="宋体" w:eastAsia="宋体" w:cs="宋体"/>
          <w:b/>
          <w:bCs/>
          <w:color w:val="auto"/>
          <w:spacing w:val="-3"/>
          <w:sz w:val="24"/>
          <w:szCs w:val="24"/>
          <w:highlight w:val="none"/>
        </w:rPr>
      </w:pPr>
    </w:p>
    <w:p w14:paraId="45D785F6">
      <w:pPr>
        <w:spacing w:before="78" w:line="219" w:lineRule="auto"/>
        <w:jc w:val="center"/>
        <w:outlineLvl w:val="1"/>
        <w:rPr>
          <w:rFonts w:hint="eastAsia" w:ascii="宋体" w:hAnsi="宋体" w:eastAsia="宋体" w:cs="宋体"/>
          <w:b/>
          <w:bCs/>
          <w:color w:val="auto"/>
          <w:spacing w:val="-3"/>
          <w:sz w:val="24"/>
          <w:szCs w:val="24"/>
          <w:highlight w:val="none"/>
        </w:rPr>
      </w:pPr>
    </w:p>
    <w:p w14:paraId="1A798D0E">
      <w:pPr>
        <w:spacing w:before="78" w:line="219" w:lineRule="auto"/>
        <w:jc w:val="center"/>
        <w:outlineLvl w:val="1"/>
        <w:rPr>
          <w:rFonts w:hint="eastAsia" w:ascii="宋体" w:hAnsi="宋体" w:eastAsia="宋体" w:cs="宋体"/>
          <w:b/>
          <w:bCs/>
          <w:color w:val="auto"/>
          <w:spacing w:val="-3"/>
          <w:sz w:val="24"/>
          <w:szCs w:val="24"/>
          <w:highlight w:val="none"/>
        </w:rPr>
      </w:pPr>
    </w:p>
    <w:p w14:paraId="7253BFBB">
      <w:pPr>
        <w:spacing w:before="78" w:line="219" w:lineRule="auto"/>
        <w:jc w:val="center"/>
        <w:outlineLvl w:val="1"/>
        <w:rPr>
          <w:rFonts w:hint="eastAsia" w:ascii="宋体" w:hAnsi="宋体" w:eastAsia="宋体" w:cs="宋体"/>
          <w:b/>
          <w:bCs/>
          <w:color w:val="auto"/>
          <w:spacing w:val="-3"/>
          <w:sz w:val="24"/>
          <w:szCs w:val="24"/>
          <w:highlight w:val="none"/>
        </w:rPr>
      </w:pPr>
    </w:p>
    <w:p w14:paraId="1BA659E5">
      <w:pPr>
        <w:spacing w:before="78" w:line="219" w:lineRule="auto"/>
        <w:jc w:val="center"/>
        <w:outlineLvl w:val="1"/>
        <w:rPr>
          <w:rFonts w:hint="eastAsia" w:ascii="宋体" w:hAnsi="宋体" w:eastAsia="宋体" w:cs="宋体"/>
          <w:b/>
          <w:bCs/>
          <w:color w:val="auto"/>
          <w:spacing w:val="-3"/>
          <w:sz w:val="24"/>
          <w:szCs w:val="24"/>
          <w:highlight w:val="none"/>
        </w:rPr>
      </w:pPr>
    </w:p>
    <w:p w14:paraId="44FDDF06">
      <w:pPr>
        <w:spacing w:before="78" w:line="219" w:lineRule="auto"/>
        <w:jc w:val="center"/>
        <w:outlineLvl w:val="1"/>
        <w:rPr>
          <w:rFonts w:hint="eastAsia" w:ascii="宋体" w:hAnsi="宋体" w:eastAsia="宋体" w:cs="宋体"/>
          <w:b/>
          <w:bCs/>
          <w:color w:val="auto"/>
          <w:spacing w:val="-3"/>
          <w:sz w:val="24"/>
          <w:szCs w:val="24"/>
          <w:highlight w:val="none"/>
        </w:rPr>
      </w:pPr>
    </w:p>
    <w:p w14:paraId="6A814535">
      <w:pPr>
        <w:spacing w:before="78" w:line="219" w:lineRule="auto"/>
        <w:jc w:val="center"/>
        <w:outlineLvl w:val="1"/>
        <w:rPr>
          <w:rFonts w:hint="eastAsia" w:ascii="宋体" w:hAnsi="宋体" w:eastAsia="宋体" w:cs="宋体"/>
          <w:b/>
          <w:bCs/>
          <w:color w:val="auto"/>
          <w:spacing w:val="-3"/>
          <w:sz w:val="24"/>
          <w:szCs w:val="24"/>
          <w:highlight w:val="none"/>
        </w:rPr>
      </w:pPr>
    </w:p>
    <w:p w14:paraId="2C84FF1B">
      <w:pPr>
        <w:spacing w:before="78" w:line="219" w:lineRule="auto"/>
        <w:jc w:val="center"/>
        <w:outlineLvl w:val="1"/>
        <w:rPr>
          <w:rFonts w:hint="eastAsia" w:ascii="宋体" w:hAnsi="宋体" w:eastAsia="宋体" w:cs="宋体"/>
          <w:b/>
          <w:bCs/>
          <w:color w:val="auto"/>
          <w:spacing w:val="-3"/>
          <w:sz w:val="24"/>
          <w:szCs w:val="24"/>
          <w:highlight w:val="none"/>
        </w:rPr>
      </w:pPr>
    </w:p>
    <w:p w14:paraId="2B712078">
      <w:pPr>
        <w:spacing w:before="78" w:line="219" w:lineRule="auto"/>
        <w:jc w:val="center"/>
        <w:outlineLvl w:val="1"/>
        <w:rPr>
          <w:rFonts w:hint="eastAsia" w:ascii="宋体" w:hAnsi="宋体" w:eastAsia="宋体" w:cs="宋体"/>
          <w:b/>
          <w:bCs/>
          <w:color w:val="auto"/>
          <w:spacing w:val="-3"/>
          <w:sz w:val="24"/>
          <w:szCs w:val="24"/>
          <w:highlight w:val="none"/>
        </w:rPr>
      </w:pPr>
    </w:p>
    <w:p w14:paraId="2C719281">
      <w:pPr>
        <w:spacing w:before="78" w:line="219" w:lineRule="auto"/>
        <w:jc w:val="center"/>
        <w:outlineLvl w:val="1"/>
        <w:rPr>
          <w:rFonts w:hint="eastAsia" w:ascii="宋体" w:hAnsi="宋体" w:eastAsia="宋体" w:cs="宋体"/>
          <w:b/>
          <w:bCs/>
          <w:color w:val="auto"/>
          <w:spacing w:val="-3"/>
          <w:sz w:val="24"/>
          <w:szCs w:val="24"/>
          <w:highlight w:val="none"/>
        </w:rPr>
      </w:pPr>
    </w:p>
    <w:p w14:paraId="1A6F67AB">
      <w:pPr>
        <w:spacing w:before="78" w:line="219" w:lineRule="auto"/>
        <w:jc w:val="center"/>
        <w:outlineLvl w:val="1"/>
        <w:rPr>
          <w:rFonts w:hint="eastAsia" w:ascii="宋体" w:hAnsi="宋体" w:eastAsia="宋体" w:cs="宋体"/>
          <w:b/>
          <w:bCs/>
          <w:color w:val="auto"/>
          <w:spacing w:val="-3"/>
          <w:sz w:val="24"/>
          <w:szCs w:val="24"/>
          <w:highlight w:val="none"/>
        </w:rPr>
      </w:pPr>
    </w:p>
    <w:p w14:paraId="7B9B4278">
      <w:pPr>
        <w:spacing w:before="78" w:line="219" w:lineRule="auto"/>
        <w:jc w:val="center"/>
        <w:outlineLvl w:val="1"/>
        <w:rPr>
          <w:rFonts w:hint="eastAsia" w:ascii="宋体" w:hAnsi="宋体" w:eastAsia="宋体" w:cs="宋体"/>
          <w:b/>
          <w:bCs/>
          <w:color w:val="auto"/>
          <w:spacing w:val="-3"/>
          <w:sz w:val="24"/>
          <w:szCs w:val="24"/>
          <w:highlight w:val="none"/>
        </w:rPr>
      </w:pPr>
    </w:p>
    <w:p w14:paraId="6F09FB96">
      <w:pPr>
        <w:spacing w:before="78" w:line="219" w:lineRule="auto"/>
        <w:jc w:val="center"/>
        <w:outlineLvl w:val="1"/>
        <w:rPr>
          <w:rFonts w:hint="eastAsia" w:ascii="宋体" w:hAnsi="宋体" w:eastAsia="宋体" w:cs="宋体"/>
          <w:b/>
          <w:bCs/>
          <w:color w:val="auto"/>
          <w:spacing w:val="-3"/>
          <w:sz w:val="24"/>
          <w:szCs w:val="24"/>
          <w:highlight w:val="none"/>
        </w:rPr>
      </w:pPr>
    </w:p>
    <w:p w14:paraId="3C47F80F">
      <w:pPr>
        <w:spacing w:before="78" w:line="219" w:lineRule="auto"/>
        <w:jc w:val="center"/>
        <w:outlineLvl w:val="1"/>
        <w:rPr>
          <w:rFonts w:hint="eastAsia" w:ascii="宋体" w:hAnsi="宋体" w:eastAsia="宋体" w:cs="宋体"/>
          <w:b/>
          <w:bCs/>
          <w:color w:val="auto"/>
          <w:spacing w:val="-3"/>
          <w:sz w:val="24"/>
          <w:szCs w:val="24"/>
          <w:highlight w:val="none"/>
        </w:rPr>
      </w:pPr>
    </w:p>
    <w:p w14:paraId="272AC14D">
      <w:pPr>
        <w:spacing w:before="78" w:line="219" w:lineRule="auto"/>
        <w:jc w:val="center"/>
        <w:outlineLvl w:val="1"/>
        <w:rPr>
          <w:rFonts w:hint="eastAsia" w:ascii="宋体" w:hAnsi="宋体" w:eastAsia="宋体" w:cs="宋体"/>
          <w:b/>
          <w:bCs/>
          <w:color w:val="auto"/>
          <w:spacing w:val="-3"/>
          <w:sz w:val="24"/>
          <w:szCs w:val="24"/>
          <w:highlight w:val="none"/>
        </w:rPr>
      </w:pPr>
    </w:p>
    <w:p w14:paraId="054924C2">
      <w:pPr>
        <w:spacing w:before="78" w:line="219" w:lineRule="auto"/>
        <w:jc w:val="center"/>
        <w:outlineLvl w:val="1"/>
        <w:rPr>
          <w:rFonts w:hint="eastAsia" w:ascii="宋体" w:hAnsi="宋体" w:eastAsia="宋体" w:cs="宋体"/>
          <w:b/>
          <w:bCs/>
          <w:color w:val="auto"/>
          <w:spacing w:val="-3"/>
          <w:sz w:val="24"/>
          <w:szCs w:val="24"/>
          <w:highlight w:val="none"/>
        </w:rPr>
      </w:pPr>
    </w:p>
    <w:p w14:paraId="3A4ECF1E">
      <w:pPr>
        <w:spacing w:before="78" w:line="219" w:lineRule="auto"/>
        <w:jc w:val="center"/>
        <w:outlineLvl w:val="1"/>
        <w:rPr>
          <w:rFonts w:hint="eastAsia" w:ascii="宋体" w:hAnsi="宋体" w:eastAsia="宋体" w:cs="宋体"/>
          <w:b/>
          <w:bCs/>
          <w:color w:val="auto"/>
          <w:spacing w:val="-3"/>
          <w:sz w:val="24"/>
          <w:szCs w:val="24"/>
          <w:highlight w:val="none"/>
        </w:rPr>
      </w:pPr>
    </w:p>
    <w:p w14:paraId="40F38C4C">
      <w:pPr>
        <w:spacing w:before="78" w:line="219" w:lineRule="auto"/>
        <w:jc w:val="center"/>
        <w:outlineLvl w:val="1"/>
        <w:rPr>
          <w:rFonts w:hint="eastAsia" w:ascii="宋体" w:hAnsi="宋体" w:eastAsia="宋体" w:cs="宋体"/>
          <w:color w:val="auto"/>
          <w:highlight w:val="none"/>
        </w:rPr>
      </w:pPr>
      <w:bookmarkStart w:id="278" w:name="_Toc10482"/>
      <w:r>
        <w:rPr>
          <w:rFonts w:hint="eastAsia" w:ascii="宋体" w:hAnsi="宋体" w:eastAsia="宋体" w:cs="宋体"/>
          <w:b/>
          <w:bCs/>
          <w:color w:val="auto"/>
          <w:spacing w:val="-3"/>
          <w:sz w:val="24"/>
          <w:szCs w:val="24"/>
          <w:highlight w:val="none"/>
        </w:rPr>
        <w:t>第七章</w:t>
      </w:r>
      <w:r>
        <w:rPr>
          <w:rFonts w:hint="eastAsia" w:ascii="宋体" w:hAnsi="宋体" w:eastAsia="宋体" w:cs="宋体"/>
          <w:color w:val="auto"/>
          <w:spacing w:val="-3"/>
          <w:sz w:val="24"/>
          <w:szCs w:val="24"/>
          <w:highlight w:val="none"/>
        </w:rPr>
        <w:t xml:space="preserve"> </w:t>
      </w:r>
      <w:r>
        <w:rPr>
          <w:rFonts w:hint="eastAsia" w:ascii="宋体" w:hAnsi="宋体" w:eastAsia="宋体" w:cs="宋体"/>
          <w:b/>
          <w:bCs/>
          <w:color w:val="auto"/>
          <w:spacing w:val="-3"/>
          <w:sz w:val="24"/>
          <w:szCs w:val="24"/>
          <w:highlight w:val="none"/>
        </w:rPr>
        <w:t>建设工程施工合同</w:t>
      </w:r>
      <w:bookmarkEnd w:id="278"/>
    </w:p>
    <w:p w14:paraId="4F8929F7">
      <w:pPr>
        <w:pStyle w:val="5"/>
        <w:spacing w:line="257" w:lineRule="auto"/>
        <w:rPr>
          <w:rFonts w:hint="eastAsia" w:ascii="宋体" w:hAnsi="宋体" w:eastAsia="宋体" w:cs="宋体"/>
          <w:color w:val="auto"/>
          <w:highlight w:val="none"/>
        </w:rPr>
      </w:pPr>
    </w:p>
    <w:p w14:paraId="131B8557">
      <w:pPr>
        <w:spacing w:before="78" w:line="324"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（略</w:t>
      </w: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3"/>
          <w:sz w:val="24"/>
          <w:szCs w:val="24"/>
          <w:highlight w:val="none"/>
        </w:rPr>
        <w:t>按《广东省建设工程标准施工合同》（2009 年版）或《建设工程施工合同</w:t>
      </w:r>
      <w:r>
        <w:rPr>
          <w:rFonts w:hint="eastAsia" w:ascii="宋体" w:hAnsi="宋体" w:eastAsia="宋体" w:cs="宋体"/>
          <w:color w:val="auto"/>
          <w:spacing w:val="1"/>
          <w:sz w:val="24"/>
          <w:szCs w:val="24"/>
          <w:highlight w:val="none"/>
        </w:rPr>
        <w:t xml:space="preserve"> </w:t>
      </w:r>
      <w:r>
        <w:rPr>
          <w:rFonts w:hint="eastAsia" w:ascii="宋体" w:hAnsi="宋体" w:eastAsia="宋体" w:cs="宋体"/>
          <w:color w:val="auto"/>
          <w:spacing w:val="-1"/>
          <w:sz w:val="24"/>
          <w:szCs w:val="24"/>
          <w:highlight w:val="none"/>
        </w:rPr>
        <w:t>（示范文本）》（GF—2017—0201）执行。</w:t>
      </w:r>
    </w:p>
    <w:p w14:paraId="4D381F1B">
      <w:pPr>
        <w:rPr>
          <w:rFonts w:hint="eastAsia" w:ascii="宋体" w:hAnsi="宋体" w:eastAsia="宋体" w:cs="宋体"/>
          <w:color w:val="auto"/>
          <w:highlight w:val="none"/>
        </w:rPr>
      </w:pPr>
    </w:p>
    <w:sectPr>
      <w:footerReference r:id="rId25" w:type="default"/>
      <w:pgSz w:w="11906" w:h="16839"/>
      <w:pgMar w:top="1440" w:right="1080" w:bottom="1440" w:left="1080" w:header="0" w:footer="102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KSOF6B657194">
    <w:panose1 w:val="02020500000000000000"/>
    <w:charset w:val="88"/>
    <w:family w:val="auto"/>
    <w:pitch w:val="default"/>
    <w:sig w:usb0="00000001" w:usb1="00000000" w:usb2="00000000" w:usb3="00000000" w:csb0="0010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90F74">
    <w:pPr>
      <w:pStyle w:val="9"/>
    </w:pPr>
    <w:r>
      <w:rPr>
        <w:sz w:val="18"/>
      </w:rPr>
      <mc:AlternateContent>
        <mc:Choice Requires="wps">
          <w:drawing>
            <wp:anchor distT="0" distB="0" distL="114300" distR="114300" simplePos="0" relativeHeight="251680768" behindDoc="0" locked="0" layoutInCell="1" allowOverlap="1">
              <wp:simplePos x="0" y="0"/>
              <wp:positionH relativeFrom="margin">
                <wp:posOffset>3024505</wp:posOffset>
              </wp:positionH>
              <wp:positionV relativeFrom="paragraph">
                <wp:posOffset>-589280</wp:posOffset>
              </wp:positionV>
              <wp:extent cx="133350" cy="33972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33350" cy="339725"/>
                      </a:xfrm>
                      <a:prstGeom prst="rect">
                        <a:avLst/>
                      </a:prstGeom>
                      <a:noFill/>
                      <a:ln>
                        <a:noFill/>
                      </a:ln>
                    </wps:spPr>
                    <wps:txbx>
                      <w:txbxContent>
                        <w:p w14:paraId="7AA0AA63">
                          <w:pPr>
                            <w:pStyle w:val="9"/>
                          </w:pPr>
                          <w:r>
                            <w:fldChar w:fldCharType="begin"/>
                          </w:r>
                          <w:r>
                            <w:instrText xml:space="preserve"> PAGE  \* MERGEFORMAT </w:instrText>
                          </w:r>
                          <w:r>
                            <w:fldChar w:fldCharType="separate"/>
                          </w:r>
                          <w:r>
                            <w:t>1</w:t>
                          </w:r>
                          <w:r>
                            <w:fldChar w:fldCharType="end"/>
                          </w:r>
                        </w:p>
                      </w:txbxContent>
                    </wps:txbx>
                    <wps:bodyPr lIns="0" tIns="0" rIns="0" bIns="0" upright="0"/>
                  </wps:wsp>
                </a:graphicData>
              </a:graphic>
            </wp:anchor>
          </w:drawing>
        </mc:Choice>
        <mc:Fallback>
          <w:pict>
            <v:shape id="_x0000_s1026" o:spid="_x0000_s1026" o:spt="202" type="#_x0000_t202" style="position:absolute;left:0pt;margin-left:238.15pt;margin-top:-46.4pt;height:26.75pt;width:10.5pt;mso-position-horizontal-relative:margin;z-index:251680768;mso-width-relative:page;mso-height-relative:page;" filled="f" stroked="f" coordsize="21600,21600" o:gfxdata="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e/Q19kAAAALAQAADwAAAAAAAAABACAAAAAiAAAAZHJzL2Rvd25yZXYueG1sUEsB&#10;AhQAFAAAAAgAh07iQPACNNW7AQAAcwMAAA4AAAAAAAAAAQAgAAAAKAEAAGRycy9lMm9Eb2MueG1s&#10;UEsFBgAAAAAGAAYAWQEAAFUFAAAAAA==&#10;">
              <v:fill on="f" focussize="0,0"/>
              <v:stroke on="f"/>
              <v:imagedata o:title=""/>
              <o:lock v:ext="edit" aspectratio="f"/>
              <v:textbox inset="0mm,0mm,0mm,0mm">
                <w:txbxContent>
                  <w:p w14:paraId="7AA0AA6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A3D31">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069A84">
                          <w:pPr>
                            <w:pStyle w:val="9"/>
                          </w:pPr>
                          <w:r>
                            <w:fldChar w:fldCharType="begin"/>
                          </w:r>
                          <w:r>
                            <w:instrText xml:space="preserve"> PAGE  \* MERGEFORMAT </w:instrText>
                          </w:r>
                          <w:r>
                            <w:fldChar w:fldCharType="separate"/>
                          </w:r>
                          <w:r>
                            <w:t>83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66069A84">
                    <w:pPr>
                      <w:pStyle w:val="9"/>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59BB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E5FDE4">
                          <w:pPr>
                            <w:pStyle w:val="9"/>
                          </w:pPr>
                          <w:r>
                            <w:fldChar w:fldCharType="begin"/>
                          </w:r>
                          <w:r>
                            <w:instrText xml:space="preserve"> PAGE  \* MERGEFORMAT </w:instrText>
                          </w:r>
                          <w:r>
                            <w:fldChar w:fldCharType="separate"/>
                          </w:r>
                          <w:r>
                            <w:t>84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7E5FDE4">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254D5">
    <w:pPr>
      <w:pStyle w:val="9"/>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328BA0">
                          <w:pPr>
                            <w:pStyle w:val="9"/>
                          </w:pPr>
                          <w:r>
                            <w:fldChar w:fldCharType="begin"/>
                          </w:r>
                          <w:r>
                            <w:instrText xml:space="preserve"> PAGE  \* MERGEFORMAT </w:instrText>
                          </w:r>
                          <w:r>
                            <w:fldChar w:fldCharType="separate"/>
                          </w:r>
                          <w:r>
                            <w:t>85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32328BA0">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F7A28">
    <w:pPr>
      <w:pStyle w:val="9"/>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548F88">
                          <w:pPr>
                            <w:pStyle w:val="9"/>
                          </w:pPr>
                          <w:r>
                            <w:fldChar w:fldCharType="begin"/>
                          </w:r>
                          <w:r>
                            <w:instrText xml:space="preserve"> PAGE  \* MERGEFORMAT </w:instrText>
                          </w:r>
                          <w:r>
                            <w:fldChar w:fldCharType="separate"/>
                          </w:r>
                          <w:r>
                            <w:t>86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4F548F88">
                    <w:pPr>
                      <w:pStyle w:val="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972CD">
    <w:pPr>
      <w:pStyle w:val="9"/>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204562">
                          <w:pPr>
                            <w:pStyle w:val="9"/>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4E204562">
                    <w:pPr>
                      <w:pStyle w:val="9"/>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94C7B">
    <w:pPr>
      <w:pStyle w:val="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20FD3A">
                          <w:pPr>
                            <w:pStyle w:val="9"/>
                          </w:pPr>
                          <w:r>
                            <w:fldChar w:fldCharType="begin"/>
                          </w:r>
                          <w:r>
                            <w:instrText xml:space="preserve"> PAGE  \* MERGEFORMAT </w:instrText>
                          </w:r>
                          <w:r>
                            <w:fldChar w:fldCharType="separate"/>
                          </w:r>
                          <w:r>
                            <w:t>90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F20FD3A">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855E9">
    <w:pPr>
      <w:pStyle w:val="9"/>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C4325">
                          <w:pPr>
                            <w:pStyle w:val="9"/>
                          </w:pPr>
                          <w:r>
                            <w:fldChar w:fldCharType="begin"/>
                          </w:r>
                          <w:r>
                            <w:instrText xml:space="preserve"> PAGE  \* MERGEFORMAT </w:instrText>
                          </w:r>
                          <w:r>
                            <w:fldChar w:fldCharType="separate"/>
                          </w:r>
                          <w:r>
                            <w:t>91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BC4325">
                    <w:pPr>
                      <w:pStyle w:val="9"/>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4A1DD">
    <w:pPr>
      <w:pStyle w:val="9"/>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72AC83">
                          <w:pPr>
                            <w:pStyle w:val="9"/>
                          </w:pPr>
                          <w:r>
                            <w:fldChar w:fldCharType="begin"/>
                          </w:r>
                          <w:r>
                            <w:instrText xml:space="preserve"> PAGE  \* MERGEFORMAT </w:instrText>
                          </w:r>
                          <w:r>
                            <w:fldChar w:fldCharType="separate"/>
                          </w:r>
                          <w:r>
                            <w:t>93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5772AC83">
                    <w:pPr>
                      <w:pStyle w:val="9"/>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03678">
    <w:pPr>
      <w:pStyle w:val="9"/>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8BDFEE">
                          <w:pPr>
                            <w:pStyle w:val="9"/>
                          </w:pPr>
                          <w:r>
                            <w:fldChar w:fldCharType="begin"/>
                          </w:r>
                          <w:r>
                            <w:instrText xml:space="preserve"> PAGE  \* MERGEFORMAT </w:instrText>
                          </w:r>
                          <w:r>
                            <w:fldChar w:fldCharType="separate"/>
                          </w:r>
                          <w:r>
                            <w:t>94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C8BDFEE">
                    <w:pPr>
                      <w:pStyle w:val="9"/>
                    </w:pPr>
                    <w:r>
                      <w:fldChar w:fldCharType="begin"/>
                    </w:r>
                    <w:r>
                      <w:instrText xml:space="preserve"> PAGE  \* MERGEFORMAT </w:instrText>
                    </w:r>
                    <w:r>
                      <w:fldChar w:fldCharType="separate"/>
                    </w:r>
                    <w:r>
                      <w:t>94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A54D5">
    <w:pPr>
      <w:pStyle w:val="9"/>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04257B">
                          <w:pPr>
                            <w:pStyle w:val="9"/>
                          </w:pPr>
                          <w:r>
                            <w:fldChar w:fldCharType="begin"/>
                          </w:r>
                          <w:r>
                            <w:instrText xml:space="preserve"> PAGE  \* MERGEFORMAT </w:instrText>
                          </w:r>
                          <w:r>
                            <w:fldChar w:fldCharType="separate"/>
                          </w:r>
                          <w:r>
                            <w:t>102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D04257B">
                    <w:pPr>
                      <w:pStyle w:val="9"/>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E2A57">
    <w:pPr>
      <w:spacing w:line="179" w:lineRule="auto"/>
      <w:ind w:left="4353"/>
      <w:rPr>
        <w:rFonts w:ascii="宋体" w:hAnsi="宋体" w:eastAsia="宋体" w:cs="宋体"/>
        <w:sz w:val="19"/>
        <w:szCs w:val="19"/>
      </w:rPr>
    </w:pPr>
    <w:r>
      <w:rPr>
        <w:sz w:val="19"/>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CD18E">
                          <w:pPr>
                            <w:pStyle w:val="9"/>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WErU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zpM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WErUcoBAACbAwAADgAAAAAAAAABACAAAAAeAQAAZHJzL2Uyb0Rv&#10;Yy54bWxQSwUGAAAAAAYABgBZAQAAWgUAAAAA&#10;">
              <v:fill on="f" focussize="0,0"/>
              <v:stroke on="f"/>
              <v:imagedata o:title=""/>
              <o:lock v:ext="edit" aspectratio="f"/>
              <v:textbox inset="0mm,0mm,0mm,0mm" style="mso-fit-shape-to-text:t;">
                <w:txbxContent>
                  <w:p w14:paraId="5FACD18E">
                    <w:pPr>
                      <w:pStyle w:val="9"/>
                    </w:pPr>
                    <w:r>
                      <w:fldChar w:fldCharType="begin"/>
                    </w:r>
                    <w:r>
                      <w:instrText xml:space="preserve"> PAGE  \* MERGEFORMAT </w:instrText>
                    </w:r>
                    <w:r>
                      <w:fldChar w:fldCharType="separate"/>
                    </w:r>
                    <w:r>
                      <w:t>5</w:t>
                    </w:r>
                    <w:r>
                      <w:fldChar w:fldCharType="end"/>
                    </w:r>
                  </w:p>
                </w:txbxContent>
              </v:textbox>
            </v:shape>
          </w:pict>
        </mc:Fallback>
      </mc:AlternateContent>
    </w:r>
    <w:r>
      <w:rPr>
        <w:rFonts w:hint="eastAsia" w:ascii="宋体" w:hAnsi="宋体" w:eastAsia="宋体" w:cs="宋体"/>
        <w:sz w:val="19"/>
        <w:szCs w:val="19"/>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0874">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3515" cy="12255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3515" cy="122555"/>
                      </a:xfrm>
                      <a:prstGeom prst="rect">
                        <a:avLst/>
                      </a:prstGeom>
                      <a:noFill/>
                      <a:ln>
                        <a:noFill/>
                      </a:ln>
                    </wps:spPr>
                    <wps:txbx>
                      <w:txbxContent>
                        <w:p w14:paraId="08F4D2CA">
                          <w:pPr>
                            <w:pStyle w:val="9"/>
                          </w:pPr>
                          <w:r>
                            <w:fldChar w:fldCharType="begin"/>
                          </w:r>
                          <w:r>
                            <w:instrText xml:space="preserve"> PAGE  \* MERGEFORMAT </w:instrText>
                          </w:r>
                          <w:r>
                            <w:fldChar w:fldCharType="separate"/>
                          </w:r>
                          <w:r>
                            <w:t>44</w:t>
                          </w:r>
                          <w:r>
                            <w:fldChar w:fldCharType="end"/>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9.65pt;width:14.45pt;mso-position-horizontal:center;mso-position-horizontal-relative:margin;z-index:251663360;mso-width-relative:page;mso-height-relative:page;" filled="f" stroked="f" coordsize="21600,21600" o:gfxdata="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lCMldMAAAADAQAADwAAAAAAAAABACAAAAAiAAAAZHJz&#10;L2Rvd25yZXYueG1sUEsBAhQAFAAAAAgAh07iQD7LjAfQAQAAmwMAAA4AAAAAAAAAAQAgAAAAIgEA&#10;AGRycy9lMm9Eb2MueG1sUEsFBgAAAAAGAAYAWQEAAGQFAAAAAA==&#10;">
              <v:fill on="f" focussize="0,0"/>
              <v:stroke on="f"/>
              <v:imagedata o:title=""/>
              <o:lock v:ext="edit" aspectratio="f"/>
              <v:textbox inset="0mm,0mm,0mm,0mm">
                <w:txbxContent>
                  <w:p w14:paraId="08F4D2CA">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7202E">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A26CFE">
                          <w:pPr>
                            <w:pStyle w:val="9"/>
                          </w:pPr>
                          <w:r>
                            <w:fldChar w:fldCharType="begin"/>
                          </w:r>
                          <w:r>
                            <w:instrText xml:space="preserve"> PAGE  \* MERGEFORMAT </w:instrText>
                          </w:r>
                          <w:r>
                            <w:fldChar w:fldCharType="separate"/>
                          </w:r>
                          <w:r>
                            <w:t>47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0EA26CFE">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C97F4">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975851">
                          <w:pPr>
                            <w:pStyle w:val="9"/>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U4M8c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DV2iJI5bnPj5x/fzz9/nX98I&#10;+lCgPkCNeY8BM9Nw4wdcm9kP6My8BxVt/iIjgnHEOl3klUMiIj9aLVerCkMCY/MF8dnT8xAh3Ulv&#10;STYaGnF+RVZ+vIc0ps4puZrzt9qYMkPj/nIgZvaw3PvYY7bSsBsmQjvfnpBPj6NvqMNNp8R8dKgs&#10;9pdmI87GbjYOIep9V9Yo14Pw4ZCwidJbrjDCToVxZoXdtF95KZ7fS9bTP7X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TgzxyQEAAJsDAAAOAAAAAAAAAAEAIAAAAB4BAABkcnMvZTJvRG9j&#10;LnhtbFBLBQYAAAAABgAGAFkBAABZBQAAAAA=&#10;">
              <v:fill on="f" focussize="0,0"/>
              <v:stroke on="f"/>
              <v:imagedata o:title=""/>
              <o:lock v:ext="edit" aspectratio="f"/>
              <v:textbox inset="0mm,0mm,0mm,0mm" style="mso-fit-shape-to-text:t;">
                <w:txbxContent>
                  <w:p w14:paraId="27975851">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8B9A4">
    <w:pPr>
      <w:pStyle w:val="9"/>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7BA269">
                          <w:pPr>
                            <w:pStyle w:val="9"/>
                          </w:pPr>
                          <w:r>
                            <w:fldChar w:fldCharType="begin"/>
                          </w:r>
                          <w:r>
                            <w:instrText xml:space="preserve"> PAGE  \* MERGEFORMAT </w:instrText>
                          </w:r>
                          <w:r>
                            <w:fldChar w:fldCharType="separate"/>
                          </w:r>
                          <w:r>
                            <w:t>78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14:paraId="717BA269">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7F7C8">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300860">
                          <w:pPr>
                            <w:pStyle w:val="9"/>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1300860">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30E49">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50D8BE">
                          <w:pPr>
                            <w:pStyle w:val="9"/>
                          </w:pPr>
                          <w:r>
                            <w:fldChar w:fldCharType="begin"/>
                          </w:r>
                          <w:r>
                            <w:instrText xml:space="preserve"> PAGE  \* MERGEFORMAT </w:instrText>
                          </w:r>
                          <w:r>
                            <w:fldChar w:fldCharType="separate"/>
                          </w:r>
                          <w:r>
                            <w:t>80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6550D8BE">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53E50">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EBCA68">
                          <w:pPr>
                            <w:pStyle w:val="9"/>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nmGe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8E&#10;fShQH6DGvMeAmWm48QMmz35AZ+Y9qGjzFxkRjKO8p4u8ckhE5Eer5WpVYUhgbL4gPnt6HiKkO+kt&#10;yUZDI86vyMqP95DG1DklV3P+VhtTZmjcXw7EzB6Wex97zFYadsNEaOfbE/LpcfQNdbjplJiPDpXN&#10;WzIbcTZ2s3EIUe+7ska5HoQPh4RNlN5yhRF2KowzK+ym/cpL8fxesp7+qc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p5hnvIAQAAmwMAAA4AAAAAAAAAAQAgAAAAHgEAAGRycy9lMm9Eb2Mu&#10;eG1sUEsFBgAAAAAGAAYAWQEAAFgFAAAAAA==&#10;">
              <v:fill on="f" focussize="0,0"/>
              <v:stroke on="f"/>
              <v:imagedata o:title=""/>
              <o:lock v:ext="edit" aspectratio="f"/>
              <v:textbox inset="0mm,0mm,0mm,0mm" style="mso-fit-shape-to-text:t;">
                <w:txbxContent>
                  <w:p w14:paraId="49EBCA68">
                    <w:pPr>
                      <w:pStyle w:val="9"/>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20278">
    <w:pPr>
      <w:pStyle w:val="5"/>
      <w:spacing w:line="50"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AB8B">
    <w:pPr>
      <w:pStyle w:val="5"/>
      <w:spacing w:line="50"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FFF4">
    <w:pPr>
      <w:pStyle w:val="5"/>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BF32">
    <w:pPr>
      <w:pStyle w:val="5"/>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9BDCA"/>
    <w:multiLevelType w:val="singleLevel"/>
    <w:tmpl w:val="E6C9BD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WJjODQxYTJmZGUwYjQ3M2QwYzM4MWUxMzIyZTMifQ=="/>
  </w:docVars>
  <w:rsids>
    <w:rsidRoot w:val="4F582EF7"/>
    <w:rsid w:val="00072C34"/>
    <w:rsid w:val="0028264D"/>
    <w:rsid w:val="00473031"/>
    <w:rsid w:val="007A3406"/>
    <w:rsid w:val="00824069"/>
    <w:rsid w:val="00D61DC8"/>
    <w:rsid w:val="01066A48"/>
    <w:rsid w:val="01276505"/>
    <w:rsid w:val="013F232E"/>
    <w:rsid w:val="014C6B51"/>
    <w:rsid w:val="018B7D8A"/>
    <w:rsid w:val="01B6213A"/>
    <w:rsid w:val="01BE1198"/>
    <w:rsid w:val="01E25ABE"/>
    <w:rsid w:val="01EE7C08"/>
    <w:rsid w:val="01FD63CC"/>
    <w:rsid w:val="02337D11"/>
    <w:rsid w:val="023B3D55"/>
    <w:rsid w:val="024F6BF1"/>
    <w:rsid w:val="02BF0C55"/>
    <w:rsid w:val="02F13018"/>
    <w:rsid w:val="031418F0"/>
    <w:rsid w:val="0358304C"/>
    <w:rsid w:val="03661A20"/>
    <w:rsid w:val="038D3451"/>
    <w:rsid w:val="039E06FB"/>
    <w:rsid w:val="04021749"/>
    <w:rsid w:val="044E498E"/>
    <w:rsid w:val="04B67F25"/>
    <w:rsid w:val="04BF763A"/>
    <w:rsid w:val="04E2157A"/>
    <w:rsid w:val="04EF43C3"/>
    <w:rsid w:val="055E6E53"/>
    <w:rsid w:val="056C5F91"/>
    <w:rsid w:val="059A3EA8"/>
    <w:rsid w:val="05D4768F"/>
    <w:rsid w:val="05E67124"/>
    <w:rsid w:val="05E732EC"/>
    <w:rsid w:val="05EC614B"/>
    <w:rsid w:val="062235DD"/>
    <w:rsid w:val="063C112F"/>
    <w:rsid w:val="067B1C86"/>
    <w:rsid w:val="06856661"/>
    <w:rsid w:val="0687062B"/>
    <w:rsid w:val="06897EFF"/>
    <w:rsid w:val="069B537E"/>
    <w:rsid w:val="06C70A28"/>
    <w:rsid w:val="06C929F2"/>
    <w:rsid w:val="06CA23DC"/>
    <w:rsid w:val="06D05B2E"/>
    <w:rsid w:val="06DD024B"/>
    <w:rsid w:val="06EC592A"/>
    <w:rsid w:val="07001B9F"/>
    <w:rsid w:val="07133987"/>
    <w:rsid w:val="07463B51"/>
    <w:rsid w:val="07520C39"/>
    <w:rsid w:val="07A1396F"/>
    <w:rsid w:val="07A71DAB"/>
    <w:rsid w:val="07DE24CD"/>
    <w:rsid w:val="086230FE"/>
    <w:rsid w:val="087C59DF"/>
    <w:rsid w:val="088C763C"/>
    <w:rsid w:val="08CD7283"/>
    <w:rsid w:val="08E41D65"/>
    <w:rsid w:val="08EB6C4F"/>
    <w:rsid w:val="092D5890"/>
    <w:rsid w:val="0963211F"/>
    <w:rsid w:val="09C807D3"/>
    <w:rsid w:val="09F06AB0"/>
    <w:rsid w:val="09FA34EB"/>
    <w:rsid w:val="09FF4A68"/>
    <w:rsid w:val="0A3C3AB5"/>
    <w:rsid w:val="0A45713E"/>
    <w:rsid w:val="0A62467A"/>
    <w:rsid w:val="0A6749FB"/>
    <w:rsid w:val="0A781923"/>
    <w:rsid w:val="0A7D4664"/>
    <w:rsid w:val="0A8235E3"/>
    <w:rsid w:val="0A87732E"/>
    <w:rsid w:val="0A9801C9"/>
    <w:rsid w:val="0AB6232E"/>
    <w:rsid w:val="0AC97F91"/>
    <w:rsid w:val="0AD33307"/>
    <w:rsid w:val="0AD656DD"/>
    <w:rsid w:val="0AE05E8C"/>
    <w:rsid w:val="0AF3628F"/>
    <w:rsid w:val="0B3545A0"/>
    <w:rsid w:val="0B3866B7"/>
    <w:rsid w:val="0B41524D"/>
    <w:rsid w:val="0B9E41C6"/>
    <w:rsid w:val="0B9F6417"/>
    <w:rsid w:val="0BC6217A"/>
    <w:rsid w:val="0BD240F7"/>
    <w:rsid w:val="0BF41F06"/>
    <w:rsid w:val="0C120997"/>
    <w:rsid w:val="0C1A36AD"/>
    <w:rsid w:val="0C2A7A8F"/>
    <w:rsid w:val="0C2B1A59"/>
    <w:rsid w:val="0C4153D2"/>
    <w:rsid w:val="0C49746F"/>
    <w:rsid w:val="0C597D15"/>
    <w:rsid w:val="0CA07D76"/>
    <w:rsid w:val="0CA27F6D"/>
    <w:rsid w:val="0CF14A50"/>
    <w:rsid w:val="0D03679A"/>
    <w:rsid w:val="0D0C3638"/>
    <w:rsid w:val="0D2408DB"/>
    <w:rsid w:val="0D3B3F1D"/>
    <w:rsid w:val="0DCB0DFD"/>
    <w:rsid w:val="0DCE22AF"/>
    <w:rsid w:val="0DF514C8"/>
    <w:rsid w:val="0DF525DE"/>
    <w:rsid w:val="0DF61CE0"/>
    <w:rsid w:val="0DF86616"/>
    <w:rsid w:val="0E1E1875"/>
    <w:rsid w:val="0E460DCC"/>
    <w:rsid w:val="0E684952"/>
    <w:rsid w:val="0E86353F"/>
    <w:rsid w:val="0E8E37ED"/>
    <w:rsid w:val="0EAF2E14"/>
    <w:rsid w:val="0EDB59B8"/>
    <w:rsid w:val="0EFD7C67"/>
    <w:rsid w:val="0F1C2D99"/>
    <w:rsid w:val="0F6F04DC"/>
    <w:rsid w:val="0FAB0EE6"/>
    <w:rsid w:val="105858FC"/>
    <w:rsid w:val="106C3AC2"/>
    <w:rsid w:val="108403E2"/>
    <w:rsid w:val="109275A9"/>
    <w:rsid w:val="10C15734"/>
    <w:rsid w:val="10C44237"/>
    <w:rsid w:val="10CC7FB6"/>
    <w:rsid w:val="11133238"/>
    <w:rsid w:val="11164A85"/>
    <w:rsid w:val="1122342A"/>
    <w:rsid w:val="11533574"/>
    <w:rsid w:val="11785740"/>
    <w:rsid w:val="117A3266"/>
    <w:rsid w:val="11862732"/>
    <w:rsid w:val="118F278E"/>
    <w:rsid w:val="119D4F21"/>
    <w:rsid w:val="11A47985"/>
    <w:rsid w:val="11C67A56"/>
    <w:rsid w:val="11D80D88"/>
    <w:rsid w:val="121071B9"/>
    <w:rsid w:val="12474DCB"/>
    <w:rsid w:val="12527641"/>
    <w:rsid w:val="126805E3"/>
    <w:rsid w:val="12E7492B"/>
    <w:rsid w:val="12E74FC1"/>
    <w:rsid w:val="12F27F6E"/>
    <w:rsid w:val="137B5074"/>
    <w:rsid w:val="138808DB"/>
    <w:rsid w:val="13E93BC1"/>
    <w:rsid w:val="14141B79"/>
    <w:rsid w:val="142E07B8"/>
    <w:rsid w:val="1457788F"/>
    <w:rsid w:val="14760C96"/>
    <w:rsid w:val="14882C02"/>
    <w:rsid w:val="14B10A5E"/>
    <w:rsid w:val="14CB3DD9"/>
    <w:rsid w:val="14D013EF"/>
    <w:rsid w:val="14E86739"/>
    <w:rsid w:val="150A2744"/>
    <w:rsid w:val="150D2643"/>
    <w:rsid w:val="15115C90"/>
    <w:rsid w:val="15763D45"/>
    <w:rsid w:val="15853F88"/>
    <w:rsid w:val="15A45AE5"/>
    <w:rsid w:val="15D97B34"/>
    <w:rsid w:val="15DC13FE"/>
    <w:rsid w:val="15E038B4"/>
    <w:rsid w:val="16005D04"/>
    <w:rsid w:val="160E0085"/>
    <w:rsid w:val="162E6E4D"/>
    <w:rsid w:val="16443E43"/>
    <w:rsid w:val="165D1EF2"/>
    <w:rsid w:val="16737FC1"/>
    <w:rsid w:val="16A0552F"/>
    <w:rsid w:val="16C17241"/>
    <w:rsid w:val="16CB4A2F"/>
    <w:rsid w:val="17051824"/>
    <w:rsid w:val="1722468F"/>
    <w:rsid w:val="173C4B1A"/>
    <w:rsid w:val="17726DD2"/>
    <w:rsid w:val="17C50FB3"/>
    <w:rsid w:val="17DD454F"/>
    <w:rsid w:val="181B4213"/>
    <w:rsid w:val="18226406"/>
    <w:rsid w:val="182A472E"/>
    <w:rsid w:val="18602A8A"/>
    <w:rsid w:val="187E7C06"/>
    <w:rsid w:val="190B3062"/>
    <w:rsid w:val="19305E07"/>
    <w:rsid w:val="1963464B"/>
    <w:rsid w:val="197764F6"/>
    <w:rsid w:val="19BC1F42"/>
    <w:rsid w:val="19C15671"/>
    <w:rsid w:val="1A3A6836"/>
    <w:rsid w:val="1A584D7E"/>
    <w:rsid w:val="1A5B5BFF"/>
    <w:rsid w:val="1A5D1977"/>
    <w:rsid w:val="1AC50DC4"/>
    <w:rsid w:val="1AE57555"/>
    <w:rsid w:val="1AF65CAA"/>
    <w:rsid w:val="1B0A266C"/>
    <w:rsid w:val="1B656D35"/>
    <w:rsid w:val="1B6A170F"/>
    <w:rsid w:val="1B745FC1"/>
    <w:rsid w:val="1BEC4D61"/>
    <w:rsid w:val="1C2A3ADB"/>
    <w:rsid w:val="1C2D7127"/>
    <w:rsid w:val="1C324211"/>
    <w:rsid w:val="1C396CE8"/>
    <w:rsid w:val="1C512E14"/>
    <w:rsid w:val="1C7F3E27"/>
    <w:rsid w:val="1CAC399E"/>
    <w:rsid w:val="1D40323B"/>
    <w:rsid w:val="1D880AB9"/>
    <w:rsid w:val="1DA27862"/>
    <w:rsid w:val="1DE11B57"/>
    <w:rsid w:val="1E206F43"/>
    <w:rsid w:val="1E3B5B2B"/>
    <w:rsid w:val="1E491296"/>
    <w:rsid w:val="1E4A14A1"/>
    <w:rsid w:val="1E4F7829"/>
    <w:rsid w:val="1E5D49E3"/>
    <w:rsid w:val="1E994221"/>
    <w:rsid w:val="1EDA5344"/>
    <w:rsid w:val="1EE13915"/>
    <w:rsid w:val="1EE461C3"/>
    <w:rsid w:val="1F2E030C"/>
    <w:rsid w:val="1F354C71"/>
    <w:rsid w:val="1F487665"/>
    <w:rsid w:val="1F683A66"/>
    <w:rsid w:val="1F875754"/>
    <w:rsid w:val="1FA95F4C"/>
    <w:rsid w:val="1FCF29CF"/>
    <w:rsid w:val="1FFE32B4"/>
    <w:rsid w:val="20097C80"/>
    <w:rsid w:val="2020237A"/>
    <w:rsid w:val="20515ADA"/>
    <w:rsid w:val="20801F1B"/>
    <w:rsid w:val="208A4B48"/>
    <w:rsid w:val="209669C5"/>
    <w:rsid w:val="20B16579"/>
    <w:rsid w:val="20C37337"/>
    <w:rsid w:val="20CB1F07"/>
    <w:rsid w:val="20F6072B"/>
    <w:rsid w:val="2100305C"/>
    <w:rsid w:val="21090925"/>
    <w:rsid w:val="21244F9D"/>
    <w:rsid w:val="213D3171"/>
    <w:rsid w:val="216B0B49"/>
    <w:rsid w:val="222C2B90"/>
    <w:rsid w:val="22457E73"/>
    <w:rsid w:val="22596EC8"/>
    <w:rsid w:val="22636C97"/>
    <w:rsid w:val="227F49FE"/>
    <w:rsid w:val="22837AA1"/>
    <w:rsid w:val="22884FD6"/>
    <w:rsid w:val="22F866E1"/>
    <w:rsid w:val="23213C5D"/>
    <w:rsid w:val="232C2DD6"/>
    <w:rsid w:val="2331574F"/>
    <w:rsid w:val="233953DA"/>
    <w:rsid w:val="235B72E4"/>
    <w:rsid w:val="23931F66"/>
    <w:rsid w:val="23C465C3"/>
    <w:rsid w:val="23D25D19"/>
    <w:rsid w:val="24262DDA"/>
    <w:rsid w:val="2446643F"/>
    <w:rsid w:val="246102B6"/>
    <w:rsid w:val="24782AD4"/>
    <w:rsid w:val="24793672"/>
    <w:rsid w:val="248726E0"/>
    <w:rsid w:val="249C3951"/>
    <w:rsid w:val="24AA25CD"/>
    <w:rsid w:val="24DB3BC4"/>
    <w:rsid w:val="24FA6740"/>
    <w:rsid w:val="25004979"/>
    <w:rsid w:val="25005BF7"/>
    <w:rsid w:val="25243F0A"/>
    <w:rsid w:val="253A7C36"/>
    <w:rsid w:val="254C2D14"/>
    <w:rsid w:val="256D06AE"/>
    <w:rsid w:val="2582242A"/>
    <w:rsid w:val="259D2ECD"/>
    <w:rsid w:val="25A55F80"/>
    <w:rsid w:val="25B20381"/>
    <w:rsid w:val="25E62821"/>
    <w:rsid w:val="25F25669"/>
    <w:rsid w:val="260B04D9"/>
    <w:rsid w:val="264763B7"/>
    <w:rsid w:val="2672726E"/>
    <w:rsid w:val="26734FA1"/>
    <w:rsid w:val="26881A92"/>
    <w:rsid w:val="268B2A3A"/>
    <w:rsid w:val="268B3DAD"/>
    <w:rsid w:val="26962499"/>
    <w:rsid w:val="26A61FB0"/>
    <w:rsid w:val="27035E88"/>
    <w:rsid w:val="2738099E"/>
    <w:rsid w:val="27415C62"/>
    <w:rsid w:val="27B65EBB"/>
    <w:rsid w:val="27BD1CA7"/>
    <w:rsid w:val="27CA47C6"/>
    <w:rsid w:val="27F17147"/>
    <w:rsid w:val="282B4E63"/>
    <w:rsid w:val="28884FF7"/>
    <w:rsid w:val="289A5B44"/>
    <w:rsid w:val="289F315B"/>
    <w:rsid w:val="28AC626B"/>
    <w:rsid w:val="28D472A8"/>
    <w:rsid w:val="29017971"/>
    <w:rsid w:val="290F389D"/>
    <w:rsid w:val="29600B3C"/>
    <w:rsid w:val="2962542C"/>
    <w:rsid w:val="299E36C0"/>
    <w:rsid w:val="29B33362"/>
    <w:rsid w:val="2A87300E"/>
    <w:rsid w:val="2B367172"/>
    <w:rsid w:val="2B7314CC"/>
    <w:rsid w:val="2B784A6E"/>
    <w:rsid w:val="2B9A7B07"/>
    <w:rsid w:val="2BA07916"/>
    <w:rsid w:val="2BAE2033"/>
    <w:rsid w:val="2BB37649"/>
    <w:rsid w:val="2BC9037C"/>
    <w:rsid w:val="2BD02324"/>
    <w:rsid w:val="2BFD3113"/>
    <w:rsid w:val="2C0003B4"/>
    <w:rsid w:val="2C1005F7"/>
    <w:rsid w:val="2C15160E"/>
    <w:rsid w:val="2C44430E"/>
    <w:rsid w:val="2C4F172C"/>
    <w:rsid w:val="2C9C00DD"/>
    <w:rsid w:val="2CA156F3"/>
    <w:rsid w:val="2D03015C"/>
    <w:rsid w:val="2D1519FD"/>
    <w:rsid w:val="2D906B09"/>
    <w:rsid w:val="2D9C13E5"/>
    <w:rsid w:val="2D9C5EBB"/>
    <w:rsid w:val="2DBE3B18"/>
    <w:rsid w:val="2DD973AC"/>
    <w:rsid w:val="2DFB1659"/>
    <w:rsid w:val="2E0221C2"/>
    <w:rsid w:val="2E611B70"/>
    <w:rsid w:val="2E9A689E"/>
    <w:rsid w:val="2EBD258D"/>
    <w:rsid w:val="2ECB6A58"/>
    <w:rsid w:val="2EDD4BB1"/>
    <w:rsid w:val="2F01185F"/>
    <w:rsid w:val="2F267A6D"/>
    <w:rsid w:val="2F2729AC"/>
    <w:rsid w:val="2F3C0F4C"/>
    <w:rsid w:val="2F757C4D"/>
    <w:rsid w:val="2FA94990"/>
    <w:rsid w:val="2FB82F9F"/>
    <w:rsid w:val="2FC33BD3"/>
    <w:rsid w:val="2FE418AC"/>
    <w:rsid w:val="2FE5383E"/>
    <w:rsid w:val="2FEA4C7F"/>
    <w:rsid w:val="30157B85"/>
    <w:rsid w:val="30330D58"/>
    <w:rsid w:val="3037089D"/>
    <w:rsid w:val="30766201"/>
    <w:rsid w:val="30EA3353"/>
    <w:rsid w:val="30EF11F7"/>
    <w:rsid w:val="31013C49"/>
    <w:rsid w:val="312319EF"/>
    <w:rsid w:val="313C778B"/>
    <w:rsid w:val="31440D43"/>
    <w:rsid w:val="31655DE8"/>
    <w:rsid w:val="318F6462"/>
    <w:rsid w:val="31C559E0"/>
    <w:rsid w:val="321A2D0F"/>
    <w:rsid w:val="32382656"/>
    <w:rsid w:val="324D664C"/>
    <w:rsid w:val="3267118D"/>
    <w:rsid w:val="32870EE7"/>
    <w:rsid w:val="32BE6EB2"/>
    <w:rsid w:val="32C7154E"/>
    <w:rsid w:val="33156D5E"/>
    <w:rsid w:val="3317207A"/>
    <w:rsid w:val="331A6B7B"/>
    <w:rsid w:val="331F2052"/>
    <w:rsid w:val="333554DB"/>
    <w:rsid w:val="33396D39"/>
    <w:rsid w:val="334E5EA9"/>
    <w:rsid w:val="33643EF5"/>
    <w:rsid w:val="33C30645"/>
    <w:rsid w:val="33D80BF4"/>
    <w:rsid w:val="33F77F81"/>
    <w:rsid w:val="34254482"/>
    <w:rsid w:val="346F257B"/>
    <w:rsid w:val="348C4EDB"/>
    <w:rsid w:val="348F605A"/>
    <w:rsid w:val="34903546"/>
    <w:rsid w:val="34E716B6"/>
    <w:rsid w:val="34EE16F2"/>
    <w:rsid w:val="3505113E"/>
    <w:rsid w:val="350B22A4"/>
    <w:rsid w:val="35233259"/>
    <w:rsid w:val="35357321"/>
    <w:rsid w:val="355115AF"/>
    <w:rsid w:val="359F2BE0"/>
    <w:rsid w:val="35AE6CC5"/>
    <w:rsid w:val="35FC399A"/>
    <w:rsid w:val="362A675A"/>
    <w:rsid w:val="36B60605"/>
    <w:rsid w:val="36D24FBB"/>
    <w:rsid w:val="36DB3EF8"/>
    <w:rsid w:val="36DB7A54"/>
    <w:rsid w:val="36EC39E0"/>
    <w:rsid w:val="36F56D67"/>
    <w:rsid w:val="37647A49"/>
    <w:rsid w:val="37704A11"/>
    <w:rsid w:val="379F4F25"/>
    <w:rsid w:val="37C45ACE"/>
    <w:rsid w:val="37DF2D89"/>
    <w:rsid w:val="37E335F2"/>
    <w:rsid w:val="37F86F59"/>
    <w:rsid w:val="3835053A"/>
    <w:rsid w:val="386B727B"/>
    <w:rsid w:val="38BE1535"/>
    <w:rsid w:val="390B7462"/>
    <w:rsid w:val="39194863"/>
    <w:rsid w:val="391D7376"/>
    <w:rsid w:val="39403E21"/>
    <w:rsid w:val="397A7B42"/>
    <w:rsid w:val="399A1E48"/>
    <w:rsid w:val="39B4157B"/>
    <w:rsid w:val="39D55A01"/>
    <w:rsid w:val="39DF5AAD"/>
    <w:rsid w:val="3A104D75"/>
    <w:rsid w:val="3A4C2C68"/>
    <w:rsid w:val="3A4D1A2B"/>
    <w:rsid w:val="3A5E69D2"/>
    <w:rsid w:val="3A615D8F"/>
    <w:rsid w:val="3A7D1602"/>
    <w:rsid w:val="3B2C2F74"/>
    <w:rsid w:val="3B3415C4"/>
    <w:rsid w:val="3B345984"/>
    <w:rsid w:val="3B351E28"/>
    <w:rsid w:val="3B4F53C1"/>
    <w:rsid w:val="3B605CFC"/>
    <w:rsid w:val="3B626996"/>
    <w:rsid w:val="3B6C6BA3"/>
    <w:rsid w:val="3B78218B"/>
    <w:rsid w:val="3BAE3989"/>
    <w:rsid w:val="3BB15227"/>
    <w:rsid w:val="3BB56AC5"/>
    <w:rsid w:val="3BF02721"/>
    <w:rsid w:val="3BFA0A8A"/>
    <w:rsid w:val="3C242530"/>
    <w:rsid w:val="3C4165AB"/>
    <w:rsid w:val="3C6E4D25"/>
    <w:rsid w:val="3CCA02B2"/>
    <w:rsid w:val="3CD613E9"/>
    <w:rsid w:val="3CE62383"/>
    <w:rsid w:val="3CEC7A2A"/>
    <w:rsid w:val="3CFE68F9"/>
    <w:rsid w:val="3D0433A8"/>
    <w:rsid w:val="3D0F69B6"/>
    <w:rsid w:val="3D2959BD"/>
    <w:rsid w:val="3D3219D3"/>
    <w:rsid w:val="3D3474F8"/>
    <w:rsid w:val="3D874292"/>
    <w:rsid w:val="3DCE35B6"/>
    <w:rsid w:val="3DD136B5"/>
    <w:rsid w:val="3DD5344F"/>
    <w:rsid w:val="3E0F3EB7"/>
    <w:rsid w:val="3E2609B2"/>
    <w:rsid w:val="3E556DD3"/>
    <w:rsid w:val="3E76426F"/>
    <w:rsid w:val="3E7F6463"/>
    <w:rsid w:val="3E962D65"/>
    <w:rsid w:val="3ECB4852"/>
    <w:rsid w:val="3EEB0292"/>
    <w:rsid w:val="3EEB2146"/>
    <w:rsid w:val="3F281B00"/>
    <w:rsid w:val="3F32723B"/>
    <w:rsid w:val="3F6A7BC7"/>
    <w:rsid w:val="3F930BE9"/>
    <w:rsid w:val="3F952DC8"/>
    <w:rsid w:val="3FAA5A30"/>
    <w:rsid w:val="3FE15005"/>
    <w:rsid w:val="3FE77469"/>
    <w:rsid w:val="3FF04570"/>
    <w:rsid w:val="400E2C48"/>
    <w:rsid w:val="40ED6D01"/>
    <w:rsid w:val="41216845"/>
    <w:rsid w:val="413A36FE"/>
    <w:rsid w:val="4213220D"/>
    <w:rsid w:val="4235270E"/>
    <w:rsid w:val="423F17DF"/>
    <w:rsid w:val="42461BF0"/>
    <w:rsid w:val="424C7A58"/>
    <w:rsid w:val="427179B7"/>
    <w:rsid w:val="428D039F"/>
    <w:rsid w:val="429E2362"/>
    <w:rsid w:val="42C65C3F"/>
    <w:rsid w:val="42FC0E58"/>
    <w:rsid w:val="43077F25"/>
    <w:rsid w:val="4310792B"/>
    <w:rsid w:val="43621354"/>
    <w:rsid w:val="4362139B"/>
    <w:rsid w:val="436D5ED7"/>
    <w:rsid w:val="437454B8"/>
    <w:rsid w:val="43947908"/>
    <w:rsid w:val="43962512"/>
    <w:rsid w:val="43AA0EDA"/>
    <w:rsid w:val="43D25E53"/>
    <w:rsid w:val="43E25FC1"/>
    <w:rsid w:val="43F108B7"/>
    <w:rsid w:val="440138A0"/>
    <w:rsid w:val="44246EDE"/>
    <w:rsid w:val="44692B43"/>
    <w:rsid w:val="447C65C0"/>
    <w:rsid w:val="448742A8"/>
    <w:rsid w:val="44983428"/>
    <w:rsid w:val="44C47D79"/>
    <w:rsid w:val="451A208F"/>
    <w:rsid w:val="45433394"/>
    <w:rsid w:val="457F23F7"/>
    <w:rsid w:val="45877724"/>
    <w:rsid w:val="458A0FC3"/>
    <w:rsid w:val="458D2861"/>
    <w:rsid w:val="45BB3260"/>
    <w:rsid w:val="46092999"/>
    <w:rsid w:val="4612476D"/>
    <w:rsid w:val="468F5CB4"/>
    <w:rsid w:val="46957C1F"/>
    <w:rsid w:val="46B53E1D"/>
    <w:rsid w:val="46C027C2"/>
    <w:rsid w:val="4743767B"/>
    <w:rsid w:val="474820C5"/>
    <w:rsid w:val="475B13E7"/>
    <w:rsid w:val="475F04D7"/>
    <w:rsid w:val="477379C1"/>
    <w:rsid w:val="47777325"/>
    <w:rsid w:val="47781914"/>
    <w:rsid w:val="47DD7AD0"/>
    <w:rsid w:val="47E70FBB"/>
    <w:rsid w:val="47F02414"/>
    <w:rsid w:val="481D611E"/>
    <w:rsid w:val="48221986"/>
    <w:rsid w:val="48B545A9"/>
    <w:rsid w:val="48D34790"/>
    <w:rsid w:val="48ED18F0"/>
    <w:rsid w:val="48F826E7"/>
    <w:rsid w:val="4929464F"/>
    <w:rsid w:val="494C6C0E"/>
    <w:rsid w:val="4955379A"/>
    <w:rsid w:val="498C348F"/>
    <w:rsid w:val="49C34AA3"/>
    <w:rsid w:val="49DA3B9B"/>
    <w:rsid w:val="49DA528B"/>
    <w:rsid w:val="49E36EF3"/>
    <w:rsid w:val="49FA4012"/>
    <w:rsid w:val="49FA5FEB"/>
    <w:rsid w:val="4A4F4589"/>
    <w:rsid w:val="4A5573E4"/>
    <w:rsid w:val="4A62606A"/>
    <w:rsid w:val="4A712751"/>
    <w:rsid w:val="4AAE5753"/>
    <w:rsid w:val="4AC46D25"/>
    <w:rsid w:val="4AF87271"/>
    <w:rsid w:val="4B380D6F"/>
    <w:rsid w:val="4B3A1029"/>
    <w:rsid w:val="4B555BCF"/>
    <w:rsid w:val="4B6E0A3F"/>
    <w:rsid w:val="4B771FE9"/>
    <w:rsid w:val="4BBC29D4"/>
    <w:rsid w:val="4BEB7E9C"/>
    <w:rsid w:val="4C443C2D"/>
    <w:rsid w:val="4C560DCF"/>
    <w:rsid w:val="4C723258"/>
    <w:rsid w:val="4C8300CC"/>
    <w:rsid w:val="4CB608EF"/>
    <w:rsid w:val="4D0E072B"/>
    <w:rsid w:val="4D0F1621"/>
    <w:rsid w:val="4D1F6318"/>
    <w:rsid w:val="4D24354A"/>
    <w:rsid w:val="4D4E6D7A"/>
    <w:rsid w:val="4D9A1FBF"/>
    <w:rsid w:val="4DBE0454"/>
    <w:rsid w:val="4DCE1F8B"/>
    <w:rsid w:val="4DF94F37"/>
    <w:rsid w:val="4E0D2791"/>
    <w:rsid w:val="4E2A6045"/>
    <w:rsid w:val="4E437F61"/>
    <w:rsid w:val="4E4E19C6"/>
    <w:rsid w:val="4E6F6FA8"/>
    <w:rsid w:val="4EB40E5E"/>
    <w:rsid w:val="4F1A33B7"/>
    <w:rsid w:val="4F411EB6"/>
    <w:rsid w:val="4F582EF7"/>
    <w:rsid w:val="4F6E60C1"/>
    <w:rsid w:val="4FBA24A4"/>
    <w:rsid w:val="4FBB7FCB"/>
    <w:rsid w:val="50100316"/>
    <w:rsid w:val="502A41CA"/>
    <w:rsid w:val="50983373"/>
    <w:rsid w:val="50AB5953"/>
    <w:rsid w:val="50D60C20"/>
    <w:rsid w:val="51134562"/>
    <w:rsid w:val="51183927"/>
    <w:rsid w:val="5135755A"/>
    <w:rsid w:val="51574F11"/>
    <w:rsid w:val="517B73AD"/>
    <w:rsid w:val="518A5306"/>
    <w:rsid w:val="51983548"/>
    <w:rsid w:val="51AB3D3B"/>
    <w:rsid w:val="51BD3D23"/>
    <w:rsid w:val="51D04201"/>
    <w:rsid w:val="51DA0BDC"/>
    <w:rsid w:val="51DC4954"/>
    <w:rsid w:val="521A27DD"/>
    <w:rsid w:val="52534816"/>
    <w:rsid w:val="52634928"/>
    <w:rsid w:val="52A0414F"/>
    <w:rsid w:val="53277999"/>
    <w:rsid w:val="5328255F"/>
    <w:rsid w:val="53987EBC"/>
    <w:rsid w:val="53A35FB7"/>
    <w:rsid w:val="53E24E44"/>
    <w:rsid w:val="53F94527"/>
    <w:rsid w:val="54014B46"/>
    <w:rsid w:val="54297BF9"/>
    <w:rsid w:val="5472334E"/>
    <w:rsid w:val="54DB5397"/>
    <w:rsid w:val="55007FCE"/>
    <w:rsid w:val="55032C27"/>
    <w:rsid w:val="550348EE"/>
    <w:rsid w:val="55142657"/>
    <w:rsid w:val="555D5DAC"/>
    <w:rsid w:val="5563097D"/>
    <w:rsid w:val="556F4EE2"/>
    <w:rsid w:val="55977CE7"/>
    <w:rsid w:val="55D21BD3"/>
    <w:rsid w:val="55E9246E"/>
    <w:rsid w:val="56312D95"/>
    <w:rsid w:val="564725B8"/>
    <w:rsid w:val="56652099"/>
    <w:rsid w:val="56680EAC"/>
    <w:rsid w:val="56843C9F"/>
    <w:rsid w:val="569B3338"/>
    <w:rsid w:val="56A40209"/>
    <w:rsid w:val="56F5281F"/>
    <w:rsid w:val="57186B34"/>
    <w:rsid w:val="573E766F"/>
    <w:rsid w:val="57522003"/>
    <w:rsid w:val="5765355C"/>
    <w:rsid w:val="57690BD0"/>
    <w:rsid w:val="576F0018"/>
    <w:rsid w:val="57C15E41"/>
    <w:rsid w:val="57CA1153"/>
    <w:rsid w:val="57E44562"/>
    <w:rsid w:val="57E46E53"/>
    <w:rsid w:val="580118E9"/>
    <w:rsid w:val="580E253F"/>
    <w:rsid w:val="58254B7B"/>
    <w:rsid w:val="584A495B"/>
    <w:rsid w:val="5892758E"/>
    <w:rsid w:val="58947716"/>
    <w:rsid w:val="58A65CBC"/>
    <w:rsid w:val="58B66C06"/>
    <w:rsid w:val="58C779E0"/>
    <w:rsid w:val="58E81E30"/>
    <w:rsid w:val="5909228A"/>
    <w:rsid w:val="59154BEF"/>
    <w:rsid w:val="59433EDE"/>
    <w:rsid w:val="59CA7788"/>
    <w:rsid w:val="5A1B6236"/>
    <w:rsid w:val="5A2E712E"/>
    <w:rsid w:val="5A2F2D66"/>
    <w:rsid w:val="5A6C562B"/>
    <w:rsid w:val="5A6D6164"/>
    <w:rsid w:val="5A86004F"/>
    <w:rsid w:val="5A8938AD"/>
    <w:rsid w:val="5A9164F8"/>
    <w:rsid w:val="5AAE69DB"/>
    <w:rsid w:val="5AF0582F"/>
    <w:rsid w:val="5AF947C9"/>
    <w:rsid w:val="5B1B6AA6"/>
    <w:rsid w:val="5B224E28"/>
    <w:rsid w:val="5B451BE5"/>
    <w:rsid w:val="5B7D7A78"/>
    <w:rsid w:val="5B903A1C"/>
    <w:rsid w:val="5BAD3523"/>
    <w:rsid w:val="5BAF7B56"/>
    <w:rsid w:val="5BD91F04"/>
    <w:rsid w:val="5BDB5C7C"/>
    <w:rsid w:val="5BE2525D"/>
    <w:rsid w:val="5BF611E3"/>
    <w:rsid w:val="5C092082"/>
    <w:rsid w:val="5C0E6052"/>
    <w:rsid w:val="5C313AEE"/>
    <w:rsid w:val="5C86208C"/>
    <w:rsid w:val="5C9F2F14"/>
    <w:rsid w:val="5CAC7619"/>
    <w:rsid w:val="5D131446"/>
    <w:rsid w:val="5D6D6DA8"/>
    <w:rsid w:val="5D755C5D"/>
    <w:rsid w:val="5D7C18C6"/>
    <w:rsid w:val="5DA14CA4"/>
    <w:rsid w:val="5DA779D9"/>
    <w:rsid w:val="5DC84953"/>
    <w:rsid w:val="5DDC3F2E"/>
    <w:rsid w:val="5E0C01F1"/>
    <w:rsid w:val="5E9D051F"/>
    <w:rsid w:val="5EAC56AE"/>
    <w:rsid w:val="5EDA0A8B"/>
    <w:rsid w:val="5F0537AA"/>
    <w:rsid w:val="5F162912"/>
    <w:rsid w:val="5F20072A"/>
    <w:rsid w:val="5F2117F1"/>
    <w:rsid w:val="5F27754A"/>
    <w:rsid w:val="5F2B3E04"/>
    <w:rsid w:val="5F3C1128"/>
    <w:rsid w:val="5F760F40"/>
    <w:rsid w:val="5FF3691B"/>
    <w:rsid w:val="5FFF5CB2"/>
    <w:rsid w:val="60161979"/>
    <w:rsid w:val="60673F83"/>
    <w:rsid w:val="606E1F64"/>
    <w:rsid w:val="607B7A2E"/>
    <w:rsid w:val="609E5FA7"/>
    <w:rsid w:val="60C253E7"/>
    <w:rsid w:val="60CE0B25"/>
    <w:rsid w:val="60F021CA"/>
    <w:rsid w:val="61555832"/>
    <w:rsid w:val="617D0E5A"/>
    <w:rsid w:val="61842912"/>
    <w:rsid w:val="61A30FEA"/>
    <w:rsid w:val="61D5316E"/>
    <w:rsid w:val="61D67CE4"/>
    <w:rsid w:val="61DB6D9C"/>
    <w:rsid w:val="61EF4230"/>
    <w:rsid w:val="6200643D"/>
    <w:rsid w:val="623C3CCB"/>
    <w:rsid w:val="6277131B"/>
    <w:rsid w:val="62894736"/>
    <w:rsid w:val="62EC69C1"/>
    <w:rsid w:val="63520F1A"/>
    <w:rsid w:val="636E0BBA"/>
    <w:rsid w:val="63964B41"/>
    <w:rsid w:val="63994A58"/>
    <w:rsid w:val="640026DC"/>
    <w:rsid w:val="640C1F5B"/>
    <w:rsid w:val="646C600B"/>
    <w:rsid w:val="647C3D75"/>
    <w:rsid w:val="649222FF"/>
    <w:rsid w:val="64B27796"/>
    <w:rsid w:val="64B86C5F"/>
    <w:rsid w:val="64CC5E52"/>
    <w:rsid w:val="64DA0DFC"/>
    <w:rsid w:val="64FD5E87"/>
    <w:rsid w:val="65785BCE"/>
    <w:rsid w:val="658C3A08"/>
    <w:rsid w:val="658D4138"/>
    <w:rsid w:val="65B768E4"/>
    <w:rsid w:val="66043DF1"/>
    <w:rsid w:val="661D46CA"/>
    <w:rsid w:val="66887A48"/>
    <w:rsid w:val="66B94E0C"/>
    <w:rsid w:val="66BB1AFB"/>
    <w:rsid w:val="66CF7EED"/>
    <w:rsid w:val="66DE45A9"/>
    <w:rsid w:val="66E83943"/>
    <w:rsid w:val="670F317A"/>
    <w:rsid w:val="673D6A15"/>
    <w:rsid w:val="67960780"/>
    <w:rsid w:val="682E5386"/>
    <w:rsid w:val="683726A5"/>
    <w:rsid w:val="683F5045"/>
    <w:rsid w:val="684B23DC"/>
    <w:rsid w:val="68576EF7"/>
    <w:rsid w:val="6874548F"/>
    <w:rsid w:val="68817FE2"/>
    <w:rsid w:val="688D47A2"/>
    <w:rsid w:val="68CD623B"/>
    <w:rsid w:val="68DB72BC"/>
    <w:rsid w:val="68FD36D6"/>
    <w:rsid w:val="690164B5"/>
    <w:rsid w:val="691138D3"/>
    <w:rsid w:val="69562DE6"/>
    <w:rsid w:val="695E105C"/>
    <w:rsid w:val="696012B6"/>
    <w:rsid w:val="69642093"/>
    <w:rsid w:val="69B239D8"/>
    <w:rsid w:val="69C02956"/>
    <w:rsid w:val="69CA6B08"/>
    <w:rsid w:val="6A042666"/>
    <w:rsid w:val="6A0A5231"/>
    <w:rsid w:val="6A38073E"/>
    <w:rsid w:val="6A9736F0"/>
    <w:rsid w:val="6AA67D9D"/>
    <w:rsid w:val="6ABC2EF8"/>
    <w:rsid w:val="6AF830B1"/>
    <w:rsid w:val="6B1715B7"/>
    <w:rsid w:val="6B2C2051"/>
    <w:rsid w:val="6B3233DF"/>
    <w:rsid w:val="6B680BAF"/>
    <w:rsid w:val="6B6C68F1"/>
    <w:rsid w:val="6BA17D14"/>
    <w:rsid w:val="6BAA7419"/>
    <w:rsid w:val="6BB42FE3"/>
    <w:rsid w:val="6BBB33D4"/>
    <w:rsid w:val="6BCC55E2"/>
    <w:rsid w:val="6BE94C15"/>
    <w:rsid w:val="6BEA8026"/>
    <w:rsid w:val="6C0C5BDB"/>
    <w:rsid w:val="6C6770B8"/>
    <w:rsid w:val="6C845EBC"/>
    <w:rsid w:val="6CA41CC8"/>
    <w:rsid w:val="6CC20E82"/>
    <w:rsid w:val="6CD05E9D"/>
    <w:rsid w:val="6CD26C28"/>
    <w:rsid w:val="6CF3436B"/>
    <w:rsid w:val="6D04612D"/>
    <w:rsid w:val="6D056FFD"/>
    <w:rsid w:val="6D3F3B91"/>
    <w:rsid w:val="6D443964"/>
    <w:rsid w:val="6D5B6316"/>
    <w:rsid w:val="6D7C6B93"/>
    <w:rsid w:val="6D9143ED"/>
    <w:rsid w:val="6DC74A88"/>
    <w:rsid w:val="6DD724DA"/>
    <w:rsid w:val="6DDC0B81"/>
    <w:rsid w:val="6DEA2117"/>
    <w:rsid w:val="6DF13E21"/>
    <w:rsid w:val="6E041063"/>
    <w:rsid w:val="6E0C6BA8"/>
    <w:rsid w:val="6E4C538F"/>
    <w:rsid w:val="6E8C1058"/>
    <w:rsid w:val="6E913A99"/>
    <w:rsid w:val="6EBF142E"/>
    <w:rsid w:val="6ED722D3"/>
    <w:rsid w:val="6EE175F6"/>
    <w:rsid w:val="6F7C2E7B"/>
    <w:rsid w:val="6FC36D9E"/>
    <w:rsid w:val="6FE70C3C"/>
    <w:rsid w:val="70076BE8"/>
    <w:rsid w:val="70852D97"/>
    <w:rsid w:val="708D69DB"/>
    <w:rsid w:val="70A47AAD"/>
    <w:rsid w:val="70AE40C7"/>
    <w:rsid w:val="70C25205"/>
    <w:rsid w:val="70DA254F"/>
    <w:rsid w:val="70E51DA8"/>
    <w:rsid w:val="70F20FE3"/>
    <w:rsid w:val="71174B27"/>
    <w:rsid w:val="71863042"/>
    <w:rsid w:val="71946BA2"/>
    <w:rsid w:val="71A843FB"/>
    <w:rsid w:val="71C22866"/>
    <w:rsid w:val="71C97895"/>
    <w:rsid w:val="721D0945"/>
    <w:rsid w:val="721E450C"/>
    <w:rsid w:val="7256750B"/>
    <w:rsid w:val="7262278F"/>
    <w:rsid w:val="72AB337C"/>
    <w:rsid w:val="72D73D3D"/>
    <w:rsid w:val="72E016AA"/>
    <w:rsid w:val="733633B7"/>
    <w:rsid w:val="73394BB6"/>
    <w:rsid w:val="73397A01"/>
    <w:rsid w:val="736A253A"/>
    <w:rsid w:val="73A429A0"/>
    <w:rsid w:val="73AC2D59"/>
    <w:rsid w:val="73BE1CB4"/>
    <w:rsid w:val="73EC5B91"/>
    <w:rsid w:val="73FC458A"/>
    <w:rsid w:val="7420522D"/>
    <w:rsid w:val="742E7E7F"/>
    <w:rsid w:val="74351BF5"/>
    <w:rsid w:val="747B5DF7"/>
    <w:rsid w:val="74C002E8"/>
    <w:rsid w:val="74CF1255"/>
    <w:rsid w:val="74E7523A"/>
    <w:rsid w:val="74FB54A4"/>
    <w:rsid w:val="751A7B05"/>
    <w:rsid w:val="751F40B7"/>
    <w:rsid w:val="75220020"/>
    <w:rsid w:val="755522F8"/>
    <w:rsid w:val="755E2DEF"/>
    <w:rsid w:val="75611CC1"/>
    <w:rsid w:val="756E1C38"/>
    <w:rsid w:val="75846F2D"/>
    <w:rsid w:val="75A03D67"/>
    <w:rsid w:val="75DD731F"/>
    <w:rsid w:val="76041198"/>
    <w:rsid w:val="7621652A"/>
    <w:rsid w:val="76265AC6"/>
    <w:rsid w:val="763A2EF5"/>
    <w:rsid w:val="763D3505"/>
    <w:rsid w:val="76642085"/>
    <w:rsid w:val="768014A2"/>
    <w:rsid w:val="7682438C"/>
    <w:rsid w:val="768857E3"/>
    <w:rsid w:val="768D4B1F"/>
    <w:rsid w:val="769D2054"/>
    <w:rsid w:val="76C31EDD"/>
    <w:rsid w:val="76EC2FDC"/>
    <w:rsid w:val="77060EB2"/>
    <w:rsid w:val="77120FDD"/>
    <w:rsid w:val="775C2950"/>
    <w:rsid w:val="77610F13"/>
    <w:rsid w:val="77746C51"/>
    <w:rsid w:val="778C37F8"/>
    <w:rsid w:val="779C230C"/>
    <w:rsid w:val="779D7E32"/>
    <w:rsid w:val="77B12E34"/>
    <w:rsid w:val="77D46CD2"/>
    <w:rsid w:val="77D83D50"/>
    <w:rsid w:val="781D0CC1"/>
    <w:rsid w:val="7823193A"/>
    <w:rsid w:val="782E61C7"/>
    <w:rsid w:val="783B33E4"/>
    <w:rsid w:val="7844130F"/>
    <w:rsid w:val="78534B66"/>
    <w:rsid w:val="785B3F75"/>
    <w:rsid w:val="787B0197"/>
    <w:rsid w:val="787E1A12"/>
    <w:rsid w:val="78BE10F6"/>
    <w:rsid w:val="78CA4C57"/>
    <w:rsid w:val="78D43D28"/>
    <w:rsid w:val="78DD2BDC"/>
    <w:rsid w:val="791255B2"/>
    <w:rsid w:val="793A1DDD"/>
    <w:rsid w:val="79435553"/>
    <w:rsid w:val="794672BF"/>
    <w:rsid w:val="79CB512B"/>
    <w:rsid w:val="79E263BE"/>
    <w:rsid w:val="7A064282"/>
    <w:rsid w:val="7A3C1D44"/>
    <w:rsid w:val="7A9E283F"/>
    <w:rsid w:val="7AAD2D20"/>
    <w:rsid w:val="7ACB4CB6"/>
    <w:rsid w:val="7ADD5362"/>
    <w:rsid w:val="7B036E36"/>
    <w:rsid w:val="7B0E3521"/>
    <w:rsid w:val="7B1A0118"/>
    <w:rsid w:val="7B31160A"/>
    <w:rsid w:val="7B4E023F"/>
    <w:rsid w:val="7B62386D"/>
    <w:rsid w:val="7B6E2211"/>
    <w:rsid w:val="7BA50A03"/>
    <w:rsid w:val="7BAB4A6E"/>
    <w:rsid w:val="7BAD0A4E"/>
    <w:rsid w:val="7BB00E61"/>
    <w:rsid w:val="7BD227A0"/>
    <w:rsid w:val="7C130F8E"/>
    <w:rsid w:val="7C1822AA"/>
    <w:rsid w:val="7C3C5538"/>
    <w:rsid w:val="7C415704"/>
    <w:rsid w:val="7C85264B"/>
    <w:rsid w:val="7CA06753"/>
    <w:rsid w:val="7CB43242"/>
    <w:rsid w:val="7CB61824"/>
    <w:rsid w:val="7CBD69D7"/>
    <w:rsid w:val="7CC76395"/>
    <w:rsid w:val="7CEF2EDE"/>
    <w:rsid w:val="7D1961AD"/>
    <w:rsid w:val="7D4F7E21"/>
    <w:rsid w:val="7D790DF2"/>
    <w:rsid w:val="7D7A30EF"/>
    <w:rsid w:val="7D9D293A"/>
    <w:rsid w:val="7DA51A4B"/>
    <w:rsid w:val="7E0B01EB"/>
    <w:rsid w:val="7E1E7F1F"/>
    <w:rsid w:val="7E321E60"/>
    <w:rsid w:val="7E390B0F"/>
    <w:rsid w:val="7E493D4F"/>
    <w:rsid w:val="7E5356EF"/>
    <w:rsid w:val="7E881DA7"/>
    <w:rsid w:val="7E894498"/>
    <w:rsid w:val="7E9B65C0"/>
    <w:rsid w:val="7E9D7975"/>
    <w:rsid w:val="7F060C17"/>
    <w:rsid w:val="7F0C421B"/>
    <w:rsid w:val="7F2F766E"/>
    <w:rsid w:val="7F3D58B7"/>
    <w:rsid w:val="7F6B3277"/>
    <w:rsid w:val="7F7C3A97"/>
    <w:rsid w:val="7F9051D5"/>
    <w:rsid w:val="7F9C372F"/>
    <w:rsid w:val="7FC04A2E"/>
    <w:rsid w:val="7FE01204"/>
    <w:rsid w:val="7FFA67D9"/>
    <w:rsid w:val="7FFB9374"/>
    <w:rsid w:val="7FFC4290"/>
    <w:rsid w:val="DFBBF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link w:val="43"/>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3">
    <w:name w:val="heading 4"/>
    <w:basedOn w:val="1"/>
    <w:next w:val="1"/>
    <w:qFormat/>
    <w:uiPriority w:val="0"/>
    <w:pPr>
      <w:keepNext/>
      <w:keepLines/>
      <w:spacing w:line="374" w:lineRule="auto"/>
      <w:outlineLvl w:val="3"/>
    </w:pPr>
    <w:rPr>
      <w:rFonts w:ascii="Arial" w:hAnsi="Arial"/>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adjustRightInd w:val="0"/>
      <w:spacing w:line="360" w:lineRule="atLeast"/>
      <w:jc w:val="left"/>
      <w:textAlignment w:val="baseline"/>
    </w:pPr>
    <w:rPr>
      <w:kern w:val="0"/>
    </w:rPr>
  </w:style>
  <w:style w:type="paragraph" w:styleId="5">
    <w:name w:val="Body Text"/>
    <w:basedOn w:val="1"/>
    <w:next w:val="6"/>
    <w:qFormat/>
    <w:uiPriority w:val="0"/>
    <w:rPr>
      <w:rFonts w:ascii="Arial" w:hAnsi="Arial" w:eastAsia="Arial" w:cs="Arial"/>
      <w:sz w:val="21"/>
      <w:szCs w:val="21"/>
      <w:lang w:val="en-US" w:eastAsia="en-US" w:bidi="ar-SA"/>
    </w:rPr>
  </w:style>
  <w:style w:type="paragraph" w:styleId="6">
    <w:name w:val="Body Text 2"/>
    <w:basedOn w:val="1"/>
    <w:qFormat/>
    <w:uiPriority w:val="0"/>
    <w:pPr>
      <w:spacing w:line="500" w:lineRule="exact"/>
    </w:pPr>
    <w:rPr>
      <w:rFonts w:ascii="宋体" w:hAnsi="Times New Roman" w:eastAsia="宋体" w:cs="Times New Roman"/>
      <w:sz w:val="24"/>
    </w:rPr>
  </w:style>
  <w:style w:type="paragraph" w:styleId="7">
    <w:name w:val="toc 3"/>
    <w:basedOn w:val="1"/>
    <w:next w:val="1"/>
    <w:qFormat/>
    <w:uiPriority w:val="0"/>
    <w:pPr>
      <w:ind w:left="840" w:leftChars="400"/>
    </w:pPr>
    <w:rPr>
      <w:rFonts w:ascii="Arial" w:hAnsi="Arial" w:eastAsia="宋体"/>
    </w:rPr>
  </w:style>
  <w:style w:type="paragraph" w:styleId="8">
    <w:name w:val="Plain Text"/>
    <w:basedOn w:val="1"/>
    <w:qFormat/>
    <w:uiPriority w:val="0"/>
    <w:rPr>
      <w:rFonts w:ascii="宋体" w:hAnsi="Courier New"/>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qFormat/>
    <w:uiPriority w:val="99"/>
    <w:pPr>
      <w:spacing w:line="240" w:lineRule="auto"/>
      <w:ind w:firstLine="420" w:firstLineChars="100"/>
    </w:pPr>
    <w:rPr>
      <w:rFonts w:ascii="Times New Roman" w:cs="Times New Roman"/>
      <w:sz w:val="20"/>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0"/>
    <w:rPr>
      <w:i/>
    </w:rPr>
  </w:style>
  <w:style w:type="paragraph" w:customStyle="1" w:styleId="18">
    <w:name w:val="Default"/>
    <w:unhideWhenUsed/>
    <w:qFormat/>
    <w:uiPriority w:val="99"/>
    <w:pPr>
      <w:widowControl w:val="0"/>
      <w:autoSpaceDE w:val="0"/>
      <w:autoSpaceDN w:val="0"/>
      <w:adjustRightInd w:val="0"/>
    </w:pPr>
    <w:rPr>
      <w:rFonts w:hint="eastAsia" w:ascii="Arial Unicode MS" w:hAnsi="Arial Unicode MS" w:eastAsia="Arial Unicode MS" w:cs="Times New Roman"/>
      <w:color w:val="000000"/>
      <w:sz w:val="24"/>
      <w:lang w:val="en-US" w:eastAsia="zh-CN" w:bidi="ar-SA"/>
    </w:rPr>
  </w:style>
  <w:style w:type="paragraph" w:customStyle="1" w:styleId="19">
    <w:name w:val="UserStyle_43"/>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character" w:customStyle="1" w:styleId="20">
    <w:name w:val="NormalCharacter"/>
    <w:qFormat/>
    <w:uiPriority w:val="99"/>
  </w:style>
  <w:style w:type="paragraph" w:customStyle="1" w:styleId="21">
    <w:name w:val="Table Text"/>
    <w:basedOn w:val="1"/>
    <w:semiHidden/>
    <w:qFormat/>
    <w:uiPriority w:val="0"/>
    <w:rPr>
      <w:rFonts w:ascii="Arial" w:hAnsi="Arial" w:eastAsia="Arial" w:cs="Arial"/>
      <w:sz w:val="21"/>
      <w:szCs w:val="21"/>
      <w:lang w:val="en-US" w:eastAsia="en-US" w:bidi="ar-SA"/>
    </w:rPr>
  </w:style>
  <w:style w:type="paragraph" w:customStyle="1" w:styleId="2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缩进1"/>
    <w:basedOn w:val="1"/>
    <w:qFormat/>
    <w:uiPriority w:val="0"/>
    <w:pPr>
      <w:widowControl/>
      <w:ind w:firstLine="420"/>
      <w:jc w:val="left"/>
    </w:pPr>
    <w:rPr>
      <w:kern w:val="0"/>
    </w:rPr>
  </w:style>
  <w:style w:type="paragraph" w:customStyle="1" w:styleId="24">
    <w:name w:val="UserStyle_19"/>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25">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6">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7">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Heading2"/>
    <w:basedOn w:val="1"/>
    <w:next w:val="1"/>
    <w:qFormat/>
    <w:uiPriority w:val="99"/>
    <w:pPr>
      <w:jc w:val="left"/>
    </w:pPr>
    <w:rPr>
      <w:kern w:val="0"/>
    </w:rPr>
  </w:style>
  <w:style w:type="paragraph" w:customStyle="1" w:styleId="30">
    <w:name w:val="AnnotationText"/>
    <w:basedOn w:val="1"/>
    <w:qFormat/>
    <w:uiPriority w:val="99"/>
    <w:pPr>
      <w:spacing w:line="360" w:lineRule="atLeast"/>
      <w:jc w:val="left"/>
    </w:pPr>
    <w:rPr>
      <w:kern w:val="0"/>
    </w:rPr>
  </w:style>
  <w:style w:type="paragraph" w:customStyle="1" w:styleId="31">
    <w:name w:val="UserStyle_44"/>
    <w:basedOn w:val="32"/>
    <w:qFormat/>
    <w:uiPriority w:val="99"/>
    <w:rPr>
      <w:sz w:val="24"/>
      <w:szCs w:val="24"/>
    </w:rPr>
  </w:style>
  <w:style w:type="paragraph" w:customStyle="1" w:styleId="32">
    <w:name w:val="UserStyle_33"/>
    <w:qFormat/>
    <w:uiPriority w:val="99"/>
    <w:pPr>
      <w:jc w:val="both"/>
      <w:textAlignment w:val="baseline"/>
    </w:pPr>
    <w:rPr>
      <w:rFonts w:ascii="Times New Roman" w:hAnsi="Times New Roman" w:eastAsia="宋体" w:cs="Times New Roman"/>
      <w:kern w:val="2"/>
      <w:sz w:val="21"/>
      <w:szCs w:val="21"/>
      <w:lang w:val="en-US" w:eastAsia="zh-CN" w:bidi="ar-SA"/>
    </w:rPr>
  </w:style>
  <w:style w:type="paragraph" w:customStyle="1" w:styleId="33">
    <w:name w:val="UserStyle_4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34">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5">
    <w:name w:val="文一"/>
    <w:basedOn w:val="1"/>
    <w:qFormat/>
    <w:uiPriority w:val="0"/>
    <w:pPr>
      <w:topLinePunct/>
      <w:adjustRightInd w:val="0"/>
      <w:snapToGrid w:val="0"/>
      <w:ind w:firstLine="200" w:firstLineChars="200"/>
    </w:pPr>
    <w:rPr>
      <w:rFonts w:ascii="Calibri" w:hAnsi="Calibri"/>
      <w:snapToGrid w:val="0"/>
      <w:spacing w:val="4"/>
      <w:kern w:val="0"/>
      <w:szCs w:val="22"/>
    </w:rPr>
  </w:style>
  <w:style w:type="paragraph" w:customStyle="1" w:styleId="36">
    <w:name w:val="BodyText"/>
    <w:basedOn w:val="1"/>
    <w:next w:val="37"/>
    <w:qFormat/>
    <w:uiPriority w:val="99"/>
    <w:pPr>
      <w:spacing w:after="120"/>
    </w:pPr>
  </w:style>
  <w:style w:type="paragraph" w:customStyle="1" w:styleId="37">
    <w:name w:val="BodyText2"/>
    <w:basedOn w:val="1"/>
    <w:qFormat/>
    <w:uiPriority w:val="99"/>
    <w:pPr>
      <w:spacing w:line="500" w:lineRule="exact"/>
    </w:pPr>
  </w:style>
  <w:style w:type="paragraph" w:customStyle="1" w:styleId="38">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9">
    <w:name w:val="正文缩进 New"/>
    <w:basedOn w:val="40"/>
    <w:qFormat/>
    <w:uiPriority w:val="0"/>
    <w:pPr>
      <w:widowControl/>
      <w:ind w:firstLine="420"/>
      <w:jc w:val="left"/>
    </w:pPr>
    <w:rPr>
      <w:kern w:val="0"/>
      <w:sz w:val="20"/>
    </w:rPr>
  </w:style>
  <w:style w:type="paragraph" w:customStyle="1" w:styleId="40">
    <w:name w:val="正文 New New New New New New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 New"/>
    <w:basedOn w:val="1"/>
    <w:qFormat/>
    <w:uiPriority w:val="0"/>
    <w:pPr>
      <w:spacing w:after="120" w:line="360" w:lineRule="auto"/>
    </w:pPr>
    <w:rPr>
      <w:rFonts w:ascii="宋体" w:hAnsi="Times New Roman" w:eastAsia="宋体" w:cs="Times New Roman"/>
      <w:sz w:val="24"/>
      <w:szCs w:val="20"/>
    </w:rPr>
  </w:style>
  <w:style w:type="character" w:customStyle="1" w:styleId="42">
    <w:name w:val="正文文本 (2) + 间距 0 pt3"/>
    <w:basedOn w:val="16"/>
    <w:qFormat/>
    <w:uiPriority w:val="0"/>
    <w:rPr>
      <w:rFonts w:ascii="MingLiU" w:hAnsi="Times New Roman" w:eastAsia="MingLiU" w:cs="MingLiU"/>
      <w:spacing w:val="0"/>
      <w:sz w:val="22"/>
      <w:szCs w:val="22"/>
      <w:u w:val="none"/>
    </w:rPr>
  </w:style>
  <w:style w:type="character" w:customStyle="1" w:styleId="43">
    <w:name w:val="标题 2 字符"/>
    <w:link w:val="2"/>
    <w:qFormat/>
    <w:uiPriority w:val="0"/>
    <w:rPr>
      <w:rFonts w:hint="eastAsia" w:ascii="宋体" w:hAnsi="宋体" w:eastAsia="宋体" w:cs="宋体"/>
      <w:b/>
      <w:bCs/>
      <w:kern w:val="0"/>
      <w:sz w:val="36"/>
      <w:szCs w:val="36"/>
      <w:lang w:val="en-US" w:eastAsia="zh-CN" w:bidi="ar"/>
    </w:rPr>
  </w:style>
  <w:style w:type="paragraph" w:customStyle="1" w:styleId="44">
    <w:name w:val="标题 3 New New"/>
    <w:basedOn w:val="39"/>
    <w:next w:val="39"/>
    <w:qFormat/>
    <w:uiPriority w:val="0"/>
    <w:pPr>
      <w:keepNext/>
      <w:keepLines/>
      <w:spacing w:before="120" w:beforeLines="0" w:beforeAutospacing="0" w:after="120" w:afterLines="0" w:afterAutospacing="0"/>
      <w:jc w:val="center"/>
      <w:outlineLvl w:val="2"/>
    </w:pPr>
    <w:rPr>
      <w:rFonts w:ascii="Times New Roman" w:hAnsi="Times New Roman" w:eastAsia="宋体" w:cs="Times New Roman"/>
      <w:sz w:val="24"/>
    </w:rPr>
  </w:style>
  <w:style w:type="paragraph" w:customStyle="1" w:styleId="45">
    <w:name w:val="UserStyle_76"/>
    <w:basedOn w:val="46"/>
    <w:qFormat/>
    <w:uiPriority w:val="99"/>
    <w:pPr>
      <w:ind w:firstLine="420"/>
      <w:jc w:val="left"/>
    </w:pPr>
    <w:rPr>
      <w:kern w:val="0"/>
      <w:sz w:val="20"/>
      <w:szCs w:val="20"/>
    </w:rPr>
  </w:style>
  <w:style w:type="paragraph" w:customStyle="1" w:styleId="46">
    <w:name w:val="UserStyle_15"/>
    <w:qFormat/>
    <w:uiPriority w:val="99"/>
    <w:pPr>
      <w:spacing w:line="360" w:lineRule="auto"/>
      <w:jc w:val="both"/>
      <w:textAlignment w:val="baseline"/>
    </w:pPr>
    <w:rPr>
      <w:rFonts w:ascii="宋体" w:hAnsi="Times New Roman" w:eastAsia="宋体" w:cs="宋体"/>
      <w:kern w:val="2"/>
      <w:sz w:val="24"/>
      <w:szCs w:val="24"/>
      <w:lang w:val="en-US" w:eastAsia="zh-CN" w:bidi="ar-SA"/>
    </w:rPr>
  </w:style>
  <w:style w:type="paragraph" w:customStyle="1" w:styleId="47">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48">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9">
    <w:name w:val="Normal Indent"/>
    <w:basedOn w:val="1"/>
    <w:qFormat/>
    <w:uiPriority w:val="0"/>
    <w:pPr>
      <w:widowControl/>
      <w:spacing w:line="360" w:lineRule="auto"/>
      <w:ind w:firstLine="420"/>
      <w:jc w:val="left"/>
    </w:pPr>
    <w:rPr>
      <w:rFonts w:ascii="宋体" w:hAnsi="Times New Roman"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8" Type="http://schemas.openxmlformats.org/officeDocument/2006/relationships/fontTable" Target="fontTable.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17.png"/><Relationship Id="rId54" Type="http://schemas.openxmlformats.org/officeDocument/2006/relationships/image" Target="media/image16.jpeg"/><Relationship Id="rId53" Type="http://schemas.openxmlformats.org/officeDocument/2006/relationships/image" Target="media/image15.png"/><Relationship Id="rId52" Type="http://schemas.openxmlformats.org/officeDocument/2006/relationships/image" Target="media/image14.png"/><Relationship Id="rId51" Type="http://schemas.openxmlformats.org/officeDocument/2006/relationships/image" Target="media/image13.wmf"/><Relationship Id="rId50" Type="http://schemas.openxmlformats.org/officeDocument/2006/relationships/oleObject" Target="embeddings/oleObject12.bin"/><Relationship Id="rId5" Type="http://schemas.openxmlformats.org/officeDocument/2006/relationships/footer" Target="footer1.xml"/><Relationship Id="rId49" Type="http://schemas.openxmlformats.org/officeDocument/2006/relationships/image" Target="media/image12.wmf"/><Relationship Id="rId48" Type="http://schemas.openxmlformats.org/officeDocument/2006/relationships/oleObject" Target="embeddings/oleObject11.bin"/><Relationship Id="rId47" Type="http://schemas.openxmlformats.org/officeDocument/2006/relationships/image" Target="media/image11.wmf"/><Relationship Id="rId46" Type="http://schemas.openxmlformats.org/officeDocument/2006/relationships/oleObject" Target="embeddings/oleObject10.bin"/><Relationship Id="rId45" Type="http://schemas.openxmlformats.org/officeDocument/2006/relationships/image" Target="media/image10.wmf"/><Relationship Id="rId44" Type="http://schemas.openxmlformats.org/officeDocument/2006/relationships/oleObject" Target="embeddings/oleObject9.bin"/><Relationship Id="rId43" Type="http://schemas.openxmlformats.org/officeDocument/2006/relationships/image" Target="media/image9.wmf"/><Relationship Id="rId42" Type="http://schemas.openxmlformats.org/officeDocument/2006/relationships/oleObject" Target="embeddings/oleObject8.bin"/><Relationship Id="rId41" Type="http://schemas.openxmlformats.org/officeDocument/2006/relationships/image" Target="media/image8.wmf"/><Relationship Id="rId40" Type="http://schemas.openxmlformats.org/officeDocument/2006/relationships/oleObject" Target="embeddings/oleObject7.bin"/><Relationship Id="rId4" Type="http://schemas.openxmlformats.org/officeDocument/2006/relationships/header" Target="header2.xml"/><Relationship Id="rId39" Type="http://schemas.openxmlformats.org/officeDocument/2006/relationships/image" Target="media/image7.wmf"/><Relationship Id="rId38" Type="http://schemas.openxmlformats.org/officeDocument/2006/relationships/oleObject" Target="embeddings/oleObject6.bin"/><Relationship Id="rId37" Type="http://schemas.openxmlformats.org/officeDocument/2006/relationships/image" Target="media/image6.wmf"/><Relationship Id="rId36" Type="http://schemas.openxmlformats.org/officeDocument/2006/relationships/oleObject" Target="embeddings/oleObject5.bin"/><Relationship Id="rId35" Type="http://schemas.openxmlformats.org/officeDocument/2006/relationships/image" Target="media/image5.wmf"/><Relationship Id="rId34" Type="http://schemas.openxmlformats.org/officeDocument/2006/relationships/oleObject" Target="embeddings/oleObject4.bin"/><Relationship Id="rId33" Type="http://schemas.openxmlformats.org/officeDocument/2006/relationships/image" Target="media/image4.wmf"/><Relationship Id="rId32" Type="http://schemas.openxmlformats.org/officeDocument/2006/relationships/oleObject" Target="embeddings/oleObject3.bin"/><Relationship Id="rId31" Type="http://schemas.openxmlformats.org/officeDocument/2006/relationships/image" Target="media/image3.wmf"/><Relationship Id="rId30" Type="http://schemas.openxmlformats.org/officeDocument/2006/relationships/oleObject" Target="embeddings/oleObject2.bin"/><Relationship Id="rId3" Type="http://schemas.openxmlformats.org/officeDocument/2006/relationships/header" Target="header1.xml"/><Relationship Id="rId29" Type="http://schemas.openxmlformats.org/officeDocument/2006/relationships/image" Target="media/image2.wmf"/><Relationship Id="rId28" Type="http://schemas.openxmlformats.org/officeDocument/2006/relationships/oleObject" Target="embeddings/oleObject1.bin"/><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34823</Words>
  <Characters>37186</Characters>
  <Lines>0</Lines>
  <Paragraphs>0</Paragraphs>
  <TotalTime>26</TotalTime>
  <ScaleCrop>false</ScaleCrop>
  <LinksUpToDate>false</LinksUpToDate>
  <CharactersWithSpaces>38051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2024-09-28T20:36:00Z</dcterms:created>
  <dc:creator>Administrator</dc:creator>
  <cp:lastModifiedBy>文公子</cp:lastModifiedBy>
  <cp:lastPrinted>2026-04-30T00:53:00Z</cp:lastPrinted>
  <dcterms:modified xsi:type="dcterms:W3CDTF">2026-05-18T09:00:22Z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2D4A9A63BDC44D9AA9FDD762D5DA300C_13</vt:lpwstr>
  </property>
  <property fmtid="{D5CDD505-2E9C-101B-9397-08002B2CF9AE}" pid="4" name="KSOTemplateDocerSaveRecord">
    <vt:lpwstr>eyJoZGlkIjoiZmIxNGNkM2Q0NjA5NzJlOGY2YzkwMzVjZjMyZDg2MDIiLCJ1c2VySWQiOiI0MjgzMDc2MjUifQ==</vt:lpwstr>
  </property>
</Properties>
</file>