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5FFFB">
      <w:pPr>
        <w:pStyle w:val="51"/>
        <w:shd w:val="clear" w:color="auto" w:fill="auto"/>
        <w:wordWrap w:val="0"/>
        <w:adjustRightInd w:val="0"/>
        <w:snapToGrid w:val="0"/>
        <w:spacing w:line="360" w:lineRule="auto"/>
        <w:jc w:val="center"/>
        <w:rPr>
          <w:rFonts w:hint="default" w:ascii="宋体" w:hAnsi="宋体" w:eastAsia="宋体" w:cs="宋体"/>
          <w:b/>
          <w:snapToGrid w:val="0"/>
          <w:color w:val="auto"/>
          <w:kern w:val="0"/>
          <w:sz w:val="44"/>
          <w:szCs w:val="44"/>
          <w:highlight w:val="none"/>
          <w:lang w:val="en-US" w:eastAsia="zh-CN"/>
        </w:rPr>
      </w:pPr>
      <w:r>
        <w:rPr>
          <w:rFonts w:hint="eastAsia" w:ascii="宋体" w:hAnsi="宋体" w:eastAsia="宋体" w:cs="宋体"/>
          <w:b/>
          <w:snapToGrid w:val="0"/>
          <w:color w:val="auto"/>
          <w:kern w:val="0"/>
          <w:sz w:val="48"/>
          <w:szCs w:val="48"/>
          <w:highlight w:val="none"/>
          <w:lang w:eastAsia="zh-CN"/>
        </w:rPr>
        <w:t>韶关市武江区城区排水防涝系统改造项目（二期）C标监理</w:t>
      </w:r>
    </w:p>
    <w:p w14:paraId="7DE7DF09">
      <w:pPr>
        <w:pStyle w:val="51"/>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38D19011">
      <w:pPr>
        <w:pStyle w:val="51"/>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4D975719">
      <w:pPr>
        <w:pStyle w:val="51"/>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4F2AB17A">
      <w:pPr>
        <w:pStyle w:val="51"/>
        <w:shd w:val="clear" w:color="auto" w:fill="auto"/>
        <w:wordWrap w:val="0"/>
        <w:adjustRightInd w:val="0"/>
        <w:snapToGrid w:val="0"/>
        <w:spacing w:line="360" w:lineRule="auto"/>
        <w:jc w:val="center"/>
        <w:rPr>
          <w:rFonts w:hint="eastAsia" w:ascii="宋体" w:hAnsi="宋体" w:eastAsia="宋体" w:cs="宋体"/>
          <w:b/>
          <w:bCs/>
          <w:snapToGrid w:val="0"/>
          <w:color w:val="auto"/>
          <w:kern w:val="0"/>
          <w:sz w:val="52"/>
          <w:szCs w:val="52"/>
          <w:highlight w:val="none"/>
          <w:lang w:val="en-US" w:eastAsia="zh-CN"/>
        </w:rPr>
      </w:pPr>
      <w:r>
        <w:rPr>
          <w:rFonts w:hint="eastAsia" w:ascii="宋体" w:hAnsi="宋体" w:eastAsia="宋体" w:cs="宋体"/>
          <w:b/>
          <w:bCs/>
          <w:snapToGrid w:val="0"/>
          <w:color w:val="auto"/>
          <w:kern w:val="0"/>
          <w:sz w:val="96"/>
          <w:szCs w:val="96"/>
          <w:highlight w:val="none"/>
        </w:rPr>
        <w:t>招标文件</w:t>
      </w:r>
    </w:p>
    <w:p w14:paraId="22BF48F2">
      <w:pPr>
        <w:shd w:val="clear" w:color="auto" w:fill="auto"/>
        <w:wordWrap w:val="0"/>
        <w:adjustRightInd w:val="0"/>
        <w:snapToGrid w:val="0"/>
        <w:jc w:val="center"/>
        <w:rPr>
          <w:rFonts w:hint="eastAsia" w:hAnsi="宋体" w:cs="宋体"/>
          <w:b/>
          <w:bCs/>
          <w:snapToGrid w:val="0"/>
          <w:color w:val="auto"/>
          <w:kern w:val="0"/>
          <w:sz w:val="48"/>
          <w:szCs w:val="48"/>
          <w:highlight w:val="none"/>
        </w:rPr>
      </w:pPr>
    </w:p>
    <w:p w14:paraId="2A9EC3E3">
      <w:pPr>
        <w:pStyle w:val="7"/>
        <w:shd w:val="clear" w:color="auto" w:fill="auto"/>
        <w:rPr>
          <w:rFonts w:hint="eastAsia" w:hAnsi="宋体" w:cs="宋体"/>
          <w:b/>
          <w:bCs/>
          <w:snapToGrid w:val="0"/>
          <w:color w:val="auto"/>
          <w:sz w:val="48"/>
          <w:szCs w:val="48"/>
          <w:highlight w:val="none"/>
        </w:rPr>
      </w:pPr>
    </w:p>
    <w:p w14:paraId="189CCAC7">
      <w:pPr>
        <w:shd w:val="clear" w:color="auto" w:fill="auto"/>
        <w:rPr>
          <w:rFonts w:hint="eastAsia"/>
          <w:color w:val="auto"/>
          <w:highlight w:val="none"/>
        </w:rPr>
      </w:pPr>
    </w:p>
    <w:p w14:paraId="22838067">
      <w:pPr>
        <w:pStyle w:val="7"/>
        <w:shd w:val="clear" w:color="auto" w:fill="auto"/>
        <w:rPr>
          <w:rFonts w:hint="eastAsia" w:hAnsi="宋体" w:cs="宋体"/>
          <w:b/>
          <w:bCs/>
          <w:snapToGrid w:val="0"/>
          <w:color w:val="auto"/>
          <w:sz w:val="48"/>
          <w:szCs w:val="48"/>
          <w:highlight w:val="none"/>
        </w:rPr>
      </w:pPr>
    </w:p>
    <w:tbl>
      <w:tblPr>
        <w:tblStyle w:val="24"/>
        <w:tblW w:w="9699" w:type="dxa"/>
        <w:tblInd w:w="-100" w:type="dxa"/>
        <w:tblLayout w:type="fixed"/>
        <w:tblCellMar>
          <w:top w:w="0" w:type="dxa"/>
          <w:left w:w="0" w:type="dxa"/>
          <w:bottom w:w="0" w:type="dxa"/>
          <w:right w:w="0" w:type="dxa"/>
        </w:tblCellMar>
      </w:tblPr>
      <w:tblGrid>
        <w:gridCol w:w="4545"/>
        <w:gridCol w:w="5154"/>
      </w:tblGrid>
      <w:tr w14:paraId="0C44F382">
        <w:tblPrEx>
          <w:tblCellMar>
            <w:top w:w="0" w:type="dxa"/>
            <w:left w:w="0" w:type="dxa"/>
            <w:bottom w:w="0" w:type="dxa"/>
            <w:right w:w="0" w:type="dxa"/>
          </w:tblCellMar>
        </w:tblPrEx>
        <w:trPr>
          <w:trHeight w:val="692" w:hRule="atLeast"/>
        </w:trPr>
        <w:tc>
          <w:tcPr>
            <w:tcW w:w="4545" w:type="dxa"/>
            <w:vAlign w:val="center"/>
          </w:tcPr>
          <w:p w14:paraId="4E9D750A">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     标     人（盖单位章）：</w:t>
            </w:r>
          </w:p>
        </w:tc>
        <w:tc>
          <w:tcPr>
            <w:tcW w:w="5154" w:type="dxa"/>
            <w:vAlign w:val="center"/>
          </w:tcPr>
          <w:p w14:paraId="53860EBA">
            <w:pPr>
              <w:pStyle w:val="57"/>
              <w:shd w:val="clear" w:color="auto" w:fill="auto"/>
              <w:wordWrap w:val="0"/>
              <w:adjustRightInd w:val="0"/>
              <w:snapToGrid w:val="0"/>
              <w:spacing w:line="240" w:lineRule="auto"/>
              <w:rPr>
                <w:rFonts w:hint="eastAsia" w:hAnsi="宋体" w:eastAsia="宋体" w:cs="宋体"/>
                <w:snapToGrid w:val="0"/>
                <w:color w:val="auto"/>
                <w:kern w:val="0"/>
                <w:sz w:val="28"/>
                <w:szCs w:val="28"/>
                <w:highlight w:val="none"/>
                <w:lang w:eastAsia="zh-CN"/>
              </w:rPr>
            </w:pPr>
            <w:r>
              <w:rPr>
                <w:rFonts w:hint="eastAsia" w:hAnsi="宋体" w:cs="宋体"/>
                <w:snapToGrid w:val="0"/>
                <w:color w:val="auto"/>
                <w:kern w:val="0"/>
                <w:sz w:val="28"/>
                <w:szCs w:val="28"/>
                <w:highlight w:val="none"/>
                <w:lang w:eastAsia="zh-CN"/>
              </w:rPr>
              <w:t>韶关市武江区城市管理和综合执法局</w:t>
            </w:r>
          </w:p>
        </w:tc>
      </w:tr>
      <w:tr w14:paraId="44E09E13">
        <w:tblPrEx>
          <w:tblCellMar>
            <w:top w:w="0" w:type="dxa"/>
            <w:left w:w="0" w:type="dxa"/>
            <w:bottom w:w="0" w:type="dxa"/>
            <w:right w:w="0" w:type="dxa"/>
          </w:tblCellMar>
        </w:tblPrEx>
        <w:trPr>
          <w:trHeight w:val="607" w:hRule="atLeast"/>
        </w:trPr>
        <w:tc>
          <w:tcPr>
            <w:tcW w:w="4545" w:type="dxa"/>
            <w:vAlign w:val="center"/>
          </w:tcPr>
          <w:p w14:paraId="07CF183B">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招标人工作领导小组负责人（签字）：</w:t>
            </w:r>
          </w:p>
        </w:tc>
        <w:tc>
          <w:tcPr>
            <w:tcW w:w="5154" w:type="dxa"/>
            <w:vAlign w:val="center"/>
          </w:tcPr>
          <w:p w14:paraId="365D6490">
            <w:pPr>
              <w:pStyle w:val="57"/>
              <w:shd w:val="clear" w:color="auto" w:fill="auto"/>
              <w:wordWrap w:val="0"/>
              <w:adjustRightInd w:val="0"/>
              <w:snapToGrid w:val="0"/>
              <w:spacing w:line="240" w:lineRule="auto"/>
              <w:rPr>
                <w:rFonts w:hint="eastAsia" w:hAnsi="宋体" w:cs="宋体"/>
                <w:snapToGrid w:val="0"/>
                <w:color w:val="auto"/>
                <w:kern w:val="0"/>
                <w:sz w:val="28"/>
                <w:szCs w:val="28"/>
                <w:highlight w:val="none"/>
              </w:rPr>
            </w:pPr>
          </w:p>
        </w:tc>
      </w:tr>
      <w:tr w14:paraId="48734415">
        <w:tblPrEx>
          <w:tblCellMar>
            <w:top w:w="0" w:type="dxa"/>
            <w:left w:w="0" w:type="dxa"/>
            <w:bottom w:w="0" w:type="dxa"/>
            <w:right w:w="0" w:type="dxa"/>
          </w:tblCellMar>
        </w:tblPrEx>
        <w:trPr>
          <w:trHeight w:val="666" w:hRule="atLeast"/>
        </w:trPr>
        <w:tc>
          <w:tcPr>
            <w:tcW w:w="4545" w:type="dxa"/>
            <w:vAlign w:val="center"/>
          </w:tcPr>
          <w:p w14:paraId="49CC080E">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 标 代 理 机 构 （盖单位章）：</w:t>
            </w:r>
          </w:p>
        </w:tc>
        <w:tc>
          <w:tcPr>
            <w:tcW w:w="5154" w:type="dxa"/>
            <w:vAlign w:val="center"/>
          </w:tcPr>
          <w:p w14:paraId="1E6DA63F">
            <w:pPr>
              <w:pStyle w:val="57"/>
              <w:shd w:val="clear" w:color="auto" w:fill="auto"/>
              <w:wordWrap w:val="0"/>
              <w:adjustRightInd w:val="0"/>
              <w:snapToGrid w:val="0"/>
              <w:spacing w:line="240" w:lineRule="auto"/>
              <w:rPr>
                <w:rFonts w:hint="eastAsia" w:hAnsi="宋体" w:eastAsia="宋体" w:cs="宋体"/>
                <w:snapToGrid w:val="0"/>
                <w:color w:val="auto"/>
                <w:kern w:val="0"/>
                <w:sz w:val="28"/>
                <w:szCs w:val="28"/>
                <w:highlight w:val="none"/>
                <w:lang w:eastAsia="zh-CN"/>
              </w:rPr>
            </w:pPr>
            <w:r>
              <w:rPr>
                <w:rFonts w:hint="eastAsia" w:hAnsi="宋体" w:cs="宋体"/>
                <w:snapToGrid w:val="0"/>
                <w:color w:val="auto"/>
                <w:kern w:val="0"/>
                <w:sz w:val="28"/>
                <w:szCs w:val="28"/>
                <w:highlight w:val="none"/>
                <w:lang w:eastAsia="zh-CN"/>
              </w:rPr>
              <w:t>广东合正项目管理有限公司</w:t>
            </w:r>
          </w:p>
        </w:tc>
      </w:tr>
      <w:tr w14:paraId="018B18DB">
        <w:tblPrEx>
          <w:tblCellMar>
            <w:top w:w="0" w:type="dxa"/>
            <w:left w:w="0" w:type="dxa"/>
            <w:bottom w:w="0" w:type="dxa"/>
            <w:right w:w="0" w:type="dxa"/>
          </w:tblCellMar>
        </w:tblPrEx>
        <w:trPr>
          <w:trHeight w:val="634" w:hRule="atLeast"/>
        </w:trPr>
        <w:tc>
          <w:tcPr>
            <w:tcW w:w="4545" w:type="dxa"/>
            <w:vAlign w:val="center"/>
          </w:tcPr>
          <w:p w14:paraId="7E9119EB">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招标文件编制人（签字）：</w:t>
            </w:r>
          </w:p>
        </w:tc>
        <w:tc>
          <w:tcPr>
            <w:tcW w:w="5154" w:type="dxa"/>
            <w:vAlign w:val="center"/>
          </w:tcPr>
          <w:p w14:paraId="766BFDE2">
            <w:pPr>
              <w:pStyle w:val="57"/>
              <w:shd w:val="clear" w:color="auto" w:fill="auto"/>
              <w:wordWrap w:val="0"/>
              <w:adjustRightInd w:val="0"/>
              <w:snapToGrid w:val="0"/>
              <w:spacing w:line="240" w:lineRule="auto"/>
              <w:rPr>
                <w:rFonts w:hint="eastAsia" w:hAnsi="宋体" w:cs="宋体"/>
                <w:snapToGrid w:val="0"/>
                <w:color w:val="auto"/>
                <w:kern w:val="0"/>
                <w:sz w:val="28"/>
                <w:szCs w:val="28"/>
                <w:highlight w:val="none"/>
              </w:rPr>
            </w:pPr>
          </w:p>
        </w:tc>
      </w:tr>
      <w:tr w14:paraId="6C8BE37D">
        <w:tblPrEx>
          <w:tblCellMar>
            <w:top w:w="0" w:type="dxa"/>
            <w:left w:w="0" w:type="dxa"/>
            <w:bottom w:w="0" w:type="dxa"/>
            <w:right w:w="0" w:type="dxa"/>
          </w:tblCellMar>
        </w:tblPrEx>
        <w:trPr>
          <w:trHeight w:val="649" w:hRule="atLeast"/>
        </w:trPr>
        <w:tc>
          <w:tcPr>
            <w:tcW w:w="4545" w:type="dxa"/>
            <w:vAlign w:val="center"/>
          </w:tcPr>
          <w:p w14:paraId="40C97317">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招标代理机构项目负责人（签字）：</w:t>
            </w:r>
          </w:p>
        </w:tc>
        <w:tc>
          <w:tcPr>
            <w:tcW w:w="5154" w:type="dxa"/>
            <w:vAlign w:val="center"/>
          </w:tcPr>
          <w:p w14:paraId="315E6415">
            <w:pPr>
              <w:pStyle w:val="57"/>
              <w:shd w:val="clear" w:color="auto" w:fill="auto"/>
              <w:wordWrap w:val="0"/>
              <w:adjustRightInd w:val="0"/>
              <w:snapToGrid w:val="0"/>
              <w:spacing w:line="240" w:lineRule="auto"/>
              <w:rPr>
                <w:rFonts w:hint="eastAsia" w:hAnsi="宋体" w:cs="宋体"/>
                <w:snapToGrid w:val="0"/>
                <w:color w:val="auto"/>
                <w:kern w:val="0"/>
                <w:sz w:val="28"/>
                <w:szCs w:val="28"/>
                <w:highlight w:val="none"/>
              </w:rPr>
            </w:pPr>
          </w:p>
        </w:tc>
      </w:tr>
      <w:tr w14:paraId="2B4AA84A">
        <w:tblPrEx>
          <w:tblCellMar>
            <w:top w:w="0" w:type="dxa"/>
            <w:left w:w="0" w:type="dxa"/>
            <w:bottom w:w="0" w:type="dxa"/>
            <w:right w:w="0" w:type="dxa"/>
          </w:tblCellMar>
        </w:tblPrEx>
        <w:trPr>
          <w:trHeight w:val="682" w:hRule="atLeast"/>
        </w:trPr>
        <w:tc>
          <w:tcPr>
            <w:tcW w:w="4545" w:type="dxa"/>
            <w:vAlign w:val="center"/>
          </w:tcPr>
          <w:p w14:paraId="3DD3CC54">
            <w:pPr>
              <w:pStyle w:val="57"/>
              <w:shd w:val="clear" w:color="auto" w:fill="auto"/>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招标文件编制日期：</w:t>
            </w:r>
          </w:p>
        </w:tc>
        <w:tc>
          <w:tcPr>
            <w:tcW w:w="5154" w:type="dxa"/>
            <w:vAlign w:val="center"/>
          </w:tcPr>
          <w:p w14:paraId="2B179D87">
            <w:pPr>
              <w:pStyle w:val="57"/>
              <w:shd w:val="clear" w:color="auto" w:fill="auto"/>
              <w:wordWrap w:val="0"/>
              <w:adjustRightInd w:val="0"/>
              <w:snapToGrid w:val="0"/>
              <w:spacing w:line="240" w:lineRule="auto"/>
              <w:rPr>
                <w:rFonts w:hint="eastAsia" w:hAnsi="宋体" w:cs="宋体"/>
                <w:snapToGrid w:val="0"/>
                <w:color w:val="auto"/>
                <w:kern w:val="0"/>
                <w:sz w:val="28"/>
                <w:highlight w:val="none"/>
              </w:rPr>
            </w:pPr>
            <w:r>
              <w:rPr>
                <w:rFonts w:hint="eastAsia" w:hAnsi="宋体" w:cs="宋体"/>
                <w:snapToGrid w:val="0"/>
                <w:color w:val="auto"/>
                <w:kern w:val="0"/>
                <w:sz w:val="28"/>
                <w:highlight w:val="none"/>
                <w:lang w:val="en-US" w:eastAsia="zh-CN"/>
              </w:rPr>
              <w:t xml:space="preserve">  2025</w:t>
            </w:r>
            <w:r>
              <w:rPr>
                <w:rFonts w:hint="eastAsia" w:hAnsi="宋体" w:cs="宋体"/>
                <w:snapToGrid w:val="0"/>
                <w:color w:val="auto"/>
                <w:kern w:val="0"/>
                <w:sz w:val="28"/>
                <w:highlight w:val="none"/>
              </w:rPr>
              <w:t>年</w:t>
            </w:r>
            <w:r>
              <w:rPr>
                <w:rFonts w:hint="eastAsia" w:hAnsi="宋体" w:cs="宋体"/>
                <w:snapToGrid w:val="0"/>
                <w:color w:val="auto"/>
                <w:kern w:val="0"/>
                <w:sz w:val="28"/>
                <w:highlight w:val="none"/>
                <w:lang w:val="en-US" w:eastAsia="zh-CN"/>
              </w:rPr>
              <w:t>9</w:t>
            </w:r>
            <w:r>
              <w:rPr>
                <w:rFonts w:hint="eastAsia" w:hAnsi="宋体" w:cs="宋体"/>
                <w:snapToGrid w:val="0"/>
                <w:color w:val="auto"/>
                <w:kern w:val="0"/>
                <w:sz w:val="28"/>
                <w:highlight w:val="none"/>
              </w:rPr>
              <w:t>月</w:t>
            </w:r>
          </w:p>
        </w:tc>
      </w:tr>
    </w:tbl>
    <w:p w14:paraId="7C5F7DC3">
      <w:pPr>
        <w:shd w:val="clear" w:color="auto" w:fill="auto"/>
        <w:tabs>
          <w:tab w:val="left" w:pos="4935"/>
        </w:tabs>
        <w:wordWrap w:val="0"/>
        <w:adjustRightInd w:val="0"/>
        <w:snapToGrid w:val="0"/>
        <w:spacing w:line="440" w:lineRule="exact"/>
        <w:rPr>
          <w:rFonts w:hint="eastAsia" w:hAnsi="宋体" w:cs="宋体"/>
          <w:b/>
          <w:snapToGrid w:val="0"/>
          <w:color w:val="auto"/>
          <w:kern w:val="0"/>
          <w:sz w:val="28"/>
          <w:szCs w:val="28"/>
          <w:highlight w:val="none"/>
        </w:rPr>
        <w:sectPr>
          <w:footerReference r:id="rId5" w:type="default"/>
          <w:endnotePr>
            <w:numFmt w:val="decimal"/>
          </w:endnotePr>
          <w:pgSz w:w="11906" w:h="16838"/>
          <w:pgMar w:top="1701" w:right="1975" w:bottom="1417" w:left="1531" w:header="850" w:footer="992" w:gutter="0"/>
          <w:pgNumType w:start="1"/>
          <w:cols w:space="720" w:num="1"/>
          <w:rtlGutter w:val="0"/>
          <w:docGrid w:linePitch="327" w:charSpace="0"/>
        </w:sectPr>
      </w:pPr>
    </w:p>
    <w:p w14:paraId="2A16E503">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449FD4B">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FC5071F">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9DD254F">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3B3697A1">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0C43E62D">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25B2CEC">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8B67B6D">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140664CA">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88DC354">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7ADBF38">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32C4A0A">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568BC5F">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DBE03B6">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3944B94">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0B8119E5">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0FDDD723">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F06257C">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6A3D543">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13E05ACD">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58140622">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325A3D35">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A652515">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8AF9A0A">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1181B0D">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49B8A4D">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1D20DE9">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2A23C459">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612F9CC5">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38360AF9">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4EE9ABCF">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p>
    <w:p w14:paraId="7F2B51B0">
      <w:pPr>
        <w:pStyle w:val="12"/>
        <w:shd w:val="clear" w:color="auto" w:fill="auto"/>
        <w:wordWrap w:val="0"/>
        <w:adjustRightInd w:val="0"/>
        <w:snapToGrid w:val="0"/>
        <w:spacing w:line="440" w:lineRule="exact"/>
        <w:ind w:left="0"/>
        <w:jc w:val="center"/>
        <w:rPr>
          <w:rFonts w:hint="eastAsia" w:hAnsi="宋体" w:cs="宋体"/>
          <w:b/>
          <w:snapToGrid w:val="0"/>
          <w:color w:val="auto"/>
          <w:kern w:val="0"/>
          <w:sz w:val="28"/>
          <w:szCs w:val="28"/>
          <w:highlight w:val="none"/>
        </w:rPr>
      </w:pPr>
      <w:r>
        <w:rPr>
          <w:rFonts w:hint="eastAsia" w:hAnsi="宋体" w:cs="宋体"/>
          <w:b/>
          <w:snapToGrid w:val="0"/>
          <w:color w:val="auto"/>
          <w:kern w:val="0"/>
          <w:sz w:val="28"/>
          <w:szCs w:val="28"/>
          <w:highlight w:val="none"/>
        </w:rPr>
        <w:t>目    录</w:t>
      </w:r>
      <w:bookmarkStart w:id="0" w:name="_Hlt66153951"/>
      <w:bookmarkEnd w:id="0"/>
      <w:bookmarkStart w:id="1" w:name="_Hlt122423813"/>
      <w:bookmarkEnd w:id="1"/>
      <w:bookmarkStart w:id="2" w:name="_Hlt66104981"/>
      <w:bookmarkEnd w:id="2"/>
      <w:bookmarkStart w:id="3" w:name="_Toc14094"/>
      <w:bookmarkStart w:id="4" w:name="_Toc476739600"/>
      <w:bookmarkStart w:id="5" w:name="_Hlt111690251"/>
    </w:p>
    <w:p w14:paraId="21AEFCA3">
      <w:pPr>
        <w:pStyle w:val="18"/>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_Toc1285 </w:instrText>
      </w:r>
      <w:r>
        <w:rPr>
          <w:rFonts w:hint="eastAsia"/>
          <w:color w:val="auto"/>
          <w:highlight w:val="none"/>
        </w:rPr>
        <w:fldChar w:fldCharType="separate"/>
      </w:r>
      <w:r>
        <w:rPr>
          <w:rFonts w:hint="eastAsia" w:hAnsi="宋体" w:cs="宋体"/>
          <w:snapToGrid w:val="0"/>
          <w:color w:val="auto"/>
          <w:kern w:val="0"/>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_Toc1285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29E368CA">
      <w:pPr>
        <w:pStyle w:val="19"/>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_Toc24800 </w:instrText>
      </w:r>
      <w:r>
        <w:rPr>
          <w:rFonts w:hint="eastAsia"/>
          <w:color w:val="auto"/>
          <w:highlight w:val="none"/>
        </w:rPr>
        <w:fldChar w:fldCharType="separate"/>
      </w:r>
      <w:r>
        <w:rPr>
          <w:rFonts w:hint="eastAsia" w:hAnsi="宋体" w:cs="宋体"/>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_Toc24800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340FBC9C">
      <w:pPr>
        <w:pStyle w:val="19"/>
        <w:shd w:val="clear" w:color="auto" w:fill="auto"/>
        <w:tabs>
          <w:tab w:val="right" w:leader="dot" w:pos="8844"/>
        </w:tabs>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_Toc2241 </w:instrText>
      </w:r>
      <w:r>
        <w:rPr>
          <w:rFonts w:hint="eastAsia"/>
          <w:color w:val="auto"/>
          <w:highlight w:val="none"/>
        </w:rPr>
        <w:fldChar w:fldCharType="separate"/>
      </w:r>
      <w:r>
        <w:rPr>
          <w:rFonts w:hint="eastAsia" w:hAnsi="宋体" w:cs="宋体"/>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_Toc2241 \h </w:instrText>
      </w:r>
      <w:r>
        <w:rPr>
          <w:color w:val="auto"/>
          <w:highlight w:val="none"/>
        </w:rPr>
        <w:fldChar w:fldCharType="separate"/>
      </w:r>
      <w:r>
        <w:rPr>
          <w:color w:val="auto"/>
          <w:highlight w:val="none"/>
        </w:rPr>
        <w:t>7</w:t>
      </w:r>
      <w:r>
        <w:rPr>
          <w:color w:val="auto"/>
          <w:highlight w:val="none"/>
        </w:rPr>
        <w:fldChar w:fldCharType="end"/>
      </w:r>
      <w:r>
        <w:rPr>
          <w:rFonts w:hint="eastAsia"/>
          <w:color w:val="auto"/>
          <w:highlight w:val="none"/>
        </w:rPr>
        <w:fldChar w:fldCharType="end"/>
      </w:r>
    </w:p>
    <w:p w14:paraId="1F785783">
      <w:pPr>
        <w:pStyle w:val="19"/>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_Toc22644 </w:instrText>
      </w:r>
      <w:r>
        <w:rPr>
          <w:rFonts w:hint="eastAsia"/>
          <w:color w:val="auto"/>
          <w:highlight w:val="none"/>
        </w:rPr>
        <w:fldChar w:fldCharType="separate"/>
      </w:r>
      <w:r>
        <w:rPr>
          <w:rFonts w:hint="eastAsia" w:hAnsi="宋体" w:cs="宋体"/>
          <w:snapToGrid w:val="0"/>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_Toc22644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rPr>
        <w:fldChar w:fldCharType="end"/>
      </w:r>
    </w:p>
    <w:p w14:paraId="14C8CA0E">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_Toc26179 </w:instrText>
      </w:r>
      <w:r>
        <w:rPr>
          <w:rFonts w:hint="eastAsia"/>
          <w:color w:val="auto"/>
          <w:highlight w:val="none"/>
        </w:rPr>
        <w:fldChar w:fldCharType="separate"/>
      </w:r>
      <w:r>
        <w:rPr>
          <w:rFonts w:hint="eastAsia" w:ascii="宋体" w:hAnsi="宋体" w:cs="宋体"/>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_Toc26179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rPr>
        <w:fldChar w:fldCharType="end"/>
      </w:r>
    </w:p>
    <w:p w14:paraId="02F28E30">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_Toc3407 </w:instrText>
      </w:r>
      <w:r>
        <w:rPr>
          <w:rFonts w:hint="eastAsia"/>
          <w:color w:val="auto"/>
          <w:highlight w:val="none"/>
        </w:rPr>
        <w:fldChar w:fldCharType="separate"/>
      </w:r>
      <w:r>
        <w:rPr>
          <w:rFonts w:hint="eastAsia" w:ascii="宋体" w:hAnsi="宋体" w:cs="宋体"/>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_Toc3407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rPr>
        <w:fldChar w:fldCharType="end"/>
      </w:r>
    </w:p>
    <w:p w14:paraId="67FCC073">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_Toc4403 </w:instrText>
      </w:r>
      <w:r>
        <w:rPr>
          <w:rFonts w:hint="eastAsia"/>
          <w:color w:val="auto"/>
          <w:highlight w:val="none"/>
        </w:rPr>
        <w:fldChar w:fldCharType="separate"/>
      </w:r>
      <w:r>
        <w:rPr>
          <w:rFonts w:hint="eastAsia" w:ascii="宋体" w:hAnsi="宋体" w:cs="宋体"/>
          <w:bCs/>
          <w:snapToGrid w:val="0"/>
          <w:color w:val="auto"/>
          <w:kern w:val="0"/>
          <w:highlight w:val="none"/>
        </w:rPr>
        <w:t>3．招标文件获取</w:t>
      </w:r>
      <w:r>
        <w:rPr>
          <w:color w:val="auto"/>
          <w:highlight w:val="none"/>
        </w:rPr>
        <w:tab/>
      </w:r>
      <w:r>
        <w:rPr>
          <w:color w:val="auto"/>
          <w:highlight w:val="none"/>
        </w:rPr>
        <w:fldChar w:fldCharType="begin"/>
      </w:r>
      <w:r>
        <w:rPr>
          <w:color w:val="auto"/>
          <w:highlight w:val="none"/>
        </w:rPr>
        <w:instrText xml:space="preserve"> PAGEREF _Toc4403 \h </w:instrText>
      </w:r>
      <w:r>
        <w:rPr>
          <w:color w:val="auto"/>
          <w:highlight w:val="none"/>
        </w:rPr>
        <w:fldChar w:fldCharType="separate"/>
      </w:r>
      <w:r>
        <w:rPr>
          <w:color w:val="auto"/>
          <w:highlight w:val="none"/>
        </w:rPr>
        <w:t>10</w:t>
      </w:r>
      <w:r>
        <w:rPr>
          <w:color w:val="auto"/>
          <w:highlight w:val="none"/>
        </w:rPr>
        <w:fldChar w:fldCharType="end"/>
      </w:r>
      <w:r>
        <w:rPr>
          <w:rFonts w:hint="eastAsia"/>
          <w:color w:val="auto"/>
          <w:highlight w:val="none"/>
        </w:rPr>
        <w:fldChar w:fldCharType="end"/>
      </w:r>
    </w:p>
    <w:p w14:paraId="0D780821">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_Toc6940 </w:instrText>
      </w:r>
      <w:r>
        <w:rPr>
          <w:rFonts w:hint="eastAsia"/>
          <w:color w:val="auto"/>
          <w:highlight w:val="none"/>
        </w:rPr>
        <w:fldChar w:fldCharType="separate"/>
      </w:r>
      <w:r>
        <w:rPr>
          <w:rFonts w:hint="eastAsia" w:ascii="宋体"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_Toc6940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278830DF">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_Toc31374 </w:instrText>
      </w:r>
      <w:r>
        <w:rPr>
          <w:rFonts w:hint="eastAsia"/>
          <w:color w:val="auto"/>
          <w:highlight w:val="none"/>
        </w:rPr>
        <w:fldChar w:fldCharType="separate"/>
      </w:r>
      <w:r>
        <w:rPr>
          <w:rFonts w:hint="eastAsia" w:ascii="宋体" w:hAnsi="宋体" w:cs="宋体"/>
          <w:bCs/>
          <w:snapToGrid w:val="0"/>
          <w:color w:val="auto"/>
          <w:kern w:val="0"/>
          <w:highlight w:val="none"/>
        </w:rPr>
        <w:t>5．服务标准</w:t>
      </w:r>
      <w:r>
        <w:rPr>
          <w:color w:val="auto"/>
          <w:highlight w:val="none"/>
        </w:rPr>
        <w:tab/>
      </w:r>
      <w:r>
        <w:rPr>
          <w:color w:val="auto"/>
          <w:highlight w:val="none"/>
        </w:rPr>
        <w:fldChar w:fldCharType="begin"/>
      </w:r>
      <w:r>
        <w:rPr>
          <w:color w:val="auto"/>
          <w:highlight w:val="none"/>
        </w:rPr>
        <w:instrText xml:space="preserve"> PAGEREF _Toc31374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694CEF6F">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_Toc27367 </w:instrText>
      </w:r>
      <w:r>
        <w:rPr>
          <w:rFonts w:hint="eastAsia"/>
          <w:color w:val="auto"/>
          <w:highlight w:val="none"/>
        </w:rPr>
        <w:fldChar w:fldCharType="separate"/>
      </w:r>
      <w:r>
        <w:rPr>
          <w:rFonts w:hint="eastAsia" w:ascii="宋体" w:hAnsi="宋体" w:cs="宋体"/>
          <w:bCs/>
          <w:snapToGrid w:val="0"/>
          <w:color w:val="auto"/>
          <w:kern w:val="0"/>
          <w:highlight w:val="none"/>
        </w:rPr>
        <w:t>6．现场踏勘</w:t>
      </w:r>
      <w:r>
        <w:rPr>
          <w:color w:val="auto"/>
          <w:highlight w:val="none"/>
        </w:rPr>
        <w:tab/>
      </w:r>
      <w:r>
        <w:rPr>
          <w:color w:val="auto"/>
          <w:highlight w:val="none"/>
        </w:rPr>
        <w:fldChar w:fldCharType="begin"/>
      </w:r>
      <w:r>
        <w:rPr>
          <w:color w:val="auto"/>
          <w:highlight w:val="none"/>
        </w:rPr>
        <w:instrText xml:space="preserve"> PAGEREF _Toc27367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rPr>
        <w:fldChar w:fldCharType="end"/>
      </w:r>
    </w:p>
    <w:p w14:paraId="14A6118B">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_Toc6981 </w:instrText>
      </w:r>
      <w:r>
        <w:rPr>
          <w:rFonts w:hint="eastAsia"/>
          <w:color w:val="auto"/>
          <w:highlight w:val="none"/>
        </w:rPr>
        <w:fldChar w:fldCharType="separate"/>
      </w:r>
      <w:r>
        <w:rPr>
          <w:rFonts w:hint="eastAsia" w:hAnsi="宋体" w:cs="宋体"/>
          <w:bCs/>
          <w:snapToGrid w:val="0"/>
          <w:color w:val="auto"/>
          <w:szCs w:val="24"/>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_Toc6981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50414FA0">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_Toc15770 </w:instrText>
      </w:r>
      <w:r>
        <w:rPr>
          <w:rFonts w:hint="eastAsia"/>
          <w:color w:val="auto"/>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_Toc15770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0E6ADE8F">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_Toc21815 </w:instrText>
      </w:r>
      <w:r>
        <w:rPr>
          <w:rFonts w:hint="eastAsia"/>
          <w:color w:val="auto"/>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_Toc21815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14:paraId="6C296EF1">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_Toc25728 </w:instrText>
      </w:r>
      <w:r>
        <w:rPr>
          <w:rFonts w:hint="eastAsia"/>
          <w:color w:val="auto"/>
          <w:highlight w:val="none"/>
        </w:rPr>
        <w:fldChar w:fldCharType="separate"/>
      </w:r>
      <w:r>
        <w:rPr>
          <w:rFonts w:hint="eastAsia" w:hAnsi="宋体" w:cs="宋体"/>
          <w:snapToGrid w:val="0"/>
          <w:color w:val="auto"/>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_Toc25728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highlight w:val="none"/>
        </w:rPr>
        <w:fldChar w:fldCharType="end"/>
      </w:r>
    </w:p>
    <w:p w14:paraId="01D4804E">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_Toc4068 </w:instrText>
      </w:r>
      <w:r>
        <w:rPr>
          <w:rFonts w:hint="eastAsia"/>
          <w:color w:val="auto"/>
          <w:highlight w:val="none"/>
        </w:rPr>
        <w:fldChar w:fldCharType="separate"/>
      </w:r>
      <w:r>
        <w:rPr>
          <w:rFonts w:hint="eastAsia" w:hAnsi="宋体" w:cs="宋体"/>
          <w:snapToGrid w:val="0"/>
          <w:color w:val="auto"/>
          <w:highlight w:val="none"/>
        </w:rPr>
        <w:t>11．电子投标</w:t>
      </w:r>
      <w:r>
        <w:rPr>
          <w:color w:val="auto"/>
          <w:highlight w:val="none"/>
        </w:rPr>
        <w:tab/>
      </w:r>
      <w:r>
        <w:rPr>
          <w:color w:val="auto"/>
          <w:highlight w:val="none"/>
        </w:rPr>
        <w:fldChar w:fldCharType="begin"/>
      </w:r>
      <w:r>
        <w:rPr>
          <w:color w:val="auto"/>
          <w:highlight w:val="none"/>
        </w:rPr>
        <w:instrText xml:space="preserve"> PAGEREF _Toc4068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rPr>
        <w:fldChar w:fldCharType="end"/>
      </w:r>
    </w:p>
    <w:p w14:paraId="588CAEA6">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_Toc11440 </w:instrText>
      </w:r>
      <w:r>
        <w:rPr>
          <w:rFonts w:hint="eastAsia"/>
          <w:color w:val="auto"/>
          <w:highlight w:val="none"/>
        </w:rPr>
        <w:fldChar w:fldCharType="separate"/>
      </w:r>
      <w:r>
        <w:rPr>
          <w:rFonts w:hint="eastAsia" w:hAnsi="宋体" w:cs="宋体"/>
          <w:snapToGrid w:val="0"/>
          <w:color w:val="auto"/>
          <w:highlight w:val="none"/>
        </w:rPr>
        <w:t>12．电子投标及投标解密失败及突发情况的补救方案</w:t>
      </w:r>
      <w:r>
        <w:rPr>
          <w:color w:val="auto"/>
          <w:highlight w:val="none"/>
        </w:rPr>
        <w:tab/>
      </w:r>
      <w:r>
        <w:rPr>
          <w:color w:val="auto"/>
          <w:highlight w:val="none"/>
        </w:rPr>
        <w:fldChar w:fldCharType="begin"/>
      </w:r>
      <w:r>
        <w:rPr>
          <w:color w:val="auto"/>
          <w:highlight w:val="none"/>
        </w:rPr>
        <w:instrText xml:space="preserve"> PAGEREF _Toc11440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rPr>
        <w:fldChar w:fldCharType="end"/>
      </w:r>
    </w:p>
    <w:p w14:paraId="0FDD99D1">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_Toc3479 </w:instrText>
      </w:r>
      <w:r>
        <w:rPr>
          <w:rFonts w:hint="eastAsia"/>
          <w:color w:val="auto"/>
          <w:highlight w:val="none"/>
        </w:rPr>
        <w:fldChar w:fldCharType="separate"/>
      </w:r>
      <w:r>
        <w:rPr>
          <w:rFonts w:hint="eastAsia" w:hAnsi="宋体" w:cs="宋体"/>
          <w:snapToGrid w:val="0"/>
          <w:color w:val="auto"/>
          <w:kern w:val="0"/>
          <w:highlight w:val="none"/>
        </w:rPr>
        <w:t>13．投标有效期</w:t>
      </w:r>
      <w:r>
        <w:rPr>
          <w:color w:val="auto"/>
          <w:highlight w:val="none"/>
        </w:rPr>
        <w:tab/>
      </w:r>
      <w:r>
        <w:rPr>
          <w:color w:val="auto"/>
          <w:highlight w:val="none"/>
        </w:rPr>
        <w:fldChar w:fldCharType="begin"/>
      </w:r>
      <w:r>
        <w:rPr>
          <w:color w:val="auto"/>
          <w:highlight w:val="none"/>
        </w:rPr>
        <w:instrText xml:space="preserve"> PAGEREF _Toc3479 \h </w:instrText>
      </w:r>
      <w:r>
        <w:rPr>
          <w:color w:val="auto"/>
          <w:highlight w:val="none"/>
        </w:rPr>
        <w:fldChar w:fldCharType="separate"/>
      </w:r>
      <w:r>
        <w:rPr>
          <w:color w:val="auto"/>
          <w:highlight w:val="none"/>
        </w:rPr>
        <w:t>18</w:t>
      </w:r>
      <w:r>
        <w:rPr>
          <w:color w:val="auto"/>
          <w:highlight w:val="none"/>
        </w:rPr>
        <w:fldChar w:fldCharType="end"/>
      </w:r>
      <w:r>
        <w:rPr>
          <w:rFonts w:hint="eastAsia"/>
          <w:color w:val="auto"/>
          <w:highlight w:val="none"/>
        </w:rPr>
        <w:fldChar w:fldCharType="end"/>
      </w:r>
    </w:p>
    <w:p w14:paraId="330ABFEE">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_Toc18547 </w:instrText>
      </w:r>
      <w:r>
        <w:rPr>
          <w:rFonts w:hint="eastAsia"/>
          <w:color w:val="auto"/>
          <w:highlight w:val="none"/>
        </w:rPr>
        <w:fldChar w:fldCharType="separate"/>
      </w:r>
      <w:r>
        <w:rPr>
          <w:rFonts w:hint="eastAsia" w:hAnsi="宋体" w:cs="宋体"/>
          <w:snapToGrid w:val="0"/>
          <w:color w:val="auto"/>
          <w:kern w:val="0"/>
          <w:highlight w:val="none"/>
        </w:rPr>
        <w:t>14．开标</w:t>
      </w:r>
      <w:r>
        <w:rPr>
          <w:color w:val="auto"/>
          <w:highlight w:val="none"/>
        </w:rPr>
        <w:tab/>
      </w:r>
      <w:r>
        <w:rPr>
          <w:color w:val="auto"/>
          <w:highlight w:val="none"/>
        </w:rPr>
        <w:fldChar w:fldCharType="begin"/>
      </w:r>
      <w:r>
        <w:rPr>
          <w:color w:val="auto"/>
          <w:highlight w:val="none"/>
        </w:rPr>
        <w:instrText xml:space="preserve"> PAGEREF _Toc18547 \h </w:instrText>
      </w:r>
      <w:r>
        <w:rPr>
          <w:color w:val="auto"/>
          <w:highlight w:val="none"/>
        </w:rPr>
        <w:fldChar w:fldCharType="separate"/>
      </w:r>
      <w:r>
        <w:rPr>
          <w:color w:val="auto"/>
          <w:highlight w:val="none"/>
        </w:rPr>
        <w:t>18</w:t>
      </w:r>
      <w:r>
        <w:rPr>
          <w:color w:val="auto"/>
          <w:highlight w:val="none"/>
        </w:rPr>
        <w:fldChar w:fldCharType="end"/>
      </w:r>
      <w:r>
        <w:rPr>
          <w:rFonts w:hint="eastAsia"/>
          <w:color w:val="auto"/>
          <w:highlight w:val="none"/>
        </w:rPr>
        <w:fldChar w:fldCharType="end"/>
      </w:r>
    </w:p>
    <w:p w14:paraId="120A86CC">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_Toc13528 </w:instrText>
      </w:r>
      <w:r>
        <w:rPr>
          <w:rFonts w:hint="eastAsia"/>
          <w:color w:val="auto"/>
          <w:highlight w:val="none"/>
        </w:rPr>
        <w:fldChar w:fldCharType="separate"/>
      </w:r>
      <w:r>
        <w:rPr>
          <w:rFonts w:hint="eastAsia" w:hAnsi="宋体" w:cs="宋体"/>
          <w:snapToGrid w:val="0"/>
          <w:color w:val="auto"/>
          <w:kern w:val="0"/>
          <w:highlight w:val="none"/>
        </w:rPr>
        <w:t>15．评标</w:t>
      </w:r>
      <w:r>
        <w:rPr>
          <w:color w:val="auto"/>
          <w:highlight w:val="none"/>
        </w:rPr>
        <w:tab/>
      </w:r>
      <w:r>
        <w:rPr>
          <w:color w:val="auto"/>
          <w:highlight w:val="none"/>
        </w:rPr>
        <w:fldChar w:fldCharType="begin"/>
      </w:r>
      <w:r>
        <w:rPr>
          <w:color w:val="auto"/>
          <w:highlight w:val="none"/>
        </w:rPr>
        <w:instrText xml:space="preserve"> PAGEREF _Toc13528 \h </w:instrText>
      </w:r>
      <w:r>
        <w:rPr>
          <w:color w:val="auto"/>
          <w:highlight w:val="none"/>
        </w:rPr>
        <w:fldChar w:fldCharType="separate"/>
      </w:r>
      <w:r>
        <w:rPr>
          <w:color w:val="auto"/>
          <w:highlight w:val="none"/>
        </w:rPr>
        <w:t>19</w:t>
      </w:r>
      <w:r>
        <w:rPr>
          <w:color w:val="auto"/>
          <w:highlight w:val="none"/>
        </w:rPr>
        <w:fldChar w:fldCharType="end"/>
      </w:r>
      <w:r>
        <w:rPr>
          <w:rFonts w:hint="eastAsia"/>
          <w:color w:val="auto"/>
          <w:highlight w:val="none"/>
        </w:rPr>
        <w:fldChar w:fldCharType="end"/>
      </w:r>
    </w:p>
    <w:p w14:paraId="08F2D8A9">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_Toc14248 </w:instrText>
      </w:r>
      <w:r>
        <w:rPr>
          <w:rFonts w:hint="eastAsia"/>
          <w:color w:val="auto"/>
          <w:highlight w:val="none"/>
        </w:rPr>
        <w:fldChar w:fldCharType="separate"/>
      </w:r>
      <w:r>
        <w:rPr>
          <w:rFonts w:hint="eastAsia" w:hAnsi="宋体" w:cs="宋体"/>
          <w:snapToGrid w:val="0"/>
          <w:color w:val="auto"/>
          <w:kern w:val="0"/>
          <w:highlight w:val="none"/>
        </w:rPr>
        <w:t>16．推荐中标候选人</w:t>
      </w:r>
      <w:r>
        <w:rPr>
          <w:color w:val="auto"/>
          <w:highlight w:val="none"/>
        </w:rPr>
        <w:tab/>
      </w:r>
      <w:r>
        <w:rPr>
          <w:color w:val="auto"/>
          <w:highlight w:val="none"/>
        </w:rPr>
        <w:fldChar w:fldCharType="begin"/>
      </w:r>
      <w:r>
        <w:rPr>
          <w:color w:val="auto"/>
          <w:highlight w:val="none"/>
        </w:rPr>
        <w:instrText xml:space="preserve"> PAGEREF _Toc14248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highlight w:val="none"/>
        </w:rPr>
        <w:fldChar w:fldCharType="end"/>
      </w:r>
    </w:p>
    <w:p w14:paraId="3E57127A">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_Toc14955 </w:instrText>
      </w:r>
      <w:r>
        <w:rPr>
          <w:rFonts w:hint="eastAsia"/>
          <w:color w:val="auto"/>
          <w:highlight w:val="none"/>
        </w:rPr>
        <w:fldChar w:fldCharType="separate"/>
      </w:r>
      <w:r>
        <w:rPr>
          <w:rFonts w:hint="eastAsia" w:hAnsi="宋体" w:cs="宋体"/>
          <w:snapToGrid w:val="0"/>
          <w:color w:val="auto"/>
          <w:kern w:val="0"/>
          <w:highlight w:val="none"/>
        </w:rPr>
        <w:t>17．中标候选人公示</w:t>
      </w:r>
      <w:r>
        <w:rPr>
          <w:color w:val="auto"/>
          <w:highlight w:val="none"/>
        </w:rPr>
        <w:tab/>
      </w:r>
      <w:r>
        <w:rPr>
          <w:color w:val="auto"/>
          <w:highlight w:val="none"/>
        </w:rPr>
        <w:fldChar w:fldCharType="begin"/>
      </w:r>
      <w:r>
        <w:rPr>
          <w:color w:val="auto"/>
          <w:highlight w:val="none"/>
        </w:rPr>
        <w:instrText xml:space="preserve"> PAGEREF _Toc14955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highlight w:val="none"/>
        </w:rPr>
        <w:fldChar w:fldCharType="end"/>
      </w:r>
    </w:p>
    <w:p w14:paraId="78AD4B96">
      <w:pPr>
        <w:pStyle w:val="19"/>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_Toc9979 </w:instrText>
      </w:r>
      <w:r>
        <w:rPr>
          <w:rFonts w:hint="eastAsia"/>
          <w:color w:val="auto"/>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_Toc9979 \h </w:instrText>
      </w:r>
      <w:r>
        <w:rPr>
          <w:color w:val="auto"/>
          <w:highlight w:val="none"/>
        </w:rPr>
        <w:fldChar w:fldCharType="separate"/>
      </w:r>
      <w:r>
        <w:rPr>
          <w:color w:val="auto"/>
          <w:highlight w:val="none"/>
        </w:rPr>
        <w:t>32</w:t>
      </w:r>
      <w:r>
        <w:rPr>
          <w:color w:val="auto"/>
          <w:highlight w:val="none"/>
        </w:rPr>
        <w:fldChar w:fldCharType="end"/>
      </w:r>
      <w:r>
        <w:rPr>
          <w:rFonts w:hint="eastAsia"/>
          <w:color w:val="auto"/>
          <w:highlight w:val="none"/>
        </w:rPr>
        <w:fldChar w:fldCharType="end"/>
      </w:r>
    </w:p>
    <w:p w14:paraId="620BD627">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_Toc32629 </w:instrText>
      </w:r>
      <w:r>
        <w:rPr>
          <w:rFonts w:hint="eastAsia"/>
          <w:color w:val="auto"/>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_Toc32629 \h </w:instrText>
      </w:r>
      <w:r>
        <w:rPr>
          <w:color w:val="auto"/>
          <w:highlight w:val="none"/>
        </w:rPr>
        <w:fldChar w:fldCharType="separate"/>
      </w:r>
      <w:r>
        <w:rPr>
          <w:color w:val="auto"/>
          <w:highlight w:val="none"/>
        </w:rPr>
        <w:t>32</w:t>
      </w:r>
      <w:r>
        <w:rPr>
          <w:color w:val="auto"/>
          <w:highlight w:val="none"/>
        </w:rPr>
        <w:fldChar w:fldCharType="end"/>
      </w:r>
      <w:r>
        <w:rPr>
          <w:rFonts w:hint="eastAsia"/>
          <w:color w:val="auto"/>
          <w:highlight w:val="none"/>
        </w:rPr>
        <w:fldChar w:fldCharType="end"/>
      </w:r>
    </w:p>
    <w:p w14:paraId="4F103B49">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_Toc25976 </w:instrText>
      </w:r>
      <w:r>
        <w:rPr>
          <w:rFonts w:hint="eastAsia"/>
          <w:color w:val="auto"/>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_Toc25976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rPr>
        <w:fldChar w:fldCharType="end"/>
      </w:r>
    </w:p>
    <w:p w14:paraId="4BF0DC63">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_Toc18248 </w:instrText>
      </w:r>
      <w:r>
        <w:rPr>
          <w:rFonts w:hint="eastAsia"/>
          <w:color w:val="auto"/>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_Toc18248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rPr>
        <w:fldChar w:fldCharType="end"/>
      </w:r>
    </w:p>
    <w:p w14:paraId="565B2614">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_Toc32705 </w:instrText>
      </w:r>
      <w:r>
        <w:rPr>
          <w:rFonts w:hint="eastAsia"/>
          <w:color w:val="auto"/>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_Toc32705 \h </w:instrText>
      </w:r>
      <w:r>
        <w:rPr>
          <w:color w:val="auto"/>
          <w:highlight w:val="none"/>
        </w:rPr>
        <w:fldChar w:fldCharType="separate"/>
      </w:r>
      <w:r>
        <w:rPr>
          <w:color w:val="auto"/>
          <w:highlight w:val="none"/>
        </w:rPr>
        <w:t>33</w:t>
      </w:r>
      <w:r>
        <w:rPr>
          <w:color w:val="auto"/>
          <w:highlight w:val="none"/>
        </w:rPr>
        <w:fldChar w:fldCharType="end"/>
      </w:r>
      <w:r>
        <w:rPr>
          <w:rFonts w:hint="eastAsia"/>
          <w:color w:val="auto"/>
          <w:highlight w:val="none"/>
        </w:rPr>
        <w:fldChar w:fldCharType="end"/>
      </w:r>
    </w:p>
    <w:p w14:paraId="61AD2707">
      <w:pPr>
        <w:pStyle w:val="18"/>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_Toc12363 </w:instrText>
      </w:r>
      <w:r>
        <w:rPr>
          <w:rFonts w:hint="eastAsia"/>
          <w:color w:val="auto"/>
          <w:highlight w:val="none"/>
        </w:rPr>
        <w:fldChar w:fldCharType="separate"/>
      </w:r>
      <w:r>
        <w:rPr>
          <w:rFonts w:hint="eastAsia" w:hAnsi="宋体" w:cs="宋体"/>
          <w:snapToGrid w:val="0"/>
          <w:color w:val="auto"/>
          <w:kern w:val="0"/>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_Toc12363 \h </w:instrText>
      </w:r>
      <w:r>
        <w:rPr>
          <w:color w:val="auto"/>
          <w:highlight w:val="none"/>
        </w:rPr>
        <w:fldChar w:fldCharType="separate"/>
      </w:r>
      <w:r>
        <w:rPr>
          <w:color w:val="auto"/>
          <w:highlight w:val="none"/>
        </w:rPr>
        <w:t>35</w:t>
      </w:r>
      <w:r>
        <w:rPr>
          <w:color w:val="auto"/>
          <w:highlight w:val="none"/>
        </w:rPr>
        <w:fldChar w:fldCharType="end"/>
      </w:r>
      <w:r>
        <w:rPr>
          <w:rFonts w:hint="eastAsia"/>
          <w:color w:val="auto"/>
          <w:highlight w:val="none"/>
        </w:rPr>
        <w:fldChar w:fldCharType="end"/>
      </w:r>
    </w:p>
    <w:p w14:paraId="596C1E08">
      <w:pPr>
        <w:pStyle w:val="18"/>
        <w:shd w:val="clear" w:color="auto" w:fill="auto"/>
        <w:tabs>
          <w:tab w:val="right" w:leader="dot" w:pos="8844"/>
        </w:tabs>
        <w:rPr>
          <w:rFonts w:hint="eastAsia" w:eastAsia="宋体"/>
          <w:color w:val="auto"/>
          <w:highlight w:val="none"/>
          <w:lang w:eastAsia="zh-CN"/>
        </w:rPr>
      </w:pPr>
      <w:r>
        <w:rPr>
          <w:rFonts w:hint="eastAsia"/>
          <w:color w:val="auto"/>
          <w:highlight w:val="none"/>
        </w:rPr>
        <w:fldChar w:fldCharType="begin"/>
      </w:r>
      <w:r>
        <w:rPr>
          <w:rFonts w:hint="eastAsia"/>
          <w:color w:val="auto"/>
          <w:highlight w:val="none"/>
        </w:rPr>
        <w:instrText xml:space="preserve"> HYPERLINK \l _Toc12639 </w:instrText>
      </w:r>
      <w:r>
        <w:rPr>
          <w:rFonts w:hint="eastAsia"/>
          <w:color w:val="auto"/>
          <w:highlight w:val="none"/>
        </w:rPr>
        <w:fldChar w:fldCharType="separate"/>
      </w:r>
      <w:r>
        <w:rPr>
          <w:rFonts w:hint="eastAsia" w:hAnsi="宋体" w:cs="宋体"/>
          <w:snapToGrid w:val="0"/>
          <w:color w:val="auto"/>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_Toc12639 \h </w:instrText>
      </w:r>
      <w:r>
        <w:rPr>
          <w:color w:val="auto"/>
          <w:highlight w:val="none"/>
        </w:rPr>
        <w:fldChar w:fldCharType="separate"/>
      </w:r>
      <w:r>
        <w:rPr>
          <w:color w:val="auto"/>
          <w:highlight w:val="none"/>
        </w:rPr>
        <w:t>38</w:t>
      </w:r>
      <w:r>
        <w:rPr>
          <w:color w:val="auto"/>
          <w:highlight w:val="none"/>
        </w:rPr>
        <w:fldChar w:fldCharType="end"/>
      </w:r>
      <w:r>
        <w:rPr>
          <w:rFonts w:hint="eastAsia"/>
          <w:color w:val="auto"/>
          <w:highlight w:val="none"/>
        </w:rPr>
        <w:fldChar w:fldCharType="end"/>
      </w:r>
    </w:p>
    <w:p w14:paraId="5825A93C">
      <w:pPr>
        <w:pStyle w:val="18"/>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_Toc26371 </w:instrText>
      </w:r>
      <w:r>
        <w:rPr>
          <w:rFonts w:hint="eastAsia"/>
          <w:color w:val="auto"/>
          <w:highlight w:val="none"/>
        </w:rPr>
        <w:fldChar w:fldCharType="separate"/>
      </w:r>
      <w:r>
        <w:rPr>
          <w:rFonts w:hint="eastAsia" w:hAnsi="宋体" w:cs="宋体"/>
          <w:snapToGrid w:val="0"/>
          <w:color w:val="auto"/>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_Toc26371 \h </w:instrText>
      </w:r>
      <w:r>
        <w:rPr>
          <w:color w:val="auto"/>
          <w:highlight w:val="none"/>
        </w:rPr>
        <w:fldChar w:fldCharType="separate"/>
      </w:r>
      <w:r>
        <w:rPr>
          <w:color w:val="auto"/>
          <w:highlight w:val="none"/>
        </w:rPr>
        <w:t>57</w:t>
      </w:r>
      <w:r>
        <w:rPr>
          <w:color w:val="auto"/>
          <w:highlight w:val="none"/>
        </w:rPr>
        <w:fldChar w:fldCharType="end"/>
      </w:r>
      <w:r>
        <w:rPr>
          <w:rFonts w:hint="eastAsia"/>
          <w:color w:val="auto"/>
          <w:highlight w:val="none"/>
        </w:rPr>
        <w:fldChar w:fldCharType="end"/>
      </w:r>
    </w:p>
    <w:p w14:paraId="2DAD371F">
      <w:pPr>
        <w:pStyle w:val="18"/>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_Toc10032 </w:instrText>
      </w:r>
      <w:r>
        <w:rPr>
          <w:rFonts w:hint="eastAsia"/>
          <w:color w:val="auto"/>
          <w:highlight w:val="none"/>
        </w:rPr>
        <w:fldChar w:fldCharType="separate"/>
      </w:r>
      <w:r>
        <w:rPr>
          <w:rFonts w:hint="eastAsia" w:hAnsi="宋体" w:cs="宋体"/>
          <w:snapToGrid w:val="0"/>
          <w:color w:val="auto"/>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_Toc10032 \h </w:instrText>
      </w:r>
      <w:r>
        <w:rPr>
          <w:color w:val="auto"/>
          <w:highlight w:val="none"/>
        </w:rPr>
        <w:fldChar w:fldCharType="separate"/>
      </w:r>
      <w:r>
        <w:rPr>
          <w:color w:val="auto"/>
          <w:highlight w:val="none"/>
        </w:rPr>
        <w:t>59</w:t>
      </w:r>
      <w:r>
        <w:rPr>
          <w:color w:val="auto"/>
          <w:highlight w:val="none"/>
        </w:rPr>
        <w:fldChar w:fldCharType="end"/>
      </w:r>
      <w:r>
        <w:rPr>
          <w:rFonts w:hint="eastAsia"/>
          <w:color w:val="auto"/>
          <w:highlight w:val="none"/>
        </w:rPr>
        <w:fldChar w:fldCharType="end"/>
      </w:r>
    </w:p>
    <w:p w14:paraId="0F7FFD93">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_Toc13127 </w:instrText>
      </w:r>
      <w:r>
        <w:rPr>
          <w:rFonts w:hint="eastAsia"/>
          <w:color w:val="auto"/>
          <w:highlight w:val="none"/>
        </w:rPr>
        <w:fldChar w:fldCharType="separate"/>
      </w:r>
      <w:r>
        <w:rPr>
          <w:rFonts w:hint="eastAsia" w:hAnsi="宋体" w:cs="宋体"/>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_Toc13127 \h </w:instrText>
      </w:r>
      <w:r>
        <w:rPr>
          <w:color w:val="auto"/>
          <w:highlight w:val="none"/>
        </w:rPr>
        <w:fldChar w:fldCharType="separate"/>
      </w:r>
      <w:r>
        <w:rPr>
          <w:color w:val="auto"/>
          <w:highlight w:val="none"/>
        </w:rPr>
        <w:t>59</w:t>
      </w:r>
      <w:r>
        <w:rPr>
          <w:color w:val="auto"/>
          <w:highlight w:val="none"/>
        </w:rPr>
        <w:fldChar w:fldCharType="end"/>
      </w:r>
      <w:r>
        <w:rPr>
          <w:rFonts w:hint="eastAsia"/>
          <w:color w:val="auto"/>
          <w:highlight w:val="none"/>
        </w:rPr>
        <w:fldChar w:fldCharType="end"/>
      </w:r>
    </w:p>
    <w:p w14:paraId="3B612E07">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_Toc6488 </w:instrText>
      </w:r>
      <w:r>
        <w:rPr>
          <w:rFonts w:hint="eastAsia"/>
          <w:color w:val="auto"/>
          <w:highlight w:val="none"/>
        </w:rPr>
        <w:fldChar w:fldCharType="separate"/>
      </w:r>
      <w:r>
        <w:rPr>
          <w:rFonts w:hint="eastAsia" w:hAnsi="宋体" w:cs="宋体"/>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_Toc6488 \h </w:instrText>
      </w:r>
      <w:r>
        <w:rPr>
          <w:color w:val="auto"/>
          <w:highlight w:val="none"/>
        </w:rPr>
        <w:fldChar w:fldCharType="separate"/>
      </w:r>
      <w:r>
        <w:rPr>
          <w:color w:val="auto"/>
          <w:highlight w:val="none"/>
        </w:rPr>
        <w:t>60</w:t>
      </w:r>
      <w:r>
        <w:rPr>
          <w:color w:val="auto"/>
          <w:highlight w:val="none"/>
        </w:rPr>
        <w:fldChar w:fldCharType="end"/>
      </w:r>
      <w:r>
        <w:rPr>
          <w:rFonts w:hint="eastAsia"/>
          <w:color w:val="auto"/>
          <w:highlight w:val="none"/>
        </w:rPr>
        <w:fldChar w:fldCharType="end"/>
      </w:r>
    </w:p>
    <w:p w14:paraId="5D24AD25">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_Toc14232 </w:instrText>
      </w:r>
      <w:r>
        <w:rPr>
          <w:rFonts w:hint="eastAsia"/>
          <w:color w:val="auto"/>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_Toc14232 \h </w:instrText>
      </w:r>
      <w:r>
        <w:rPr>
          <w:color w:val="auto"/>
          <w:highlight w:val="none"/>
        </w:rPr>
        <w:fldChar w:fldCharType="separate"/>
      </w:r>
      <w:r>
        <w:rPr>
          <w:color w:val="auto"/>
          <w:highlight w:val="none"/>
        </w:rPr>
        <w:t>61</w:t>
      </w:r>
      <w:r>
        <w:rPr>
          <w:color w:val="auto"/>
          <w:highlight w:val="none"/>
        </w:rPr>
        <w:fldChar w:fldCharType="end"/>
      </w:r>
      <w:r>
        <w:rPr>
          <w:rFonts w:hint="eastAsia"/>
          <w:color w:val="auto"/>
          <w:highlight w:val="none"/>
        </w:rPr>
        <w:fldChar w:fldCharType="end"/>
      </w:r>
    </w:p>
    <w:p w14:paraId="0D0F06B4">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_Toc22067 </w:instrText>
      </w:r>
      <w:r>
        <w:rPr>
          <w:rFonts w:hint="eastAsia"/>
          <w:color w:val="auto"/>
          <w:highlight w:val="none"/>
        </w:rPr>
        <w:fldChar w:fldCharType="separate"/>
      </w:r>
      <w:r>
        <w:rPr>
          <w:rFonts w:hint="eastAsia" w:hAnsi="宋体" w:cs="宋体"/>
          <w:bCs/>
          <w:snapToGrid w:val="0"/>
          <w:color w:val="auto"/>
          <w:kern w:val="0"/>
          <w:szCs w:val="24"/>
          <w:highlight w:val="none"/>
        </w:rPr>
        <w:t>格式四 法定代表人授权委托书</w:t>
      </w:r>
      <w:r>
        <w:rPr>
          <w:color w:val="auto"/>
          <w:highlight w:val="none"/>
        </w:rPr>
        <w:tab/>
      </w:r>
      <w:r>
        <w:rPr>
          <w:color w:val="auto"/>
          <w:highlight w:val="none"/>
        </w:rPr>
        <w:fldChar w:fldCharType="begin"/>
      </w:r>
      <w:r>
        <w:rPr>
          <w:color w:val="auto"/>
          <w:highlight w:val="none"/>
        </w:rPr>
        <w:instrText xml:space="preserve"> PAGEREF _Toc22067 \h </w:instrText>
      </w:r>
      <w:r>
        <w:rPr>
          <w:color w:val="auto"/>
          <w:highlight w:val="none"/>
        </w:rPr>
        <w:fldChar w:fldCharType="separate"/>
      </w:r>
      <w:r>
        <w:rPr>
          <w:color w:val="auto"/>
          <w:highlight w:val="none"/>
        </w:rPr>
        <w:t>63</w:t>
      </w:r>
      <w:r>
        <w:rPr>
          <w:color w:val="auto"/>
          <w:highlight w:val="none"/>
        </w:rPr>
        <w:fldChar w:fldCharType="end"/>
      </w:r>
      <w:r>
        <w:rPr>
          <w:rFonts w:hint="eastAsia"/>
          <w:color w:val="auto"/>
          <w:highlight w:val="none"/>
        </w:rPr>
        <w:fldChar w:fldCharType="end"/>
      </w:r>
    </w:p>
    <w:p w14:paraId="60AC2212">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_Toc11496 </w:instrText>
      </w:r>
      <w:r>
        <w:rPr>
          <w:rFonts w:hint="eastAsia"/>
          <w:color w:val="auto"/>
          <w:highlight w:val="none"/>
        </w:rPr>
        <w:fldChar w:fldCharType="separate"/>
      </w:r>
      <w:r>
        <w:rPr>
          <w:rFonts w:hint="eastAsia" w:hAnsi="宋体" w:cs="宋体"/>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_Toc11496 \h </w:instrText>
      </w:r>
      <w:r>
        <w:rPr>
          <w:color w:val="auto"/>
          <w:highlight w:val="none"/>
        </w:rPr>
        <w:fldChar w:fldCharType="separate"/>
      </w:r>
      <w:r>
        <w:rPr>
          <w:color w:val="auto"/>
          <w:highlight w:val="none"/>
        </w:rPr>
        <w:t>64</w:t>
      </w:r>
      <w:r>
        <w:rPr>
          <w:color w:val="auto"/>
          <w:highlight w:val="none"/>
        </w:rPr>
        <w:fldChar w:fldCharType="end"/>
      </w:r>
      <w:r>
        <w:rPr>
          <w:rFonts w:hint="eastAsia"/>
          <w:color w:val="auto"/>
          <w:highlight w:val="none"/>
        </w:rPr>
        <w:fldChar w:fldCharType="end"/>
      </w:r>
    </w:p>
    <w:p w14:paraId="7B010FC4">
      <w:pPr>
        <w:pStyle w:val="12"/>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_Toc9774 </w:instrText>
      </w:r>
      <w:r>
        <w:rPr>
          <w:rFonts w:hint="eastAsia"/>
          <w:color w:val="auto"/>
          <w:highlight w:val="none"/>
        </w:rPr>
        <w:fldChar w:fldCharType="separate"/>
      </w:r>
      <w:r>
        <w:rPr>
          <w:rFonts w:hint="eastAsia" w:hAnsi="宋体" w:cs="宋体"/>
          <w:bCs/>
          <w:snapToGrid w:val="0"/>
          <w:color w:val="auto"/>
          <w:kern w:val="0"/>
          <w:szCs w:val="24"/>
          <w:highlight w:val="none"/>
        </w:rPr>
        <w:t>格式六 投标人基本情况表</w:t>
      </w:r>
      <w:r>
        <w:rPr>
          <w:color w:val="auto"/>
          <w:highlight w:val="none"/>
        </w:rPr>
        <w:tab/>
      </w:r>
      <w:r>
        <w:rPr>
          <w:color w:val="auto"/>
          <w:highlight w:val="none"/>
        </w:rPr>
        <w:fldChar w:fldCharType="begin"/>
      </w:r>
      <w:r>
        <w:rPr>
          <w:color w:val="auto"/>
          <w:highlight w:val="none"/>
        </w:rPr>
        <w:instrText xml:space="preserve"> PAGEREF _Toc9774 \h </w:instrText>
      </w:r>
      <w:r>
        <w:rPr>
          <w:color w:val="auto"/>
          <w:highlight w:val="none"/>
        </w:rPr>
        <w:fldChar w:fldCharType="separate"/>
      </w:r>
      <w:r>
        <w:rPr>
          <w:color w:val="auto"/>
          <w:highlight w:val="none"/>
        </w:rPr>
        <w:t>65</w:t>
      </w:r>
      <w:r>
        <w:rPr>
          <w:color w:val="auto"/>
          <w:highlight w:val="none"/>
        </w:rPr>
        <w:fldChar w:fldCharType="end"/>
      </w:r>
      <w:r>
        <w:rPr>
          <w:rFonts w:hint="eastAsia"/>
          <w:color w:val="auto"/>
          <w:highlight w:val="none"/>
        </w:rPr>
        <w:fldChar w:fldCharType="end"/>
      </w:r>
    </w:p>
    <w:p w14:paraId="287D3D15">
      <w:pPr>
        <w:pStyle w:val="12"/>
        <w:shd w:val="clear" w:color="auto" w:fill="auto"/>
        <w:tabs>
          <w:tab w:val="right" w:leader="dot" w:pos="8834"/>
        </w:tabs>
        <w:rPr>
          <w:rFonts w:ascii="Calibri" w:hAnsi="Calibri"/>
          <w:color w:val="auto"/>
          <w:sz w:val="21"/>
          <w:szCs w:val="2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"_Toc35334265"</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格式七</w:t>
      </w:r>
      <w:r>
        <w:rPr>
          <w:rStyle w:val="27"/>
          <w:rFonts w:ascii="Times New Roman"/>
          <w:snapToGrid w:val="0"/>
          <w:color w:val="auto"/>
          <w:highlight w:val="none"/>
        </w:rPr>
        <w:t xml:space="preserve"> </w:t>
      </w:r>
      <w:r>
        <w:rPr>
          <w:rStyle w:val="27"/>
          <w:rFonts w:hint="eastAsia" w:ascii="Times New Roman"/>
          <w:snapToGrid w:val="0"/>
          <w:color w:val="auto"/>
          <w:highlight w:val="none"/>
        </w:rPr>
        <w:t>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_Toc35334265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4D0D6E8D">
      <w:pPr>
        <w:pStyle w:val="12"/>
        <w:shd w:val="clear" w:color="auto" w:fill="auto"/>
        <w:tabs>
          <w:tab w:val="right" w:leader="dot" w:pos="8834"/>
        </w:tabs>
        <w:rPr>
          <w:rFonts w:ascii="Calibri" w:hAnsi="Calibri"/>
          <w:color w:val="auto"/>
          <w:sz w:val="21"/>
          <w:szCs w:val="2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"_Toc35334266"</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格式八</w:t>
      </w:r>
      <w:r>
        <w:rPr>
          <w:rStyle w:val="27"/>
          <w:rFonts w:ascii="Times New Roman"/>
          <w:snapToGrid w:val="0"/>
          <w:color w:val="auto"/>
          <w:highlight w:val="none"/>
        </w:rPr>
        <w:t xml:space="preserve"> </w:t>
      </w:r>
      <w:r>
        <w:rPr>
          <w:rStyle w:val="27"/>
          <w:rFonts w:hint="eastAsia" w:ascii="Times New Roman"/>
          <w:snapToGrid w:val="0"/>
          <w:color w:val="auto"/>
          <w:highlight w:val="none"/>
        </w:rPr>
        <w:t>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_Toc35334266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1B280F5B">
      <w:pPr>
        <w:pStyle w:val="12"/>
        <w:shd w:val="clear" w:color="auto" w:fill="auto"/>
        <w:tabs>
          <w:tab w:val="right" w:leader="dot" w:pos="8834"/>
        </w:tabs>
        <w:rPr>
          <w:rFonts w:ascii="Calibri" w:hAnsi="Calibri"/>
          <w:color w:val="auto"/>
          <w:sz w:val="21"/>
          <w:szCs w:val="22"/>
          <w:highlight w:val="none"/>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"_Toc35334267"</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格式九</w:t>
      </w:r>
      <w:r>
        <w:rPr>
          <w:rStyle w:val="27"/>
          <w:rFonts w:ascii="Times New Roman"/>
          <w:snapToGrid w:val="0"/>
          <w:color w:val="auto"/>
          <w:highlight w:val="none"/>
        </w:rPr>
        <w:t xml:space="preserve"> </w:t>
      </w:r>
      <w:r>
        <w:rPr>
          <w:rStyle w:val="27"/>
          <w:rFonts w:hint="eastAsia" w:ascii="Times New Roman"/>
          <w:snapToGrid w:val="0"/>
          <w:color w:val="auto"/>
          <w:highlight w:val="none"/>
        </w:rPr>
        <w:t>总监理工程师任职项目情况表</w:t>
      </w:r>
      <w:r>
        <w:rPr>
          <w:color w:val="auto"/>
          <w:highlight w:val="none"/>
        </w:rPr>
        <w:tab/>
      </w:r>
      <w:r>
        <w:rPr>
          <w:color w:val="auto"/>
          <w:highlight w:val="none"/>
        </w:rPr>
        <w:fldChar w:fldCharType="begin"/>
      </w:r>
      <w:r>
        <w:rPr>
          <w:color w:val="auto"/>
          <w:highlight w:val="none"/>
        </w:rPr>
        <w:instrText xml:space="preserve"> PAGEREF _Toc35334267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6129AF62">
      <w:pPr>
        <w:pStyle w:val="12"/>
        <w:shd w:val="clear" w:color="auto" w:fill="auto"/>
        <w:tabs>
          <w:tab w:val="right" w:leader="dot" w:pos="8834"/>
        </w:tabs>
        <w:rPr>
          <w:rFonts w:hint="default" w:ascii="Calibri" w:hAnsi="Calibri" w:eastAsia="宋体"/>
          <w:color w:val="auto"/>
          <w:sz w:val="21"/>
          <w:szCs w:val="22"/>
          <w:highlight w:val="none"/>
          <w:lang w:val="en-US" w:eastAsia="zh-CN"/>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"_Toc35334268"</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格式十</w:t>
      </w:r>
      <w:r>
        <w:rPr>
          <w:rStyle w:val="27"/>
          <w:rFonts w:ascii="Times New Roman"/>
          <w:snapToGrid w:val="0"/>
          <w:color w:val="auto"/>
          <w:highlight w:val="none"/>
        </w:rPr>
        <w:t xml:space="preserve"> </w:t>
      </w:r>
      <w:r>
        <w:rPr>
          <w:rStyle w:val="27"/>
          <w:rFonts w:hint="eastAsia" w:ascii="Times New Roman"/>
          <w:snapToGrid w:val="0"/>
          <w:color w:val="auto"/>
          <w:highlight w:val="none"/>
        </w:rPr>
        <w:t>项目监理机构组成人员汇总表</w:t>
      </w:r>
      <w:r>
        <w:rPr>
          <w:color w:val="auto"/>
          <w:highlight w:val="none"/>
        </w:rPr>
        <w:tab/>
      </w:r>
      <w:r>
        <w:rPr>
          <w:color w:val="auto"/>
          <w:highlight w:val="none"/>
        </w:rPr>
        <w:fldChar w:fldCharType="end"/>
      </w:r>
      <w:r>
        <w:rPr>
          <w:rFonts w:hint="eastAsia"/>
          <w:color w:val="auto"/>
          <w:highlight w:val="none"/>
          <w:lang w:val="en-US" w:eastAsia="zh-CN"/>
        </w:rPr>
        <w:t>67</w:t>
      </w:r>
    </w:p>
    <w:p w14:paraId="1D89D318">
      <w:pPr>
        <w:pStyle w:val="12"/>
        <w:shd w:val="clear" w:color="auto" w:fill="auto"/>
        <w:tabs>
          <w:tab w:val="right" w:leader="dot" w:pos="8834"/>
        </w:tabs>
        <w:rPr>
          <w:rFonts w:hint="eastAsia" w:ascii="Calibri" w:hAnsi="Calibri" w:eastAsia="宋体"/>
          <w:color w:val="auto"/>
          <w:sz w:val="21"/>
          <w:szCs w:val="22"/>
          <w:highlight w:val="none"/>
          <w:lang w:val="en-US" w:eastAsia="zh-CN"/>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"_Toc35334269"</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格式十一</w:t>
      </w:r>
      <w:r>
        <w:rPr>
          <w:rStyle w:val="27"/>
          <w:rFonts w:ascii="Times New Roman"/>
          <w:snapToGrid w:val="0"/>
          <w:color w:val="auto"/>
          <w:highlight w:val="none"/>
        </w:rPr>
        <w:t xml:space="preserve"> </w:t>
      </w:r>
      <w:r>
        <w:rPr>
          <w:rStyle w:val="27"/>
          <w:rFonts w:hint="eastAsia" w:ascii="Times New Roman"/>
          <w:snapToGrid w:val="0"/>
          <w:color w:val="auto"/>
          <w:highlight w:val="none"/>
        </w:rPr>
        <w:t>总监理工程师简历表</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8</w:t>
      </w:r>
    </w:p>
    <w:p w14:paraId="572162C0">
      <w:pPr>
        <w:pStyle w:val="12"/>
        <w:shd w:val="clear" w:color="auto" w:fill="auto"/>
        <w:tabs>
          <w:tab w:val="right" w:leader="dot" w:pos="8834"/>
        </w:tabs>
        <w:rPr>
          <w:rFonts w:hint="eastAsia" w:ascii="Calibri" w:hAnsi="Calibri" w:eastAsia="宋体"/>
          <w:color w:val="auto"/>
          <w:sz w:val="21"/>
          <w:szCs w:val="22"/>
          <w:highlight w:val="none"/>
          <w:lang w:val="en-US" w:eastAsia="zh-CN"/>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"_Toc35334270"</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格式十二</w:t>
      </w:r>
      <w:r>
        <w:rPr>
          <w:rStyle w:val="27"/>
          <w:rFonts w:ascii="Times New Roman"/>
          <w:snapToGrid w:val="0"/>
          <w:color w:val="auto"/>
          <w:highlight w:val="none"/>
        </w:rPr>
        <w:t xml:space="preserve"> </w:t>
      </w:r>
      <w:r>
        <w:rPr>
          <w:rStyle w:val="27"/>
          <w:rFonts w:hint="eastAsia" w:ascii="Times New Roman"/>
          <w:snapToGrid w:val="0"/>
          <w:color w:val="auto"/>
          <w:highlight w:val="none"/>
        </w:rPr>
        <w:t>其他拟派人员简历表</w:t>
      </w:r>
      <w:r>
        <w:rPr>
          <w:color w:val="auto"/>
          <w:highlight w:val="none"/>
        </w:rPr>
        <w:tab/>
      </w:r>
      <w:r>
        <w:rPr>
          <w:color w:val="auto"/>
          <w:highlight w:val="none"/>
        </w:rPr>
        <w:fldChar w:fldCharType="end"/>
      </w:r>
      <w:r>
        <w:rPr>
          <w:rFonts w:hint="eastAsia"/>
          <w:color w:val="auto"/>
          <w:highlight w:val="none"/>
          <w:lang w:val="en-US" w:eastAsia="zh-CN"/>
        </w:rPr>
        <w:t>69</w:t>
      </w:r>
    </w:p>
    <w:p w14:paraId="4CDA144F">
      <w:pPr>
        <w:pStyle w:val="12"/>
        <w:shd w:val="clear" w:color="auto" w:fill="auto"/>
        <w:tabs>
          <w:tab w:val="right" w:leader="dot" w:pos="8844"/>
        </w:tabs>
        <w:rPr>
          <w:rFonts w:hint="eastAsia" w:eastAsia="宋体"/>
          <w:color w:val="auto"/>
          <w:highlight w:val="none"/>
          <w:lang w:val="en-US" w:eastAsia="zh-CN"/>
        </w:rPr>
      </w:pPr>
      <w:r>
        <w:rPr>
          <w:color w:val="auto"/>
          <w:highlight w:val="none"/>
        </w:rPr>
        <w:fldChar w:fldCharType="begin"/>
      </w:r>
      <w:r>
        <w:rPr>
          <w:rStyle w:val="27"/>
          <w:color w:val="auto"/>
          <w:highlight w:val="none"/>
        </w:rPr>
        <w:instrText xml:space="preserve"> </w:instrText>
      </w:r>
      <w:r>
        <w:rPr>
          <w:color w:val="auto"/>
          <w:highlight w:val="none"/>
        </w:rPr>
        <w:instrText xml:space="preserve">HYPERLINK \l "_Toc35334271"</w:instrText>
      </w:r>
      <w:r>
        <w:rPr>
          <w:rStyle w:val="27"/>
          <w:color w:val="auto"/>
          <w:highlight w:val="none"/>
        </w:rPr>
        <w:instrText xml:space="preserve"> </w:instrText>
      </w:r>
      <w:r>
        <w:rPr>
          <w:color w:val="auto"/>
          <w:highlight w:val="none"/>
        </w:rPr>
        <w:fldChar w:fldCharType="separate"/>
      </w:r>
      <w:r>
        <w:rPr>
          <w:rStyle w:val="27"/>
          <w:rFonts w:hint="eastAsia" w:ascii="Times New Roman"/>
          <w:snapToGrid w:val="0"/>
          <w:color w:val="auto"/>
          <w:highlight w:val="none"/>
        </w:rPr>
        <w:t>格式十三</w:t>
      </w:r>
      <w:r>
        <w:rPr>
          <w:rStyle w:val="27"/>
          <w:rFonts w:ascii="Times New Roman"/>
          <w:snapToGrid w:val="0"/>
          <w:color w:val="auto"/>
          <w:highlight w:val="none"/>
        </w:rPr>
        <w:t xml:space="preserve"> </w:t>
      </w:r>
      <w:r>
        <w:rPr>
          <w:rStyle w:val="27"/>
          <w:rFonts w:hint="eastAsia" w:ascii="Times New Roman"/>
          <w:snapToGrid w:val="0"/>
          <w:color w:val="auto"/>
          <w:highlight w:val="none"/>
        </w:rPr>
        <w:t>监理及相关服务报酬清单</w:t>
      </w:r>
      <w:r>
        <w:rPr>
          <w:color w:val="auto"/>
          <w:highlight w:val="none"/>
        </w:rPr>
        <w:tab/>
      </w:r>
      <w:r>
        <w:rPr>
          <w:rFonts w:hint="eastAsia"/>
          <w:color w:val="auto"/>
          <w:highlight w:val="none"/>
          <w:lang w:val="en-US" w:eastAsia="zh-CN"/>
        </w:rPr>
        <w:t>7</w:t>
      </w:r>
      <w:r>
        <w:rPr>
          <w:color w:val="auto"/>
          <w:highlight w:val="none"/>
        </w:rPr>
        <w:fldChar w:fldCharType="end"/>
      </w:r>
      <w:r>
        <w:rPr>
          <w:rFonts w:hint="eastAsia"/>
          <w:color w:val="auto"/>
          <w:highlight w:val="none"/>
          <w:lang w:val="en-US" w:eastAsia="zh-CN"/>
        </w:rPr>
        <w:t>0</w:t>
      </w:r>
    </w:p>
    <w:p w14:paraId="687922D8">
      <w:pPr>
        <w:pStyle w:val="18"/>
        <w:shd w:val="clear" w:color="auto" w:fill="auto"/>
        <w:tabs>
          <w:tab w:val="right" w:leader="dot" w:pos="8844"/>
        </w:tabs>
        <w:rPr>
          <w:color w:val="auto"/>
          <w:highlight w:val="none"/>
        </w:rPr>
      </w:pPr>
      <w:r>
        <w:rPr>
          <w:rFonts w:hint="eastAsia"/>
          <w:color w:val="auto"/>
          <w:highlight w:val="none"/>
        </w:rPr>
        <w:fldChar w:fldCharType="begin"/>
      </w:r>
      <w:r>
        <w:rPr>
          <w:rFonts w:hint="eastAsia"/>
          <w:color w:val="auto"/>
          <w:highlight w:val="none"/>
        </w:rPr>
        <w:instrText xml:space="preserve"> HYPERLINK \l _Toc10006 </w:instrText>
      </w:r>
      <w:r>
        <w:rPr>
          <w:rFonts w:hint="eastAsia"/>
          <w:color w:val="auto"/>
          <w:highlight w:val="none"/>
        </w:rPr>
        <w:fldChar w:fldCharType="separate"/>
      </w:r>
      <w:r>
        <w:rPr>
          <w:rFonts w:hint="eastAsia" w:hAnsi="宋体" w:cs="宋体"/>
          <w:snapToGrid w:val="0"/>
          <w:color w:val="auto"/>
          <w:highlight w:val="none"/>
        </w:rPr>
        <w:t>第六章 建设工程监理合同</w:t>
      </w:r>
      <w:r>
        <w:rPr>
          <w:color w:val="auto"/>
          <w:highlight w:val="none"/>
        </w:rPr>
        <w:tab/>
      </w:r>
      <w:r>
        <w:rPr>
          <w:color w:val="auto"/>
          <w:highlight w:val="none"/>
        </w:rPr>
        <w:fldChar w:fldCharType="begin"/>
      </w:r>
      <w:r>
        <w:rPr>
          <w:color w:val="auto"/>
          <w:highlight w:val="none"/>
        </w:rPr>
        <w:instrText xml:space="preserve"> PAGEREF _Toc10006 \h </w:instrText>
      </w:r>
      <w:r>
        <w:rPr>
          <w:color w:val="auto"/>
          <w:highlight w:val="none"/>
        </w:rPr>
        <w:fldChar w:fldCharType="separate"/>
      </w:r>
      <w:r>
        <w:rPr>
          <w:color w:val="auto"/>
          <w:highlight w:val="none"/>
        </w:rPr>
        <w:t>73</w:t>
      </w:r>
      <w:r>
        <w:rPr>
          <w:color w:val="auto"/>
          <w:highlight w:val="none"/>
        </w:rPr>
        <w:fldChar w:fldCharType="end"/>
      </w:r>
      <w:r>
        <w:rPr>
          <w:rFonts w:hint="eastAsia"/>
          <w:color w:val="auto"/>
          <w:highlight w:val="none"/>
        </w:rPr>
        <w:fldChar w:fldCharType="end"/>
      </w:r>
    </w:p>
    <w:p w14:paraId="124A3352">
      <w:pPr>
        <w:shd w:val="clear" w:color="auto" w:fill="auto"/>
        <w:rPr>
          <w:rFonts w:hint="eastAsia"/>
          <w:color w:val="auto"/>
          <w:highlight w:val="none"/>
        </w:rPr>
      </w:pPr>
      <w:r>
        <w:rPr>
          <w:rFonts w:hint="eastAsia"/>
          <w:color w:val="auto"/>
          <w:highlight w:val="none"/>
        </w:rPr>
        <w:fldChar w:fldCharType="end"/>
      </w:r>
    </w:p>
    <w:p w14:paraId="0E6CB9F8">
      <w:pPr>
        <w:pStyle w:val="12"/>
        <w:shd w:val="clear" w:color="auto" w:fill="auto"/>
        <w:wordWrap w:val="0"/>
        <w:adjustRightInd w:val="0"/>
        <w:snapToGrid w:val="0"/>
        <w:spacing w:line="440" w:lineRule="exact"/>
        <w:jc w:val="center"/>
        <w:outlineLvl w:val="0"/>
        <w:rPr>
          <w:rFonts w:hint="eastAsia" w:hAnsi="宋体" w:cs="宋体"/>
          <w:b/>
          <w:snapToGrid w:val="0"/>
          <w:color w:val="auto"/>
          <w:kern w:val="0"/>
          <w:highlight w:val="none"/>
        </w:rPr>
        <w:sectPr>
          <w:footerReference r:id="rId6" w:type="default"/>
          <w:endnotePr>
            <w:numFmt w:val="decimal"/>
          </w:endnotePr>
          <w:pgSz w:w="11906" w:h="16838"/>
          <w:pgMar w:top="1701" w:right="1531" w:bottom="1417" w:left="1531" w:header="850" w:footer="992" w:gutter="0"/>
          <w:pgNumType w:start="1"/>
          <w:cols w:space="720" w:num="1"/>
          <w:rtlGutter w:val="0"/>
          <w:docGrid w:linePitch="327" w:charSpace="0"/>
        </w:sectPr>
      </w:pPr>
      <w:bookmarkStart w:id="6" w:name="_Toc22752"/>
    </w:p>
    <w:p w14:paraId="4BA2B1AB">
      <w:pPr>
        <w:pStyle w:val="12"/>
        <w:shd w:val="clear" w:color="auto" w:fill="auto"/>
        <w:wordWrap w:val="0"/>
        <w:adjustRightInd w:val="0"/>
        <w:snapToGrid w:val="0"/>
        <w:spacing w:line="440" w:lineRule="exact"/>
        <w:jc w:val="center"/>
        <w:outlineLvl w:val="0"/>
        <w:rPr>
          <w:rFonts w:hint="eastAsia" w:hAnsi="宋体" w:cs="宋体"/>
          <w:b/>
          <w:snapToGrid w:val="0"/>
          <w:color w:val="auto"/>
          <w:kern w:val="0"/>
          <w:highlight w:val="none"/>
        </w:rPr>
      </w:pPr>
      <w:bookmarkStart w:id="7" w:name="_Toc30630"/>
      <w:bookmarkStart w:id="8" w:name="_Toc23113"/>
      <w:bookmarkStart w:id="9" w:name="_Toc5663"/>
      <w:bookmarkStart w:id="10" w:name="_Toc24935"/>
      <w:bookmarkStart w:id="11" w:name="_Toc15229"/>
      <w:bookmarkStart w:id="12" w:name="_Toc26307"/>
      <w:bookmarkStart w:id="13" w:name="_Toc1285"/>
      <w:bookmarkStart w:id="14" w:name="_Toc5583"/>
      <w:bookmarkStart w:id="15" w:name="_Toc21126"/>
      <w:r>
        <w:rPr>
          <w:rFonts w:hint="eastAsia" w:hAnsi="宋体" w:cs="宋体"/>
          <w:b/>
          <w:snapToGrid w:val="0"/>
          <w:color w:val="auto"/>
          <w:kern w:val="0"/>
          <w:highlight w:val="none"/>
        </w:rPr>
        <w:t>第一章 投标人须知</w:t>
      </w:r>
      <w:bookmarkEnd w:id="3"/>
      <w:bookmarkEnd w:id="4"/>
      <w:bookmarkEnd w:id="6"/>
      <w:bookmarkEnd w:id="7"/>
      <w:bookmarkEnd w:id="8"/>
      <w:bookmarkEnd w:id="9"/>
      <w:bookmarkEnd w:id="10"/>
      <w:bookmarkEnd w:id="11"/>
      <w:bookmarkEnd w:id="12"/>
      <w:bookmarkEnd w:id="13"/>
      <w:bookmarkEnd w:id="14"/>
      <w:bookmarkEnd w:id="15"/>
    </w:p>
    <w:p w14:paraId="4FD23C7F">
      <w:pPr>
        <w:pStyle w:val="3"/>
        <w:keepNext w:val="0"/>
        <w:keepLines w:val="0"/>
        <w:pageBreakBefore w:val="0"/>
        <w:widowControl w:val="0"/>
        <w:shd w:val="clear" w:color="auto" w:fill="auto"/>
        <w:kinsoku/>
        <w:wordWrap w:val="0"/>
        <w:overflowPunct/>
        <w:topLinePunct w:val="0"/>
        <w:autoSpaceDE/>
        <w:autoSpaceDN/>
        <w:bidi w:val="0"/>
        <w:adjustRightInd w:val="0"/>
        <w:snapToGrid w:val="0"/>
        <w:spacing w:before="140" w:after="140" w:line="440" w:lineRule="exact"/>
        <w:jc w:val="both"/>
        <w:textAlignment w:val="auto"/>
        <w:rPr>
          <w:rFonts w:hint="eastAsia" w:hAnsi="宋体" w:cs="宋体"/>
          <w:b/>
          <w:snapToGrid w:val="0"/>
          <w:color w:val="auto"/>
          <w:highlight w:val="none"/>
        </w:rPr>
      </w:pPr>
      <w:bookmarkStart w:id="16" w:name="_Hlt127175444"/>
      <w:bookmarkEnd w:id="16"/>
      <w:bookmarkStart w:id="17" w:name="_Toc28652"/>
      <w:bookmarkStart w:id="18" w:name="_Toc20747"/>
      <w:bookmarkStart w:id="19" w:name="_Toc11495"/>
      <w:bookmarkStart w:id="20" w:name="_Toc24724"/>
      <w:bookmarkStart w:id="21" w:name="_Toc26922"/>
      <w:bookmarkStart w:id="22" w:name="_Toc11024"/>
      <w:bookmarkStart w:id="23" w:name="_Toc25631"/>
      <w:bookmarkStart w:id="24" w:name="_Toc3285"/>
      <w:bookmarkStart w:id="25" w:name="_Toc24800"/>
      <w:bookmarkStart w:id="26" w:name="_Toc3634"/>
      <w:bookmarkStart w:id="27" w:name="_Toc16331"/>
      <w:bookmarkStart w:id="28" w:name="_Hlt120077520"/>
      <w:r>
        <w:rPr>
          <w:rFonts w:hint="eastAsia" w:hAnsi="宋体" w:cs="宋体"/>
          <w:b/>
          <w:snapToGrid w:val="0"/>
          <w:color w:val="auto"/>
          <w:highlight w:val="none"/>
        </w:rPr>
        <w:t>第一节 投标人须知前附表</w:t>
      </w:r>
      <w:bookmarkEnd w:id="17"/>
      <w:bookmarkEnd w:id="18"/>
      <w:bookmarkEnd w:id="19"/>
      <w:bookmarkEnd w:id="20"/>
      <w:bookmarkEnd w:id="21"/>
      <w:bookmarkEnd w:id="22"/>
      <w:bookmarkEnd w:id="23"/>
      <w:bookmarkEnd w:id="24"/>
      <w:bookmarkEnd w:id="25"/>
      <w:bookmarkEnd w:id="26"/>
      <w:bookmarkEnd w:id="27"/>
    </w:p>
    <w:tbl>
      <w:tblPr>
        <w:tblStyle w:val="24"/>
        <w:tblW w:w="9187" w:type="dxa"/>
        <w:tblInd w:w="-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58"/>
        <w:gridCol w:w="1995"/>
        <w:gridCol w:w="6534"/>
      </w:tblGrid>
      <w:tr w14:paraId="177A3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5" w:hRule="atLeast"/>
        </w:trPr>
        <w:tc>
          <w:tcPr>
            <w:tcW w:w="658" w:type="dxa"/>
            <w:tcBorders>
              <w:top w:val="single" w:color="auto" w:sz="4" w:space="0"/>
              <w:left w:val="single" w:color="auto" w:sz="4" w:space="0"/>
              <w:bottom w:val="single" w:color="auto" w:sz="4" w:space="0"/>
              <w:right w:val="single" w:color="auto" w:sz="4" w:space="0"/>
            </w:tcBorders>
            <w:vAlign w:val="center"/>
          </w:tcPr>
          <w:p w14:paraId="52CA75F4">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995" w:type="dxa"/>
            <w:tcBorders>
              <w:top w:val="single" w:color="auto" w:sz="4" w:space="0"/>
              <w:left w:val="single" w:color="auto" w:sz="4" w:space="0"/>
              <w:bottom w:val="single" w:color="auto" w:sz="4" w:space="0"/>
              <w:right w:val="single" w:color="auto" w:sz="4" w:space="0"/>
            </w:tcBorders>
            <w:vAlign w:val="center"/>
          </w:tcPr>
          <w:p w14:paraId="2451BACF">
            <w:pPr>
              <w:shd w:val="clear" w:color="auto" w:fill="auto"/>
              <w:wordWrap w:val="0"/>
              <w:adjustRightInd w:val="0"/>
              <w:snapToGrid w:val="0"/>
              <w:spacing w:line="24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内容</w:t>
            </w:r>
          </w:p>
        </w:tc>
        <w:tc>
          <w:tcPr>
            <w:tcW w:w="6534" w:type="dxa"/>
            <w:tcBorders>
              <w:top w:val="single" w:color="auto" w:sz="4" w:space="0"/>
              <w:left w:val="single" w:color="auto" w:sz="4" w:space="0"/>
              <w:bottom w:val="single" w:color="auto" w:sz="4" w:space="0"/>
              <w:right w:val="single" w:color="auto" w:sz="4" w:space="0"/>
            </w:tcBorders>
            <w:vAlign w:val="center"/>
          </w:tcPr>
          <w:p w14:paraId="565351E1">
            <w:pPr>
              <w:shd w:val="clear" w:color="auto" w:fill="auto"/>
              <w:tabs>
                <w:tab w:val="left" w:pos="1180"/>
              </w:tabs>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说明与要求</w:t>
            </w:r>
          </w:p>
        </w:tc>
      </w:tr>
      <w:tr w14:paraId="6AD5E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3" w:hRule="exact"/>
        </w:trPr>
        <w:tc>
          <w:tcPr>
            <w:tcW w:w="658" w:type="dxa"/>
            <w:tcBorders>
              <w:top w:val="single" w:color="auto" w:sz="4" w:space="0"/>
              <w:left w:val="single" w:color="auto" w:sz="4" w:space="0"/>
              <w:bottom w:val="single" w:color="auto" w:sz="4" w:space="0"/>
              <w:right w:val="single" w:color="auto" w:sz="4" w:space="0"/>
            </w:tcBorders>
            <w:vAlign w:val="center"/>
          </w:tcPr>
          <w:p w14:paraId="1E6DEEE3">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995" w:type="dxa"/>
            <w:tcBorders>
              <w:top w:val="single" w:color="auto" w:sz="4" w:space="0"/>
              <w:left w:val="single" w:color="auto" w:sz="4" w:space="0"/>
              <w:bottom w:val="single" w:color="auto" w:sz="4" w:space="0"/>
              <w:right w:val="single" w:color="auto" w:sz="4" w:space="0"/>
            </w:tcBorders>
            <w:vAlign w:val="center"/>
          </w:tcPr>
          <w:p w14:paraId="18DB77B8">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项目名称</w:t>
            </w:r>
          </w:p>
        </w:tc>
        <w:tc>
          <w:tcPr>
            <w:tcW w:w="6534" w:type="dxa"/>
            <w:tcBorders>
              <w:top w:val="single" w:color="auto" w:sz="4" w:space="0"/>
              <w:left w:val="single" w:color="auto" w:sz="4" w:space="0"/>
              <w:bottom w:val="single" w:color="auto" w:sz="4" w:space="0"/>
              <w:right w:val="single" w:color="auto" w:sz="4" w:space="0"/>
            </w:tcBorders>
            <w:vAlign w:val="center"/>
          </w:tcPr>
          <w:p w14:paraId="1A3D823F">
            <w:pPr>
              <w:shd w:val="clear" w:color="auto" w:fill="auto"/>
              <w:tabs>
                <w:tab w:val="left" w:pos="1180"/>
              </w:tabs>
              <w:wordWrap w:val="0"/>
              <w:adjustRightInd w:val="0"/>
              <w:snapToGrid w:val="0"/>
              <w:spacing w:line="400" w:lineRule="exact"/>
              <w:ind w:firstLine="210" w:firstLineChars="1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 w:val="0"/>
                <w:snapToGrid w:val="0"/>
                <w:color w:val="auto"/>
                <w:kern w:val="0"/>
                <w:sz w:val="21"/>
                <w:szCs w:val="21"/>
                <w:highlight w:val="none"/>
                <w:lang w:eastAsia="zh-CN"/>
              </w:rPr>
              <w:t>韶关市武江区城区排水防涝系统改造项目（二期）</w:t>
            </w:r>
            <w:r>
              <w:rPr>
                <w:rFonts w:hint="eastAsia" w:hAnsi="宋体" w:cs="宋体"/>
                <w:b w:val="0"/>
                <w:snapToGrid w:val="0"/>
                <w:color w:val="auto"/>
                <w:kern w:val="0"/>
                <w:sz w:val="21"/>
                <w:szCs w:val="21"/>
                <w:highlight w:val="none"/>
                <w:lang w:eastAsia="zh-CN"/>
              </w:rPr>
              <w:t>C标</w:t>
            </w:r>
            <w:r>
              <w:rPr>
                <w:rFonts w:hint="eastAsia" w:ascii="宋体" w:hAnsi="宋体" w:eastAsia="宋体" w:cs="宋体"/>
                <w:b w:val="0"/>
                <w:snapToGrid w:val="0"/>
                <w:color w:val="auto"/>
                <w:kern w:val="0"/>
                <w:sz w:val="21"/>
                <w:szCs w:val="21"/>
                <w:highlight w:val="none"/>
                <w:lang w:eastAsia="zh-CN"/>
              </w:rPr>
              <w:t>监理</w:t>
            </w:r>
          </w:p>
        </w:tc>
      </w:tr>
      <w:tr w14:paraId="0A45F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6891CAEE">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995" w:type="dxa"/>
            <w:tcBorders>
              <w:top w:val="single" w:color="auto" w:sz="4" w:space="0"/>
              <w:left w:val="single" w:color="auto" w:sz="4" w:space="0"/>
              <w:bottom w:val="single" w:color="auto" w:sz="4" w:space="0"/>
              <w:right w:val="single" w:color="auto" w:sz="4" w:space="0"/>
            </w:tcBorders>
            <w:vAlign w:val="center"/>
          </w:tcPr>
          <w:p w14:paraId="6C305E57">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项目业主</w:t>
            </w:r>
          </w:p>
        </w:tc>
        <w:tc>
          <w:tcPr>
            <w:tcW w:w="6534" w:type="dxa"/>
            <w:tcBorders>
              <w:top w:val="single" w:color="auto" w:sz="4" w:space="0"/>
              <w:left w:val="single" w:color="auto" w:sz="4" w:space="0"/>
              <w:bottom w:val="single" w:color="auto" w:sz="4" w:space="0"/>
              <w:right w:val="single" w:color="auto" w:sz="4" w:space="0"/>
            </w:tcBorders>
            <w:vAlign w:val="center"/>
          </w:tcPr>
          <w:p w14:paraId="11BDD3BA">
            <w:pPr>
              <w:pStyle w:val="48"/>
              <w:shd w:val="clear" w:color="auto" w:fill="auto"/>
              <w:spacing w:line="240" w:lineRule="auto"/>
              <w:ind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韶关市武江区城市管理和综合执法局</w:t>
            </w:r>
          </w:p>
        </w:tc>
      </w:tr>
      <w:tr w14:paraId="20E65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5" w:hRule="exact"/>
        </w:trPr>
        <w:tc>
          <w:tcPr>
            <w:tcW w:w="658" w:type="dxa"/>
            <w:tcBorders>
              <w:top w:val="single" w:color="auto" w:sz="4" w:space="0"/>
              <w:left w:val="single" w:color="auto" w:sz="4" w:space="0"/>
              <w:bottom w:val="single" w:color="auto" w:sz="4" w:space="0"/>
              <w:right w:val="single" w:color="auto" w:sz="4" w:space="0"/>
            </w:tcBorders>
            <w:vAlign w:val="center"/>
          </w:tcPr>
          <w:p w14:paraId="07DDC6D2">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995" w:type="dxa"/>
            <w:tcBorders>
              <w:top w:val="single" w:color="auto" w:sz="4" w:space="0"/>
              <w:left w:val="single" w:color="auto" w:sz="4" w:space="0"/>
              <w:bottom w:val="single" w:color="auto" w:sz="4" w:space="0"/>
              <w:right w:val="single" w:color="auto" w:sz="4" w:space="0"/>
            </w:tcBorders>
            <w:vAlign w:val="center"/>
          </w:tcPr>
          <w:p w14:paraId="71A1884C">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项目批准部门及项目批准文号</w:t>
            </w:r>
          </w:p>
        </w:tc>
        <w:tc>
          <w:tcPr>
            <w:tcW w:w="6534" w:type="dxa"/>
            <w:tcBorders>
              <w:top w:val="single" w:color="auto" w:sz="4" w:space="0"/>
              <w:left w:val="single" w:color="auto" w:sz="4" w:space="0"/>
              <w:bottom w:val="single" w:color="auto" w:sz="4" w:space="0"/>
              <w:right w:val="single" w:color="auto" w:sz="4" w:space="0"/>
            </w:tcBorders>
            <w:vAlign w:val="center"/>
          </w:tcPr>
          <w:p w14:paraId="4D3313E3">
            <w:pPr>
              <w:pStyle w:val="48"/>
              <w:shd w:val="clear" w:color="auto" w:fill="auto"/>
              <w:spacing w:line="360" w:lineRule="auto"/>
              <w:ind w:firstLine="210" w:firstLineChars="1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韶关市武江区发展和改革局（</w:t>
            </w:r>
            <w:r>
              <w:rPr>
                <w:rFonts w:hint="eastAsia" w:ascii="宋体" w:hAnsi="宋体" w:eastAsia="宋体" w:cs="宋体"/>
                <w:color w:val="auto"/>
                <w:sz w:val="21"/>
                <w:szCs w:val="21"/>
                <w:highlight w:val="none"/>
                <w:lang w:val="en-US" w:eastAsia="zh-CN"/>
              </w:rPr>
              <w:t>韶武发改投审〔2025〕3号）</w:t>
            </w:r>
          </w:p>
        </w:tc>
      </w:tr>
      <w:tr w14:paraId="55299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5" w:hRule="exact"/>
        </w:trPr>
        <w:tc>
          <w:tcPr>
            <w:tcW w:w="658" w:type="dxa"/>
            <w:tcBorders>
              <w:top w:val="single" w:color="auto" w:sz="4" w:space="0"/>
              <w:left w:val="single" w:color="auto" w:sz="4" w:space="0"/>
              <w:bottom w:val="single" w:color="auto" w:sz="4" w:space="0"/>
              <w:right w:val="single" w:color="auto" w:sz="4" w:space="0"/>
            </w:tcBorders>
            <w:vAlign w:val="center"/>
          </w:tcPr>
          <w:p w14:paraId="168414F6">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w:t>
            </w:r>
          </w:p>
        </w:tc>
        <w:tc>
          <w:tcPr>
            <w:tcW w:w="1995" w:type="dxa"/>
            <w:tcBorders>
              <w:top w:val="single" w:color="auto" w:sz="4" w:space="0"/>
              <w:left w:val="single" w:color="auto" w:sz="4" w:space="0"/>
              <w:bottom w:val="single" w:color="auto" w:sz="4" w:space="0"/>
              <w:right w:val="single" w:color="auto" w:sz="4" w:space="0"/>
            </w:tcBorders>
            <w:vAlign w:val="center"/>
          </w:tcPr>
          <w:p w14:paraId="6E7F6BD3">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z w:val="21"/>
                <w:szCs w:val="21"/>
                <w:highlight w:val="none"/>
                <w:lang w:val="en-US" w:eastAsia="zh-CN" w:bidi="ar-SA"/>
              </w:rPr>
              <w:t>建设地点</w:t>
            </w:r>
          </w:p>
        </w:tc>
        <w:tc>
          <w:tcPr>
            <w:tcW w:w="6534" w:type="dxa"/>
            <w:tcBorders>
              <w:top w:val="single" w:color="auto" w:sz="4" w:space="0"/>
              <w:left w:val="single" w:color="auto" w:sz="4" w:space="0"/>
              <w:bottom w:val="single" w:color="auto" w:sz="4" w:space="0"/>
              <w:right w:val="single" w:color="auto" w:sz="4" w:space="0"/>
            </w:tcBorders>
            <w:vAlign w:val="center"/>
          </w:tcPr>
          <w:p w14:paraId="0BC504C5">
            <w:pPr>
              <w:pStyle w:val="7"/>
              <w:shd w:val="clear" w:color="auto" w:fill="auto"/>
              <w:ind w:firstLine="210" w:firstLineChars="1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韶关市武江区</w:t>
            </w:r>
          </w:p>
        </w:tc>
      </w:tr>
      <w:tr w14:paraId="12C3D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5" w:hRule="exact"/>
        </w:trPr>
        <w:tc>
          <w:tcPr>
            <w:tcW w:w="658" w:type="dxa"/>
            <w:tcBorders>
              <w:top w:val="single" w:color="auto" w:sz="4" w:space="0"/>
              <w:left w:val="single" w:color="auto" w:sz="4" w:space="0"/>
              <w:bottom w:val="single" w:color="auto" w:sz="4" w:space="0"/>
              <w:right w:val="single" w:color="auto" w:sz="4" w:space="0"/>
            </w:tcBorders>
            <w:vAlign w:val="center"/>
          </w:tcPr>
          <w:p w14:paraId="7EB95D1B">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5</w:t>
            </w:r>
          </w:p>
        </w:tc>
        <w:tc>
          <w:tcPr>
            <w:tcW w:w="1995" w:type="dxa"/>
            <w:tcBorders>
              <w:top w:val="single" w:color="auto" w:sz="4" w:space="0"/>
              <w:left w:val="single" w:color="auto" w:sz="4" w:space="0"/>
              <w:bottom w:val="single" w:color="auto" w:sz="4" w:space="0"/>
              <w:right w:val="single" w:color="auto" w:sz="4" w:space="0"/>
            </w:tcBorders>
            <w:vAlign w:val="center"/>
          </w:tcPr>
          <w:p w14:paraId="76249CE3">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项目代码</w:t>
            </w:r>
          </w:p>
        </w:tc>
        <w:tc>
          <w:tcPr>
            <w:tcW w:w="6534" w:type="dxa"/>
            <w:tcBorders>
              <w:top w:val="single" w:color="auto" w:sz="4" w:space="0"/>
              <w:left w:val="single" w:color="auto" w:sz="4" w:space="0"/>
              <w:bottom w:val="single" w:color="auto" w:sz="4" w:space="0"/>
              <w:right w:val="single" w:color="auto" w:sz="4" w:space="0"/>
            </w:tcBorders>
            <w:vAlign w:val="center"/>
          </w:tcPr>
          <w:p w14:paraId="00ACE9E7">
            <w:pPr>
              <w:pStyle w:val="48"/>
              <w:shd w:val="clear" w:color="auto" w:fill="auto"/>
              <w:spacing w:line="360" w:lineRule="auto"/>
              <w:ind w:firstLine="210" w:firstLineChars="1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2405-440203-17-01-545355</w:t>
            </w:r>
          </w:p>
        </w:tc>
      </w:tr>
      <w:tr w14:paraId="013ED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5" w:hRule="exact"/>
        </w:trPr>
        <w:tc>
          <w:tcPr>
            <w:tcW w:w="658" w:type="dxa"/>
            <w:tcBorders>
              <w:top w:val="single" w:color="auto" w:sz="4" w:space="0"/>
              <w:left w:val="single" w:color="auto" w:sz="4" w:space="0"/>
              <w:bottom w:val="single" w:color="auto" w:sz="4" w:space="0"/>
              <w:right w:val="single" w:color="auto" w:sz="4" w:space="0"/>
            </w:tcBorders>
            <w:vAlign w:val="center"/>
          </w:tcPr>
          <w:p w14:paraId="63A61C59">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6</w:t>
            </w:r>
          </w:p>
        </w:tc>
        <w:tc>
          <w:tcPr>
            <w:tcW w:w="1995" w:type="dxa"/>
            <w:tcBorders>
              <w:top w:val="single" w:color="auto" w:sz="4" w:space="0"/>
              <w:left w:val="single" w:color="auto" w:sz="4" w:space="0"/>
              <w:bottom w:val="single" w:color="auto" w:sz="4" w:space="0"/>
              <w:right w:val="single" w:color="auto" w:sz="4" w:space="0"/>
            </w:tcBorders>
            <w:vAlign w:val="center"/>
          </w:tcPr>
          <w:p w14:paraId="71FD9116">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资金来源</w:t>
            </w:r>
          </w:p>
          <w:p w14:paraId="189499A4">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及出资比例</w:t>
            </w:r>
          </w:p>
        </w:tc>
        <w:tc>
          <w:tcPr>
            <w:tcW w:w="6534" w:type="dxa"/>
            <w:tcBorders>
              <w:top w:val="single" w:color="auto" w:sz="4" w:space="0"/>
              <w:left w:val="single" w:color="auto" w:sz="4" w:space="0"/>
              <w:bottom w:val="single" w:color="auto" w:sz="4" w:space="0"/>
              <w:right w:val="single" w:color="auto" w:sz="4" w:space="0"/>
            </w:tcBorders>
            <w:vAlign w:val="center"/>
          </w:tcPr>
          <w:p w14:paraId="4D951C30">
            <w:pPr>
              <w:pStyle w:val="48"/>
              <w:shd w:val="clear" w:color="auto" w:fill="auto"/>
              <w:spacing w:line="360" w:lineRule="auto"/>
              <w:ind w:firstLine="210" w:firstLineChars="1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由区财政统筹解决，100% </w:t>
            </w:r>
          </w:p>
        </w:tc>
      </w:tr>
      <w:tr w14:paraId="57D27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58CEBCF2">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7</w:t>
            </w:r>
          </w:p>
        </w:tc>
        <w:tc>
          <w:tcPr>
            <w:tcW w:w="1995" w:type="dxa"/>
            <w:tcBorders>
              <w:top w:val="single" w:color="auto" w:sz="4" w:space="0"/>
              <w:left w:val="single" w:color="auto" w:sz="4" w:space="0"/>
              <w:bottom w:val="single" w:color="auto" w:sz="4" w:space="0"/>
              <w:right w:val="single" w:color="auto" w:sz="4" w:space="0"/>
            </w:tcBorders>
            <w:vAlign w:val="center"/>
          </w:tcPr>
          <w:p w14:paraId="05E3CA61">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招标人</w:t>
            </w:r>
          </w:p>
        </w:tc>
        <w:tc>
          <w:tcPr>
            <w:tcW w:w="6534" w:type="dxa"/>
            <w:tcBorders>
              <w:top w:val="single" w:color="auto" w:sz="4" w:space="0"/>
              <w:left w:val="single" w:color="auto" w:sz="4" w:space="0"/>
              <w:bottom w:val="single" w:color="auto" w:sz="4" w:space="0"/>
              <w:right w:val="single" w:color="auto" w:sz="4" w:space="0"/>
            </w:tcBorders>
            <w:vAlign w:val="center"/>
          </w:tcPr>
          <w:p w14:paraId="295D7830">
            <w:pPr>
              <w:shd w:val="clear" w:color="auto" w:fill="auto"/>
              <w:wordWrap w:val="0"/>
              <w:adjustRightInd w:val="0"/>
              <w:snapToGrid w:val="0"/>
              <w:spacing w:line="400" w:lineRule="exact"/>
              <w:ind w:firstLine="210" w:firstLineChars="100"/>
              <w:jc w:val="left"/>
              <w:rPr>
                <w:rFonts w:hint="eastAsia" w:ascii="宋体" w:hAnsi="宋体" w:eastAsia="宋体" w:cs="宋体"/>
                <w:bCs/>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lang w:eastAsia="zh-CN"/>
              </w:rPr>
              <w:t>韶关市武江区城市管理和综合执法局</w:t>
            </w:r>
          </w:p>
        </w:tc>
      </w:tr>
      <w:tr w14:paraId="7E6B1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6F0C3811">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8</w:t>
            </w:r>
          </w:p>
        </w:tc>
        <w:tc>
          <w:tcPr>
            <w:tcW w:w="1995" w:type="dxa"/>
            <w:tcBorders>
              <w:top w:val="single" w:color="auto" w:sz="4" w:space="0"/>
              <w:left w:val="single" w:color="auto" w:sz="4" w:space="0"/>
              <w:bottom w:val="single" w:color="auto" w:sz="4" w:space="0"/>
              <w:right w:val="single" w:color="auto" w:sz="4" w:space="0"/>
            </w:tcBorders>
            <w:vAlign w:val="center"/>
          </w:tcPr>
          <w:p w14:paraId="41829CCE">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招标代理机构</w:t>
            </w:r>
          </w:p>
        </w:tc>
        <w:tc>
          <w:tcPr>
            <w:tcW w:w="6534" w:type="dxa"/>
            <w:tcBorders>
              <w:top w:val="single" w:color="auto" w:sz="4" w:space="0"/>
              <w:left w:val="single" w:color="auto" w:sz="4" w:space="0"/>
              <w:bottom w:val="single" w:color="auto" w:sz="4" w:space="0"/>
              <w:right w:val="single" w:color="auto" w:sz="4" w:space="0"/>
            </w:tcBorders>
            <w:vAlign w:val="center"/>
          </w:tcPr>
          <w:p w14:paraId="5E7289B6">
            <w:pPr>
              <w:shd w:val="clear" w:color="auto" w:fill="auto"/>
              <w:wordWrap w:val="0"/>
              <w:adjustRightInd w:val="0"/>
              <w:snapToGrid w:val="0"/>
              <w:spacing w:line="400" w:lineRule="exact"/>
              <w:ind w:firstLine="210" w:firstLineChars="100"/>
              <w:jc w:val="left"/>
              <w:rPr>
                <w:rFonts w:hint="eastAsia" w:ascii="宋体" w:hAnsi="宋体" w:eastAsia="宋体" w:cs="宋体"/>
                <w:bCs/>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lang w:eastAsia="zh-CN"/>
              </w:rPr>
              <w:t>广东合正项目管理有限公司</w:t>
            </w:r>
          </w:p>
        </w:tc>
      </w:tr>
      <w:tr w14:paraId="492C5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53D4B208">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9</w:t>
            </w:r>
          </w:p>
        </w:tc>
        <w:tc>
          <w:tcPr>
            <w:tcW w:w="1995" w:type="dxa"/>
            <w:tcBorders>
              <w:top w:val="single" w:color="auto" w:sz="4" w:space="0"/>
              <w:left w:val="single" w:color="auto" w:sz="4" w:space="0"/>
              <w:bottom w:val="single" w:color="auto" w:sz="4" w:space="0"/>
              <w:right w:val="single" w:color="auto" w:sz="4" w:space="0"/>
            </w:tcBorders>
            <w:vAlign w:val="center"/>
          </w:tcPr>
          <w:p w14:paraId="0DA10D49">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z w:val="21"/>
                <w:szCs w:val="21"/>
                <w:highlight w:val="none"/>
                <w:lang w:val="en-US" w:eastAsia="zh-CN" w:bidi="ar-SA"/>
              </w:rPr>
              <w:t>设计单位</w:t>
            </w:r>
          </w:p>
        </w:tc>
        <w:tc>
          <w:tcPr>
            <w:tcW w:w="6534" w:type="dxa"/>
            <w:tcBorders>
              <w:top w:val="single" w:color="auto" w:sz="4" w:space="0"/>
              <w:left w:val="single" w:color="auto" w:sz="4" w:space="0"/>
              <w:bottom w:val="single" w:color="auto" w:sz="4" w:space="0"/>
              <w:right w:val="single" w:color="auto" w:sz="4" w:space="0"/>
            </w:tcBorders>
            <w:vAlign w:val="center"/>
          </w:tcPr>
          <w:p w14:paraId="5CDF706A">
            <w:pPr>
              <w:pStyle w:val="7"/>
              <w:shd w:val="clear" w:color="auto" w:fill="auto"/>
              <w:ind w:firstLine="210" w:firstLineChars="100"/>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bidi="ar-SA"/>
              </w:rPr>
              <w:t>中誉设计有限公司</w:t>
            </w:r>
          </w:p>
        </w:tc>
      </w:tr>
      <w:tr w14:paraId="6434D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64AA491B">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10</w:t>
            </w:r>
          </w:p>
        </w:tc>
        <w:tc>
          <w:tcPr>
            <w:tcW w:w="1995" w:type="dxa"/>
            <w:tcBorders>
              <w:top w:val="single" w:color="auto" w:sz="4" w:space="0"/>
              <w:left w:val="single" w:color="auto" w:sz="4" w:space="0"/>
              <w:bottom w:val="single" w:color="auto" w:sz="4" w:space="0"/>
              <w:right w:val="single" w:color="auto" w:sz="4" w:space="0"/>
            </w:tcBorders>
            <w:vAlign w:val="center"/>
          </w:tcPr>
          <w:p w14:paraId="00DF83B0">
            <w:pPr>
              <w:shd w:val="clear" w:color="auto" w:fill="auto"/>
              <w:spacing w:before="197" w:line="227" w:lineRule="auto"/>
              <w:jc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造价咨询单位</w:t>
            </w:r>
          </w:p>
        </w:tc>
        <w:tc>
          <w:tcPr>
            <w:tcW w:w="6534" w:type="dxa"/>
            <w:tcBorders>
              <w:top w:val="single" w:color="auto" w:sz="4" w:space="0"/>
              <w:left w:val="single" w:color="auto" w:sz="4" w:space="0"/>
              <w:bottom w:val="single" w:color="auto" w:sz="4" w:space="0"/>
              <w:right w:val="single" w:color="auto" w:sz="4" w:space="0"/>
            </w:tcBorders>
            <w:vAlign w:val="center"/>
          </w:tcPr>
          <w:p w14:paraId="0E8955EA">
            <w:pPr>
              <w:shd w:val="clear" w:color="auto" w:fill="auto"/>
              <w:spacing w:before="185" w:line="219" w:lineRule="auto"/>
              <w:ind w:left="33" w:leftChars="0" w:firstLine="206" w:firstLineChars="100"/>
              <w:rPr>
                <w:rFonts w:hint="eastAsia" w:ascii="宋体" w:hAnsi="宋体" w:eastAsia="宋体" w:cs="宋体"/>
                <w:bCs/>
                <w:snapToGrid w:val="0"/>
                <w:color w:val="auto"/>
                <w:kern w:val="0"/>
                <w:sz w:val="21"/>
                <w:szCs w:val="21"/>
                <w:highlight w:val="none"/>
                <w:lang w:val="en-US" w:eastAsia="zh-CN"/>
              </w:rPr>
            </w:pPr>
            <w:r>
              <w:rPr>
                <w:rFonts w:hint="eastAsia"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非全过程造价咨询</w:t>
            </w:r>
            <w:r>
              <w:rPr>
                <w:rFonts w:hint="eastAsia" w:ascii="宋体" w:hAnsi="宋体" w:eastAsia="宋体" w:cs="宋体"/>
                <w:color w:val="auto"/>
                <w:spacing w:val="-2"/>
                <w:sz w:val="21"/>
                <w:szCs w:val="21"/>
                <w:highlight w:val="none"/>
                <w:lang w:val="en-US" w:eastAsia="zh-CN"/>
              </w:rPr>
              <w:t xml:space="preserve">  </w:t>
            </w:r>
            <w:r>
              <w:rPr>
                <w:rFonts w:hint="eastAsia"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全过程造价咨询</w:t>
            </w:r>
            <w:r>
              <w:rPr>
                <w:rFonts w:hint="eastAsia" w:ascii="宋体" w:hAnsi="宋体" w:eastAsia="宋体" w:cs="宋体"/>
                <w:snapToGrid w:val="0"/>
                <w:color w:val="auto"/>
                <w:sz w:val="21"/>
                <w:szCs w:val="21"/>
                <w:highlight w:val="none"/>
                <w:lang w:val="en-US" w:eastAsia="zh-CN" w:bidi="ar-SA"/>
              </w:rPr>
              <w:t xml:space="preserve">  </w:t>
            </w:r>
          </w:p>
        </w:tc>
      </w:tr>
      <w:tr w14:paraId="5895C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127F2635">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11</w:t>
            </w:r>
          </w:p>
        </w:tc>
        <w:tc>
          <w:tcPr>
            <w:tcW w:w="1995" w:type="dxa"/>
            <w:tcBorders>
              <w:top w:val="single" w:color="auto" w:sz="4" w:space="0"/>
              <w:left w:val="single" w:color="auto" w:sz="4" w:space="0"/>
              <w:bottom w:val="single" w:color="auto" w:sz="4" w:space="0"/>
              <w:right w:val="single" w:color="auto" w:sz="4" w:space="0"/>
            </w:tcBorders>
            <w:vAlign w:val="center"/>
          </w:tcPr>
          <w:p w14:paraId="6AF62FE4">
            <w:pPr>
              <w:shd w:val="clear" w:color="auto" w:fill="auto"/>
              <w:spacing w:before="194" w:line="229" w:lineRule="auto"/>
              <w:jc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监理单位</w:t>
            </w:r>
          </w:p>
        </w:tc>
        <w:tc>
          <w:tcPr>
            <w:tcW w:w="6534" w:type="dxa"/>
            <w:tcBorders>
              <w:top w:val="single" w:color="auto" w:sz="4" w:space="0"/>
              <w:left w:val="single" w:color="auto" w:sz="4" w:space="0"/>
              <w:bottom w:val="single" w:color="auto" w:sz="4" w:space="0"/>
              <w:right w:val="single" w:color="auto" w:sz="4" w:space="0"/>
            </w:tcBorders>
            <w:vAlign w:val="center"/>
          </w:tcPr>
          <w:p w14:paraId="4733741A">
            <w:pPr>
              <w:shd w:val="clear" w:color="auto" w:fill="auto"/>
              <w:spacing w:before="179" w:line="240" w:lineRule="auto"/>
              <w:ind w:left="33" w:leftChars="0" w:firstLine="200" w:firstLineChars="100"/>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已确定监理单位</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lang w:eastAsia="zh-CN"/>
              </w:rPr>
              <w:t>☑未</w:t>
            </w:r>
            <w:r>
              <w:rPr>
                <w:rFonts w:hint="eastAsia" w:ascii="宋体" w:hAnsi="宋体" w:eastAsia="宋体" w:cs="宋体"/>
                <w:color w:val="auto"/>
                <w:spacing w:val="-5"/>
                <w:sz w:val="21"/>
                <w:szCs w:val="21"/>
                <w:highlight w:val="none"/>
              </w:rPr>
              <w:t>确定监理单位</w:t>
            </w:r>
          </w:p>
        </w:tc>
      </w:tr>
      <w:tr w14:paraId="77646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02" w:hRule="atLeast"/>
        </w:trPr>
        <w:tc>
          <w:tcPr>
            <w:tcW w:w="658" w:type="dxa"/>
            <w:tcBorders>
              <w:top w:val="single" w:color="auto" w:sz="4" w:space="0"/>
              <w:left w:val="single" w:color="auto" w:sz="4" w:space="0"/>
              <w:bottom w:val="single" w:color="auto" w:sz="4" w:space="0"/>
              <w:right w:val="single" w:color="auto" w:sz="4" w:space="0"/>
            </w:tcBorders>
            <w:vAlign w:val="center"/>
          </w:tcPr>
          <w:p w14:paraId="48CF208D">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w:t>
            </w:r>
          </w:p>
        </w:tc>
        <w:tc>
          <w:tcPr>
            <w:tcW w:w="1995" w:type="dxa"/>
            <w:tcBorders>
              <w:top w:val="single" w:color="auto" w:sz="4" w:space="0"/>
              <w:left w:val="single" w:color="auto" w:sz="4" w:space="0"/>
              <w:bottom w:val="single" w:color="auto" w:sz="4" w:space="0"/>
              <w:right w:val="single" w:color="auto" w:sz="4" w:space="0"/>
            </w:tcBorders>
            <w:vAlign w:val="center"/>
          </w:tcPr>
          <w:p w14:paraId="17B05A4D">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建设内容</w:t>
            </w:r>
          </w:p>
          <w:p w14:paraId="066D8031">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和规模</w:t>
            </w:r>
          </w:p>
        </w:tc>
        <w:tc>
          <w:tcPr>
            <w:tcW w:w="6534" w:type="dxa"/>
            <w:tcBorders>
              <w:top w:val="single" w:color="auto" w:sz="4" w:space="0"/>
              <w:left w:val="single" w:color="auto" w:sz="4" w:space="0"/>
              <w:bottom w:val="single" w:color="auto" w:sz="4" w:space="0"/>
              <w:right w:val="single" w:color="auto" w:sz="4" w:space="0"/>
            </w:tcBorders>
            <w:vAlign w:val="center"/>
          </w:tcPr>
          <w:p w14:paraId="78E28E24">
            <w:pPr>
              <w:keepNext w:val="0"/>
              <w:keepLines w:val="0"/>
              <w:pageBreakBefore w:val="0"/>
              <w:widowControl/>
              <w:suppressLineNumbers w:val="0"/>
              <w:shd w:val="clear" w:color="auto" w:fill="auto"/>
              <w:kinsoku/>
              <w:wordWrap/>
              <w:overflowPunct/>
              <w:topLinePunct w:val="0"/>
              <w:autoSpaceDE/>
              <w:autoSpaceDN/>
              <w:bidi w:val="0"/>
              <w:adjustRightInd/>
              <w:snapToGrid/>
              <w:spacing w:line="400" w:lineRule="exact"/>
              <w:ind w:left="0" w:leftChars="0" w:firstLine="210" w:firstLineChars="1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☑建设规模：</w:t>
            </w:r>
            <w:r>
              <w:rPr>
                <w:rFonts w:hint="eastAsia" w:hAnsi="宋体" w:cs="宋体"/>
                <w:color w:val="auto"/>
                <w:kern w:val="2"/>
                <w:sz w:val="21"/>
                <w:szCs w:val="21"/>
                <w:highlight w:val="none"/>
                <w:lang w:val="en-US" w:eastAsia="zh-CN" w:bidi="ar-SA"/>
              </w:rPr>
              <w:t>在天子岭新村片区进行排水防涝系统改造。</w:t>
            </w:r>
          </w:p>
          <w:p w14:paraId="34589F7D">
            <w:pPr>
              <w:keepNext w:val="0"/>
              <w:keepLines w:val="0"/>
              <w:pageBreakBefore w:val="0"/>
              <w:widowControl/>
              <w:suppressLineNumbers w:val="0"/>
              <w:shd w:val="clear" w:color="auto" w:fill="auto"/>
              <w:kinsoku/>
              <w:wordWrap/>
              <w:overflowPunct/>
              <w:topLinePunct w:val="0"/>
              <w:autoSpaceDE/>
              <w:autoSpaceDN/>
              <w:bidi w:val="0"/>
              <w:adjustRightInd/>
              <w:snapToGrid/>
              <w:spacing w:line="400" w:lineRule="exact"/>
              <w:ind w:left="0" w:leftChars="0" w:firstLine="210" w:firstLineChars="1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☑建设内容：</w:t>
            </w:r>
            <w:r>
              <w:rPr>
                <w:rFonts w:hint="eastAsia" w:hAnsi="宋体" w:cs="宋体"/>
                <w:color w:val="auto"/>
                <w:kern w:val="2"/>
                <w:sz w:val="21"/>
                <w:szCs w:val="21"/>
                <w:highlight w:val="none"/>
                <w:lang w:val="en-US" w:eastAsia="zh-CN" w:bidi="ar-SA"/>
              </w:rPr>
              <w:t>在天子岭新村片区新建DN200-2000x1500排水管渠 2173 米，新建 DN200-DN400排水管 3225 米。</w:t>
            </w:r>
          </w:p>
        </w:tc>
      </w:tr>
      <w:tr w14:paraId="465EA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26" w:hRule="exact"/>
        </w:trPr>
        <w:tc>
          <w:tcPr>
            <w:tcW w:w="658" w:type="dxa"/>
            <w:tcBorders>
              <w:top w:val="single" w:color="auto" w:sz="4" w:space="0"/>
              <w:left w:val="single" w:color="auto" w:sz="4" w:space="0"/>
              <w:bottom w:val="single" w:color="auto" w:sz="4" w:space="0"/>
              <w:right w:val="single" w:color="auto" w:sz="4" w:space="0"/>
            </w:tcBorders>
            <w:vAlign w:val="center"/>
          </w:tcPr>
          <w:p w14:paraId="36F26420">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3</w:t>
            </w:r>
          </w:p>
        </w:tc>
        <w:tc>
          <w:tcPr>
            <w:tcW w:w="1995" w:type="dxa"/>
            <w:tcBorders>
              <w:top w:val="single" w:color="auto" w:sz="4" w:space="0"/>
              <w:left w:val="single" w:color="auto" w:sz="4" w:space="0"/>
              <w:bottom w:val="single" w:color="auto" w:sz="4" w:space="0"/>
              <w:right w:val="single" w:color="auto" w:sz="4" w:space="0"/>
            </w:tcBorders>
            <w:vAlign w:val="center"/>
          </w:tcPr>
          <w:p w14:paraId="0FEC1083">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w:t>
            </w:r>
            <w:r>
              <w:rPr>
                <w:rFonts w:hint="eastAsia" w:ascii="宋体" w:hAnsi="宋体" w:eastAsia="宋体" w:cs="宋体"/>
                <w:color w:val="auto"/>
                <w:kern w:val="0"/>
                <w:sz w:val="21"/>
                <w:szCs w:val="21"/>
                <w:highlight w:val="none"/>
                <w:u w:val="none"/>
                <w:lang w:val="en-US" w:eastAsia="zh-CN"/>
              </w:rPr>
              <w:t>概算</w:t>
            </w:r>
            <w:r>
              <w:rPr>
                <w:rFonts w:hint="eastAsia" w:ascii="宋体" w:hAnsi="宋体" w:eastAsia="宋体" w:cs="宋体"/>
                <w:snapToGrid w:val="0"/>
                <w:color w:val="auto"/>
                <w:kern w:val="0"/>
                <w:sz w:val="21"/>
                <w:szCs w:val="21"/>
                <w:highlight w:val="none"/>
                <w:u w:val="none"/>
              </w:rPr>
              <w:t>投</w:t>
            </w:r>
            <w:r>
              <w:rPr>
                <w:rFonts w:hint="eastAsia" w:ascii="宋体" w:hAnsi="宋体" w:eastAsia="宋体" w:cs="宋体"/>
                <w:snapToGrid w:val="0"/>
                <w:color w:val="auto"/>
                <w:kern w:val="0"/>
                <w:sz w:val="21"/>
                <w:szCs w:val="21"/>
                <w:highlight w:val="none"/>
              </w:rPr>
              <w:t>资额</w:t>
            </w:r>
          </w:p>
        </w:tc>
        <w:tc>
          <w:tcPr>
            <w:tcW w:w="6534" w:type="dxa"/>
            <w:tcBorders>
              <w:top w:val="single" w:color="auto" w:sz="4" w:space="0"/>
              <w:left w:val="single" w:color="auto" w:sz="4" w:space="0"/>
              <w:bottom w:val="single" w:color="auto" w:sz="4" w:space="0"/>
              <w:right w:val="single" w:color="auto" w:sz="4" w:space="0"/>
            </w:tcBorders>
            <w:vAlign w:val="center"/>
          </w:tcPr>
          <w:p w14:paraId="349E9F4B">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bCs/>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lang w:eastAsia="zh-CN"/>
              </w:rPr>
              <w:t>项目（二期）概算总投资为 5749.57万元，其中，工程费用 5075.40 万元，工程建设其他费用 506.7</w:t>
            </w:r>
            <w:r>
              <w:rPr>
                <w:rFonts w:hint="eastAsia" w:ascii="宋体" w:hAnsi="宋体" w:eastAsia="宋体" w:cs="宋体"/>
                <w:bCs/>
                <w:snapToGrid w:val="0"/>
                <w:color w:val="auto"/>
                <w:kern w:val="0"/>
                <w:sz w:val="21"/>
                <w:szCs w:val="21"/>
                <w:highlight w:val="none"/>
                <w:lang w:val="en-US" w:eastAsia="zh-CN"/>
              </w:rPr>
              <w:t>1</w:t>
            </w:r>
            <w:r>
              <w:rPr>
                <w:rFonts w:hint="eastAsia" w:ascii="宋体" w:hAnsi="宋体" w:eastAsia="宋体" w:cs="宋体"/>
                <w:bCs/>
                <w:snapToGrid w:val="0"/>
                <w:color w:val="auto"/>
                <w:kern w:val="0"/>
                <w:sz w:val="21"/>
                <w:szCs w:val="21"/>
                <w:highlight w:val="none"/>
                <w:lang w:eastAsia="zh-CN"/>
              </w:rPr>
              <w:t xml:space="preserve"> 万元。</w:t>
            </w:r>
            <w:r>
              <w:rPr>
                <w:rFonts w:hint="eastAsia" w:hAnsi="宋体" w:cs="宋体"/>
                <w:bCs/>
                <w:snapToGrid w:val="0"/>
                <w:color w:val="auto"/>
                <w:kern w:val="0"/>
                <w:sz w:val="21"/>
                <w:szCs w:val="21"/>
                <w:highlight w:val="none"/>
                <w:lang w:eastAsia="zh-CN"/>
              </w:rPr>
              <w:t>本次招标（二期）C标建安费为17</w:t>
            </w:r>
            <w:r>
              <w:rPr>
                <w:rFonts w:hint="eastAsia" w:hAnsi="宋体" w:cs="宋体"/>
                <w:bCs/>
                <w:snapToGrid w:val="0"/>
                <w:color w:val="auto"/>
                <w:kern w:val="0"/>
                <w:sz w:val="21"/>
                <w:szCs w:val="21"/>
                <w:highlight w:val="none"/>
                <w:lang w:val="en-US" w:eastAsia="zh-CN"/>
              </w:rPr>
              <w:t>245419.02</w:t>
            </w:r>
            <w:r>
              <w:rPr>
                <w:rFonts w:hint="eastAsia" w:hAnsi="宋体" w:cs="宋体"/>
                <w:bCs/>
                <w:snapToGrid w:val="0"/>
                <w:color w:val="auto"/>
                <w:kern w:val="0"/>
                <w:sz w:val="21"/>
                <w:szCs w:val="21"/>
                <w:highlight w:val="none"/>
                <w:lang w:eastAsia="zh-CN"/>
              </w:rPr>
              <w:t>元。</w:t>
            </w:r>
          </w:p>
        </w:tc>
      </w:tr>
      <w:tr w14:paraId="79AF7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56" w:hRule="exact"/>
        </w:trPr>
        <w:tc>
          <w:tcPr>
            <w:tcW w:w="658" w:type="dxa"/>
            <w:tcBorders>
              <w:top w:val="single" w:color="auto" w:sz="4" w:space="0"/>
              <w:left w:val="single" w:color="auto" w:sz="4" w:space="0"/>
              <w:bottom w:val="single" w:color="auto" w:sz="4" w:space="0"/>
              <w:right w:val="single" w:color="auto" w:sz="4" w:space="0"/>
            </w:tcBorders>
            <w:vAlign w:val="center"/>
          </w:tcPr>
          <w:p w14:paraId="44E53267">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4</w:t>
            </w:r>
          </w:p>
        </w:tc>
        <w:tc>
          <w:tcPr>
            <w:tcW w:w="1995" w:type="dxa"/>
            <w:tcBorders>
              <w:top w:val="single" w:color="auto" w:sz="4" w:space="0"/>
              <w:left w:val="single" w:color="auto" w:sz="4" w:space="0"/>
              <w:bottom w:val="single" w:color="auto" w:sz="4" w:space="0"/>
              <w:right w:val="single" w:color="auto" w:sz="4" w:space="0"/>
            </w:tcBorders>
            <w:vAlign w:val="center"/>
          </w:tcPr>
          <w:p w14:paraId="018C81EB">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招标范围</w:t>
            </w:r>
          </w:p>
        </w:tc>
        <w:tc>
          <w:tcPr>
            <w:tcW w:w="6534" w:type="dxa"/>
            <w:tcBorders>
              <w:top w:val="single" w:color="auto" w:sz="4" w:space="0"/>
              <w:left w:val="single" w:color="auto" w:sz="4" w:space="0"/>
              <w:bottom w:val="single" w:color="auto" w:sz="4" w:space="0"/>
              <w:right w:val="single" w:color="auto" w:sz="4" w:space="0"/>
            </w:tcBorders>
            <w:vAlign w:val="center"/>
          </w:tcPr>
          <w:p w14:paraId="5C5863A1">
            <w:pPr>
              <w:shd w:val="clear" w:color="auto" w:fill="auto"/>
              <w:wordWrap w:val="0"/>
              <w:adjustRightInd w:val="0"/>
              <w:snapToGri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 w:val="21"/>
                <w:szCs w:val="21"/>
                <w:highlight w:val="none"/>
                <w:lang w:eastAsia="zh-CN"/>
              </w:rPr>
              <w:t>项目建设施工阶段监理（含施工准备阶段、施工阶段、工程竣工结算阶段和保修阶段监理）</w:t>
            </w:r>
            <w:r>
              <w:rPr>
                <w:rFonts w:hint="eastAsia" w:ascii="宋体" w:hAnsi="宋体" w:eastAsia="宋体" w:cs="宋体"/>
                <w:bCs/>
                <w:snapToGrid w:val="0"/>
                <w:color w:val="auto"/>
                <w:kern w:val="0"/>
                <w:sz w:val="21"/>
                <w:szCs w:val="21"/>
                <w:highlight w:val="none"/>
              </w:rPr>
              <w:t>。</w:t>
            </w:r>
          </w:p>
        </w:tc>
      </w:tr>
      <w:tr w14:paraId="7AB46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5" w:hRule="exact"/>
        </w:trPr>
        <w:tc>
          <w:tcPr>
            <w:tcW w:w="658" w:type="dxa"/>
            <w:tcBorders>
              <w:top w:val="single" w:color="auto" w:sz="4" w:space="0"/>
              <w:left w:val="single" w:color="auto" w:sz="4" w:space="0"/>
              <w:bottom w:val="single" w:color="auto" w:sz="4" w:space="0"/>
              <w:right w:val="single" w:color="auto" w:sz="4" w:space="0"/>
            </w:tcBorders>
            <w:vAlign w:val="center"/>
          </w:tcPr>
          <w:p w14:paraId="48F28A15">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5</w:t>
            </w:r>
          </w:p>
        </w:tc>
        <w:tc>
          <w:tcPr>
            <w:tcW w:w="1995" w:type="dxa"/>
            <w:tcBorders>
              <w:top w:val="single" w:color="auto" w:sz="4" w:space="0"/>
              <w:left w:val="single" w:color="auto" w:sz="4" w:space="0"/>
              <w:bottom w:val="single" w:color="auto" w:sz="4" w:space="0"/>
              <w:right w:val="single" w:color="auto" w:sz="4" w:space="0"/>
            </w:tcBorders>
            <w:vAlign w:val="center"/>
          </w:tcPr>
          <w:p w14:paraId="4AA480D6">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标段划分</w:t>
            </w:r>
          </w:p>
        </w:tc>
        <w:tc>
          <w:tcPr>
            <w:tcW w:w="6534" w:type="dxa"/>
            <w:tcBorders>
              <w:top w:val="single" w:color="auto" w:sz="4" w:space="0"/>
              <w:left w:val="single" w:color="auto" w:sz="4" w:space="0"/>
              <w:bottom w:val="single" w:color="auto" w:sz="4" w:space="0"/>
              <w:right w:val="single" w:color="auto" w:sz="4" w:space="0"/>
            </w:tcBorders>
            <w:vAlign w:val="center"/>
          </w:tcPr>
          <w:p w14:paraId="31F97427">
            <w:pPr>
              <w:shd w:val="clear" w:color="auto" w:fill="auto"/>
              <w:wordWrap w:val="0"/>
              <w:adjustRightInd w:val="0"/>
              <w:snapToGrid w:val="0"/>
              <w:spacing w:line="400" w:lineRule="exact"/>
              <w:ind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本招标项目不划分标段。</w:t>
            </w:r>
          </w:p>
        </w:tc>
      </w:tr>
      <w:tr w14:paraId="0AE73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758" w:hRule="exact"/>
        </w:trPr>
        <w:tc>
          <w:tcPr>
            <w:tcW w:w="658" w:type="dxa"/>
            <w:tcBorders>
              <w:top w:val="single" w:color="auto" w:sz="4" w:space="0"/>
              <w:left w:val="single" w:color="auto" w:sz="4" w:space="0"/>
              <w:bottom w:val="single" w:color="auto" w:sz="4" w:space="0"/>
              <w:right w:val="single" w:color="auto" w:sz="4" w:space="0"/>
            </w:tcBorders>
            <w:vAlign w:val="center"/>
          </w:tcPr>
          <w:p w14:paraId="03360F42">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16</w:t>
            </w:r>
          </w:p>
        </w:tc>
        <w:tc>
          <w:tcPr>
            <w:tcW w:w="1995" w:type="dxa"/>
            <w:tcBorders>
              <w:top w:val="single" w:color="auto" w:sz="4" w:space="0"/>
              <w:left w:val="single" w:color="auto" w:sz="4" w:space="0"/>
              <w:bottom w:val="single" w:color="auto" w:sz="4" w:space="0"/>
              <w:right w:val="single" w:color="auto" w:sz="4" w:space="0"/>
            </w:tcBorders>
            <w:vAlign w:val="center"/>
          </w:tcPr>
          <w:p w14:paraId="4A9C1BE7">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lang w:val="en-US" w:eastAsia="zh-CN"/>
              </w:rPr>
              <w:t>工期</w:t>
            </w:r>
          </w:p>
        </w:tc>
        <w:tc>
          <w:tcPr>
            <w:tcW w:w="6534" w:type="dxa"/>
            <w:tcBorders>
              <w:top w:val="single" w:color="auto" w:sz="4" w:space="0"/>
              <w:left w:val="single" w:color="auto" w:sz="4" w:space="0"/>
              <w:bottom w:val="single" w:color="auto" w:sz="4" w:space="0"/>
              <w:right w:val="single" w:color="auto" w:sz="4" w:space="0"/>
            </w:tcBorders>
            <w:vAlign w:val="center"/>
          </w:tcPr>
          <w:p w14:paraId="45431BEF">
            <w:pPr>
              <w:shd w:val="clear" w:color="auto" w:fill="auto"/>
              <w:wordWrap w:val="0"/>
              <w:adjustRightInd w:val="0"/>
              <w:snapToGrid w:val="0"/>
              <w:spacing w:line="40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本招标项目施工工期为 210 日历天。具体如下：</w:t>
            </w:r>
          </w:p>
          <w:p w14:paraId="66B33727">
            <w:pPr>
              <w:shd w:val="clear" w:color="auto" w:fill="auto"/>
              <w:wordWrap w:val="0"/>
              <w:adjustRightInd w:val="0"/>
              <w:snapToGrid w:val="0"/>
              <w:spacing w:line="40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☑总工期： 210 天（日历天）。 </w:t>
            </w:r>
          </w:p>
          <w:p w14:paraId="174E1CF5">
            <w:pPr>
              <w:shd w:val="clear" w:color="auto" w:fill="auto"/>
              <w:wordWrap w:val="0"/>
              <w:adjustRightInd w:val="0"/>
              <w:snapToGrid w:val="0"/>
              <w:spacing w:line="40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□计划开工日期：</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 xml:space="preserve">年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 xml:space="preserve">月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 xml:space="preserve">日（具体开工日期以合同为准） </w:t>
            </w:r>
          </w:p>
          <w:p w14:paraId="6375823A">
            <w:pPr>
              <w:shd w:val="clear" w:color="auto" w:fill="auto"/>
              <w:wordWrap w:val="0"/>
              <w:adjustRightInd w:val="0"/>
              <w:snapToGrid w:val="0"/>
              <w:spacing w:line="40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□计划竣工日期：</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 xml:space="preserve">年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 xml:space="preserve">月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日</w:t>
            </w:r>
          </w:p>
          <w:p w14:paraId="2C285099">
            <w:pPr>
              <w:shd w:val="clear" w:color="auto" w:fill="auto"/>
              <w:wordWrap w:val="0"/>
              <w:adjustRightInd w:val="0"/>
              <w:snapToGrid w:val="0"/>
              <w:spacing w:line="400" w:lineRule="exact"/>
              <w:ind w:firstLine="210" w:firstLineChars="100"/>
              <w:rPr>
                <w:rFonts w:hint="eastAsia" w:ascii="宋体" w:hAnsi="宋体" w:eastAsia="宋体" w:cs="宋体"/>
                <w:snapToGrid w:val="0"/>
                <w:color w:val="auto"/>
                <w:kern w:val="0"/>
                <w:sz w:val="21"/>
                <w:szCs w:val="21"/>
                <w:highlight w:val="none"/>
                <w:lang w:val="en-US"/>
              </w:rPr>
            </w:pPr>
            <w:r>
              <w:rPr>
                <w:rFonts w:hint="eastAsia" w:ascii="宋体" w:hAnsi="宋体" w:eastAsia="宋体" w:cs="宋体"/>
                <w:color w:val="auto"/>
                <w:sz w:val="21"/>
                <w:szCs w:val="21"/>
                <w:highlight w:val="none"/>
                <w:lang w:val="en-US" w:eastAsia="zh-CN"/>
              </w:rPr>
              <w:t>□除上述总工期外，发包人还要求以下阶段工期：</w:t>
            </w:r>
            <w:r>
              <w:rPr>
                <w:rFonts w:hint="eastAsia" w:ascii="宋体" w:hAnsi="宋体" w:eastAsia="宋体" w:cs="宋体"/>
                <w:color w:val="auto"/>
                <w:sz w:val="21"/>
                <w:szCs w:val="21"/>
                <w:highlight w:val="none"/>
                <w:u w:val="single"/>
                <w:lang w:val="en-US" w:eastAsia="zh-CN"/>
              </w:rPr>
              <w:t>/</w:t>
            </w:r>
          </w:p>
        </w:tc>
      </w:tr>
      <w:tr w14:paraId="01ADF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758" w:hRule="exact"/>
        </w:trPr>
        <w:tc>
          <w:tcPr>
            <w:tcW w:w="658" w:type="dxa"/>
            <w:tcBorders>
              <w:top w:val="single" w:color="auto" w:sz="4" w:space="0"/>
              <w:left w:val="single" w:color="auto" w:sz="4" w:space="0"/>
              <w:bottom w:val="single" w:color="auto" w:sz="4" w:space="0"/>
              <w:right w:val="single" w:color="auto" w:sz="4" w:space="0"/>
            </w:tcBorders>
            <w:vAlign w:val="center"/>
          </w:tcPr>
          <w:p w14:paraId="544A2162">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17</w:t>
            </w:r>
          </w:p>
        </w:tc>
        <w:tc>
          <w:tcPr>
            <w:tcW w:w="1995" w:type="dxa"/>
            <w:tcBorders>
              <w:top w:val="single" w:color="auto" w:sz="4" w:space="0"/>
              <w:left w:val="single" w:color="auto" w:sz="4" w:space="0"/>
              <w:bottom w:val="single" w:color="auto" w:sz="4" w:space="0"/>
              <w:right w:val="single" w:color="auto" w:sz="4" w:space="0"/>
            </w:tcBorders>
            <w:vAlign w:val="center"/>
          </w:tcPr>
          <w:p w14:paraId="77BC9E04">
            <w:pPr>
              <w:shd w:val="clear" w:color="auto" w:fill="auto"/>
              <w:spacing w:before="65" w:line="229"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rPr>
              <w:t>质量标准</w:t>
            </w:r>
          </w:p>
        </w:tc>
        <w:tc>
          <w:tcPr>
            <w:tcW w:w="6534" w:type="dxa"/>
            <w:tcBorders>
              <w:top w:val="single" w:color="auto" w:sz="4" w:space="0"/>
              <w:left w:val="single" w:color="auto" w:sz="4" w:space="0"/>
              <w:bottom w:val="single" w:color="auto" w:sz="4" w:space="0"/>
              <w:right w:val="single" w:color="auto" w:sz="4" w:space="0"/>
            </w:tcBorders>
          </w:tcPr>
          <w:p w14:paraId="21B7C68F">
            <w:pPr>
              <w:keepNext w:val="0"/>
              <w:keepLines w:val="0"/>
              <w:pageBreakBefore w:val="0"/>
              <w:widowControl/>
              <w:shd w:val="clear" w:color="auto" w:fill="auto"/>
              <w:kinsoku w:val="0"/>
              <w:wordWrap/>
              <w:overflowPunct/>
              <w:topLinePunct w:val="0"/>
              <w:autoSpaceDE w:val="0"/>
              <w:autoSpaceDN w:val="0"/>
              <w:bidi w:val="0"/>
              <w:adjustRightInd w:val="0"/>
              <w:snapToGrid w:val="0"/>
              <w:spacing w:before="116"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质量目标：</w:t>
            </w:r>
            <w:r>
              <w:rPr>
                <w:rFonts w:hint="eastAsia" w:ascii="宋体" w:hAnsi="宋体" w:eastAsia="宋体" w:cs="宋体"/>
                <w:color w:val="auto"/>
                <w:spacing w:val="-4"/>
                <w:sz w:val="21"/>
                <w:szCs w:val="21"/>
                <w:highlight w:val="none"/>
                <w:u w:val="single"/>
              </w:rPr>
              <w:t>合格</w:t>
            </w:r>
          </w:p>
          <w:p w14:paraId="3822AC41">
            <w:pPr>
              <w:pStyle w:val="7"/>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质量标准：</w:t>
            </w:r>
            <w:r>
              <w:rPr>
                <w:rFonts w:hint="eastAsia" w:ascii="宋体" w:hAnsi="宋体" w:eastAsia="宋体" w:cs="宋体"/>
                <w:color w:val="auto"/>
                <w:spacing w:val="-4"/>
                <w:sz w:val="21"/>
                <w:szCs w:val="21"/>
                <w:highlight w:val="none"/>
                <w:lang w:eastAsia="zh-CN"/>
              </w:rPr>
              <w:t>达到《建筑工程施工质量验收统一标准》(GB50300-2013)和《建筑与市政工程施工质量控制通用规范》（GB55032-2022）合格。</w:t>
            </w:r>
          </w:p>
          <w:p w14:paraId="45724723">
            <w:pPr>
              <w:keepNext w:val="0"/>
              <w:keepLines w:val="0"/>
              <w:pageBreakBefore w:val="0"/>
              <w:widowControl/>
              <w:shd w:val="clear" w:color="auto" w:fill="auto"/>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□优质工程要求：</w:t>
            </w:r>
            <w:r>
              <w:rPr>
                <w:rFonts w:hint="eastAsia" w:ascii="宋体" w:hAnsi="宋体" w:eastAsia="宋体" w:cs="宋体"/>
                <w:color w:val="auto"/>
                <w:sz w:val="21"/>
                <w:szCs w:val="21"/>
                <w:highlight w:val="none"/>
                <w:u w:val="single"/>
              </w:rPr>
              <w:t>无/市优/省优/.....</w:t>
            </w:r>
          </w:p>
          <w:p w14:paraId="08AB880C">
            <w:pPr>
              <w:pStyle w:val="7"/>
              <w:shd w:val="clear" w:color="auto" w:fill="auto"/>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工程优质费：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u w:val="single"/>
                <w:lang w:val="en-US" w:eastAsia="zh-CN"/>
              </w:rPr>
              <w:t>/</w:t>
            </w:r>
          </w:p>
        </w:tc>
      </w:tr>
      <w:tr w14:paraId="6090F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80" w:hRule="exact"/>
        </w:trPr>
        <w:tc>
          <w:tcPr>
            <w:tcW w:w="658" w:type="dxa"/>
            <w:tcBorders>
              <w:top w:val="single" w:color="auto" w:sz="4" w:space="0"/>
              <w:left w:val="single" w:color="auto" w:sz="4" w:space="0"/>
              <w:bottom w:val="single" w:color="auto" w:sz="4" w:space="0"/>
              <w:right w:val="single" w:color="auto" w:sz="4" w:space="0"/>
            </w:tcBorders>
            <w:vAlign w:val="center"/>
          </w:tcPr>
          <w:p w14:paraId="5B04596F">
            <w:pPr>
              <w:shd w:val="clear" w:color="auto" w:fill="auto"/>
              <w:spacing w:before="19"/>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pacing w:val="-8"/>
                <w:sz w:val="21"/>
                <w:szCs w:val="21"/>
                <w:highlight w:val="none"/>
                <w:lang w:val="en-US" w:eastAsia="zh-CN"/>
              </w:rPr>
              <w:t>18</w:t>
            </w:r>
          </w:p>
        </w:tc>
        <w:tc>
          <w:tcPr>
            <w:tcW w:w="1995" w:type="dxa"/>
            <w:tcBorders>
              <w:top w:val="single" w:color="auto" w:sz="4" w:space="0"/>
              <w:left w:val="single" w:color="auto" w:sz="4" w:space="0"/>
              <w:bottom w:val="single" w:color="auto" w:sz="4" w:space="0"/>
              <w:right w:val="single" w:color="auto" w:sz="4" w:space="0"/>
            </w:tcBorders>
            <w:vAlign w:val="center"/>
          </w:tcPr>
          <w:p w14:paraId="1BA61DFC">
            <w:pPr>
              <w:shd w:val="clear" w:color="auto" w:fill="auto"/>
              <w:spacing w:before="78" w:line="264" w:lineRule="auto"/>
              <w:ind w:left="143" w:leftChars="0" w:right="140" w:rightChars="0"/>
              <w:jc w:val="center"/>
              <w:rPr>
                <w:rFonts w:hint="eastAsia" w:ascii="宋体" w:hAnsi="宋体" w:eastAsia="宋体" w:cs="宋体"/>
                <w:color w:val="auto"/>
                <w:spacing w:val="7"/>
                <w:sz w:val="21"/>
                <w:szCs w:val="21"/>
                <w:highlight w:val="none"/>
              </w:rPr>
            </w:pPr>
            <w:r>
              <w:rPr>
                <w:rFonts w:hint="eastAsia" w:ascii="宋体" w:hAnsi="宋体" w:eastAsia="宋体" w:cs="宋体"/>
                <w:color w:val="auto"/>
                <w:spacing w:val="-2"/>
                <w:sz w:val="21"/>
                <w:szCs w:val="21"/>
                <w:highlight w:val="none"/>
              </w:rPr>
              <w:t>房屋建筑工程绿色建筑标准</w:t>
            </w:r>
          </w:p>
        </w:tc>
        <w:tc>
          <w:tcPr>
            <w:tcW w:w="6534" w:type="dxa"/>
            <w:tcBorders>
              <w:top w:val="single" w:color="auto" w:sz="4" w:space="0"/>
              <w:left w:val="single" w:color="auto" w:sz="4" w:space="0"/>
              <w:bottom w:val="single" w:color="auto" w:sz="4" w:space="0"/>
              <w:right w:val="single" w:color="auto" w:sz="4" w:space="0"/>
            </w:tcBorders>
          </w:tcPr>
          <w:p w14:paraId="4F621865">
            <w:pPr>
              <w:shd w:val="clear" w:color="auto" w:fill="auto"/>
              <w:spacing w:before="5" w:line="263" w:lineRule="auto"/>
              <w:ind w:left="7" w:right="4" w:firstLine="481"/>
              <w:jc w:val="both"/>
              <w:rPr>
                <w:rFonts w:hint="eastAsia" w:ascii="宋体" w:hAnsi="宋体" w:eastAsia="宋体" w:cs="宋体"/>
                <w:color w:val="auto"/>
                <w:spacing w:val="1"/>
                <w:sz w:val="21"/>
                <w:szCs w:val="21"/>
                <w:highlight w:val="none"/>
              </w:rPr>
            </w:pPr>
          </w:p>
          <w:p w14:paraId="072D9039">
            <w:pPr>
              <w:shd w:val="clear" w:color="auto" w:fill="auto"/>
              <w:spacing w:before="5" w:line="263" w:lineRule="auto"/>
              <w:ind w:right="4" w:rightChars="0" w:firstLine="212"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本招标项目</w:t>
            </w:r>
            <w:r>
              <w:rPr>
                <w:rFonts w:hint="eastAsia" w:ascii="宋体" w:hAnsi="宋体" w:eastAsia="宋体" w:cs="宋体"/>
                <w:color w:val="auto"/>
                <w:spacing w:val="1"/>
                <w:sz w:val="21"/>
                <w:szCs w:val="21"/>
                <w:highlight w:val="none"/>
                <w:u w:val="single"/>
                <w:lang w:eastAsia="zh-CN"/>
              </w:rPr>
              <w:t>不</w:t>
            </w:r>
            <w:r>
              <w:rPr>
                <w:rFonts w:hint="eastAsia" w:ascii="宋体" w:hAnsi="宋体" w:eastAsia="宋体" w:cs="宋体"/>
                <w:color w:val="auto"/>
                <w:spacing w:val="1"/>
                <w:sz w:val="21"/>
                <w:szCs w:val="21"/>
                <w:highlight w:val="none"/>
              </w:rPr>
              <w:t>纳入绿色建设实施范围</w:t>
            </w:r>
            <w:r>
              <w:rPr>
                <w:rFonts w:hint="eastAsia" w:ascii="宋体" w:hAnsi="宋体" w:eastAsia="宋体" w:cs="宋体"/>
                <w:color w:val="auto"/>
                <w:spacing w:val="1"/>
                <w:sz w:val="21"/>
                <w:szCs w:val="21"/>
                <w:highlight w:val="none"/>
                <w:lang w:eastAsia="zh-CN"/>
              </w:rPr>
              <w:t>。</w:t>
            </w:r>
          </w:p>
        </w:tc>
      </w:tr>
      <w:tr w14:paraId="67CF1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8" w:hRule="exact"/>
        </w:trPr>
        <w:tc>
          <w:tcPr>
            <w:tcW w:w="658" w:type="dxa"/>
            <w:tcBorders>
              <w:top w:val="single" w:color="auto" w:sz="4" w:space="0"/>
              <w:left w:val="single" w:color="auto" w:sz="4" w:space="0"/>
              <w:bottom w:val="single" w:color="auto" w:sz="4" w:space="0"/>
              <w:right w:val="single" w:color="auto" w:sz="4" w:space="0"/>
            </w:tcBorders>
            <w:vAlign w:val="center"/>
          </w:tcPr>
          <w:p w14:paraId="4F8FB85E">
            <w:pPr>
              <w:shd w:val="clear" w:color="auto" w:fill="auto"/>
              <w:spacing w:before="58" w:line="195"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lang w:val="en-US" w:eastAsia="zh-CN"/>
              </w:rPr>
              <w:t>8</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3"/>
                <w:sz w:val="21"/>
                <w:szCs w:val="21"/>
                <w:highlight w:val="none"/>
              </w:rPr>
              <w:t>1</w:t>
            </w:r>
          </w:p>
        </w:tc>
        <w:tc>
          <w:tcPr>
            <w:tcW w:w="1995" w:type="dxa"/>
            <w:tcBorders>
              <w:top w:val="single" w:color="auto" w:sz="4" w:space="0"/>
              <w:left w:val="single" w:color="auto" w:sz="4" w:space="0"/>
              <w:bottom w:val="single" w:color="auto" w:sz="4" w:space="0"/>
              <w:right w:val="single" w:color="auto" w:sz="4" w:space="0"/>
            </w:tcBorders>
            <w:vAlign w:val="center"/>
          </w:tcPr>
          <w:p w14:paraId="460DB10D">
            <w:pPr>
              <w:shd w:val="clear" w:color="auto" w:fill="auto"/>
              <w:spacing w:before="78" w:line="264" w:lineRule="auto"/>
              <w:ind w:left="143" w:leftChars="0" w:right="140" w:rightChars="0"/>
              <w:jc w:val="center"/>
              <w:rPr>
                <w:rFonts w:hint="eastAsia" w:ascii="宋体" w:hAnsi="宋体" w:eastAsia="宋体" w:cs="宋体"/>
                <w:color w:val="auto"/>
                <w:spacing w:val="7"/>
                <w:sz w:val="21"/>
                <w:szCs w:val="21"/>
                <w:highlight w:val="none"/>
              </w:rPr>
            </w:pPr>
            <w:r>
              <w:rPr>
                <w:rFonts w:hint="eastAsia" w:ascii="宋体" w:hAnsi="宋体" w:eastAsia="宋体" w:cs="宋体"/>
                <w:color w:val="auto"/>
                <w:spacing w:val="-2"/>
                <w:sz w:val="21"/>
                <w:szCs w:val="21"/>
                <w:highlight w:val="none"/>
              </w:rPr>
              <w:t>装配式建筑标准</w:t>
            </w:r>
          </w:p>
        </w:tc>
        <w:tc>
          <w:tcPr>
            <w:tcW w:w="6534" w:type="dxa"/>
            <w:tcBorders>
              <w:top w:val="single" w:color="auto" w:sz="4" w:space="0"/>
              <w:left w:val="single" w:color="auto" w:sz="4" w:space="0"/>
              <w:bottom w:val="single" w:color="auto" w:sz="4" w:space="0"/>
              <w:right w:val="single" w:color="auto" w:sz="4" w:space="0"/>
            </w:tcBorders>
          </w:tcPr>
          <w:p w14:paraId="4B7989CB">
            <w:pPr>
              <w:shd w:val="clear" w:color="auto" w:fill="auto"/>
              <w:spacing w:before="78" w:line="264" w:lineRule="auto"/>
              <w:ind w:left="143" w:leftChars="0" w:right="140" w:right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本招标项目</w:t>
            </w:r>
            <w:r>
              <w:rPr>
                <w:rFonts w:hint="eastAsia" w:ascii="宋体" w:hAnsi="宋体" w:eastAsia="宋体" w:cs="宋体"/>
                <w:color w:val="auto"/>
                <w:spacing w:val="-2"/>
                <w:sz w:val="21"/>
                <w:szCs w:val="21"/>
                <w:highlight w:val="none"/>
                <w:lang w:eastAsia="zh-CN"/>
              </w:rPr>
              <w:t>不</w:t>
            </w:r>
            <w:r>
              <w:rPr>
                <w:rFonts w:hint="eastAsia" w:ascii="宋体" w:hAnsi="宋体" w:eastAsia="宋体" w:cs="宋体"/>
                <w:color w:val="auto"/>
                <w:spacing w:val="-2"/>
                <w:sz w:val="21"/>
                <w:szCs w:val="21"/>
                <w:highlight w:val="none"/>
              </w:rPr>
              <w:t>纳入装配式建造建设实施范围</w:t>
            </w:r>
            <w:r>
              <w:rPr>
                <w:rFonts w:hint="eastAsia" w:ascii="宋体" w:hAnsi="宋体" w:eastAsia="宋体" w:cs="宋体"/>
                <w:color w:val="auto"/>
                <w:spacing w:val="-2"/>
                <w:sz w:val="21"/>
                <w:szCs w:val="21"/>
                <w:highlight w:val="none"/>
                <w:lang w:eastAsia="zh-CN"/>
              </w:rPr>
              <w:t>。</w:t>
            </w:r>
          </w:p>
        </w:tc>
      </w:tr>
      <w:tr w14:paraId="20F7C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658" w:type="dxa"/>
            <w:tcBorders>
              <w:top w:val="single" w:color="auto" w:sz="4" w:space="0"/>
              <w:left w:val="single" w:color="auto" w:sz="4" w:space="0"/>
              <w:bottom w:val="single" w:color="auto" w:sz="4" w:space="0"/>
              <w:right w:val="single" w:color="auto" w:sz="4" w:space="0"/>
            </w:tcBorders>
            <w:vAlign w:val="center"/>
          </w:tcPr>
          <w:p w14:paraId="156DCEC7">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19</w:t>
            </w:r>
          </w:p>
        </w:tc>
        <w:tc>
          <w:tcPr>
            <w:tcW w:w="1995" w:type="dxa"/>
            <w:tcBorders>
              <w:top w:val="single" w:color="auto" w:sz="4" w:space="0"/>
              <w:left w:val="single" w:color="auto" w:sz="4" w:space="0"/>
              <w:bottom w:val="single" w:color="auto" w:sz="4" w:space="0"/>
              <w:right w:val="single" w:color="auto" w:sz="4" w:space="0"/>
            </w:tcBorders>
            <w:vAlign w:val="center"/>
          </w:tcPr>
          <w:p w14:paraId="7A8B7D39">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投标人资格</w:t>
            </w:r>
          </w:p>
          <w:p w14:paraId="68271BCA">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要求</w:t>
            </w:r>
          </w:p>
        </w:tc>
        <w:tc>
          <w:tcPr>
            <w:tcW w:w="6534" w:type="dxa"/>
            <w:tcBorders>
              <w:top w:val="single" w:color="auto" w:sz="4" w:space="0"/>
              <w:left w:val="single" w:color="auto" w:sz="4" w:space="0"/>
              <w:bottom w:val="single" w:color="auto" w:sz="4" w:space="0"/>
              <w:right w:val="single" w:color="auto" w:sz="4" w:space="0"/>
            </w:tcBorders>
            <w:vAlign w:val="center"/>
          </w:tcPr>
          <w:p w14:paraId="19D0223B">
            <w:pPr>
              <w:shd w:val="clear" w:color="auto" w:fill="auto"/>
              <w:wordWrap w:val="0"/>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1．本次招标</w:t>
            </w:r>
            <w:r>
              <w:rPr>
                <w:rFonts w:hint="eastAsia" w:ascii="宋体" w:hAnsi="宋体" w:eastAsia="宋体" w:cs="宋体"/>
                <w:snapToGrid w:val="0"/>
                <w:color w:val="auto"/>
                <w:kern w:val="0"/>
                <w:sz w:val="21"/>
                <w:szCs w:val="21"/>
                <w:highlight w:val="none"/>
                <w:u w:val="single"/>
              </w:rPr>
              <w:t>不接受</w:t>
            </w:r>
            <w:r>
              <w:rPr>
                <w:rFonts w:hint="eastAsia" w:ascii="宋体" w:hAnsi="宋体" w:eastAsia="宋体" w:cs="宋体"/>
                <w:snapToGrid w:val="0"/>
                <w:color w:val="auto"/>
                <w:kern w:val="0"/>
                <w:sz w:val="21"/>
                <w:szCs w:val="21"/>
                <w:highlight w:val="none"/>
              </w:rPr>
              <w:t>联合体投标。</w:t>
            </w:r>
          </w:p>
          <w:p w14:paraId="35F2BA1F">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2．资质要求</w:t>
            </w:r>
          </w:p>
          <w:p w14:paraId="6C31E1BA">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2.1 投标人须具备独立法人资格，按国家法律经营。</w:t>
            </w:r>
          </w:p>
          <w:p w14:paraId="5CA535AF">
            <w:pPr>
              <w:pStyle w:val="6"/>
              <w:shd w:val="clear" w:color="auto" w:fill="auto"/>
              <w:spacing w:before="0" w:after="0" w:line="360" w:lineRule="auto"/>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2.2</w:t>
            </w:r>
            <w:r>
              <w:rPr>
                <w:rFonts w:hint="eastAsia" w:ascii="宋体" w:hAnsi="宋体" w:eastAsia="宋体" w:cs="宋体"/>
                <w:snapToGrid w:val="0"/>
                <w:color w:val="auto"/>
                <w:kern w:val="0"/>
                <w:sz w:val="21"/>
                <w:szCs w:val="21"/>
                <w:highlight w:val="none"/>
              </w:rPr>
              <w:t xml:space="preserve"> 投标人须具备以下资</w:t>
            </w:r>
            <w:r>
              <w:rPr>
                <w:rFonts w:hint="eastAsia" w:ascii="宋体" w:hAnsi="宋体" w:eastAsia="宋体" w:cs="宋体"/>
                <w:color w:val="auto"/>
                <w:sz w:val="21"/>
                <w:szCs w:val="21"/>
                <w:highlight w:val="none"/>
              </w:rPr>
              <w:t>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工程监理综合资质或市政公用工程专业监理乙级以上（含乙级）资质。</w:t>
            </w:r>
          </w:p>
          <w:p w14:paraId="30BF8DB8">
            <w:pPr>
              <w:shd w:val="clear" w:color="auto" w:fill="auto"/>
              <w:wordWrap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2.3根据有关文件精神，投标人的企业相关证书到期的，均按该证书的发证机构相关行业主管部门最新文件执行（如自动顺延或推迟办理延期业务的通知），</w:t>
            </w:r>
            <w:r>
              <w:rPr>
                <w:rFonts w:hint="eastAsia" w:ascii="宋体" w:hAnsi="宋体" w:eastAsia="宋体" w:cs="宋体"/>
                <w:b/>
                <w:bCs/>
                <w:color w:val="auto"/>
                <w:kern w:val="2"/>
                <w:sz w:val="21"/>
                <w:szCs w:val="21"/>
                <w:highlight w:val="none"/>
                <w:lang w:val="en-US" w:eastAsia="zh-CN" w:bidi="ar-SA"/>
              </w:rPr>
              <w:t>投标人必须将相关文件附在该证书后面中，证明在开标日继续有效</w:t>
            </w:r>
            <w:r>
              <w:rPr>
                <w:rFonts w:hint="eastAsia" w:ascii="宋体" w:hAnsi="宋体" w:eastAsia="宋体" w:cs="宋体"/>
                <w:color w:val="auto"/>
                <w:kern w:val="2"/>
                <w:sz w:val="21"/>
                <w:szCs w:val="21"/>
                <w:highlight w:val="none"/>
                <w:lang w:val="en-US" w:eastAsia="zh-CN" w:bidi="ar-SA"/>
              </w:rPr>
              <w:t>。</w:t>
            </w:r>
          </w:p>
          <w:p w14:paraId="54E76EDE">
            <w:pPr>
              <w:pStyle w:val="6"/>
              <w:shd w:val="clear" w:color="auto" w:fill="auto"/>
              <w:spacing w:before="0"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3．相关人员要求</w:t>
            </w:r>
          </w:p>
          <w:p w14:paraId="4E8EA713">
            <w:pPr>
              <w:pStyle w:val="6"/>
              <w:shd w:val="clear" w:color="auto" w:fill="auto"/>
              <w:spacing w:before="0" w:after="0"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eastAsia="zh-CN"/>
              </w:rPr>
              <w:t>拟委派的总监理工程师为</w:t>
            </w:r>
            <w:r>
              <w:rPr>
                <w:rFonts w:hint="eastAsia" w:ascii="宋体" w:hAnsi="宋体" w:eastAsia="宋体" w:cs="宋体"/>
                <w:color w:val="auto"/>
                <w:sz w:val="21"/>
                <w:szCs w:val="21"/>
                <w:highlight w:val="none"/>
                <w:u w:val="single"/>
                <w:lang w:eastAsia="zh-CN"/>
              </w:rPr>
              <w:t>市政公用工程</w:t>
            </w:r>
            <w:r>
              <w:rPr>
                <w:rFonts w:hint="eastAsia" w:ascii="宋体" w:hAnsi="宋体" w:eastAsia="宋体" w:cs="宋体"/>
                <w:color w:val="auto"/>
                <w:sz w:val="21"/>
                <w:szCs w:val="21"/>
                <w:highlight w:val="none"/>
                <w:lang w:eastAsia="zh-CN"/>
              </w:rPr>
              <w:t>专业注册监理工程师</w:t>
            </w:r>
            <w:r>
              <w:rPr>
                <w:rFonts w:hint="eastAsia" w:ascii="宋体" w:hAnsi="宋体" w:eastAsia="宋体" w:cs="宋体"/>
                <w:snapToGrid w:val="0"/>
                <w:color w:val="auto"/>
                <w:kern w:val="0"/>
                <w:sz w:val="21"/>
                <w:szCs w:val="21"/>
                <w:highlight w:val="none"/>
              </w:rPr>
              <w:t>，应持有国家住建部印发的有效注册证书，其担任总监理工程师职务的其他在施（包括已中标未开工、已开工未竣工）建设工程项目不得超过</w:t>
            </w:r>
            <w:r>
              <w:rPr>
                <w:rFonts w:hint="eastAsia" w:ascii="宋体" w:hAnsi="宋体" w:eastAsia="宋体" w:cs="宋体"/>
                <w:snapToGrid w:val="0"/>
                <w:color w:val="auto"/>
                <w:kern w:val="0"/>
                <w:sz w:val="21"/>
                <w:szCs w:val="21"/>
                <w:highlight w:val="none"/>
                <w:u w:val="single"/>
                <w:lang w:val="en-US" w:eastAsia="zh-CN"/>
              </w:rPr>
              <w:t>2</w:t>
            </w:r>
            <w:r>
              <w:rPr>
                <w:rFonts w:hint="eastAsia" w:ascii="宋体" w:hAnsi="宋体" w:eastAsia="宋体" w:cs="宋体"/>
                <w:snapToGrid w:val="0"/>
                <w:color w:val="auto"/>
                <w:kern w:val="0"/>
                <w:sz w:val="21"/>
                <w:szCs w:val="21"/>
                <w:highlight w:val="none"/>
              </w:rPr>
              <w:t>个。</w:t>
            </w:r>
          </w:p>
          <w:p w14:paraId="6A7E1304">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拟派总监理工程师现阶段有担任其他在施建设工程项目总监理工程师职务的，须得到任职项目建设单位书面同意后方可担任本招标项目总监理工程师。</w:t>
            </w:r>
          </w:p>
          <w:p w14:paraId="073EDE41">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3.2 投标人与其拟委派的往本项目监理机构的所有人员之间必须具备合法、唯一的劳动聘用关系。拟委派的人员中具备注册执业资格的，其注册单位须与投标人保持一致。</w:t>
            </w:r>
          </w:p>
          <w:p w14:paraId="6E9AE903">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4．禁止投标条款</w:t>
            </w:r>
          </w:p>
          <w:p w14:paraId="240E094F">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4.1 投标人不得存在下列情形之一：</w:t>
            </w:r>
          </w:p>
          <w:p w14:paraId="7EFB96DE">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（1）为招标人不具有独立法人资格的附属机构（单位）；</w:t>
            </w:r>
          </w:p>
          <w:p w14:paraId="4264B8E1">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（2）与招标人存在利害关系且可能影响招标公正性；</w:t>
            </w:r>
          </w:p>
          <w:p w14:paraId="5B7866C6">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（3）与本招标项目的其他投标人为同一个单位负责人；</w:t>
            </w:r>
          </w:p>
          <w:p w14:paraId="1D114C93">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（4）与本招标项目的其他投标人存在控股、管理关系；</w:t>
            </w:r>
          </w:p>
          <w:p w14:paraId="2AC2222B">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（5）为本招标项目的代建人；</w:t>
            </w:r>
          </w:p>
          <w:p w14:paraId="7EF6CD16">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（6）为本招标项目的招标代理机构；</w:t>
            </w:r>
          </w:p>
          <w:p w14:paraId="67B6F09F">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（7）与本招标项目的代建人或招标代理机构同为一个法定代表人；</w:t>
            </w:r>
          </w:p>
          <w:p w14:paraId="763B25FF">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（8）与本招标项目的代建人或招标代理机构存在控股或参股关系；</w:t>
            </w:r>
          </w:p>
          <w:p w14:paraId="3855C80C">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（9）与本招标项目的施工承包人以及建筑材料、建筑构配件和设备供应商有隶属关系或者其他利害关系；</w:t>
            </w:r>
          </w:p>
          <w:p w14:paraId="458F0FBD">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（10）被依法暂停或者取消投标资格；</w:t>
            </w:r>
          </w:p>
          <w:p w14:paraId="5B9DD366">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（11）被责令停产停业、暂扣或者吊销许可证、暂扣或者吊销执照；</w:t>
            </w:r>
          </w:p>
          <w:p w14:paraId="1E5331FF">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（12）进入清算程序，或被宣告破产，或其他丧失履约能力的情形；</w:t>
            </w:r>
          </w:p>
          <w:p w14:paraId="003686EC">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（13）在最近三年内发生重大监理质量或安全问题（以相关行业主管部门的行政处罚决定或司法机关出具的有关法律文书为准）；</w:t>
            </w:r>
          </w:p>
          <w:p w14:paraId="6EAAB621">
            <w:pPr>
              <w:shd w:val="clear" w:color="auto" w:fill="auto"/>
              <w:wordWrap w:val="0"/>
              <w:adjustRightInd w:val="0"/>
              <w:snapToGrid w:val="0"/>
              <w:spacing w:line="360" w:lineRule="auto"/>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（14）</w:t>
            </w:r>
            <w:r>
              <w:rPr>
                <w:rFonts w:hint="eastAsia" w:ascii="宋体" w:hAnsi="宋体" w:eastAsia="宋体" w:cs="宋体"/>
                <w:snapToGrid w:val="0"/>
                <w:color w:val="auto"/>
                <w:kern w:val="0"/>
                <w:sz w:val="21"/>
                <w:szCs w:val="21"/>
                <w:highlight w:val="none"/>
                <w:lang w:eastAsia="zh-CN"/>
              </w:rPr>
              <w:t>被“信用中国”网站（https://www.creditchina.gov.cn）发布的《法人和非法人组织公共信用信息报告》列为严重失信主体名单的。</w:t>
            </w:r>
          </w:p>
          <w:p w14:paraId="27C18058">
            <w:pPr>
              <w:shd w:val="clear" w:color="auto" w:fill="auto"/>
              <w:wordWrap w:val="0"/>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4.2 招标人拒绝以下名单中的单位参加本次投标：</w:t>
            </w:r>
          </w:p>
          <w:tbl>
            <w:tblPr>
              <w:tblStyle w:val="24"/>
              <w:tblpPr w:leftFromText="180" w:rightFromText="180" w:vertAnchor="text" w:horzAnchor="margin" w:tblpXSpec="center" w:tblpY="10"/>
              <w:tblOverlap w:val="neve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47"/>
              <w:gridCol w:w="3263"/>
              <w:gridCol w:w="2089"/>
            </w:tblGrid>
            <w:tr w14:paraId="51AB67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8"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7129756A">
                  <w:pPr>
                    <w:pStyle w:val="43"/>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3263" w:type="dxa"/>
                  <w:tcBorders>
                    <w:top w:val="outset" w:color="auto" w:sz="6" w:space="0"/>
                    <w:left w:val="outset" w:color="auto" w:sz="6" w:space="0"/>
                    <w:bottom w:val="outset" w:color="auto" w:sz="6" w:space="0"/>
                    <w:right w:val="outset" w:color="auto" w:sz="6" w:space="0"/>
                  </w:tcBorders>
                  <w:vAlign w:val="center"/>
                </w:tcPr>
                <w:p w14:paraId="03A25F85">
                  <w:pPr>
                    <w:pStyle w:val="43"/>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单位名称</w:t>
                  </w:r>
                </w:p>
              </w:tc>
              <w:tc>
                <w:tcPr>
                  <w:tcW w:w="2089" w:type="dxa"/>
                  <w:tcBorders>
                    <w:top w:val="outset" w:color="auto" w:sz="6" w:space="0"/>
                    <w:left w:val="outset" w:color="auto" w:sz="6" w:space="0"/>
                    <w:bottom w:val="outset" w:color="auto" w:sz="6" w:space="0"/>
                    <w:right w:val="outset" w:color="auto" w:sz="6" w:space="0"/>
                  </w:tcBorders>
                  <w:vAlign w:val="center"/>
                </w:tcPr>
                <w:p w14:paraId="49191322">
                  <w:pPr>
                    <w:pStyle w:val="43"/>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拒绝原因</w:t>
                  </w:r>
                </w:p>
              </w:tc>
            </w:tr>
            <w:tr w14:paraId="607FAB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3"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72A938C1">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3263" w:type="dxa"/>
                  <w:tcBorders>
                    <w:top w:val="outset" w:color="auto" w:sz="6" w:space="0"/>
                    <w:left w:val="outset" w:color="auto" w:sz="6" w:space="0"/>
                    <w:bottom w:val="outset" w:color="auto" w:sz="6" w:space="0"/>
                    <w:right w:val="outset" w:color="auto" w:sz="6" w:space="0"/>
                  </w:tcBorders>
                  <w:vAlign w:val="center"/>
                </w:tcPr>
                <w:p w14:paraId="745D4AAB">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w:t>
                  </w:r>
                </w:p>
              </w:tc>
              <w:tc>
                <w:tcPr>
                  <w:tcW w:w="2089" w:type="dxa"/>
                  <w:tcBorders>
                    <w:top w:val="outset" w:color="auto" w:sz="6" w:space="0"/>
                    <w:left w:val="outset" w:color="auto" w:sz="6" w:space="0"/>
                    <w:bottom w:val="outset" w:color="auto" w:sz="6" w:space="0"/>
                    <w:right w:val="outset" w:color="auto" w:sz="6" w:space="0"/>
                  </w:tcBorders>
                  <w:vAlign w:val="center"/>
                </w:tcPr>
                <w:p w14:paraId="00B90E5C">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为招标人不具有独立法人资格的附属机构</w:t>
                  </w:r>
                </w:p>
              </w:tc>
            </w:tr>
            <w:tr w14:paraId="7E95ED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741F611F">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3263" w:type="dxa"/>
                  <w:tcBorders>
                    <w:top w:val="outset" w:color="auto" w:sz="6" w:space="0"/>
                    <w:left w:val="outset" w:color="auto" w:sz="6" w:space="0"/>
                    <w:bottom w:val="outset" w:color="auto" w:sz="6" w:space="0"/>
                    <w:right w:val="outset" w:color="auto" w:sz="6" w:space="0"/>
                  </w:tcBorders>
                  <w:vAlign w:val="center"/>
                </w:tcPr>
                <w:p w14:paraId="0F46052C">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韶关市武江区城市管理和综合执法局</w:t>
                  </w:r>
                </w:p>
              </w:tc>
              <w:tc>
                <w:tcPr>
                  <w:tcW w:w="2089" w:type="dxa"/>
                  <w:tcBorders>
                    <w:top w:val="outset" w:color="auto" w:sz="6" w:space="0"/>
                    <w:left w:val="outset" w:color="auto" w:sz="6" w:space="0"/>
                    <w:bottom w:val="outset" w:color="auto" w:sz="6" w:space="0"/>
                    <w:right w:val="outset" w:color="auto" w:sz="6" w:space="0"/>
                  </w:tcBorders>
                  <w:vAlign w:val="center"/>
                </w:tcPr>
                <w:p w14:paraId="2191C86E">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为本招标项目的招标人</w:t>
                  </w:r>
                </w:p>
              </w:tc>
            </w:tr>
            <w:tr w14:paraId="5A6419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19B76FB7">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3263" w:type="dxa"/>
                  <w:tcBorders>
                    <w:top w:val="outset" w:color="auto" w:sz="6" w:space="0"/>
                    <w:left w:val="outset" w:color="auto" w:sz="6" w:space="0"/>
                    <w:bottom w:val="outset" w:color="auto" w:sz="6" w:space="0"/>
                    <w:right w:val="outset" w:color="auto" w:sz="6" w:space="0"/>
                  </w:tcBorders>
                  <w:vAlign w:val="center"/>
                </w:tcPr>
                <w:p w14:paraId="16F2A539">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广东合正项目管理有限公司</w:t>
                  </w:r>
                </w:p>
              </w:tc>
              <w:tc>
                <w:tcPr>
                  <w:tcW w:w="2089" w:type="dxa"/>
                  <w:tcBorders>
                    <w:top w:val="outset" w:color="auto" w:sz="6" w:space="0"/>
                    <w:left w:val="outset" w:color="auto" w:sz="6" w:space="0"/>
                    <w:bottom w:val="outset" w:color="auto" w:sz="6" w:space="0"/>
                    <w:right w:val="outset" w:color="auto" w:sz="6" w:space="0"/>
                  </w:tcBorders>
                  <w:vAlign w:val="center"/>
                </w:tcPr>
                <w:p w14:paraId="289E2ADB">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为本招标项目的招标代理机构</w:t>
                  </w:r>
                </w:p>
              </w:tc>
            </w:tr>
            <w:tr w14:paraId="381F6C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1"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453218D6">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3263" w:type="dxa"/>
                  <w:tcBorders>
                    <w:top w:val="outset" w:color="auto" w:sz="6" w:space="0"/>
                    <w:left w:val="outset" w:color="auto" w:sz="6" w:space="0"/>
                    <w:bottom w:val="outset" w:color="auto" w:sz="6" w:space="0"/>
                    <w:right w:val="outset" w:color="auto" w:sz="6" w:space="0"/>
                  </w:tcBorders>
                  <w:vAlign w:val="center"/>
                </w:tcPr>
                <w:p w14:paraId="4DCC8BD5">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智埔国际建设集团有限公司</w:t>
                  </w:r>
                </w:p>
              </w:tc>
              <w:tc>
                <w:tcPr>
                  <w:tcW w:w="2089" w:type="dxa"/>
                  <w:tcBorders>
                    <w:top w:val="outset" w:color="auto" w:sz="6" w:space="0"/>
                    <w:left w:val="outset" w:color="auto" w:sz="6" w:space="0"/>
                    <w:bottom w:val="outset" w:color="auto" w:sz="6" w:space="0"/>
                    <w:right w:val="outset" w:color="auto" w:sz="6" w:space="0"/>
                  </w:tcBorders>
                  <w:vAlign w:val="center"/>
                </w:tcPr>
                <w:p w14:paraId="1F45585C">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造价咨询</w:t>
                  </w:r>
                  <w:r>
                    <w:rPr>
                      <w:rFonts w:hint="eastAsia" w:ascii="宋体" w:hAnsi="宋体" w:eastAsia="宋体" w:cs="宋体"/>
                      <w:snapToGrid w:val="0"/>
                      <w:color w:val="auto"/>
                      <w:kern w:val="0"/>
                      <w:sz w:val="21"/>
                      <w:szCs w:val="21"/>
                      <w:highlight w:val="none"/>
                    </w:rPr>
                    <w:t>单位</w:t>
                  </w:r>
                </w:p>
              </w:tc>
            </w:tr>
            <w:tr w14:paraId="38B4BA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5"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622B0952">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3263" w:type="dxa"/>
                  <w:tcBorders>
                    <w:top w:val="outset" w:color="auto" w:sz="6" w:space="0"/>
                    <w:left w:val="outset" w:color="auto" w:sz="6" w:space="0"/>
                    <w:bottom w:val="outset" w:color="auto" w:sz="6" w:space="0"/>
                    <w:right w:val="outset" w:color="auto" w:sz="6" w:space="0"/>
                  </w:tcBorders>
                  <w:vAlign w:val="center"/>
                </w:tcPr>
                <w:p w14:paraId="59AD73DA">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中誉设计有限公司</w:t>
                  </w:r>
                </w:p>
              </w:tc>
              <w:tc>
                <w:tcPr>
                  <w:tcW w:w="2089" w:type="dxa"/>
                  <w:tcBorders>
                    <w:top w:val="outset" w:color="auto" w:sz="6" w:space="0"/>
                    <w:left w:val="outset" w:color="auto" w:sz="6" w:space="0"/>
                    <w:bottom w:val="outset" w:color="auto" w:sz="6" w:space="0"/>
                    <w:right w:val="outset" w:color="auto" w:sz="6" w:space="0"/>
                  </w:tcBorders>
                  <w:vAlign w:val="center"/>
                </w:tcPr>
                <w:p w14:paraId="385BF0D7">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为本招标项目的设计单位</w:t>
                  </w:r>
                </w:p>
              </w:tc>
            </w:tr>
            <w:tr w14:paraId="32A3AA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9"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0BF5C499">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3263" w:type="dxa"/>
                  <w:tcBorders>
                    <w:top w:val="outset" w:color="auto" w:sz="6" w:space="0"/>
                    <w:left w:val="outset" w:color="auto" w:sz="6" w:space="0"/>
                    <w:bottom w:val="outset" w:color="auto" w:sz="6" w:space="0"/>
                    <w:right w:val="outset" w:color="auto" w:sz="6" w:space="0"/>
                  </w:tcBorders>
                  <w:vAlign w:val="center"/>
                </w:tcPr>
                <w:p w14:paraId="0B8C652E">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广东省岩土勘测设计研究 有限公司</w:t>
                  </w:r>
                </w:p>
              </w:tc>
              <w:tc>
                <w:tcPr>
                  <w:tcW w:w="2089" w:type="dxa"/>
                  <w:tcBorders>
                    <w:top w:val="outset" w:color="auto" w:sz="6" w:space="0"/>
                    <w:left w:val="outset" w:color="auto" w:sz="6" w:space="0"/>
                    <w:bottom w:val="outset" w:color="auto" w:sz="6" w:space="0"/>
                    <w:right w:val="outset" w:color="auto" w:sz="6" w:space="0"/>
                  </w:tcBorders>
                  <w:vAlign w:val="center"/>
                </w:tcPr>
                <w:p w14:paraId="4883792B">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勘察</w:t>
                  </w:r>
                  <w:r>
                    <w:rPr>
                      <w:rFonts w:hint="eastAsia" w:ascii="宋体" w:hAnsi="宋体" w:eastAsia="宋体" w:cs="宋体"/>
                      <w:snapToGrid w:val="0"/>
                      <w:color w:val="auto"/>
                      <w:kern w:val="0"/>
                      <w:sz w:val="21"/>
                      <w:szCs w:val="21"/>
                      <w:highlight w:val="none"/>
                    </w:rPr>
                    <w:t>单位</w:t>
                  </w:r>
                </w:p>
              </w:tc>
            </w:tr>
            <w:tr w14:paraId="3DD492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7" w:hRule="atLeast"/>
                <w:jc w:val="center"/>
              </w:trPr>
              <w:tc>
                <w:tcPr>
                  <w:tcW w:w="447" w:type="dxa"/>
                  <w:tcBorders>
                    <w:top w:val="outset" w:color="auto" w:sz="6" w:space="0"/>
                    <w:left w:val="outset" w:color="auto" w:sz="6" w:space="0"/>
                    <w:bottom w:val="outset" w:color="auto" w:sz="6" w:space="0"/>
                    <w:right w:val="outset" w:color="auto" w:sz="6" w:space="0"/>
                  </w:tcBorders>
                  <w:vAlign w:val="center"/>
                </w:tcPr>
                <w:p w14:paraId="109FAE3D">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7</w:t>
                  </w:r>
                </w:p>
              </w:tc>
              <w:tc>
                <w:tcPr>
                  <w:tcW w:w="3263" w:type="dxa"/>
                  <w:tcBorders>
                    <w:top w:val="outset" w:color="auto" w:sz="6" w:space="0"/>
                    <w:left w:val="outset" w:color="auto" w:sz="6" w:space="0"/>
                    <w:bottom w:val="outset" w:color="auto" w:sz="6" w:space="0"/>
                    <w:right w:val="outset" w:color="auto" w:sz="6" w:space="0"/>
                  </w:tcBorders>
                  <w:vAlign w:val="center"/>
                </w:tcPr>
                <w:p w14:paraId="726B78FB">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广东粤湾施工图审查有限公司</w:t>
                  </w:r>
                </w:p>
              </w:tc>
              <w:tc>
                <w:tcPr>
                  <w:tcW w:w="2089" w:type="dxa"/>
                  <w:tcBorders>
                    <w:top w:val="outset" w:color="auto" w:sz="6" w:space="0"/>
                    <w:left w:val="outset" w:color="auto" w:sz="6" w:space="0"/>
                    <w:bottom w:val="outset" w:color="auto" w:sz="6" w:space="0"/>
                    <w:right w:val="outset" w:color="auto" w:sz="6" w:space="0"/>
                  </w:tcBorders>
                  <w:vAlign w:val="center"/>
                </w:tcPr>
                <w:p w14:paraId="5ACEEFF1">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审图机构</w:t>
                  </w:r>
                </w:p>
              </w:tc>
            </w:tr>
          </w:tbl>
          <w:p w14:paraId="1A6244D2">
            <w:pPr>
              <w:shd w:val="clear" w:color="auto" w:fill="auto"/>
              <w:wordWrap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5．其他要求</w:t>
            </w:r>
          </w:p>
          <w:p w14:paraId="5CAC1602">
            <w:pPr>
              <w:shd w:val="clear" w:color="auto" w:fill="auto"/>
              <w:wordWrap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省外企业须按照《广东省住房和城乡建设厅关于取消省外建筑企业和人员进粤信息备案有关工作的通知》（粤建市﹝2015﹞52号）规定在“进粤企业和人员诚信信息登记平台”录入相关信息并通过数据规范检查。</w:t>
            </w:r>
          </w:p>
        </w:tc>
      </w:tr>
      <w:tr w14:paraId="0959E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60" w:hRule="atLeast"/>
        </w:trPr>
        <w:tc>
          <w:tcPr>
            <w:tcW w:w="658" w:type="dxa"/>
            <w:tcBorders>
              <w:top w:val="single" w:color="auto" w:sz="4" w:space="0"/>
              <w:left w:val="single" w:color="auto" w:sz="4" w:space="0"/>
              <w:bottom w:val="single" w:color="auto" w:sz="4" w:space="0"/>
              <w:right w:val="single" w:color="auto" w:sz="4" w:space="0"/>
            </w:tcBorders>
            <w:vAlign w:val="center"/>
          </w:tcPr>
          <w:p w14:paraId="64FD4070">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20</w:t>
            </w:r>
          </w:p>
        </w:tc>
        <w:tc>
          <w:tcPr>
            <w:tcW w:w="1995" w:type="dxa"/>
            <w:tcBorders>
              <w:top w:val="single" w:color="auto" w:sz="4" w:space="0"/>
              <w:left w:val="single" w:color="auto" w:sz="4" w:space="0"/>
              <w:bottom w:val="single" w:color="auto" w:sz="4" w:space="0"/>
              <w:right w:val="single" w:color="auto" w:sz="4" w:space="0"/>
            </w:tcBorders>
            <w:vAlign w:val="center"/>
          </w:tcPr>
          <w:p w14:paraId="7B04D1B4">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服务期限</w:t>
            </w:r>
          </w:p>
        </w:tc>
        <w:tc>
          <w:tcPr>
            <w:tcW w:w="6534" w:type="dxa"/>
            <w:tcBorders>
              <w:top w:val="single" w:color="auto" w:sz="4" w:space="0"/>
              <w:left w:val="single" w:color="auto" w:sz="4" w:space="0"/>
              <w:bottom w:val="single" w:color="auto" w:sz="4" w:space="0"/>
              <w:right w:val="single" w:color="auto" w:sz="4" w:space="0"/>
            </w:tcBorders>
            <w:vAlign w:val="center"/>
          </w:tcPr>
          <w:p w14:paraId="4045270B">
            <w:pPr>
              <w:shd w:val="clear" w:color="auto" w:fill="auto"/>
              <w:wordWrap w:val="0"/>
              <w:adjustRightInd w:val="0"/>
              <w:snapToGrid w:val="0"/>
              <w:spacing w:line="400" w:lineRule="exact"/>
              <w:ind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bCs/>
                <w:color w:val="auto"/>
                <w:sz w:val="21"/>
                <w:szCs w:val="21"/>
                <w:highlight w:val="none"/>
              </w:rPr>
              <w:t>监理服务期从监理合同签订之日起计，至本工程缺陷责任</w:t>
            </w:r>
            <w:r>
              <w:rPr>
                <w:rFonts w:hint="eastAsia" w:ascii="宋体" w:hAnsi="宋体" w:eastAsia="宋体" w:cs="宋体"/>
                <w:bCs/>
                <w:snapToGrid w:val="0"/>
                <w:color w:val="auto"/>
                <w:kern w:val="0"/>
                <w:sz w:val="21"/>
                <w:szCs w:val="21"/>
                <w:highlight w:val="none"/>
              </w:rPr>
              <w:t>保修</w:t>
            </w:r>
            <w:r>
              <w:rPr>
                <w:rFonts w:hint="eastAsia" w:ascii="宋体" w:hAnsi="宋体" w:eastAsia="宋体" w:cs="宋体"/>
                <w:bCs/>
                <w:color w:val="auto"/>
                <w:sz w:val="21"/>
                <w:szCs w:val="21"/>
                <w:highlight w:val="none"/>
              </w:rPr>
              <w:t>期结束且本工程结算金额经政府主管部门审定且双方的责任义务履行完毕时止。</w:t>
            </w:r>
            <w:r>
              <w:rPr>
                <w:rFonts w:hint="eastAsia" w:ascii="宋体" w:hAnsi="宋体" w:eastAsia="宋体" w:cs="宋体"/>
                <w:bCs/>
                <w:snapToGrid w:val="0"/>
                <w:color w:val="auto"/>
                <w:kern w:val="0"/>
                <w:sz w:val="21"/>
                <w:szCs w:val="21"/>
                <w:highlight w:val="none"/>
              </w:rPr>
              <w:t xml:space="preserve"> </w:t>
            </w:r>
          </w:p>
        </w:tc>
      </w:tr>
      <w:tr w14:paraId="5605D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5" w:hRule="atLeast"/>
        </w:trPr>
        <w:tc>
          <w:tcPr>
            <w:tcW w:w="658" w:type="dxa"/>
            <w:tcBorders>
              <w:top w:val="single" w:color="auto" w:sz="4" w:space="0"/>
              <w:left w:val="single" w:color="auto" w:sz="4" w:space="0"/>
              <w:bottom w:val="single" w:color="auto" w:sz="4" w:space="0"/>
              <w:right w:val="single" w:color="auto" w:sz="4" w:space="0"/>
            </w:tcBorders>
            <w:vAlign w:val="center"/>
          </w:tcPr>
          <w:p w14:paraId="63BDBBFA">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21</w:t>
            </w:r>
          </w:p>
        </w:tc>
        <w:tc>
          <w:tcPr>
            <w:tcW w:w="1995" w:type="dxa"/>
            <w:tcBorders>
              <w:top w:val="single" w:color="auto" w:sz="4" w:space="0"/>
              <w:left w:val="single" w:color="auto" w:sz="4" w:space="0"/>
              <w:bottom w:val="single" w:color="auto" w:sz="4" w:space="0"/>
              <w:right w:val="single" w:color="auto" w:sz="4" w:space="0"/>
            </w:tcBorders>
            <w:vAlign w:val="center"/>
          </w:tcPr>
          <w:p w14:paraId="0503EF37">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服务标准</w:t>
            </w:r>
          </w:p>
        </w:tc>
        <w:tc>
          <w:tcPr>
            <w:tcW w:w="6534" w:type="dxa"/>
            <w:tcBorders>
              <w:top w:val="single" w:color="auto" w:sz="4" w:space="0"/>
              <w:left w:val="single" w:color="auto" w:sz="4" w:space="0"/>
              <w:bottom w:val="single" w:color="auto" w:sz="4" w:space="0"/>
              <w:right w:val="single" w:color="auto" w:sz="4" w:space="0"/>
            </w:tcBorders>
            <w:vAlign w:val="center"/>
          </w:tcPr>
          <w:p w14:paraId="28D4A897">
            <w:pPr>
              <w:shd w:val="clear" w:color="auto" w:fill="auto"/>
              <w:wordWrap w:val="0"/>
              <w:adjustRightInd w:val="0"/>
              <w:snapToGrid w:val="0"/>
              <w:spacing w:line="400" w:lineRule="exact"/>
              <w:ind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工程质量必须达到</w:t>
            </w:r>
            <w:r>
              <w:rPr>
                <w:rFonts w:hint="eastAsia" w:ascii="宋体" w:hAnsi="宋体" w:eastAsia="宋体" w:cs="宋体"/>
                <w:snapToGrid w:val="0"/>
                <w:color w:val="auto"/>
                <w:kern w:val="0"/>
                <w:sz w:val="21"/>
                <w:szCs w:val="21"/>
                <w:highlight w:val="none"/>
                <w:u w:val="single"/>
              </w:rPr>
              <w:t>合格</w:t>
            </w:r>
            <w:r>
              <w:rPr>
                <w:rFonts w:hint="eastAsia" w:ascii="宋体" w:hAnsi="宋体" w:eastAsia="宋体" w:cs="宋体"/>
                <w:snapToGrid w:val="0"/>
                <w:color w:val="auto"/>
                <w:kern w:val="0"/>
                <w:sz w:val="21"/>
                <w:szCs w:val="21"/>
                <w:highlight w:val="none"/>
              </w:rPr>
              <w:t>标准。</w:t>
            </w:r>
          </w:p>
        </w:tc>
      </w:tr>
      <w:tr w14:paraId="0D89E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6" w:hRule="atLeast"/>
        </w:trPr>
        <w:tc>
          <w:tcPr>
            <w:tcW w:w="658" w:type="dxa"/>
            <w:tcBorders>
              <w:top w:val="single" w:color="auto" w:sz="4" w:space="0"/>
              <w:left w:val="single" w:color="auto" w:sz="4" w:space="0"/>
              <w:bottom w:val="single" w:color="auto" w:sz="4" w:space="0"/>
              <w:right w:val="single" w:color="auto" w:sz="4" w:space="0"/>
            </w:tcBorders>
            <w:vAlign w:val="center"/>
          </w:tcPr>
          <w:p w14:paraId="09511B3C">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22</w:t>
            </w:r>
          </w:p>
        </w:tc>
        <w:tc>
          <w:tcPr>
            <w:tcW w:w="1995" w:type="dxa"/>
            <w:tcBorders>
              <w:top w:val="single" w:color="auto" w:sz="4" w:space="0"/>
              <w:left w:val="single" w:color="auto" w:sz="4" w:space="0"/>
              <w:bottom w:val="single" w:color="auto" w:sz="4" w:space="0"/>
              <w:right w:val="single" w:color="auto" w:sz="4" w:space="0"/>
            </w:tcBorders>
            <w:vAlign w:val="center"/>
          </w:tcPr>
          <w:p w14:paraId="73594B7B">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最高投标限价</w:t>
            </w:r>
          </w:p>
        </w:tc>
        <w:tc>
          <w:tcPr>
            <w:tcW w:w="6534" w:type="dxa"/>
            <w:tcBorders>
              <w:top w:val="single" w:color="auto" w:sz="4" w:space="0"/>
              <w:left w:val="single" w:color="auto" w:sz="4" w:space="0"/>
              <w:bottom w:val="single" w:color="auto" w:sz="4" w:space="0"/>
              <w:right w:val="single" w:color="auto" w:sz="4" w:space="0"/>
            </w:tcBorders>
            <w:vAlign w:val="center"/>
          </w:tcPr>
          <w:p w14:paraId="7FAFD2D8">
            <w:pPr>
              <w:shd w:val="clear" w:color="auto" w:fill="auto"/>
              <w:wordWrap w:val="0"/>
              <w:adjustRightInd w:val="0"/>
              <w:snapToGrid w:val="0"/>
              <w:spacing w:line="40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见本招标文件</w:t>
            </w:r>
            <w:r>
              <w:rPr>
                <w:rFonts w:hint="eastAsia" w:ascii="宋体" w:hAnsi="宋体" w:eastAsia="宋体" w:cs="宋体"/>
                <w:snapToGrid w:val="0"/>
                <w:color w:val="auto"/>
                <w:kern w:val="0"/>
                <w:sz w:val="21"/>
                <w:szCs w:val="21"/>
                <w:highlight w:val="none"/>
                <w:lang w:val="en-US" w:eastAsia="zh-CN"/>
              </w:rPr>
              <w:t>本</w:t>
            </w:r>
            <w:r>
              <w:rPr>
                <w:rFonts w:hint="eastAsia" w:ascii="宋体" w:hAnsi="宋体" w:eastAsia="宋体" w:cs="宋体"/>
                <w:snapToGrid w:val="0"/>
                <w:color w:val="auto"/>
                <w:kern w:val="0"/>
                <w:sz w:val="21"/>
                <w:szCs w:val="21"/>
                <w:highlight w:val="none"/>
              </w:rPr>
              <w:t>章</w:t>
            </w:r>
            <w:r>
              <w:rPr>
                <w:rFonts w:hint="eastAsia" w:ascii="宋体" w:hAnsi="宋体" w:eastAsia="宋体" w:cs="宋体"/>
                <w:snapToGrid w:val="0"/>
                <w:color w:val="auto"/>
                <w:kern w:val="0"/>
                <w:sz w:val="21"/>
                <w:szCs w:val="21"/>
                <w:highlight w:val="none"/>
                <w:lang w:val="en-US" w:eastAsia="zh-CN"/>
              </w:rPr>
              <w:t>第三节</w:t>
            </w:r>
            <w:r>
              <w:rPr>
                <w:rFonts w:hint="eastAsia" w:ascii="宋体" w:hAnsi="宋体" w:eastAsia="宋体" w:cs="宋体"/>
                <w:snapToGrid w:val="0"/>
                <w:color w:val="auto"/>
                <w:kern w:val="0"/>
                <w:sz w:val="21"/>
                <w:szCs w:val="21"/>
                <w:highlight w:val="none"/>
              </w:rPr>
              <w:t xml:space="preserve"> “8.最高投标限价”</w:t>
            </w:r>
          </w:p>
        </w:tc>
      </w:tr>
      <w:tr w14:paraId="23F8E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6" w:hRule="atLeast"/>
        </w:trPr>
        <w:tc>
          <w:tcPr>
            <w:tcW w:w="658" w:type="dxa"/>
            <w:tcBorders>
              <w:top w:val="single" w:color="auto" w:sz="4" w:space="0"/>
              <w:left w:val="single" w:color="auto" w:sz="4" w:space="0"/>
              <w:bottom w:val="single" w:color="auto" w:sz="4" w:space="0"/>
              <w:right w:val="single" w:color="auto" w:sz="4" w:space="0"/>
            </w:tcBorders>
            <w:vAlign w:val="center"/>
          </w:tcPr>
          <w:p w14:paraId="2B52AB8B">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23</w:t>
            </w:r>
          </w:p>
        </w:tc>
        <w:tc>
          <w:tcPr>
            <w:tcW w:w="1995" w:type="dxa"/>
            <w:tcBorders>
              <w:top w:val="single" w:color="auto" w:sz="4" w:space="0"/>
              <w:left w:val="single" w:color="auto" w:sz="4" w:space="0"/>
              <w:bottom w:val="single" w:color="auto" w:sz="4" w:space="0"/>
              <w:right w:val="single" w:color="auto" w:sz="4" w:space="0"/>
            </w:tcBorders>
            <w:vAlign w:val="center"/>
          </w:tcPr>
          <w:p w14:paraId="3E99B517">
            <w:pPr>
              <w:shd w:val="clear" w:color="auto" w:fill="auto"/>
              <w:spacing w:before="242" w:line="221" w:lineRule="auto"/>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rPr>
              <w:t>投标费用</w:t>
            </w:r>
          </w:p>
        </w:tc>
        <w:tc>
          <w:tcPr>
            <w:tcW w:w="6534" w:type="dxa"/>
            <w:tcBorders>
              <w:top w:val="single" w:color="auto" w:sz="4" w:space="0"/>
              <w:left w:val="single" w:color="auto" w:sz="4" w:space="0"/>
              <w:bottom w:val="single" w:color="auto" w:sz="4" w:space="0"/>
              <w:right w:val="single" w:color="auto" w:sz="4" w:space="0"/>
            </w:tcBorders>
          </w:tcPr>
          <w:p w14:paraId="27B84900">
            <w:pPr>
              <w:shd w:val="clear" w:color="auto" w:fill="auto"/>
              <w:spacing w:before="218" w:line="220" w:lineRule="auto"/>
              <w:ind w:left="492" w:leftChars="0"/>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
                <w:sz w:val="21"/>
                <w:szCs w:val="21"/>
                <w:highlight w:val="none"/>
              </w:rPr>
              <w:t>投标人自行承担编制与递交投标文件的一切费用。</w:t>
            </w:r>
          </w:p>
        </w:tc>
      </w:tr>
      <w:tr w14:paraId="2DDCD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658" w:type="dxa"/>
            <w:tcBorders>
              <w:top w:val="single" w:color="auto" w:sz="4" w:space="0"/>
              <w:left w:val="single" w:color="auto" w:sz="4" w:space="0"/>
              <w:bottom w:val="single" w:color="auto" w:sz="4" w:space="0"/>
              <w:right w:val="single" w:color="auto" w:sz="4" w:space="0"/>
            </w:tcBorders>
            <w:vAlign w:val="center"/>
          </w:tcPr>
          <w:p w14:paraId="7D921AF7">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24</w:t>
            </w:r>
          </w:p>
        </w:tc>
        <w:tc>
          <w:tcPr>
            <w:tcW w:w="1995" w:type="dxa"/>
            <w:tcBorders>
              <w:top w:val="single" w:color="auto" w:sz="4" w:space="0"/>
              <w:left w:val="single" w:color="auto" w:sz="4" w:space="0"/>
              <w:bottom w:val="single" w:color="auto" w:sz="4" w:space="0"/>
              <w:right w:val="single" w:color="auto" w:sz="4" w:space="0"/>
            </w:tcBorders>
            <w:vAlign w:val="center"/>
          </w:tcPr>
          <w:p w14:paraId="7F7CCFC6">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投标保证</w:t>
            </w:r>
          </w:p>
        </w:tc>
        <w:tc>
          <w:tcPr>
            <w:tcW w:w="6534" w:type="dxa"/>
            <w:tcBorders>
              <w:top w:val="single" w:color="auto" w:sz="4" w:space="0"/>
              <w:left w:val="single" w:color="auto" w:sz="4" w:space="0"/>
              <w:bottom w:val="single" w:color="auto" w:sz="4" w:space="0"/>
              <w:right w:val="single" w:color="auto" w:sz="4" w:space="0"/>
            </w:tcBorders>
            <w:vAlign w:val="center"/>
          </w:tcPr>
          <w:p w14:paraId="67CBC1F0">
            <w:pPr>
              <w:shd w:val="clear" w:color="auto" w:fill="auto"/>
              <w:wordWrap w:val="0"/>
              <w:adjustRightInd w:val="0"/>
              <w:snapToGrid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1．投标人须缴纳金额为人民币</w:t>
            </w:r>
            <w:r>
              <w:rPr>
                <w:rFonts w:hint="eastAsia" w:ascii="宋体" w:hAnsi="宋体" w:eastAsia="宋体" w:cs="宋体"/>
                <w:snapToGrid w:val="0"/>
                <w:color w:val="auto"/>
                <w:kern w:val="0"/>
                <w:sz w:val="21"/>
                <w:szCs w:val="21"/>
                <w:highlight w:val="none"/>
                <w:lang w:val="en-US" w:eastAsia="zh-CN"/>
              </w:rPr>
              <w:t>伍仟元整</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u w:val="single"/>
                <w:lang w:val="en-US" w:eastAsia="zh-CN"/>
              </w:rPr>
              <w:t>5000.00</w:t>
            </w:r>
            <w:r>
              <w:rPr>
                <w:rFonts w:hint="eastAsia" w:ascii="宋体" w:hAnsi="宋体" w:eastAsia="宋体" w:cs="宋体"/>
                <w:snapToGrid w:val="0"/>
                <w:color w:val="auto"/>
                <w:kern w:val="0"/>
                <w:sz w:val="21"/>
                <w:szCs w:val="21"/>
                <w:highlight w:val="none"/>
                <w:u w:val="none"/>
              </w:rPr>
              <w:t>元</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的投标保证。</w:t>
            </w:r>
          </w:p>
          <w:p w14:paraId="1EEE84F2">
            <w:pPr>
              <w:shd w:val="clear" w:color="auto" w:fill="auto"/>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2．投标保证的形式包括投标保证金、投标保证担保、投标保证保险三种，由投标人自主选择。</w:t>
            </w:r>
          </w:p>
          <w:p w14:paraId="61D2AEFE">
            <w:pPr>
              <w:shd w:val="clear" w:color="auto" w:fill="auto"/>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（1）采用投标保证金的，投标人在建设工程交易</w:t>
            </w:r>
            <w:r>
              <w:rPr>
                <w:rFonts w:hint="eastAsia" w:ascii="宋体" w:hAnsi="宋体" w:eastAsia="宋体" w:cs="宋体"/>
                <w:i w:val="0"/>
                <w:iCs w:val="0"/>
                <w:caps w:val="0"/>
                <w:color w:val="auto"/>
                <w:spacing w:val="0"/>
                <w:sz w:val="21"/>
                <w:szCs w:val="21"/>
                <w:highlight w:val="none"/>
                <w:shd w:val="clear" w:color="auto" w:fill="FFFFFF"/>
              </w:rPr>
              <w:t>获取招标文件完毕后</w:t>
            </w:r>
            <w:r>
              <w:rPr>
                <w:rFonts w:hint="eastAsia" w:ascii="宋体" w:hAnsi="宋体" w:eastAsia="宋体" w:cs="宋体"/>
                <w:snapToGrid w:val="0"/>
                <w:color w:val="auto"/>
                <w:kern w:val="0"/>
                <w:sz w:val="21"/>
                <w:szCs w:val="21"/>
                <w:highlight w:val="none"/>
              </w:rPr>
              <w:t>，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3C50204C">
            <w:pPr>
              <w:shd w:val="clear" w:color="auto" w:fill="auto"/>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4519E762">
            <w:pPr>
              <w:shd w:val="clear" w:color="auto" w:fill="auto"/>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r>
              <w:rPr>
                <w:rFonts w:hint="eastAsia" w:ascii="宋体" w:hAnsi="宋体" w:eastAsia="宋体" w:cs="宋体"/>
                <w:color w:val="auto"/>
                <w:sz w:val="21"/>
                <w:szCs w:val="21"/>
                <w:highlight w:val="none"/>
              </w:rPr>
              <w:t>采用投标保证保险的，投标人须在投标保证保险投保截止时间（见本章</w:t>
            </w:r>
            <w:r>
              <w:rPr>
                <w:rFonts w:hint="eastAsia" w:ascii="宋体" w:hAnsi="宋体" w:eastAsia="宋体" w:cs="宋体"/>
                <w:snapToGrid w:val="0"/>
                <w:color w:val="auto"/>
                <w:kern w:val="0"/>
                <w:sz w:val="21"/>
                <w:szCs w:val="21"/>
                <w:highlight w:val="none"/>
              </w:rPr>
              <w:t>第二节</w:t>
            </w:r>
            <w:r>
              <w:rPr>
                <w:rFonts w:hint="eastAsia" w:ascii="宋体" w:hAnsi="宋体" w:eastAsia="宋体" w:cs="宋体"/>
                <w:color w:val="auto"/>
                <w:sz w:val="21"/>
                <w:szCs w:val="21"/>
                <w:highlight w:val="none"/>
              </w:rPr>
              <w:t>“重要事项时间地点一览表”）前，使用建设工程交易系统完成网上投保。投标人可在系统选择保险机构、录入投保信息、支付保费、</w:t>
            </w:r>
            <w:r>
              <w:rPr>
                <w:rFonts w:hint="eastAsia" w:ascii="宋体" w:hAnsi="宋体" w:eastAsia="宋体" w:cs="宋体"/>
                <w:color w:val="auto"/>
                <w:sz w:val="21"/>
                <w:szCs w:val="21"/>
                <w:highlight w:val="none"/>
                <w:lang w:val="en-US" w:eastAsia="zh-CN"/>
              </w:rPr>
              <w:t>下载</w:t>
            </w:r>
            <w:r>
              <w:rPr>
                <w:rFonts w:hint="eastAsia" w:ascii="宋体" w:hAnsi="宋体" w:eastAsia="宋体" w:cs="宋体"/>
                <w:color w:val="auto"/>
                <w:sz w:val="21"/>
                <w:szCs w:val="21"/>
                <w:highlight w:val="none"/>
              </w:rPr>
              <w:t>电子保单，电子保单的有效期不得短于投标有效期。投标人可登录</w:t>
            </w:r>
            <w:r>
              <w:rPr>
                <w:rFonts w:hint="eastAsia" w:ascii="宋体" w:hAnsi="宋体" w:eastAsia="宋体" w:cs="宋体"/>
                <w:color w:val="auto"/>
                <w:sz w:val="21"/>
                <w:szCs w:val="21"/>
                <w:highlight w:val="none"/>
                <w:lang w:eastAsia="zh-CN"/>
              </w:rPr>
              <w:t>全国公共资源交易平台（广东省·韶关市）（https://ygp.gdzwfw.gov.cn/ggzy-portal/#/440200/index）</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在【服务指南】栏目中下载《</w:t>
            </w:r>
            <w:r>
              <w:rPr>
                <w:rFonts w:hint="eastAsia" w:ascii="宋体" w:hAnsi="宋体" w:eastAsia="宋体" w:cs="宋体"/>
                <w:color w:val="auto"/>
                <w:kern w:val="0"/>
                <w:sz w:val="21"/>
                <w:szCs w:val="21"/>
                <w:highlight w:val="none"/>
              </w:rPr>
              <w:t>建设工程网上交易系统保险保证金缴纳操作指南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，了解网上投保具体操作流程。逾期投保的，其投标无效。</w:t>
            </w:r>
          </w:p>
          <w:p w14:paraId="4D871085">
            <w:pPr>
              <w:shd w:val="clear" w:color="auto" w:fill="auto"/>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18179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658" w:type="dxa"/>
            <w:tcBorders>
              <w:top w:val="single" w:color="auto" w:sz="4" w:space="0"/>
              <w:left w:val="single" w:color="auto" w:sz="4" w:space="0"/>
              <w:bottom w:val="single" w:color="auto" w:sz="4" w:space="0"/>
              <w:right w:val="single" w:color="auto" w:sz="4" w:space="0"/>
            </w:tcBorders>
            <w:vAlign w:val="center"/>
          </w:tcPr>
          <w:p w14:paraId="57B371E2">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25</w:t>
            </w:r>
          </w:p>
        </w:tc>
        <w:tc>
          <w:tcPr>
            <w:tcW w:w="1995" w:type="dxa"/>
            <w:tcBorders>
              <w:top w:val="single" w:color="auto" w:sz="4" w:space="0"/>
              <w:left w:val="single" w:color="auto" w:sz="4" w:space="0"/>
              <w:bottom w:val="single" w:color="auto" w:sz="4" w:space="0"/>
              <w:right w:val="single" w:color="auto" w:sz="4" w:space="0"/>
            </w:tcBorders>
            <w:vAlign w:val="center"/>
          </w:tcPr>
          <w:p w14:paraId="2DABBA54">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投标有效期</w:t>
            </w:r>
          </w:p>
        </w:tc>
        <w:tc>
          <w:tcPr>
            <w:tcW w:w="6534" w:type="dxa"/>
            <w:tcBorders>
              <w:top w:val="single" w:color="auto" w:sz="4" w:space="0"/>
              <w:left w:val="single" w:color="auto" w:sz="4" w:space="0"/>
              <w:bottom w:val="single" w:color="auto" w:sz="4" w:space="0"/>
              <w:right w:val="single" w:color="auto" w:sz="4" w:space="0"/>
            </w:tcBorders>
            <w:vAlign w:val="center"/>
          </w:tcPr>
          <w:p w14:paraId="33A1D973">
            <w:pPr>
              <w:shd w:val="clear" w:color="auto" w:fill="auto"/>
              <w:wordWrap w:val="0"/>
              <w:adjustRightInd w:val="0"/>
              <w:snapToGrid w:val="0"/>
              <w:spacing w:line="400" w:lineRule="exact"/>
              <w:ind w:left="0" w:leftChars="0"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本次招标的投标有效期为90个日历天。</w:t>
            </w:r>
          </w:p>
        </w:tc>
      </w:tr>
      <w:tr w14:paraId="143C6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9" w:hRule="atLeast"/>
        </w:trPr>
        <w:tc>
          <w:tcPr>
            <w:tcW w:w="658" w:type="dxa"/>
            <w:tcBorders>
              <w:top w:val="single" w:color="auto" w:sz="4" w:space="0"/>
              <w:left w:val="single" w:color="auto" w:sz="4" w:space="0"/>
              <w:bottom w:val="single" w:color="auto" w:sz="4" w:space="0"/>
              <w:right w:val="single" w:color="auto" w:sz="4" w:space="0"/>
            </w:tcBorders>
            <w:vAlign w:val="center"/>
          </w:tcPr>
          <w:p w14:paraId="21165F52">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26</w:t>
            </w:r>
          </w:p>
        </w:tc>
        <w:tc>
          <w:tcPr>
            <w:tcW w:w="1995" w:type="dxa"/>
            <w:tcBorders>
              <w:top w:val="single" w:color="auto" w:sz="4" w:space="0"/>
              <w:left w:val="single" w:color="auto" w:sz="4" w:space="0"/>
              <w:bottom w:val="single" w:color="auto" w:sz="4" w:space="0"/>
              <w:right w:val="single" w:color="auto" w:sz="4" w:space="0"/>
            </w:tcBorders>
            <w:vAlign w:val="center"/>
          </w:tcPr>
          <w:p w14:paraId="148F5AA5">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14:paraId="62550F4A">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组成</w:t>
            </w:r>
          </w:p>
        </w:tc>
        <w:tc>
          <w:tcPr>
            <w:tcW w:w="6534" w:type="dxa"/>
            <w:tcBorders>
              <w:top w:val="single" w:color="auto" w:sz="4" w:space="0"/>
              <w:left w:val="single" w:color="auto" w:sz="4" w:space="0"/>
              <w:bottom w:val="single" w:color="auto" w:sz="4" w:space="0"/>
              <w:right w:val="single" w:color="auto" w:sz="4" w:space="0"/>
            </w:tcBorders>
            <w:vAlign w:val="center"/>
          </w:tcPr>
          <w:p w14:paraId="196A875C">
            <w:pPr>
              <w:shd w:val="clear" w:color="auto" w:fill="auto"/>
              <w:wordWrap w:val="0"/>
              <w:adjustRightInd w:val="0"/>
              <w:snapToGrid w:val="0"/>
              <w:spacing w:line="400" w:lineRule="exact"/>
              <w:ind w:left="0" w:leftChars="0"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投标文件包括商务标书、监理大纲两个分册。</w:t>
            </w:r>
          </w:p>
        </w:tc>
      </w:tr>
      <w:tr w14:paraId="2C1A7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vAlign w:val="center"/>
          </w:tcPr>
          <w:p w14:paraId="12129658">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27</w:t>
            </w:r>
          </w:p>
        </w:tc>
        <w:tc>
          <w:tcPr>
            <w:tcW w:w="1995" w:type="dxa"/>
            <w:tcBorders>
              <w:top w:val="single" w:color="auto" w:sz="4" w:space="0"/>
              <w:left w:val="single" w:color="auto" w:sz="4" w:space="0"/>
              <w:bottom w:val="single" w:color="auto" w:sz="4" w:space="0"/>
              <w:right w:val="single" w:color="auto" w:sz="4" w:space="0"/>
            </w:tcBorders>
            <w:vAlign w:val="center"/>
          </w:tcPr>
          <w:p w14:paraId="06DC167A">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评标方法</w:t>
            </w:r>
          </w:p>
        </w:tc>
        <w:tc>
          <w:tcPr>
            <w:tcW w:w="6534" w:type="dxa"/>
            <w:tcBorders>
              <w:top w:val="single" w:color="auto" w:sz="4" w:space="0"/>
              <w:left w:val="single" w:color="auto" w:sz="4" w:space="0"/>
              <w:bottom w:val="single" w:color="auto" w:sz="4" w:space="0"/>
              <w:right w:val="single" w:color="auto" w:sz="4" w:space="0"/>
            </w:tcBorders>
            <w:vAlign w:val="center"/>
          </w:tcPr>
          <w:p w14:paraId="1D04185A">
            <w:pPr>
              <w:shd w:val="clear" w:color="auto" w:fill="auto"/>
              <w:wordWrap w:val="0"/>
              <w:adjustRightInd w:val="0"/>
              <w:snapToGrid w:val="0"/>
              <w:spacing w:line="400" w:lineRule="exact"/>
              <w:ind w:left="0" w:leftChars="0"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综合评估法</w:t>
            </w:r>
          </w:p>
        </w:tc>
      </w:tr>
      <w:tr w14:paraId="56DC4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658" w:type="dxa"/>
            <w:tcBorders>
              <w:top w:val="single" w:color="auto" w:sz="4" w:space="0"/>
              <w:left w:val="single" w:color="auto" w:sz="4" w:space="0"/>
              <w:bottom w:val="single" w:color="auto" w:sz="4" w:space="0"/>
              <w:right w:val="single" w:color="auto" w:sz="4" w:space="0"/>
            </w:tcBorders>
            <w:vAlign w:val="center"/>
          </w:tcPr>
          <w:p w14:paraId="6DFD148B">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28</w:t>
            </w:r>
          </w:p>
        </w:tc>
        <w:tc>
          <w:tcPr>
            <w:tcW w:w="1995" w:type="dxa"/>
            <w:tcBorders>
              <w:top w:val="single" w:color="auto" w:sz="4" w:space="0"/>
              <w:left w:val="single" w:color="auto" w:sz="4" w:space="0"/>
              <w:bottom w:val="single" w:color="auto" w:sz="4" w:space="0"/>
              <w:right w:val="single" w:color="auto" w:sz="4" w:space="0"/>
            </w:tcBorders>
            <w:vAlign w:val="center"/>
          </w:tcPr>
          <w:p w14:paraId="287405B8">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监理大纲</w:t>
            </w:r>
          </w:p>
          <w:p w14:paraId="18BD70AA">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评审方式</w:t>
            </w:r>
          </w:p>
        </w:tc>
        <w:tc>
          <w:tcPr>
            <w:tcW w:w="6534" w:type="dxa"/>
            <w:tcBorders>
              <w:top w:val="single" w:color="auto" w:sz="4" w:space="0"/>
              <w:left w:val="single" w:color="auto" w:sz="4" w:space="0"/>
              <w:bottom w:val="single" w:color="auto" w:sz="4" w:space="0"/>
              <w:right w:val="single" w:color="auto" w:sz="4" w:space="0"/>
            </w:tcBorders>
            <w:vAlign w:val="center"/>
          </w:tcPr>
          <w:p w14:paraId="5FBC4535">
            <w:pPr>
              <w:shd w:val="clear" w:color="auto" w:fill="auto"/>
              <w:wordWrap w:val="0"/>
              <w:adjustRightInd w:val="0"/>
              <w:snapToGrid w:val="0"/>
              <w:spacing w:line="400" w:lineRule="exact"/>
              <w:ind w:left="0" w:leftChars="0"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本次招标监理大纲不采用“暗标”方式进行评审。</w:t>
            </w:r>
          </w:p>
        </w:tc>
      </w:tr>
      <w:tr w14:paraId="2E196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8" w:hRule="atLeast"/>
        </w:trPr>
        <w:tc>
          <w:tcPr>
            <w:tcW w:w="658" w:type="dxa"/>
            <w:tcBorders>
              <w:top w:val="single" w:color="auto" w:sz="4" w:space="0"/>
              <w:left w:val="single" w:color="auto" w:sz="4" w:space="0"/>
              <w:bottom w:val="single" w:color="auto" w:sz="4" w:space="0"/>
              <w:right w:val="single" w:color="auto" w:sz="4" w:space="0"/>
            </w:tcBorders>
            <w:vAlign w:val="center"/>
          </w:tcPr>
          <w:p w14:paraId="111C2E7F">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29</w:t>
            </w:r>
          </w:p>
        </w:tc>
        <w:tc>
          <w:tcPr>
            <w:tcW w:w="1995" w:type="dxa"/>
            <w:tcBorders>
              <w:top w:val="single" w:color="auto" w:sz="4" w:space="0"/>
              <w:left w:val="single" w:color="auto" w:sz="4" w:space="0"/>
              <w:bottom w:val="single" w:color="auto" w:sz="4" w:space="0"/>
              <w:right w:val="single" w:color="auto" w:sz="4" w:space="0"/>
            </w:tcBorders>
            <w:vAlign w:val="center"/>
          </w:tcPr>
          <w:p w14:paraId="55BD9FF0">
            <w:pPr>
              <w:shd w:val="clear" w:color="auto" w:fill="auto"/>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招标代理服务费</w:t>
            </w:r>
            <w:r>
              <w:rPr>
                <w:rFonts w:hint="eastAsia" w:ascii="宋体" w:hAnsi="宋体" w:eastAsia="宋体" w:cs="宋体"/>
                <w:snapToGrid w:val="0"/>
                <w:color w:val="auto"/>
                <w:kern w:val="0"/>
                <w:sz w:val="21"/>
                <w:szCs w:val="21"/>
                <w:highlight w:val="none"/>
                <w:lang w:val="en-US" w:eastAsia="zh-CN"/>
              </w:rPr>
              <w:t>及评标专家费</w:t>
            </w:r>
          </w:p>
          <w:p w14:paraId="35E8CAA7">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p>
        </w:tc>
        <w:tc>
          <w:tcPr>
            <w:tcW w:w="6534" w:type="dxa"/>
            <w:tcBorders>
              <w:top w:val="single" w:color="auto" w:sz="4" w:space="0"/>
              <w:left w:val="single" w:color="auto" w:sz="4" w:space="0"/>
              <w:bottom w:val="single" w:color="auto" w:sz="4" w:space="0"/>
              <w:right w:val="single" w:color="auto" w:sz="4" w:space="0"/>
            </w:tcBorders>
            <w:vAlign w:val="center"/>
          </w:tcPr>
          <w:p w14:paraId="2DDEB929">
            <w:pPr>
              <w:shd w:val="clear" w:color="auto" w:fill="auto"/>
              <w:wordWrap w:val="0"/>
              <w:adjustRightInd w:val="0"/>
              <w:snapToGrid w:val="0"/>
              <w:spacing w:line="360" w:lineRule="auto"/>
              <w:ind w:firstLine="420" w:firstLineChars="20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招标代理服务费参照《关于印发&lt;招标代理服务收费管理暂行办法&gt;的通知》（计价格[2002]1980号）以中标金额为基数计算并下浮</w:t>
            </w: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0%计取。本工程的招标代理服务费</w:t>
            </w:r>
            <w:r>
              <w:rPr>
                <w:rFonts w:hint="eastAsia" w:ascii="宋体" w:hAnsi="宋体" w:eastAsia="宋体" w:cs="宋体"/>
                <w:snapToGrid w:val="0"/>
                <w:color w:val="auto"/>
                <w:kern w:val="0"/>
                <w:sz w:val="21"/>
                <w:szCs w:val="21"/>
                <w:highlight w:val="none"/>
                <w:lang w:val="en-US" w:eastAsia="zh-CN"/>
              </w:rPr>
              <w:t>及评标专家费</w:t>
            </w:r>
            <w:r>
              <w:rPr>
                <w:rFonts w:hint="eastAsia" w:ascii="宋体" w:hAnsi="宋体" w:eastAsia="宋体" w:cs="宋体"/>
                <w:snapToGrid w:val="0"/>
                <w:color w:val="auto"/>
                <w:kern w:val="0"/>
                <w:sz w:val="21"/>
                <w:szCs w:val="21"/>
                <w:highlight w:val="none"/>
              </w:rPr>
              <w:t>由中标人支付，该费用不再另行报价，由投标人在投标报价时综合考虑在内。中标人在领取中标通知书前须向招标代理机构一次性支付招标代理服务费</w:t>
            </w:r>
            <w:r>
              <w:rPr>
                <w:rFonts w:hint="eastAsia" w:ascii="宋体" w:hAnsi="宋体" w:eastAsia="宋体" w:cs="宋体"/>
                <w:snapToGrid w:val="0"/>
                <w:color w:val="auto"/>
                <w:kern w:val="0"/>
                <w:sz w:val="21"/>
                <w:szCs w:val="21"/>
                <w:highlight w:val="none"/>
                <w:lang w:val="en-US" w:eastAsia="zh-CN"/>
              </w:rPr>
              <w:t>及评标专家费</w:t>
            </w:r>
            <w:r>
              <w:rPr>
                <w:rFonts w:hint="eastAsia" w:ascii="宋体" w:hAnsi="宋体" w:eastAsia="宋体" w:cs="宋体"/>
                <w:snapToGrid w:val="0"/>
                <w:color w:val="auto"/>
                <w:kern w:val="0"/>
                <w:sz w:val="21"/>
                <w:szCs w:val="21"/>
                <w:highlight w:val="none"/>
              </w:rPr>
              <w:t>。</w:t>
            </w:r>
          </w:p>
        </w:tc>
      </w:tr>
      <w:tr w14:paraId="5C66E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8" w:hRule="atLeast"/>
        </w:trPr>
        <w:tc>
          <w:tcPr>
            <w:tcW w:w="658" w:type="dxa"/>
            <w:tcBorders>
              <w:top w:val="single" w:color="auto" w:sz="4" w:space="0"/>
              <w:left w:val="single" w:color="auto" w:sz="4" w:space="0"/>
              <w:bottom w:val="single" w:color="auto" w:sz="4" w:space="0"/>
              <w:right w:val="single" w:color="auto" w:sz="4" w:space="0"/>
            </w:tcBorders>
            <w:vAlign w:val="center"/>
          </w:tcPr>
          <w:p w14:paraId="3908017E">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30</w:t>
            </w:r>
          </w:p>
        </w:tc>
        <w:tc>
          <w:tcPr>
            <w:tcW w:w="1995" w:type="dxa"/>
            <w:tcBorders>
              <w:top w:val="single" w:color="auto" w:sz="4" w:space="0"/>
              <w:left w:val="single" w:color="auto" w:sz="4" w:space="0"/>
              <w:bottom w:val="single" w:color="auto" w:sz="4" w:space="0"/>
              <w:right w:val="single" w:color="auto" w:sz="4" w:space="0"/>
            </w:tcBorders>
            <w:vAlign w:val="center"/>
          </w:tcPr>
          <w:p w14:paraId="133DF0F5">
            <w:pPr>
              <w:shd w:val="clear" w:color="auto" w:fill="auto"/>
              <w:spacing w:before="78" w:line="220" w:lineRule="auto"/>
              <w:ind w:left="24" w:leftChars="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pacing w:val="-2"/>
                <w:sz w:val="21"/>
                <w:szCs w:val="21"/>
                <w:highlight w:val="none"/>
              </w:rPr>
              <w:t>招标文件要求提</w:t>
            </w:r>
            <w:r>
              <w:rPr>
                <w:rFonts w:hint="eastAsia" w:ascii="宋体" w:hAnsi="宋体" w:eastAsia="宋体" w:cs="宋体"/>
                <w:color w:val="auto"/>
                <w:spacing w:val="-3"/>
                <w:sz w:val="21"/>
                <w:szCs w:val="21"/>
                <w:highlight w:val="none"/>
              </w:rPr>
              <w:t>交的用于评审的</w:t>
            </w:r>
            <w:r>
              <w:rPr>
                <w:rFonts w:hint="eastAsia" w:ascii="宋体" w:hAnsi="宋体" w:eastAsia="宋体" w:cs="宋体"/>
                <w:color w:val="auto"/>
                <w:spacing w:val="-1"/>
                <w:sz w:val="21"/>
                <w:szCs w:val="21"/>
                <w:highlight w:val="none"/>
              </w:rPr>
              <w:t>证书、证件、证</w:t>
            </w:r>
            <w:r>
              <w:rPr>
                <w:rFonts w:hint="eastAsia" w:ascii="宋体" w:hAnsi="宋体" w:eastAsia="宋体" w:cs="宋体"/>
                <w:color w:val="auto"/>
                <w:spacing w:val="-11"/>
                <w:sz w:val="21"/>
                <w:szCs w:val="21"/>
                <w:highlight w:val="none"/>
              </w:rPr>
              <w:t>明原件</w:t>
            </w:r>
            <w:r>
              <w:rPr>
                <w:rFonts w:hint="eastAsia" w:ascii="宋体" w:hAnsi="宋体" w:eastAsia="宋体" w:cs="宋体"/>
                <w:color w:val="auto"/>
                <w:spacing w:val="-11"/>
                <w:sz w:val="21"/>
                <w:szCs w:val="21"/>
                <w:highlight w:val="none"/>
                <w:lang w:val="en-US" w:eastAsia="zh-CN"/>
              </w:rPr>
              <w:t>(如有)</w:t>
            </w:r>
          </w:p>
        </w:tc>
        <w:tc>
          <w:tcPr>
            <w:tcW w:w="6534" w:type="dxa"/>
            <w:tcBorders>
              <w:top w:val="single" w:color="auto" w:sz="4" w:space="0"/>
              <w:left w:val="single" w:color="auto" w:sz="4" w:space="0"/>
              <w:bottom w:val="single" w:color="auto" w:sz="4" w:space="0"/>
              <w:right w:val="single" w:color="auto" w:sz="4" w:space="0"/>
            </w:tcBorders>
          </w:tcPr>
          <w:p w14:paraId="6379A211">
            <w:pPr>
              <w:shd w:val="clear" w:color="auto" w:fill="auto"/>
              <w:spacing w:before="114" w:line="296" w:lineRule="auto"/>
              <w:ind w:firstLine="188" w:firstLineChars="100"/>
              <w:jc w:val="both"/>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11"/>
                <w:sz w:val="21"/>
                <w:szCs w:val="21"/>
                <w:highlight w:val="none"/>
              </w:rPr>
              <w:t>投标人在提交用于评审的证书、证件、证明原件的，投标人应自</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11"/>
                <w:sz w:val="21"/>
                <w:szCs w:val="21"/>
                <w:highlight w:val="none"/>
              </w:rPr>
              <w:t>行将所需原件密封于文件袋（箱）中，并自行准</w:t>
            </w:r>
            <w:r>
              <w:rPr>
                <w:rFonts w:hint="eastAsia" w:ascii="宋体" w:hAnsi="宋体" w:eastAsia="宋体" w:cs="宋体"/>
                <w:color w:val="auto"/>
                <w:spacing w:val="-12"/>
                <w:sz w:val="21"/>
                <w:szCs w:val="21"/>
                <w:highlight w:val="none"/>
              </w:rPr>
              <w:t>备两张“原件一览表</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(详见格式</w:t>
            </w:r>
            <w:r>
              <w:rPr>
                <w:rFonts w:hint="eastAsia" w:ascii="宋体" w:hAnsi="宋体" w:eastAsia="宋体" w:cs="宋体"/>
                <w:color w:val="auto"/>
                <w:spacing w:val="-10"/>
                <w:sz w:val="21"/>
                <w:szCs w:val="21"/>
                <w:highlight w:val="none"/>
                <w:shd w:val="clear" w:color="auto" w:fill="FFFFFF"/>
              </w:rPr>
              <w:t>十</w:t>
            </w:r>
            <w:r>
              <w:rPr>
                <w:rFonts w:hint="eastAsia" w:ascii="宋体" w:hAnsi="宋体" w:eastAsia="宋体" w:cs="宋体"/>
                <w:color w:val="auto"/>
                <w:spacing w:val="-10"/>
                <w:sz w:val="21"/>
                <w:szCs w:val="21"/>
                <w:highlight w:val="none"/>
                <w:shd w:val="clear" w:color="auto" w:fill="FFFFFF"/>
                <w:lang w:eastAsia="zh-CN"/>
              </w:rPr>
              <w:t>五</w:t>
            </w:r>
            <w:r>
              <w:rPr>
                <w:rFonts w:hint="eastAsia" w:ascii="宋体" w:hAnsi="宋体" w:eastAsia="宋体" w:cs="宋体"/>
                <w:color w:val="auto"/>
                <w:spacing w:val="-10"/>
                <w:sz w:val="21"/>
                <w:szCs w:val="21"/>
                <w:highlight w:val="none"/>
                <w:shd w:val="clear" w:color="auto" w:fill="FFFFFF"/>
              </w:rPr>
              <w:t>，</w:t>
            </w:r>
            <w:r>
              <w:rPr>
                <w:rFonts w:hint="eastAsia" w:ascii="宋体" w:hAnsi="宋体" w:eastAsia="宋体" w:cs="宋体"/>
                <w:color w:val="auto"/>
                <w:spacing w:val="-10"/>
                <w:sz w:val="21"/>
                <w:szCs w:val="21"/>
                <w:highlight w:val="none"/>
              </w:rPr>
              <w:t>投标人须自行填写，表格可扩展)，一张贴于文件袋（箱</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10"/>
                <w:sz w:val="21"/>
                <w:szCs w:val="21"/>
                <w:highlight w:val="none"/>
              </w:rPr>
              <w:t>一份在递交文件袋（箱）时由招标代理机构、投标人签字后交招标代理机构。招标代理机构仅代签收，不对文</w:t>
            </w:r>
            <w:r>
              <w:rPr>
                <w:rFonts w:hint="eastAsia" w:ascii="宋体" w:hAnsi="宋体" w:eastAsia="宋体" w:cs="宋体"/>
                <w:color w:val="auto"/>
                <w:spacing w:val="-11"/>
                <w:sz w:val="21"/>
                <w:szCs w:val="21"/>
                <w:highlight w:val="none"/>
              </w:rPr>
              <w:t>件袋（箱）中资料</w:t>
            </w:r>
            <w:r>
              <w:rPr>
                <w:rFonts w:hint="eastAsia" w:ascii="宋体" w:hAnsi="宋体" w:eastAsia="宋体" w:cs="宋体"/>
                <w:color w:val="auto"/>
                <w:spacing w:val="-10"/>
                <w:sz w:val="21"/>
                <w:szCs w:val="21"/>
                <w:highlight w:val="none"/>
              </w:rPr>
              <w:t>的数量、内容及真实性负责。评标结束后，招标代</w:t>
            </w:r>
            <w:r>
              <w:rPr>
                <w:rFonts w:hint="eastAsia" w:ascii="宋体" w:hAnsi="宋体" w:eastAsia="宋体" w:cs="宋体"/>
                <w:color w:val="auto"/>
                <w:spacing w:val="-11"/>
                <w:sz w:val="21"/>
                <w:szCs w:val="21"/>
                <w:highlight w:val="none"/>
              </w:rPr>
              <w:t>理机构将退回投标</w:t>
            </w:r>
            <w:r>
              <w:rPr>
                <w:rFonts w:hint="eastAsia" w:ascii="宋体" w:hAnsi="宋体" w:eastAsia="宋体" w:cs="宋体"/>
                <w:color w:val="auto"/>
                <w:spacing w:val="-10"/>
                <w:sz w:val="21"/>
                <w:szCs w:val="21"/>
                <w:highlight w:val="none"/>
              </w:rPr>
              <w:t>人的原件。若投标人未按要求提交相应证明材料原</w:t>
            </w:r>
            <w:r>
              <w:rPr>
                <w:rFonts w:hint="eastAsia" w:ascii="宋体" w:hAnsi="宋体" w:eastAsia="宋体" w:cs="宋体"/>
                <w:color w:val="auto"/>
                <w:spacing w:val="-11"/>
                <w:sz w:val="21"/>
                <w:szCs w:val="21"/>
                <w:highlight w:val="none"/>
              </w:rPr>
              <w:t>件或投标文件中证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明材料的复印件与原件不一致，评审时相应证明材料不予认可。</w:t>
            </w:r>
          </w:p>
        </w:tc>
      </w:tr>
      <w:tr w14:paraId="58F62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18" w:hRule="atLeast"/>
        </w:trPr>
        <w:tc>
          <w:tcPr>
            <w:tcW w:w="658" w:type="dxa"/>
            <w:tcBorders>
              <w:top w:val="single" w:color="auto" w:sz="4" w:space="0"/>
              <w:left w:val="single" w:color="auto" w:sz="4" w:space="0"/>
              <w:bottom w:val="single" w:color="auto" w:sz="4" w:space="0"/>
              <w:right w:val="single" w:color="auto" w:sz="4" w:space="0"/>
            </w:tcBorders>
            <w:vAlign w:val="center"/>
          </w:tcPr>
          <w:p w14:paraId="57998544">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31</w:t>
            </w:r>
          </w:p>
        </w:tc>
        <w:tc>
          <w:tcPr>
            <w:tcW w:w="1995" w:type="dxa"/>
            <w:tcBorders>
              <w:top w:val="single" w:color="auto" w:sz="4" w:space="0"/>
              <w:left w:val="single" w:color="auto" w:sz="4" w:space="0"/>
              <w:bottom w:val="single" w:color="auto" w:sz="4" w:space="0"/>
              <w:right w:val="single" w:color="auto" w:sz="4" w:space="0"/>
            </w:tcBorders>
            <w:vAlign w:val="center"/>
          </w:tcPr>
          <w:p w14:paraId="34C5B7B6">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w:t>
            </w:r>
          </w:p>
        </w:tc>
        <w:tc>
          <w:tcPr>
            <w:tcW w:w="6534" w:type="dxa"/>
            <w:tcBorders>
              <w:top w:val="single" w:color="auto" w:sz="4" w:space="0"/>
              <w:left w:val="single" w:color="auto" w:sz="4" w:space="0"/>
              <w:bottom w:val="single" w:color="auto" w:sz="4" w:space="0"/>
              <w:right w:val="single" w:color="auto" w:sz="4" w:space="0"/>
            </w:tcBorders>
            <w:vAlign w:val="center"/>
          </w:tcPr>
          <w:p w14:paraId="4578B484">
            <w:pPr>
              <w:shd w:val="clear" w:color="auto" w:fill="auto"/>
              <w:wordWrap w:val="0"/>
              <w:adjustRightInd w:val="0"/>
              <w:snapToGrid w:val="0"/>
              <w:spacing w:line="400" w:lineRule="exact"/>
              <w:ind w:left="0" w:leftChars="0" w:firstLine="210" w:firstLineChars="1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评标委员会由5人组成，其中招标人代表 0人，专家5人。专家从广东省综合评标评审专家库</w:t>
            </w:r>
            <w:r>
              <w:rPr>
                <w:rFonts w:hint="eastAsia" w:ascii="宋体" w:hAnsi="宋体" w:eastAsia="宋体" w:cs="宋体"/>
                <w:snapToGrid w:val="0"/>
                <w:color w:val="auto"/>
                <w:kern w:val="0"/>
                <w:sz w:val="21"/>
                <w:szCs w:val="21"/>
                <w:highlight w:val="none"/>
                <w:lang w:val="en-US" w:eastAsia="zh-CN"/>
              </w:rPr>
              <w:t>--韶关区域</w:t>
            </w:r>
            <w:r>
              <w:rPr>
                <w:rFonts w:hint="eastAsia" w:ascii="宋体" w:hAnsi="宋体" w:eastAsia="宋体" w:cs="宋体"/>
                <w:snapToGrid w:val="0"/>
                <w:color w:val="auto"/>
                <w:kern w:val="0"/>
                <w:sz w:val="21"/>
                <w:szCs w:val="21"/>
                <w:highlight w:val="none"/>
              </w:rPr>
              <w:t>中随机抽取，其中技术类专家3人，经济类专家2人。</w:t>
            </w:r>
          </w:p>
        </w:tc>
      </w:tr>
      <w:tr w14:paraId="3A373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60" w:hRule="atLeast"/>
        </w:trPr>
        <w:tc>
          <w:tcPr>
            <w:tcW w:w="658" w:type="dxa"/>
            <w:tcBorders>
              <w:top w:val="single" w:color="auto" w:sz="4" w:space="0"/>
              <w:left w:val="single" w:color="auto" w:sz="4" w:space="0"/>
              <w:bottom w:val="single" w:color="auto" w:sz="4" w:space="0"/>
              <w:right w:val="single" w:color="auto" w:sz="4" w:space="0"/>
            </w:tcBorders>
            <w:vAlign w:val="center"/>
          </w:tcPr>
          <w:p w14:paraId="610146B6">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32</w:t>
            </w:r>
          </w:p>
        </w:tc>
        <w:tc>
          <w:tcPr>
            <w:tcW w:w="1995" w:type="dxa"/>
            <w:tcBorders>
              <w:top w:val="single" w:color="auto" w:sz="4" w:space="0"/>
              <w:left w:val="single" w:color="auto" w:sz="4" w:space="0"/>
              <w:bottom w:val="single" w:color="auto" w:sz="4" w:space="0"/>
              <w:right w:val="single" w:color="auto" w:sz="4" w:space="0"/>
            </w:tcBorders>
            <w:vAlign w:val="center"/>
          </w:tcPr>
          <w:p w14:paraId="53F0DD84">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招标人</w:t>
            </w:r>
          </w:p>
          <w:p w14:paraId="4ADA2A29">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联系方式</w:t>
            </w:r>
          </w:p>
        </w:tc>
        <w:tc>
          <w:tcPr>
            <w:tcW w:w="6534" w:type="dxa"/>
            <w:tcBorders>
              <w:top w:val="single" w:color="auto" w:sz="4" w:space="0"/>
              <w:left w:val="single" w:color="auto" w:sz="4" w:space="0"/>
              <w:bottom w:val="single" w:color="auto" w:sz="4" w:space="0"/>
              <w:right w:val="single" w:color="auto" w:sz="4" w:space="0"/>
            </w:tcBorders>
            <w:vAlign w:val="center"/>
          </w:tcPr>
          <w:p w14:paraId="010AA9E7">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单位名称：</w:t>
            </w:r>
            <w:r>
              <w:rPr>
                <w:rFonts w:hint="eastAsia" w:ascii="宋体" w:hAnsi="宋体" w:eastAsia="宋体" w:cs="宋体"/>
                <w:snapToGrid w:val="0"/>
                <w:color w:val="auto"/>
                <w:kern w:val="0"/>
                <w:sz w:val="21"/>
                <w:szCs w:val="21"/>
                <w:highlight w:val="none"/>
                <w:lang w:eastAsia="zh-CN"/>
              </w:rPr>
              <w:t>韶关市武江区城市管理和综合执法局</w:t>
            </w:r>
          </w:p>
          <w:p w14:paraId="39ECD35D">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w:t>
            </w:r>
            <w:r>
              <w:rPr>
                <w:rFonts w:hint="eastAsia" w:ascii="宋体" w:hAnsi="宋体" w:eastAsia="宋体" w:cs="宋体"/>
                <w:snapToGrid w:val="0"/>
                <w:color w:val="auto"/>
                <w:kern w:val="0"/>
                <w:sz w:val="21"/>
                <w:szCs w:val="21"/>
                <w:highlight w:val="none"/>
                <w:lang w:eastAsia="zh-CN"/>
              </w:rPr>
              <w:t>韶关市武江区沙湖路18号</w:t>
            </w:r>
            <w:r>
              <w:rPr>
                <w:rFonts w:hint="eastAsia" w:ascii="宋体" w:hAnsi="宋体" w:eastAsia="宋体" w:cs="宋体"/>
                <w:snapToGrid w:val="0"/>
                <w:color w:val="auto"/>
                <w:kern w:val="0"/>
                <w:sz w:val="21"/>
                <w:szCs w:val="21"/>
                <w:highlight w:val="none"/>
              </w:rPr>
              <w:t xml:space="preserve">  </w:t>
            </w:r>
          </w:p>
          <w:p w14:paraId="77D2F609">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联系人（部门）：</w:t>
            </w:r>
            <w:r>
              <w:rPr>
                <w:rFonts w:hint="eastAsia" w:ascii="宋体" w:hAnsi="宋体" w:eastAsia="宋体" w:cs="宋体"/>
                <w:snapToGrid w:val="0"/>
                <w:color w:val="auto"/>
                <w:kern w:val="0"/>
                <w:sz w:val="21"/>
                <w:szCs w:val="21"/>
                <w:highlight w:val="none"/>
                <w:lang w:val="en-US" w:eastAsia="zh-CN"/>
              </w:rPr>
              <w:t>王工</w:t>
            </w:r>
          </w:p>
          <w:p w14:paraId="7A7BE2B6">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联系电话：</w:t>
            </w:r>
            <w:r>
              <w:rPr>
                <w:rFonts w:hint="eastAsia" w:ascii="宋体" w:hAnsi="宋体" w:eastAsia="宋体" w:cs="宋体"/>
                <w:snapToGrid w:val="0"/>
                <w:color w:val="auto"/>
                <w:kern w:val="0"/>
                <w:sz w:val="21"/>
                <w:szCs w:val="21"/>
                <w:highlight w:val="none"/>
                <w:lang w:eastAsia="zh-CN"/>
              </w:rPr>
              <w:t>0751-8700765</w:t>
            </w:r>
            <w:r>
              <w:rPr>
                <w:rFonts w:hint="eastAsia" w:ascii="宋体" w:hAnsi="宋体" w:eastAsia="宋体" w:cs="宋体"/>
                <w:snapToGrid w:val="0"/>
                <w:color w:val="auto"/>
                <w:kern w:val="0"/>
                <w:sz w:val="21"/>
                <w:szCs w:val="21"/>
                <w:highlight w:val="none"/>
                <w:u w:val="none"/>
                <w:lang w:val="en-US" w:eastAsia="zh-CN" w:bidi="ar-SA"/>
              </w:rPr>
              <w:t xml:space="preserve"> </w:t>
            </w:r>
          </w:p>
        </w:tc>
      </w:tr>
      <w:tr w14:paraId="492A5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79" w:hRule="atLeast"/>
        </w:trPr>
        <w:tc>
          <w:tcPr>
            <w:tcW w:w="658" w:type="dxa"/>
            <w:tcBorders>
              <w:top w:val="single" w:color="auto" w:sz="4" w:space="0"/>
              <w:left w:val="single" w:color="auto" w:sz="4" w:space="0"/>
              <w:bottom w:val="single" w:color="auto" w:sz="4" w:space="0"/>
              <w:right w:val="single" w:color="auto" w:sz="4" w:space="0"/>
            </w:tcBorders>
            <w:vAlign w:val="center"/>
          </w:tcPr>
          <w:p w14:paraId="3DE5B382">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33</w:t>
            </w:r>
          </w:p>
        </w:tc>
        <w:tc>
          <w:tcPr>
            <w:tcW w:w="1995" w:type="dxa"/>
            <w:tcBorders>
              <w:top w:val="single" w:color="auto" w:sz="4" w:space="0"/>
              <w:left w:val="single" w:color="auto" w:sz="4" w:space="0"/>
              <w:bottom w:val="single" w:color="auto" w:sz="4" w:space="0"/>
              <w:right w:val="single" w:color="auto" w:sz="4" w:space="0"/>
            </w:tcBorders>
            <w:vAlign w:val="center"/>
          </w:tcPr>
          <w:p w14:paraId="30CE674F">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招标代理机构</w:t>
            </w:r>
          </w:p>
          <w:p w14:paraId="32E32631">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联系方式</w:t>
            </w:r>
          </w:p>
        </w:tc>
        <w:tc>
          <w:tcPr>
            <w:tcW w:w="6534" w:type="dxa"/>
            <w:tcBorders>
              <w:top w:val="single" w:color="auto" w:sz="4" w:space="0"/>
              <w:left w:val="single" w:color="auto" w:sz="4" w:space="0"/>
              <w:bottom w:val="single" w:color="auto" w:sz="4" w:space="0"/>
              <w:right w:val="single" w:color="auto" w:sz="4" w:space="0"/>
            </w:tcBorders>
            <w:vAlign w:val="center"/>
          </w:tcPr>
          <w:p w14:paraId="7F28212F">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rPr>
              <w:t>单位名称：</w:t>
            </w:r>
            <w:r>
              <w:rPr>
                <w:rFonts w:hint="eastAsia" w:ascii="宋体" w:hAnsi="宋体" w:eastAsia="宋体" w:cs="宋体"/>
                <w:snapToGrid w:val="0"/>
                <w:color w:val="auto"/>
                <w:kern w:val="0"/>
                <w:sz w:val="21"/>
                <w:szCs w:val="21"/>
                <w:highlight w:val="none"/>
                <w:lang w:val="en-US" w:eastAsia="zh-CN"/>
              </w:rPr>
              <w:t>广东合正项目管理有限公司</w:t>
            </w:r>
          </w:p>
          <w:p w14:paraId="0B84E634">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rPr>
              <w:t>办公地址：韶关市武江区百旺大道42号莞韶双创中心研发办公楼五楼</w:t>
            </w:r>
          </w:p>
          <w:p w14:paraId="258020FA">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rPr>
              <w:t>联系人(部门)：</w:t>
            </w:r>
            <w:r>
              <w:rPr>
                <w:rFonts w:hint="eastAsia" w:ascii="宋体" w:hAnsi="宋体" w:eastAsia="宋体" w:cs="宋体"/>
                <w:snapToGrid w:val="0"/>
                <w:color w:val="auto"/>
                <w:kern w:val="0"/>
                <w:sz w:val="21"/>
                <w:szCs w:val="21"/>
                <w:highlight w:val="none"/>
                <w:lang w:val="en-US" w:eastAsia="zh-CN"/>
              </w:rPr>
              <w:t>杨工</w:t>
            </w:r>
          </w:p>
          <w:p w14:paraId="32CCB487">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rPr>
              <w:t>联系电话：0751-</w:t>
            </w:r>
            <w:r>
              <w:rPr>
                <w:rFonts w:hint="eastAsia" w:ascii="宋体" w:hAnsi="宋体" w:eastAsia="宋体" w:cs="宋体"/>
                <w:snapToGrid w:val="0"/>
                <w:color w:val="auto"/>
                <w:kern w:val="0"/>
                <w:sz w:val="21"/>
                <w:szCs w:val="21"/>
                <w:highlight w:val="none"/>
                <w:lang w:val="en-US" w:eastAsia="zh-CN"/>
              </w:rPr>
              <w:t>8219991</w:t>
            </w:r>
          </w:p>
        </w:tc>
      </w:tr>
      <w:tr w14:paraId="6BA48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vAlign w:val="center"/>
          </w:tcPr>
          <w:p w14:paraId="4C0FD44C">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34</w:t>
            </w:r>
          </w:p>
        </w:tc>
        <w:tc>
          <w:tcPr>
            <w:tcW w:w="1995" w:type="dxa"/>
            <w:tcBorders>
              <w:top w:val="single" w:color="auto" w:sz="4" w:space="0"/>
              <w:left w:val="single" w:color="auto" w:sz="4" w:space="0"/>
              <w:bottom w:val="single" w:color="auto" w:sz="4" w:space="0"/>
              <w:right w:val="single" w:color="auto" w:sz="4" w:space="0"/>
            </w:tcBorders>
            <w:vAlign w:val="center"/>
          </w:tcPr>
          <w:p w14:paraId="00E76516">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交易场所</w:t>
            </w:r>
          </w:p>
          <w:p w14:paraId="43517496">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联系方式</w:t>
            </w:r>
          </w:p>
        </w:tc>
        <w:tc>
          <w:tcPr>
            <w:tcW w:w="6534" w:type="dxa"/>
            <w:tcBorders>
              <w:top w:val="single" w:color="auto" w:sz="4" w:space="0"/>
              <w:left w:val="single" w:color="auto" w:sz="4" w:space="0"/>
              <w:bottom w:val="single" w:color="auto" w:sz="4" w:space="0"/>
              <w:right w:val="single" w:color="auto" w:sz="4" w:space="0"/>
            </w:tcBorders>
            <w:vAlign w:val="center"/>
          </w:tcPr>
          <w:p w14:paraId="21588711">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单位名称： 韶关市公共资源交易中心</w:t>
            </w:r>
          </w:p>
          <w:p w14:paraId="2F8D01A4">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 广东省韶关市武江区西联镇</w:t>
            </w:r>
          </w:p>
          <w:p w14:paraId="53BD348E">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联系人（部门）：工程交易部</w:t>
            </w:r>
          </w:p>
          <w:p w14:paraId="7E9DC800">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联系电话：0751</w:t>
            </w:r>
            <w:r>
              <w:rPr>
                <w:rFonts w:hint="eastAsia" w:ascii="宋体" w:hAnsi="宋体" w:eastAsia="宋体" w:cs="宋体"/>
                <w:snapToGrid w:val="0"/>
                <w:color w:val="auto"/>
                <w:kern w:val="0"/>
                <w:sz w:val="21"/>
                <w:szCs w:val="21"/>
                <w:highlight w:val="none"/>
                <w:u w:val="none"/>
                <w:lang w:val="en-US" w:eastAsia="zh-CN" w:bidi="ar-SA"/>
              </w:rPr>
              <w:t>-</w:t>
            </w:r>
            <w:r>
              <w:rPr>
                <w:rFonts w:hint="eastAsia" w:ascii="宋体" w:hAnsi="宋体" w:eastAsia="宋体" w:cs="宋体"/>
                <w:snapToGrid w:val="0"/>
                <w:color w:val="auto"/>
                <w:kern w:val="0"/>
                <w:sz w:val="21"/>
                <w:szCs w:val="21"/>
                <w:highlight w:val="none"/>
              </w:rPr>
              <w:t>8633071、8633211</w:t>
            </w:r>
          </w:p>
        </w:tc>
      </w:tr>
      <w:tr w14:paraId="1B18A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vAlign w:val="center"/>
          </w:tcPr>
          <w:p w14:paraId="33F947EC">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35</w:t>
            </w:r>
          </w:p>
        </w:tc>
        <w:tc>
          <w:tcPr>
            <w:tcW w:w="1995" w:type="dxa"/>
            <w:tcBorders>
              <w:top w:val="single" w:color="auto" w:sz="4" w:space="0"/>
              <w:left w:val="single" w:color="auto" w:sz="4" w:space="0"/>
              <w:bottom w:val="single" w:color="auto" w:sz="4" w:space="0"/>
              <w:right w:val="single" w:color="auto" w:sz="4" w:space="0"/>
            </w:tcBorders>
            <w:vAlign w:val="center"/>
          </w:tcPr>
          <w:p w14:paraId="0E55E04F">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行政监督部门</w:t>
            </w:r>
          </w:p>
          <w:p w14:paraId="34689672">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联系方式</w:t>
            </w:r>
          </w:p>
        </w:tc>
        <w:tc>
          <w:tcPr>
            <w:tcW w:w="6534" w:type="dxa"/>
            <w:tcBorders>
              <w:top w:val="single" w:color="auto" w:sz="4" w:space="0"/>
              <w:left w:val="single" w:color="auto" w:sz="4" w:space="0"/>
              <w:bottom w:val="single" w:color="auto" w:sz="4" w:space="0"/>
              <w:right w:val="single" w:color="auto" w:sz="4" w:space="0"/>
            </w:tcBorders>
            <w:vAlign w:val="center"/>
          </w:tcPr>
          <w:p w14:paraId="6397A5F4">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u w:val="none"/>
              </w:rPr>
            </w:pPr>
            <w:r>
              <w:rPr>
                <w:rFonts w:hint="eastAsia" w:ascii="宋体" w:hAnsi="宋体" w:eastAsia="宋体" w:cs="宋体"/>
                <w:snapToGrid w:val="0"/>
                <w:color w:val="auto"/>
                <w:kern w:val="0"/>
                <w:sz w:val="21"/>
                <w:szCs w:val="21"/>
                <w:highlight w:val="none"/>
                <w:u w:val="none"/>
              </w:rPr>
              <w:t>单位名称：韶关市住房和城乡建设管理局</w:t>
            </w:r>
          </w:p>
          <w:p w14:paraId="7C3F46B5">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u w:val="none"/>
              </w:rPr>
            </w:pPr>
            <w:r>
              <w:rPr>
                <w:rFonts w:hint="eastAsia" w:ascii="宋体" w:hAnsi="宋体" w:eastAsia="宋体" w:cs="宋体"/>
                <w:snapToGrid w:val="0"/>
                <w:color w:val="auto"/>
                <w:kern w:val="0"/>
                <w:sz w:val="21"/>
                <w:szCs w:val="21"/>
                <w:highlight w:val="none"/>
                <w:u w:val="none"/>
              </w:rPr>
              <w:t>办公地址：广东省韶关市武江区芙蓉东路5号</w:t>
            </w:r>
          </w:p>
          <w:p w14:paraId="13B6EC76">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u w:val="none"/>
              </w:rPr>
            </w:pPr>
            <w:r>
              <w:rPr>
                <w:rFonts w:hint="eastAsia" w:ascii="宋体" w:hAnsi="宋体" w:eastAsia="宋体" w:cs="宋体"/>
                <w:snapToGrid w:val="0"/>
                <w:color w:val="auto"/>
                <w:kern w:val="0"/>
                <w:sz w:val="21"/>
                <w:szCs w:val="21"/>
                <w:highlight w:val="none"/>
                <w:u w:val="none"/>
              </w:rPr>
              <w:t>联系人（部门）：建筑业市场管理科</w:t>
            </w:r>
          </w:p>
          <w:p w14:paraId="47358CD2">
            <w:pPr>
              <w:shd w:val="clear" w:color="auto" w:fill="auto"/>
              <w:wordWrap w:val="0"/>
              <w:adjustRightInd w:val="0"/>
              <w:snapToGrid w:val="0"/>
              <w:spacing w:line="400" w:lineRule="exact"/>
              <w:ind w:left="0" w:leftChars="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u w:val="none"/>
              </w:rPr>
              <w:t>联系电话：0751-8892601</w:t>
            </w:r>
          </w:p>
        </w:tc>
      </w:tr>
      <w:bookmarkEnd w:id="28"/>
      <w:tr w14:paraId="03A7A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5" w:hRule="atLeast"/>
        </w:trPr>
        <w:tc>
          <w:tcPr>
            <w:tcW w:w="658" w:type="dxa"/>
            <w:tcBorders>
              <w:top w:val="single" w:color="auto" w:sz="4" w:space="0"/>
              <w:left w:val="single" w:color="auto" w:sz="4" w:space="0"/>
              <w:bottom w:val="single" w:color="auto" w:sz="4" w:space="0"/>
              <w:right w:val="single" w:color="auto" w:sz="4" w:space="0"/>
            </w:tcBorders>
            <w:vAlign w:val="center"/>
          </w:tcPr>
          <w:p w14:paraId="054C98FF">
            <w:pPr>
              <w:shd w:val="clear" w:color="auto" w:fill="auto"/>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36</w:t>
            </w:r>
          </w:p>
        </w:tc>
        <w:tc>
          <w:tcPr>
            <w:tcW w:w="1995" w:type="dxa"/>
            <w:tcBorders>
              <w:top w:val="single" w:color="auto" w:sz="4" w:space="0"/>
              <w:left w:val="single" w:color="auto" w:sz="4" w:space="0"/>
              <w:bottom w:val="single" w:color="auto" w:sz="4" w:space="0"/>
              <w:right w:val="single" w:color="auto" w:sz="4" w:space="0"/>
            </w:tcBorders>
            <w:vAlign w:val="center"/>
          </w:tcPr>
          <w:p w14:paraId="5BA9377A">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术语</w:t>
            </w:r>
          </w:p>
        </w:tc>
        <w:tc>
          <w:tcPr>
            <w:tcW w:w="6534" w:type="dxa"/>
            <w:tcBorders>
              <w:top w:val="single" w:color="auto" w:sz="4" w:space="0"/>
              <w:left w:val="single" w:color="auto" w:sz="4" w:space="0"/>
              <w:bottom w:val="single" w:color="auto" w:sz="4" w:space="0"/>
              <w:right w:val="single" w:color="auto" w:sz="4" w:space="0"/>
            </w:tcBorders>
            <w:vAlign w:val="center"/>
          </w:tcPr>
          <w:p w14:paraId="668D83FC">
            <w:pPr>
              <w:shd w:val="clear" w:color="auto" w:fill="auto"/>
              <w:wordWrap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8DE6A95">
            <w:pPr>
              <w:shd w:val="clear" w:color="auto" w:fill="auto"/>
              <w:wordWrap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2．“相关服务”是指监理人受委托人的委托，按照合同约定，在勘察、设计、保修等阶段提供的服务活动。</w:t>
            </w:r>
          </w:p>
        </w:tc>
      </w:tr>
    </w:tbl>
    <w:p w14:paraId="658E0312">
      <w:pPr>
        <w:pStyle w:val="3"/>
        <w:shd w:val="clear" w:color="auto" w:fill="auto"/>
        <w:wordWrap w:val="0"/>
        <w:autoSpaceDE/>
        <w:autoSpaceDN/>
        <w:snapToGrid w:val="0"/>
        <w:spacing w:before="260" w:after="260" w:line="360" w:lineRule="exact"/>
        <w:jc w:val="both"/>
        <w:rPr>
          <w:rFonts w:hint="eastAsia" w:hAnsi="宋体" w:cs="宋体"/>
          <w:b/>
          <w:snapToGrid w:val="0"/>
          <w:color w:val="auto"/>
          <w:highlight w:val="none"/>
        </w:rPr>
        <w:sectPr>
          <w:footerReference r:id="rId7" w:type="default"/>
          <w:endnotePr>
            <w:numFmt w:val="decimal"/>
          </w:endnotePr>
          <w:pgSz w:w="11906" w:h="16838"/>
          <w:pgMar w:top="1701" w:right="1531" w:bottom="1417" w:left="1531" w:header="850" w:footer="992" w:gutter="0"/>
          <w:pgNumType w:start="1"/>
          <w:cols w:space="720" w:num="1"/>
          <w:rtlGutter w:val="0"/>
          <w:docGrid w:linePitch="327" w:charSpace="0"/>
        </w:sectPr>
      </w:pPr>
    </w:p>
    <w:p w14:paraId="41897224">
      <w:pPr>
        <w:pStyle w:val="3"/>
        <w:shd w:val="clear" w:color="auto" w:fill="auto"/>
        <w:wordWrap w:val="0"/>
        <w:autoSpaceDE/>
        <w:autoSpaceDN/>
        <w:snapToGrid w:val="0"/>
        <w:spacing w:after="260" w:line="440" w:lineRule="exact"/>
        <w:jc w:val="both"/>
        <w:rPr>
          <w:rFonts w:hint="eastAsia" w:hAnsi="宋体" w:cs="宋体"/>
          <w:snapToGrid w:val="0"/>
          <w:color w:val="auto"/>
          <w:highlight w:val="none"/>
        </w:rPr>
      </w:pPr>
      <w:bookmarkStart w:id="29" w:name="_Toc28370"/>
      <w:bookmarkStart w:id="30" w:name="_Toc25588"/>
      <w:bookmarkStart w:id="31" w:name="_Toc16005"/>
      <w:bookmarkStart w:id="32" w:name="_Toc16241"/>
      <w:bookmarkStart w:id="33" w:name="_Toc29182"/>
      <w:bookmarkStart w:id="34" w:name="_Toc712"/>
      <w:bookmarkStart w:id="35" w:name="_Toc5405"/>
      <w:bookmarkStart w:id="36" w:name="_Toc2241"/>
      <w:bookmarkStart w:id="37" w:name="_Toc26113"/>
      <w:bookmarkStart w:id="38" w:name="_Toc17242"/>
      <w:bookmarkStart w:id="39" w:name="_Toc31292"/>
      <w:r>
        <w:rPr>
          <w:rFonts w:hint="eastAsia" w:hAnsi="宋体" w:cs="宋体"/>
          <w:b/>
          <w:snapToGrid w:val="0"/>
          <w:color w:val="auto"/>
          <w:highlight w:val="none"/>
        </w:rPr>
        <w:t>第二节 重要事项时间地点一览表</w:t>
      </w:r>
      <w:bookmarkEnd w:id="29"/>
      <w:bookmarkEnd w:id="30"/>
      <w:bookmarkEnd w:id="31"/>
      <w:bookmarkEnd w:id="32"/>
      <w:bookmarkEnd w:id="33"/>
      <w:bookmarkEnd w:id="34"/>
      <w:bookmarkEnd w:id="35"/>
      <w:bookmarkEnd w:id="36"/>
      <w:bookmarkEnd w:id="37"/>
      <w:bookmarkEnd w:id="38"/>
      <w:bookmarkEnd w:id="39"/>
    </w:p>
    <w:tbl>
      <w:tblPr>
        <w:tblStyle w:val="24"/>
        <w:tblpPr w:leftFromText="180" w:rightFromText="180" w:vertAnchor="text" w:horzAnchor="page" w:tblpX="1295" w:tblpY="8"/>
        <w:tblOverlap w:val="never"/>
        <w:tblW w:w="923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30"/>
        <w:gridCol w:w="1325"/>
        <w:gridCol w:w="7484"/>
      </w:tblGrid>
      <w:tr w14:paraId="0EB19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0"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5133288B">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1</w:t>
            </w:r>
          </w:p>
        </w:tc>
        <w:tc>
          <w:tcPr>
            <w:tcW w:w="1325" w:type="dxa"/>
            <w:tcBorders>
              <w:top w:val="single" w:color="080000" w:sz="4" w:space="0"/>
              <w:left w:val="single" w:color="080000" w:sz="4" w:space="0"/>
              <w:bottom w:val="single" w:color="080000" w:sz="4" w:space="0"/>
              <w:right w:val="single" w:color="080000" w:sz="4" w:space="0"/>
            </w:tcBorders>
            <w:vAlign w:val="center"/>
          </w:tcPr>
          <w:p w14:paraId="7DA39CD0">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招标公告</w:t>
            </w:r>
          </w:p>
          <w:p w14:paraId="672A9860">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发布时间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367FBF2E">
            <w:pPr>
              <w:widowControl/>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 xml:space="preserve">  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hAnsi="宋体" w:cs="宋体"/>
                <w:color w:val="auto"/>
                <w:kern w:val="0"/>
                <w:sz w:val="21"/>
                <w:szCs w:val="21"/>
                <w:highlight w:val="none"/>
                <w:u w:val="single"/>
                <w:lang w:val="en-US" w:eastAsia="zh-CN"/>
              </w:rPr>
              <w:t>8</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00  </w:t>
            </w:r>
            <w:r>
              <w:rPr>
                <w:rFonts w:hint="eastAsia" w:ascii="宋体" w:hAnsi="宋体" w:eastAsia="宋体" w:cs="宋体"/>
                <w:color w:val="auto"/>
                <w:kern w:val="0"/>
                <w:sz w:val="21"/>
                <w:szCs w:val="21"/>
                <w:highlight w:val="none"/>
              </w:rPr>
              <w:t>分</w:t>
            </w:r>
          </w:p>
        </w:tc>
      </w:tr>
      <w:tr w14:paraId="73D4F6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4"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4B9B7336">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2</w:t>
            </w:r>
          </w:p>
        </w:tc>
        <w:tc>
          <w:tcPr>
            <w:tcW w:w="1325" w:type="dxa"/>
            <w:tcBorders>
              <w:top w:val="single" w:color="080000" w:sz="4" w:space="0"/>
              <w:left w:val="single" w:color="080000" w:sz="4" w:space="0"/>
              <w:bottom w:val="single" w:color="080000" w:sz="4" w:space="0"/>
              <w:right w:val="single" w:color="080000" w:sz="4" w:space="0"/>
            </w:tcBorders>
            <w:vAlign w:val="center"/>
          </w:tcPr>
          <w:p w14:paraId="589066E8">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获取招标文件截止时间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0853D22D">
            <w:pPr>
              <w:widowControl/>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 xml:space="preserve">  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29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tc>
      </w:tr>
      <w:tr w14:paraId="29F1B9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3"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0581472C">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3</w:t>
            </w:r>
          </w:p>
        </w:tc>
        <w:tc>
          <w:tcPr>
            <w:tcW w:w="1325" w:type="dxa"/>
            <w:tcBorders>
              <w:top w:val="single" w:color="080000" w:sz="4" w:space="0"/>
              <w:left w:val="single" w:color="080000" w:sz="4" w:space="0"/>
              <w:bottom w:val="single" w:color="080000" w:sz="4" w:space="0"/>
              <w:right w:val="single" w:color="080000" w:sz="4" w:space="0"/>
            </w:tcBorders>
            <w:vAlign w:val="center"/>
          </w:tcPr>
          <w:p w14:paraId="55943A60">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网上提问</w:t>
            </w:r>
          </w:p>
          <w:p w14:paraId="3438FBC8">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截止时间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3F0D2865">
            <w:pPr>
              <w:wordWrap w:val="0"/>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 xml:space="preserve">  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hAnsi="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hAnsi="宋体" w:cs="宋体"/>
                <w:color w:val="auto"/>
                <w:kern w:val="0"/>
                <w:sz w:val="21"/>
                <w:szCs w:val="21"/>
                <w:highlight w:val="none"/>
                <w:u w:val="single"/>
                <w:lang w:val="en-US" w:eastAsia="zh-CN"/>
              </w:rPr>
              <w:t>19</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16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00 </w:t>
            </w:r>
            <w:r>
              <w:rPr>
                <w:rFonts w:hint="eastAsia" w:ascii="宋体" w:hAnsi="宋体" w:eastAsia="宋体" w:cs="宋体"/>
                <w:color w:val="auto"/>
                <w:kern w:val="0"/>
                <w:sz w:val="21"/>
                <w:szCs w:val="21"/>
                <w:highlight w:val="none"/>
              </w:rPr>
              <w:t>分</w:t>
            </w:r>
          </w:p>
        </w:tc>
      </w:tr>
      <w:tr w14:paraId="55643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3"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44DB42DE">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4</w:t>
            </w:r>
          </w:p>
        </w:tc>
        <w:tc>
          <w:tcPr>
            <w:tcW w:w="1325" w:type="dxa"/>
            <w:tcBorders>
              <w:top w:val="single" w:color="080000" w:sz="4" w:space="0"/>
              <w:left w:val="single" w:color="080000" w:sz="4" w:space="0"/>
              <w:bottom w:val="single" w:color="080000" w:sz="4" w:space="0"/>
              <w:right w:val="single" w:color="080000" w:sz="4" w:space="0"/>
            </w:tcBorders>
            <w:vAlign w:val="center"/>
          </w:tcPr>
          <w:p w14:paraId="7B9996B3">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网上答疑</w:t>
            </w:r>
          </w:p>
          <w:p w14:paraId="52F915D6">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时间</w:t>
            </w:r>
          </w:p>
        </w:tc>
        <w:tc>
          <w:tcPr>
            <w:tcW w:w="7484" w:type="dxa"/>
            <w:tcBorders>
              <w:top w:val="single" w:color="080000" w:sz="4" w:space="0"/>
              <w:left w:val="single" w:color="080000" w:sz="4" w:space="0"/>
              <w:bottom w:val="single" w:color="080000" w:sz="4" w:space="0"/>
              <w:right w:val="single" w:color="080000" w:sz="4" w:space="0"/>
            </w:tcBorders>
            <w:vAlign w:val="center"/>
          </w:tcPr>
          <w:p w14:paraId="0E23F276">
            <w:pPr>
              <w:widowControl/>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 xml:space="preserve"> 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19</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16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分至</w:t>
            </w:r>
            <w:r>
              <w:rPr>
                <w:rFonts w:hint="eastAsia" w:ascii="宋体" w:hAnsi="宋体" w:eastAsia="宋体" w:cs="宋体"/>
                <w:color w:val="auto"/>
                <w:kern w:val="0"/>
                <w:sz w:val="21"/>
                <w:szCs w:val="21"/>
                <w:highlight w:val="none"/>
                <w:u w:val="single"/>
              </w:rPr>
              <w:t xml:space="preserve">  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hAnsi="宋体" w:cs="宋体"/>
                <w:color w:val="auto"/>
                <w:kern w:val="0"/>
                <w:sz w:val="21"/>
                <w:szCs w:val="21"/>
                <w:highlight w:val="none"/>
                <w:u w:val="single"/>
                <w:lang w:val="en-US" w:eastAsia="zh-CN"/>
              </w:rPr>
              <w:t>22</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16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00</w:t>
            </w:r>
            <w:r>
              <w:rPr>
                <w:rFonts w:hint="eastAsia" w:ascii="宋体" w:hAnsi="宋体" w:eastAsia="宋体" w:cs="宋体"/>
                <w:color w:val="auto"/>
                <w:kern w:val="0"/>
                <w:sz w:val="21"/>
                <w:szCs w:val="21"/>
                <w:highlight w:val="none"/>
              </w:rPr>
              <w:t>分</w:t>
            </w:r>
          </w:p>
        </w:tc>
      </w:tr>
      <w:tr w14:paraId="33338F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4"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0E0658D7">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5</w:t>
            </w:r>
          </w:p>
        </w:tc>
        <w:tc>
          <w:tcPr>
            <w:tcW w:w="1325" w:type="dxa"/>
            <w:tcBorders>
              <w:top w:val="single" w:color="080000" w:sz="4" w:space="0"/>
              <w:left w:val="single" w:color="080000" w:sz="4" w:space="0"/>
              <w:bottom w:val="single" w:color="080000" w:sz="4" w:space="0"/>
              <w:right w:val="single" w:color="080000" w:sz="4" w:space="0"/>
            </w:tcBorders>
            <w:vAlign w:val="center"/>
          </w:tcPr>
          <w:p w14:paraId="23CB87A6">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投标保证缴</w:t>
            </w:r>
          </w:p>
          <w:p w14:paraId="2676CFAF">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纳截止时间</w:t>
            </w:r>
          </w:p>
        </w:tc>
        <w:tc>
          <w:tcPr>
            <w:tcW w:w="7484" w:type="dxa"/>
            <w:tcBorders>
              <w:top w:val="single" w:color="080000" w:sz="4" w:space="0"/>
              <w:left w:val="single" w:color="080000" w:sz="4" w:space="0"/>
              <w:bottom w:val="single" w:color="080000" w:sz="4" w:space="0"/>
              <w:right w:val="single" w:color="080000" w:sz="4" w:space="0"/>
            </w:tcBorders>
            <w:vAlign w:val="center"/>
          </w:tcPr>
          <w:p w14:paraId="7D4D93E0">
            <w:pPr>
              <w:widowControl/>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投标保证金到账截止时间：</w:t>
            </w:r>
            <w:r>
              <w:rPr>
                <w:rFonts w:hint="eastAsia" w:ascii="宋体" w:hAnsi="宋体" w:eastAsia="宋体" w:cs="宋体"/>
                <w:color w:val="auto"/>
                <w:kern w:val="0"/>
                <w:sz w:val="21"/>
                <w:szCs w:val="21"/>
                <w:highlight w:val="none"/>
                <w:u w:val="single"/>
              </w:rPr>
              <w:t xml:space="preserve">  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28</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p w14:paraId="71D1AB13">
            <w:pPr>
              <w:widowControl/>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投标保证担保上传截止时间：</w:t>
            </w:r>
            <w:r>
              <w:rPr>
                <w:rFonts w:hint="eastAsia" w:ascii="宋体" w:hAnsi="宋体" w:eastAsia="宋体" w:cs="宋体"/>
                <w:color w:val="auto"/>
                <w:kern w:val="0"/>
                <w:sz w:val="21"/>
                <w:szCs w:val="21"/>
                <w:highlight w:val="none"/>
                <w:u w:val="single"/>
              </w:rPr>
              <w:t xml:space="preserve">  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28</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p w14:paraId="460B6A65">
            <w:pPr>
              <w:widowControl/>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投标保证保险投保截止时间：</w:t>
            </w:r>
            <w:r>
              <w:rPr>
                <w:rFonts w:hint="eastAsia" w:ascii="宋体" w:hAnsi="宋体" w:eastAsia="宋体" w:cs="宋体"/>
                <w:color w:val="auto"/>
                <w:kern w:val="0"/>
                <w:sz w:val="21"/>
                <w:szCs w:val="21"/>
                <w:highlight w:val="none"/>
                <w:u w:val="single"/>
              </w:rPr>
              <w:t xml:space="preserve">  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28</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tc>
      </w:tr>
      <w:tr w14:paraId="23EB55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85"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65358500">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6</w:t>
            </w:r>
          </w:p>
        </w:tc>
        <w:tc>
          <w:tcPr>
            <w:tcW w:w="1325" w:type="dxa"/>
            <w:tcBorders>
              <w:top w:val="single" w:color="080000" w:sz="4" w:space="0"/>
              <w:left w:val="single" w:color="080000" w:sz="4" w:space="0"/>
              <w:bottom w:val="single" w:color="080000" w:sz="4" w:space="0"/>
              <w:right w:val="single" w:color="080000" w:sz="4" w:space="0"/>
            </w:tcBorders>
            <w:vAlign w:val="center"/>
          </w:tcPr>
          <w:p w14:paraId="514952A7">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电子投标</w:t>
            </w:r>
          </w:p>
          <w:p w14:paraId="63A6E2F2">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截止时间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16D11BED">
            <w:pPr>
              <w:widowControl/>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29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tc>
      </w:tr>
      <w:tr w14:paraId="5EB52D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3"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2E7484A2">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7</w:t>
            </w:r>
          </w:p>
        </w:tc>
        <w:tc>
          <w:tcPr>
            <w:tcW w:w="1325" w:type="dxa"/>
            <w:tcBorders>
              <w:top w:val="single" w:color="080000" w:sz="4" w:space="0"/>
              <w:left w:val="single" w:color="080000" w:sz="4" w:space="0"/>
              <w:bottom w:val="single" w:color="080000" w:sz="4" w:space="0"/>
              <w:right w:val="single" w:color="080000" w:sz="4" w:space="0"/>
            </w:tcBorders>
            <w:vAlign w:val="center"/>
          </w:tcPr>
          <w:p w14:paraId="1B62669B">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投标相关资料（如有）</w:t>
            </w:r>
          </w:p>
          <w:p w14:paraId="69B266E3">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递交时间</w:t>
            </w:r>
          </w:p>
        </w:tc>
        <w:tc>
          <w:tcPr>
            <w:tcW w:w="7484" w:type="dxa"/>
            <w:tcBorders>
              <w:top w:val="single" w:color="080000" w:sz="4" w:space="0"/>
              <w:left w:val="single" w:color="080000" w:sz="4" w:space="0"/>
              <w:bottom w:val="single" w:color="080000" w:sz="4" w:space="0"/>
              <w:right w:val="single" w:color="080000" w:sz="4" w:space="0"/>
            </w:tcBorders>
            <w:vAlign w:val="center"/>
          </w:tcPr>
          <w:p w14:paraId="142A8AE9">
            <w:pPr>
              <w:widowControl/>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29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hAnsi="宋体" w:cs="宋体"/>
                <w:color w:val="auto"/>
                <w:kern w:val="0"/>
                <w:sz w:val="21"/>
                <w:szCs w:val="21"/>
                <w:highlight w:val="none"/>
                <w:u w:val="single"/>
                <w:lang w:val="en-US" w:eastAsia="zh-CN"/>
              </w:rPr>
              <w:t>0</w:t>
            </w:r>
            <w:r>
              <w:rPr>
                <w:rFonts w:hint="eastAsia" w:ascii="宋体" w:hAnsi="宋体" w:eastAsia="宋体" w:cs="宋体"/>
                <w:color w:val="auto"/>
                <w:kern w:val="0"/>
                <w:sz w:val="21"/>
                <w:szCs w:val="21"/>
                <w:highlight w:val="none"/>
                <w:u w:val="single"/>
              </w:rPr>
              <w:t xml:space="preserve">0 </w:t>
            </w:r>
            <w:r>
              <w:rPr>
                <w:rFonts w:hint="eastAsia" w:ascii="宋体" w:hAnsi="宋体" w:eastAsia="宋体" w:cs="宋体"/>
                <w:color w:val="auto"/>
                <w:kern w:val="0"/>
                <w:sz w:val="21"/>
                <w:szCs w:val="21"/>
                <w:highlight w:val="none"/>
              </w:rPr>
              <w:t>分至</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29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tc>
      </w:tr>
      <w:tr w14:paraId="4E0FA5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3"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4E571107">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8</w:t>
            </w:r>
          </w:p>
        </w:tc>
        <w:tc>
          <w:tcPr>
            <w:tcW w:w="1325" w:type="dxa"/>
            <w:tcBorders>
              <w:top w:val="single" w:color="080000" w:sz="4" w:space="0"/>
              <w:left w:val="single" w:color="080000" w:sz="4" w:space="0"/>
              <w:bottom w:val="single" w:color="080000" w:sz="4" w:space="0"/>
              <w:right w:val="single" w:color="080000" w:sz="4" w:space="0"/>
            </w:tcBorders>
            <w:vAlign w:val="center"/>
          </w:tcPr>
          <w:p w14:paraId="078798F2">
            <w:pPr>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投标相关资料（如有）</w:t>
            </w:r>
          </w:p>
          <w:p w14:paraId="06ACDAE3">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递交地点</w:t>
            </w:r>
          </w:p>
        </w:tc>
        <w:tc>
          <w:tcPr>
            <w:tcW w:w="7484" w:type="dxa"/>
            <w:tcBorders>
              <w:top w:val="single" w:color="080000" w:sz="4" w:space="0"/>
              <w:left w:val="single" w:color="080000" w:sz="4" w:space="0"/>
              <w:bottom w:val="single" w:color="080000" w:sz="4" w:space="0"/>
              <w:right w:val="single" w:color="080000" w:sz="4" w:space="0"/>
            </w:tcBorders>
            <w:vAlign w:val="center"/>
          </w:tcPr>
          <w:p w14:paraId="614B1045">
            <w:pPr>
              <w:wordWrap w:val="0"/>
              <w:adjustRightInd w:val="0"/>
              <w:snapToGrid w:val="0"/>
              <w:spacing w:line="40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递交场所：韶关市公共资源交易中心</w:t>
            </w:r>
          </w:p>
          <w:p w14:paraId="3BC3C7E2">
            <w:pPr>
              <w:wordWrap w:val="0"/>
              <w:adjustRightInd w:val="0"/>
              <w:snapToGrid w:val="0"/>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地址:广东省韶关市武江区西联镇，具体递交场所以当日现场通知为准。</w:t>
            </w:r>
          </w:p>
        </w:tc>
      </w:tr>
      <w:tr w14:paraId="49C37E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0"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67D8FD62">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9</w:t>
            </w:r>
          </w:p>
        </w:tc>
        <w:tc>
          <w:tcPr>
            <w:tcW w:w="1325" w:type="dxa"/>
            <w:tcBorders>
              <w:top w:val="single" w:color="080000" w:sz="4" w:space="0"/>
              <w:left w:val="single" w:color="080000" w:sz="4" w:space="0"/>
              <w:bottom w:val="single" w:color="080000" w:sz="4" w:space="0"/>
              <w:right w:val="single" w:color="080000" w:sz="4" w:space="0"/>
            </w:tcBorders>
            <w:vAlign w:val="center"/>
          </w:tcPr>
          <w:p w14:paraId="22139B81">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开标时间 </w:t>
            </w:r>
          </w:p>
        </w:tc>
        <w:tc>
          <w:tcPr>
            <w:tcW w:w="7484" w:type="dxa"/>
            <w:tcBorders>
              <w:top w:val="single" w:color="080000" w:sz="4" w:space="0"/>
              <w:left w:val="single" w:color="080000" w:sz="4" w:space="0"/>
              <w:bottom w:val="single" w:color="080000" w:sz="4" w:space="0"/>
              <w:right w:val="single" w:color="080000" w:sz="4" w:space="0"/>
            </w:tcBorders>
            <w:vAlign w:val="center"/>
          </w:tcPr>
          <w:p w14:paraId="1D1EAB5A">
            <w:pPr>
              <w:wordWrap w:val="0"/>
              <w:adjustRightInd w:val="0"/>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月</w:t>
            </w:r>
            <w:r>
              <w:rPr>
                <w:rFonts w:hint="eastAsia" w:ascii="宋体" w:hAnsi="宋体" w:eastAsia="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29</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9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w:t>
            </w:r>
          </w:p>
        </w:tc>
      </w:tr>
      <w:tr w14:paraId="77B96F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6" w:hRule="exact"/>
        </w:trPr>
        <w:tc>
          <w:tcPr>
            <w:tcW w:w="430" w:type="dxa"/>
            <w:tcBorders>
              <w:top w:val="single" w:color="080000" w:sz="4" w:space="0"/>
              <w:left w:val="single" w:color="080000" w:sz="4" w:space="0"/>
              <w:bottom w:val="single" w:color="080000" w:sz="4" w:space="0"/>
              <w:right w:val="single" w:color="080000" w:sz="4" w:space="0"/>
            </w:tcBorders>
            <w:vAlign w:val="center"/>
          </w:tcPr>
          <w:p w14:paraId="353B6F50">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10</w:t>
            </w:r>
          </w:p>
        </w:tc>
        <w:tc>
          <w:tcPr>
            <w:tcW w:w="1325" w:type="dxa"/>
            <w:tcBorders>
              <w:top w:val="single" w:color="080000" w:sz="4" w:space="0"/>
              <w:left w:val="single" w:color="080000" w:sz="4" w:space="0"/>
              <w:bottom w:val="single" w:color="080000" w:sz="4" w:space="0"/>
              <w:right w:val="single" w:color="080000" w:sz="4" w:space="0"/>
            </w:tcBorders>
            <w:vAlign w:val="center"/>
          </w:tcPr>
          <w:p w14:paraId="79848827">
            <w:pPr>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开标地点 </w:t>
            </w:r>
          </w:p>
        </w:tc>
        <w:tc>
          <w:tcPr>
            <w:tcW w:w="7484" w:type="dxa"/>
            <w:tcBorders>
              <w:top w:val="single" w:color="080000" w:sz="4" w:space="0"/>
              <w:left w:val="single" w:color="080000" w:sz="4" w:space="0"/>
              <w:bottom w:val="single" w:color="080000" w:sz="4" w:space="0"/>
              <w:right w:val="single" w:color="080000" w:sz="4" w:space="0"/>
            </w:tcBorders>
            <w:vAlign w:val="center"/>
          </w:tcPr>
          <w:p w14:paraId="20536247">
            <w:pPr>
              <w:wordWrap w:val="0"/>
              <w:adjustRightInd w:val="0"/>
              <w:snapToGrid w:val="0"/>
              <w:spacing w:line="40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开标场所：韶关市公共资源交易中心</w:t>
            </w:r>
          </w:p>
          <w:p w14:paraId="3C554DDC">
            <w:pPr>
              <w:wordWrap w:val="0"/>
              <w:adjustRightInd w:val="0"/>
              <w:snapToGrid w:val="0"/>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地址：广东省韶关市武江区西联镇，具体开标室以当日现场通知为准。</w:t>
            </w:r>
          </w:p>
        </w:tc>
      </w:tr>
      <w:tr w14:paraId="4F3034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3" w:hRule="exact"/>
        </w:trPr>
        <w:tc>
          <w:tcPr>
            <w:tcW w:w="1755" w:type="dxa"/>
            <w:gridSpan w:val="2"/>
            <w:tcBorders>
              <w:top w:val="single" w:color="080000" w:sz="4" w:space="0"/>
              <w:left w:val="single" w:color="080000" w:sz="4" w:space="0"/>
              <w:bottom w:val="single" w:color="080000" w:sz="4" w:space="0"/>
              <w:right w:val="single" w:color="080000" w:sz="4" w:space="0"/>
            </w:tcBorders>
            <w:vAlign w:val="center"/>
          </w:tcPr>
          <w:p w14:paraId="7911F0CF">
            <w:pPr>
              <w:pStyle w:val="43"/>
              <w:wordWrap w:val="0"/>
              <w:adjustRightInd w:val="0"/>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备注</w:t>
            </w:r>
          </w:p>
        </w:tc>
        <w:tc>
          <w:tcPr>
            <w:tcW w:w="7484" w:type="dxa"/>
            <w:tcBorders>
              <w:top w:val="single" w:color="080000" w:sz="4" w:space="0"/>
              <w:left w:val="single" w:color="080000" w:sz="4" w:space="0"/>
              <w:bottom w:val="single" w:color="080000" w:sz="4" w:space="0"/>
              <w:right w:val="single" w:color="080000" w:sz="4" w:space="0"/>
            </w:tcBorders>
            <w:vAlign w:val="center"/>
          </w:tcPr>
          <w:p w14:paraId="34AF086C">
            <w:pPr>
              <w:pStyle w:val="43"/>
              <w:wordWrap w:val="0"/>
              <w:adjustRightInd w:val="0"/>
              <w:snapToGrid w:val="0"/>
              <w:spacing w:line="400" w:lineRule="exact"/>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46E837D8">
      <w:pPr>
        <w:pStyle w:val="43"/>
        <w:widowControl/>
        <w:shd w:val="clear" w:color="auto" w:fill="auto"/>
        <w:snapToGrid w:val="0"/>
        <w:spacing w:line="360" w:lineRule="auto"/>
        <w:ind w:left="0" w:leftChars="0" w:right="0" w:rightChars="0" w:firstLine="0" w:firstLineChars="0"/>
        <w:rPr>
          <w:rFonts w:ascii="宋体" w:hAnsi="宋体" w:cs="Tahoma"/>
          <w:color w:val="auto"/>
          <w:kern w:val="0"/>
          <w:sz w:val="20"/>
          <w:szCs w:val="20"/>
          <w:highlight w:val="none"/>
        </w:rPr>
      </w:pPr>
      <w:r>
        <w:rPr>
          <w:rFonts w:hint="eastAsia" w:ascii="宋体" w:hAnsi="宋体" w:cs="Tahoma"/>
          <w:color w:val="auto"/>
          <w:kern w:val="0"/>
          <w:sz w:val="20"/>
          <w:szCs w:val="20"/>
          <w:highlight w:val="none"/>
        </w:rPr>
        <w:t>备注：投标人应按有关计划时间安排办理企业CA认证、企业入库等，</w:t>
      </w:r>
      <w:r>
        <w:rPr>
          <w:rFonts w:hint="eastAsia" w:ascii="宋体" w:hAnsi="宋体" w:cs="Tahoma"/>
          <w:color w:val="auto"/>
          <w:kern w:val="0"/>
          <w:sz w:val="20"/>
          <w:szCs w:val="20"/>
          <w:highlight w:val="none"/>
          <w:lang w:val="en-US" w:eastAsia="zh-CN"/>
        </w:rPr>
        <w:t>完成相关手续</w:t>
      </w:r>
      <w:r>
        <w:rPr>
          <w:rFonts w:hint="eastAsia" w:ascii="宋体" w:hAnsi="宋体" w:cs="Tahoma"/>
          <w:color w:val="auto"/>
          <w:kern w:val="0"/>
          <w:sz w:val="20"/>
          <w:szCs w:val="20"/>
          <w:highlight w:val="none"/>
        </w:rPr>
        <w:t>后自行下载招标文件、资料文件及招标答疑书等。若由于投标人自身原因未能及时取得上述资料的，由此发生的任何责任由投标人自负。</w:t>
      </w:r>
    </w:p>
    <w:p w14:paraId="6544E2EB">
      <w:pPr>
        <w:pStyle w:val="2"/>
        <w:shd w:val="clear" w:color="auto" w:fill="auto"/>
        <w:tabs>
          <w:tab w:val="left" w:pos="885"/>
        </w:tabs>
        <w:wordWrap w:val="0"/>
        <w:autoSpaceDE/>
        <w:autoSpaceDN/>
        <w:snapToGrid w:val="0"/>
        <w:spacing w:line="440" w:lineRule="exact"/>
        <w:ind w:left="885" w:hanging="885"/>
        <w:jc w:val="center"/>
        <w:rPr>
          <w:rFonts w:hint="eastAsia" w:hAnsi="宋体" w:cs="宋体"/>
          <w:snapToGrid w:val="0"/>
          <w:color w:val="auto"/>
          <w:sz w:val="24"/>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52253AA6">
      <w:pPr>
        <w:pStyle w:val="3"/>
        <w:shd w:val="clear" w:color="auto" w:fill="auto"/>
        <w:wordWrap w:val="0"/>
        <w:autoSpaceDE/>
        <w:autoSpaceDN/>
        <w:snapToGrid w:val="0"/>
        <w:spacing w:before="260" w:after="260" w:line="440" w:lineRule="exact"/>
        <w:jc w:val="both"/>
        <w:rPr>
          <w:rFonts w:hint="eastAsia" w:hAnsi="宋体" w:cs="宋体"/>
          <w:snapToGrid w:val="0"/>
          <w:color w:val="auto"/>
          <w:kern w:val="0"/>
          <w:szCs w:val="28"/>
          <w:highlight w:val="none"/>
          <w:u w:val="single"/>
        </w:rPr>
      </w:pPr>
      <w:bookmarkStart w:id="40" w:name="_Hlt87793819"/>
      <w:bookmarkEnd w:id="40"/>
      <w:bookmarkStart w:id="41" w:name="_Toc16803"/>
      <w:bookmarkStart w:id="42" w:name="_Toc21610"/>
      <w:bookmarkStart w:id="43" w:name="_Hlt69698754"/>
      <w:bookmarkStart w:id="44" w:name="_Toc32269"/>
      <w:bookmarkStart w:id="45" w:name="_Toc54"/>
      <w:bookmarkStart w:id="46" w:name="_Toc32301"/>
      <w:bookmarkStart w:id="47" w:name="_Toc17679"/>
      <w:bookmarkStart w:id="48" w:name="_Toc24601"/>
      <w:bookmarkStart w:id="49" w:name="_Toc29843"/>
      <w:bookmarkStart w:id="50" w:name="_Toc1048"/>
      <w:bookmarkStart w:id="51" w:name="_Toc14119"/>
      <w:bookmarkStart w:id="52" w:name="_Hlt69698705"/>
      <w:bookmarkStart w:id="53" w:name="_Toc22644"/>
      <w:bookmarkStart w:id="54" w:name="_Toc13835"/>
      <w:r>
        <w:rPr>
          <w:rFonts w:hint="eastAsia" w:ascii="Times New Roman" w:hAnsi="宋体" w:eastAsia="宋体" w:cs="宋体"/>
          <w:b/>
          <w:snapToGrid w:val="0"/>
          <w:color w:val="auto"/>
          <w:highlight w:val="none"/>
        </w:rPr>
        <w:t>第三节 投标人须知</w:t>
      </w:r>
      <w:bookmarkEnd w:id="41"/>
      <w:bookmarkStart w:id="55" w:name="_Hlt69669159"/>
      <w:bookmarkEnd w:id="55"/>
      <w:r>
        <w:rPr>
          <w:rFonts w:hint="eastAsia" w:ascii="Times New Roman" w:hAnsi="宋体" w:eastAsia="宋体" w:cs="宋体"/>
          <w:b/>
          <w:snapToGrid w:val="0"/>
          <w:color w:val="auto"/>
          <w:highlight w:val="none"/>
        </w:rPr>
        <w:t>正文</w:t>
      </w:r>
      <w:bookmarkEnd w:id="42"/>
      <w:bookmarkEnd w:id="43"/>
      <w:bookmarkEnd w:id="44"/>
      <w:bookmarkEnd w:id="45"/>
      <w:bookmarkEnd w:id="46"/>
      <w:bookmarkEnd w:id="47"/>
      <w:bookmarkEnd w:id="48"/>
      <w:bookmarkEnd w:id="49"/>
      <w:bookmarkEnd w:id="50"/>
      <w:bookmarkEnd w:id="51"/>
      <w:bookmarkEnd w:id="52"/>
      <w:bookmarkEnd w:id="53"/>
      <w:bookmarkEnd w:id="54"/>
    </w:p>
    <w:p w14:paraId="5CCE2DB8">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highlight w:val="none"/>
        </w:rPr>
      </w:pPr>
      <w:bookmarkStart w:id="56" w:name="_Toc27860"/>
      <w:bookmarkStart w:id="57" w:name="_Toc14853"/>
      <w:bookmarkStart w:id="58" w:name="_Toc8024"/>
      <w:bookmarkStart w:id="59" w:name="_Toc13092"/>
      <w:bookmarkStart w:id="60" w:name="_Toc8455"/>
      <w:bookmarkStart w:id="61" w:name="_Toc22150"/>
      <w:bookmarkStart w:id="62" w:name="_Toc28791"/>
      <w:bookmarkStart w:id="63" w:name="_Toc26179"/>
      <w:bookmarkStart w:id="64" w:name="_Toc3349"/>
      <w:r>
        <w:rPr>
          <w:rFonts w:hint="eastAsia" w:ascii="宋体" w:hAnsi="宋体" w:eastAsia="宋体" w:cs="Times New Roman"/>
          <w:bCs/>
          <w:snapToGrid w:val="0"/>
          <w:color w:val="auto"/>
          <w:kern w:val="0"/>
          <w:sz w:val="24"/>
          <w:szCs w:val="24"/>
          <w:highlight w:val="none"/>
          <w:u w:val="single"/>
          <w:lang w:val="en-US" w:eastAsia="zh-CN"/>
        </w:rPr>
        <w:t>韶关市武江区城区排水防涝系统改造项目</w:t>
      </w:r>
      <w:r>
        <w:rPr>
          <w:rFonts w:hint="eastAsia" w:ascii="宋体" w:hAnsi="宋体" w:eastAsia="宋体" w:cs="Times New Roman"/>
          <w:bCs/>
          <w:snapToGrid w:val="0"/>
          <w:color w:val="auto"/>
          <w:kern w:val="0"/>
          <w:sz w:val="24"/>
          <w:szCs w:val="24"/>
          <w:highlight w:val="none"/>
          <w:u w:val="none"/>
          <w:lang w:val="en-US" w:eastAsia="zh-CN"/>
        </w:rPr>
        <w:t>业</w:t>
      </w:r>
      <w:r>
        <w:rPr>
          <w:rFonts w:ascii="宋体" w:hAnsi="宋体" w:eastAsia="宋体" w:cs="Times New Roman"/>
          <w:snapToGrid w:val="0"/>
          <w:color w:val="auto"/>
          <w:kern w:val="0"/>
          <w:sz w:val="24"/>
          <w:szCs w:val="24"/>
          <w:highlight w:val="none"/>
        </w:rPr>
        <w:t>经</w:t>
      </w:r>
      <w:r>
        <w:rPr>
          <w:rFonts w:hint="eastAsia" w:ascii="宋体" w:hAnsi="宋体" w:eastAsia="宋体" w:cs="Times New Roman"/>
          <w:snapToGrid w:val="0"/>
          <w:color w:val="auto"/>
          <w:kern w:val="0"/>
          <w:sz w:val="24"/>
          <w:highlight w:val="none"/>
          <w:u w:val="single"/>
          <w:lang w:eastAsia="zh-CN"/>
        </w:rPr>
        <w:t>韶关市武江区发展和改革局</w:t>
      </w:r>
      <w:r>
        <w:rPr>
          <w:rFonts w:ascii="宋体" w:hAnsi="宋体" w:eastAsia="宋体" w:cs="Times New Roman"/>
          <w:snapToGrid w:val="0"/>
          <w:color w:val="auto"/>
          <w:kern w:val="0"/>
          <w:sz w:val="24"/>
          <w:szCs w:val="24"/>
          <w:highlight w:val="none"/>
          <w:u w:val="none"/>
        </w:rPr>
        <w:t>以</w:t>
      </w:r>
      <w:r>
        <w:rPr>
          <w:rFonts w:hint="eastAsia" w:hAnsi="宋体" w:cs="Times New Roman"/>
          <w:color w:val="auto"/>
          <w:kern w:val="0"/>
          <w:sz w:val="24"/>
          <w:szCs w:val="22"/>
          <w:highlight w:val="none"/>
          <w:u w:val="single"/>
          <w:lang w:eastAsia="zh-CN"/>
        </w:rPr>
        <w:t>《</w:t>
      </w:r>
      <w:r>
        <w:rPr>
          <w:rFonts w:hint="eastAsia" w:hAnsi="宋体" w:cs="Times New Roman"/>
          <w:color w:val="auto"/>
          <w:kern w:val="0"/>
          <w:sz w:val="24"/>
          <w:szCs w:val="22"/>
          <w:highlight w:val="none"/>
          <w:u w:val="single"/>
          <w:lang w:val="en-US" w:eastAsia="zh-CN"/>
        </w:rPr>
        <w:t>韶关市武江区发展和改革局关于韶关市武江区城区排水防涝系统改造项目可行性研究报告的批复</w:t>
      </w:r>
      <w:r>
        <w:rPr>
          <w:rFonts w:hint="eastAsia" w:hAnsi="宋体" w:cs="Times New Roman"/>
          <w:color w:val="auto"/>
          <w:kern w:val="0"/>
          <w:sz w:val="24"/>
          <w:szCs w:val="22"/>
          <w:highlight w:val="none"/>
          <w:u w:val="single"/>
          <w:lang w:eastAsia="zh-CN"/>
        </w:rPr>
        <w:t>》</w:t>
      </w:r>
      <w:r>
        <w:rPr>
          <w:rFonts w:ascii="宋体" w:hAnsi="宋体" w:eastAsia="宋体" w:cs="Times New Roman"/>
          <w:color w:val="auto"/>
          <w:kern w:val="0"/>
          <w:sz w:val="24"/>
          <w:szCs w:val="22"/>
          <w:highlight w:val="none"/>
          <w:u w:val="single"/>
        </w:rPr>
        <w:t>（</w:t>
      </w:r>
      <w:r>
        <w:rPr>
          <w:rFonts w:hint="eastAsia" w:hAnsi="宋体" w:cs="Times New Roman"/>
          <w:snapToGrid w:val="0"/>
          <w:color w:val="auto"/>
          <w:kern w:val="0"/>
          <w:sz w:val="24"/>
          <w:highlight w:val="none"/>
          <w:u w:val="single"/>
          <w:lang w:eastAsia="zh-CN"/>
        </w:rPr>
        <w:t>韶武发改投审〔2025〕3号</w:t>
      </w:r>
      <w:r>
        <w:rPr>
          <w:rFonts w:ascii="宋体" w:hAnsi="宋体" w:eastAsia="宋体" w:cs="Times New Roman"/>
          <w:color w:val="auto"/>
          <w:kern w:val="0"/>
          <w:sz w:val="24"/>
          <w:szCs w:val="22"/>
          <w:highlight w:val="none"/>
          <w:u w:val="single"/>
        </w:rPr>
        <w:t>）</w:t>
      </w:r>
      <w:r>
        <w:rPr>
          <w:rFonts w:ascii="宋体" w:hAnsi="宋体" w:eastAsia="宋体" w:cs="Times New Roman"/>
          <w:snapToGrid w:val="0"/>
          <w:color w:val="auto"/>
          <w:kern w:val="0"/>
          <w:sz w:val="24"/>
          <w:szCs w:val="24"/>
          <w:highlight w:val="none"/>
        </w:rPr>
        <w:t>批准建设，项目代码为</w:t>
      </w:r>
      <w:r>
        <w:rPr>
          <w:rFonts w:hint="eastAsia" w:ascii="宋体" w:hAnsi="宋体" w:eastAsia="宋体" w:cs="Times New Roman"/>
          <w:snapToGrid w:val="0"/>
          <w:color w:val="auto"/>
          <w:kern w:val="0"/>
          <w:sz w:val="24"/>
          <w:highlight w:val="none"/>
          <w:u w:val="single"/>
          <w:lang w:eastAsia="zh-CN"/>
        </w:rPr>
        <w:t>2405-440203-17-01-545355</w:t>
      </w:r>
      <w:r>
        <w:rPr>
          <w:rFonts w:ascii="宋体" w:hAnsi="宋体" w:eastAsia="宋体" w:cs="Times New Roman"/>
          <w:snapToGrid w:val="0"/>
          <w:color w:val="auto"/>
          <w:kern w:val="0"/>
          <w:sz w:val="24"/>
          <w:szCs w:val="24"/>
          <w:highlight w:val="none"/>
        </w:rPr>
        <w:t>。本项目业主为</w:t>
      </w:r>
      <w:r>
        <w:rPr>
          <w:rFonts w:hint="eastAsia" w:ascii="宋体" w:hAnsi="宋体" w:eastAsia="宋体" w:cs="Times New Roman"/>
          <w:bCs/>
          <w:snapToGrid w:val="0"/>
          <w:color w:val="auto"/>
          <w:kern w:val="0"/>
          <w:sz w:val="24"/>
          <w:highlight w:val="none"/>
          <w:u w:val="single"/>
          <w:lang w:eastAsia="zh-CN"/>
        </w:rPr>
        <w:t>韶关市武江区城市管理和综合执法局</w:t>
      </w:r>
      <w:r>
        <w:rPr>
          <w:rFonts w:ascii="宋体" w:hAnsi="宋体" w:eastAsia="宋体" w:cs="Times New Roman"/>
          <w:snapToGrid w:val="0"/>
          <w:color w:val="auto"/>
          <w:kern w:val="0"/>
          <w:sz w:val="24"/>
          <w:szCs w:val="24"/>
          <w:highlight w:val="none"/>
        </w:rPr>
        <w:t>，建设资金来自</w:t>
      </w:r>
      <w:r>
        <w:rPr>
          <w:rFonts w:hint="eastAsia" w:hAnsi="宋体" w:cs="Times New Roman"/>
          <w:snapToGrid w:val="0"/>
          <w:color w:val="auto"/>
          <w:kern w:val="0"/>
          <w:sz w:val="24"/>
          <w:szCs w:val="24"/>
          <w:highlight w:val="none"/>
          <w:u w:val="single"/>
          <w:lang w:val="en-US" w:eastAsia="zh-CN"/>
        </w:rPr>
        <w:t>由区财政统筹解决。</w:t>
      </w:r>
      <w:r>
        <w:rPr>
          <w:rFonts w:hint="eastAsia" w:ascii="宋体" w:hAnsi="宋体" w:eastAsia="宋体" w:cs="Times New Roman"/>
          <w:snapToGrid w:val="0"/>
          <w:color w:val="auto"/>
          <w:kern w:val="0"/>
          <w:sz w:val="24"/>
          <w:szCs w:val="24"/>
          <w:highlight w:val="none"/>
          <w:u w:val="single"/>
          <w:lang w:val="en-US" w:eastAsia="zh-CN"/>
        </w:rPr>
        <w:t>解决</w:t>
      </w:r>
      <w:r>
        <w:rPr>
          <w:rFonts w:ascii="宋体" w:hAnsi="宋体" w:eastAsia="宋体" w:cs="Times New Roman"/>
          <w:snapToGrid w:val="0"/>
          <w:color w:val="auto"/>
          <w:kern w:val="0"/>
          <w:sz w:val="24"/>
          <w:szCs w:val="24"/>
          <w:highlight w:val="none"/>
        </w:rPr>
        <w:t>，出资比例</w:t>
      </w:r>
      <w:r>
        <w:rPr>
          <w:rFonts w:ascii="宋体" w:hAnsi="宋体" w:eastAsia="宋体" w:cs="Times New Roman"/>
          <w:snapToGrid w:val="0"/>
          <w:color w:val="auto"/>
          <w:kern w:val="0"/>
          <w:sz w:val="24"/>
          <w:szCs w:val="24"/>
          <w:highlight w:val="none"/>
          <w:u w:val="single"/>
        </w:rPr>
        <w:t>100%</w:t>
      </w:r>
      <w:r>
        <w:rPr>
          <w:rFonts w:ascii="宋体" w:hAnsi="宋体" w:eastAsia="宋体" w:cs="Times New Roman"/>
          <w:snapToGrid w:val="0"/>
          <w:color w:val="auto"/>
          <w:kern w:val="0"/>
          <w:sz w:val="24"/>
          <w:szCs w:val="24"/>
          <w:highlight w:val="none"/>
        </w:rPr>
        <w:t>，招标人为</w:t>
      </w:r>
      <w:r>
        <w:rPr>
          <w:rFonts w:hint="eastAsia" w:ascii="宋体" w:hAnsi="宋体" w:eastAsia="宋体" w:cs="Times New Roman"/>
          <w:snapToGrid w:val="0"/>
          <w:color w:val="auto"/>
          <w:kern w:val="0"/>
          <w:sz w:val="24"/>
          <w:highlight w:val="none"/>
          <w:u w:val="single"/>
          <w:lang w:eastAsia="zh-CN"/>
        </w:rPr>
        <w:t>韶关市武江区城市管理和综合执法局</w:t>
      </w:r>
      <w:r>
        <w:rPr>
          <w:rFonts w:ascii="宋体" w:hAnsi="宋体" w:eastAsia="宋体" w:cs="Times New Roman"/>
          <w:snapToGrid w:val="0"/>
          <w:color w:val="auto"/>
          <w:kern w:val="0"/>
          <w:sz w:val="24"/>
          <w:szCs w:val="24"/>
          <w:highlight w:val="none"/>
        </w:rPr>
        <w:t>，招标代理机构为</w:t>
      </w:r>
      <w:r>
        <w:rPr>
          <w:rFonts w:hint="eastAsia" w:hAnsi="宋体" w:cs="宋体"/>
          <w:color w:val="auto"/>
          <w:kern w:val="0"/>
          <w:sz w:val="24"/>
          <w:szCs w:val="22"/>
          <w:highlight w:val="none"/>
          <w:u w:val="single"/>
          <w:lang w:eastAsia="zh-CN"/>
        </w:rPr>
        <w:t>广东合正项目管理有限公司</w:t>
      </w:r>
      <w:r>
        <w:rPr>
          <w:rFonts w:ascii="宋体" w:hAnsi="宋体" w:eastAsia="宋体" w:cs="Times New Roman"/>
          <w:snapToGrid w:val="0"/>
          <w:color w:val="auto"/>
          <w:kern w:val="0"/>
          <w:sz w:val="24"/>
          <w:szCs w:val="24"/>
          <w:highlight w:val="none"/>
        </w:rPr>
        <w:t>。项目已具备招标条件，现对</w:t>
      </w:r>
      <w:r>
        <w:rPr>
          <w:rFonts w:hint="eastAsia" w:hAnsi="宋体" w:cs="Times New Roman"/>
          <w:snapToGrid w:val="0"/>
          <w:color w:val="auto"/>
          <w:kern w:val="0"/>
          <w:sz w:val="24"/>
          <w:szCs w:val="24"/>
          <w:highlight w:val="none"/>
          <w:u w:val="single"/>
          <w:lang w:eastAsia="zh-CN"/>
        </w:rPr>
        <w:t>（二期）C标监理</w:t>
      </w:r>
      <w:r>
        <w:rPr>
          <w:rFonts w:ascii="宋体" w:hAnsi="宋体" w:eastAsia="宋体" w:cs="Times New Roman"/>
          <w:snapToGrid w:val="0"/>
          <w:color w:val="auto"/>
          <w:kern w:val="0"/>
          <w:sz w:val="24"/>
          <w:szCs w:val="24"/>
          <w:highlight w:val="none"/>
        </w:rPr>
        <w:t>进行公开招标</w:t>
      </w:r>
      <w:r>
        <w:rPr>
          <w:rFonts w:hint="eastAsia" w:ascii="宋体" w:hAnsi="宋体" w:eastAsia="宋体" w:cs="宋体"/>
          <w:color w:val="auto"/>
          <w:kern w:val="0"/>
          <w:sz w:val="24"/>
          <w:szCs w:val="22"/>
          <w:highlight w:val="none"/>
        </w:rPr>
        <w:t>。</w:t>
      </w:r>
    </w:p>
    <w:p w14:paraId="4DD27173">
      <w:pPr>
        <w:pStyle w:val="43"/>
        <w:shd w:val="clear" w:color="auto" w:fill="auto"/>
        <w:wordWrap w:val="0"/>
        <w:adjustRightInd w:val="0"/>
        <w:snapToGrid w:val="0"/>
        <w:spacing w:line="440" w:lineRule="exact"/>
        <w:ind w:firstLine="480"/>
        <w:jc w:val="left"/>
        <w:outlineLvl w:val="2"/>
        <w:rPr>
          <w:rFonts w:hint="eastAsia" w:ascii="宋体" w:hAnsi="宋体" w:cs="宋体"/>
          <w:b/>
          <w:bCs/>
          <w:snapToGrid w:val="0"/>
          <w:color w:val="auto"/>
          <w:kern w:val="0"/>
          <w:sz w:val="24"/>
          <w:highlight w:val="none"/>
        </w:rPr>
      </w:pPr>
      <w:bookmarkStart w:id="65" w:name="_Toc26736"/>
      <w:r>
        <w:rPr>
          <w:rFonts w:hint="eastAsia" w:ascii="宋体" w:hAnsi="宋体" w:cs="宋体"/>
          <w:b/>
          <w:bCs/>
          <w:snapToGrid w:val="0"/>
          <w:color w:val="auto"/>
          <w:kern w:val="0"/>
          <w:sz w:val="24"/>
          <w:highlight w:val="none"/>
        </w:rPr>
        <w:t>1．项目概况、招标范围和标段划分、投标费用</w:t>
      </w:r>
      <w:bookmarkEnd w:id="56"/>
      <w:bookmarkEnd w:id="57"/>
      <w:bookmarkEnd w:id="58"/>
      <w:bookmarkEnd w:id="59"/>
      <w:bookmarkEnd w:id="60"/>
      <w:bookmarkEnd w:id="61"/>
      <w:bookmarkEnd w:id="62"/>
      <w:bookmarkEnd w:id="63"/>
      <w:bookmarkEnd w:id="64"/>
      <w:bookmarkEnd w:id="65"/>
    </w:p>
    <w:p w14:paraId="43AA0124">
      <w:pPr>
        <w:pStyle w:val="43"/>
        <w:keepNext w:val="0"/>
        <w:keepLines w:val="0"/>
        <w:pageBreakBefore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1.1</w:t>
      </w:r>
      <w:r>
        <w:rPr>
          <w:rFonts w:hint="eastAsia" w:ascii="宋体" w:hAnsi="宋体" w:eastAsia="宋体" w:cs="宋体"/>
          <w:snapToGrid w:val="0"/>
          <w:color w:val="auto"/>
          <w:kern w:val="0"/>
          <w:sz w:val="24"/>
          <w:highlight w:val="none"/>
        </w:rPr>
        <w:t xml:space="preserve"> 项目概况</w:t>
      </w:r>
    </w:p>
    <w:p w14:paraId="5C2F3118">
      <w:pPr>
        <w:pStyle w:val="43"/>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jc w:val="left"/>
        <w:textAlignment w:val="auto"/>
        <w:rPr>
          <w:rFonts w:hint="eastAsia" w:ascii="宋体" w:hAnsi="宋体" w:eastAsia="宋体" w:cs="宋体"/>
          <w:snapToGrid w:val="0"/>
          <w:color w:val="auto"/>
          <w:kern w:val="0"/>
          <w:sz w:val="24"/>
          <w:highlight w:val="none"/>
          <w:u w:val="single"/>
          <w:lang w:eastAsia="zh-CN"/>
        </w:rPr>
      </w:pPr>
      <w:r>
        <w:rPr>
          <w:rFonts w:hint="eastAsia" w:ascii="宋体" w:hAnsi="宋体" w:eastAsia="宋体" w:cs="宋体"/>
          <w:b/>
          <w:bCs/>
          <w:snapToGrid w:val="0"/>
          <w:color w:val="auto"/>
          <w:kern w:val="0"/>
          <w:sz w:val="24"/>
          <w:highlight w:val="none"/>
        </w:rPr>
        <w:t>1.1.1</w:t>
      </w:r>
      <w:r>
        <w:rPr>
          <w:rFonts w:hint="eastAsia" w:ascii="宋体" w:hAnsi="宋体" w:eastAsia="宋体" w:cs="宋体"/>
          <w:snapToGrid w:val="0"/>
          <w:color w:val="auto"/>
          <w:kern w:val="0"/>
          <w:sz w:val="24"/>
          <w:highlight w:val="none"/>
        </w:rPr>
        <w:t xml:space="preserve"> 建设地点：</w:t>
      </w:r>
      <w:r>
        <w:rPr>
          <w:rFonts w:hint="eastAsia" w:ascii="宋体" w:hAnsi="宋体" w:cs="宋体"/>
          <w:snapToGrid w:val="0"/>
          <w:color w:val="auto"/>
          <w:kern w:val="0"/>
          <w:sz w:val="24"/>
          <w:highlight w:val="none"/>
          <w:u w:val="single"/>
          <w:lang w:val="en-US" w:eastAsia="zh-CN"/>
        </w:rPr>
        <w:t>韶关市武江区</w:t>
      </w:r>
      <w:r>
        <w:rPr>
          <w:rFonts w:hint="eastAsia" w:ascii="宋体" w:hAnsi="宋体" w:cs="宋体"/>
          <w:snapToGrid w:val="0"/>
          <w:color w:val="auto"/>
          <w:kern w:val="0"/>
          <w:sz w:val="24"/>
          <w:highlight w:val="none"/>
          <w:u w:val="none"/>
          <w:lang w:val="en-US" w:eastAsia="zh-CN"/>
        </w:rPr>
        <w:t>。</w:t>
      </w:r>
    </w:p>
    <w:p w14:paraId="5C1D68A6">
      <w:pPr>
        <w:keepNext w:val="0"/>
        <w:keepLines w:val="0"/>
        <w:pageBreakBefore w:val="0"/>
        <w:widowControl/>
        <w:suppressLineNumbers w:val="0"/>
        <w:shd w:val="clear" w:color="auto" w:fill="auto"/>
        <w:kinsoku/>
        <w:overflowPunct/>
        <w:topLinePunct w:val="0"/>
        <w:autoSpaceDE/>
        <w:autoSpaceDN/>
        <w:bidi w:val="0"/>
        <w:adjustRightInd w:val="0"/>
        <w:snapToGrid w:val="0"/>
        <w:spacing w:line="440" w:lineRule="exact"/>
        <w:ind w:firstLine="482" w:firstLineChars="200"/>
        <w:jc w:val="both"/>
        <w:textAlignment w:val="auto"/>
        <w:rPr>
          <w:rFonts w:hint="eastAsia" w:hAnsi="宋体" w:cs="宋体"/>
          <w:snapToGrid w:val="0"/>
          <w:color w:val="auto"/>
          <w:kern w:val="0"/>
          <w:sz w:val="24"/>
          <w:highlight w:val="none"/>
          <w:u w:val="single"/>
          <w:lang w:val="en-US" w:eastAsia="zh-CN"/>
        </w:rPr>
      </w:pPr>
      <w:r>
        <w:rPr>
          <w:rFonts w:hint="eastAsia" w:ascii="宋体" w:hAnsi="宋体" w:eastAsia="宋体" w:cs="宋体"/>
          <w:b/>
          <w:bCs/>
          <w:snapToGrid w:val="0"/>
          <w:color w:val="auto"/>
          <w:kern w:val="0"/>
          <w:sz w:val="24"/>
          <w:highlight w:val="none"/>
        </w:rPr>
        <w:t>1.1.2</w:t>
      </w:r>
      <w:r>
        <w:rPr>
          <w:rFonts w:hint="eastAsia" w:ascii="宋体" w:hAnsi="宋体" w:eastAsia="宋体" w:cs="宋体"/>
          <w:snapToGrid w:val="0"/>
          <w:color w:val="auto"/>
          <w:kern w:val="0"/>
          <w:sz w:val="24"/>
          <w:highlight w:val="none"/>
        </w:rPr>
        <w:t xml:space="preserve"> 建设内容和规模：</w:t>
      </w:r>
      <w:r>
        <w:rPr>
          <w:rFonts w:hint="eastAsia" w:hAnsi="宋体" w:cs="宋体"/>
          <w:snapToGrid w:val="0"/>
          <w:color w:val="auto"/>
          <w:kern w:val="0"/>
          <w:sz w:val="24"/>
          <w:highlight w:val="none"/>
          <w:u w:val="single"/>
          <w:lang w:val="en-US" w:eastAsia="zh-CN"/>
        </w:rPr>
        <w:t>☑建设规模：在天子岭新村片区进行排水防涝系统改造。</w:t>
      </w:r>
    </w:p>
    <w:p w14:paraId="601008EB">
      <w:pPr>
        <w:keepNext w:val="0"/>
        <w:keepLines w:val="0"/>
        <w:pageBreakBefore w:val="0"/>
        <w:widowControl/>
        <w:suppressLineNumbers w:val="0"/>
        <w:shd w:val="clear" w:color="auto" w:fill="auto"/>
        <w:kinsoku/>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snapToGrid w:val="0"/>
          <w:color w:val="auto"/>
          <w:kern w:val="0"/>
          <w:sz w:val="24"/>
          <w:highlight w:val="none"/>
          <w:u w:val="single"/>
          <w:lang w:val="en-US" w:eastAsia="zh-CN"/>
        </w:rPr>
      </w:pPr>
      <w:r>
        <w:rPr>
          <w:rFonts w:hint="eastAsia" w:hAnsi="宋体" w:cs="宋体"/>
          <w:snapToGrid w:val="0"/>
          <w:color w:val="auto"/>
          <w:kern w:val="0"/>
          <w:sz w:val="24"/>
          <w:highlight w:val="none"/>
          <w:u w:val="single"/>
          <w:lang w:val="en-US" w:eastAsia="zh-CN"/>
        </w:rPr>
        <w:t>☑建设内容：在天子岭新村片区新建DN200-2000x1500排水管渠 2173 米，新建 DN200-DN400排水管 3225 米。</w:t>
      </w:r>
    </w:p>
    <w:p w14:paraId="508FBEAC">
      <w:pPr>
        <w:pStyle w:val="43"/>
        <w:keepNext w:val="0"/>
        <w:keepLines w:val="0"/>
        <w:pageBreakBefore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eastAsia="宋体" w:cs="宋体"/>
          <w:b/>
          <w:bCs/>
          <w:snapToGrid w:val="0"/>
          <w:color w:val="auto"/>
          <w:kern w:val="0"/>
          <w:sz w:val="24"/>
          <w:highlight w:val="none"/>
          <w:u w:val="single"/>
          <w:lang w:eastAsia="zh-CN"/>
        </w:rPr>
      </w:pPr>
      <w:r>
        <w:rPr>
          <w:rFonts w:hint="eastAsia" w:ascii="宋体" w:hAnsi="宋体" w:eastAsia="宋体" w:cs="宋体"/>
          <w:b/>
          <w:bCs/>
          <w:snapToGrid w:val="0"/>
          <w:color w:val="auto"/>
          <w:kern w:val="0"/>
          <w:sz w:val="24"/>
          <w:highlight w:val="none"/>
        </w:rPr>
        <w:t>1.1.3</w:t>
      </w:r>
      <w:r>
        <w:rPr>
          <w:rFonts w:hint="eastAsia" w:ascii="宋体" w:hAnsi="宋体" w:eastAsia="宋体" w:cs="宋体"/>
          <w:snapToGrid w:val="0"/>
          <w:color w:val="auto"/>
          <w:kern w:val="0"/>
          <w:sz w:val="24"/>
          <w:highlight w:val="none"/>
        </w:rPr>
        <w:t xml:space="preserve"> 项</w:t>
      </w:r>
      <w:r>
        <w:rPr>
          <w:rFonts w:hint="eastAsia" w:ascii="宋体" w:hAnsi="宋体" w:eastAsia="宋体" w:cs="宋体"/>
          <w:snapToGrid w:val="0"/>
          <w:color w:val="auto"/>
          <w:kern w:val="0"/>
          <w:sz w:val="24"/>
          <w:highlight w:val="none"/>
          <w:u w:val="none"/>
        </w:rPr>
        <w:t>目</w:t>
      </w:r>
      <w:r>
        <w:rPr>
          <w:rFonts w:hint="eastAsia" w:ascii="宋体" w:hAnsi="宋体" w:eastAsia="宋体" w:cs="宋体"/>
          <w:snapToGrid w:val="0"/>
          <w:color w:val="auto"/>
          <w:kern w:val="0"/>
          <w:sz w:val="24"/>
          <w:highlight w:val="none"/>
          <w:u w:val="none"/>
          <w:lang w:eastAsia="zh-CN"/>
        </w:rPr>
        <w:t>概算</w:t>
      </w:r>
      <w:r>
        <w:rPr>
          <w:rFonts w:hint="eastAsia" w:ascii="宋体" w:hAnsi="宋体" w:eastAsia="宋体" w:cs="宋体"/>
          <w:snapToGrid w:val="0"/>
          <w:color w:val="auto"/>
          <w:kern w:val="0"/>
          <w:sz w:val="24"/>
          <w:highlight w:val="none"/>
        </w:rPr>
        <w:t>投资额：</w:t>
      </w:r>
      <w:r>
        <w:rPr>
          <w:rFonts w:hint="eastAsia" w:ascii="宋体" w:hAnsi="宋体" w:eastAsia="宋体" w:cs="宋体"/>
          <w:snapToGrid w:val="0"/>
          <w:color w:val="auto"/>
          <w:kern w:val="0"/>
          <w:sz w:val="24"/>
          <w:highlight w:val="none"/>
          <w:u w:val="single"/>
        </w:rPr>
        <w:t>项目（二期）概算总投资为 5749.57 万元，其中，工程费用 5075.40 万元，工程建设其他费用 506.71 万元。</w:t>
      </w:r>
      <w:r>
        <w:rPr>
          <w:rFonts w:hint="eastAsia" w:ascii="宋体" w:hAnsi="宋体" w:cs="宋体"/>
          <w:snapToGrid w:val="0"/>
          <w:color w:val="auto"/>
          <w:kern w:val="0"/>
          <w:sz w:val="24"/>
          <w:highlight w:val="none"/>
          <w:u w:val="single"/>
          <w:lang w:eastAsia="zh-CN"/>
        </w:rPr>
        <w:t>本次招标（二期）C标建安费为17245419.02元。</w:t>
      </w:r>
    </w:p>
    <w:p w14:paraId="673EF9FD">
      <w:pPr>
        <w:pStyle w:val="43"/>
        <w:keepNext w:val="0"/>
        <w:keepLines w:val="0"/>
        <w:pageBreakBefore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 xml:space="preserve">1.2 </w:t>
      </w:r>
      <w:r>
        <w:rPr>
          <w:rFonts w:hint="eastAsia" w:ascii="宋体" w:hAnsi="宋体" w:cs="宋体"/>
          <w:snapToGrid w:val="0"/>
          <w:color w:val="auto"/>
          <w:kern w:val="0"/>
          <w:sz w:val="24"/>
          <w:highlight w:val="none"/>
        </w:rPr>
        <w:t>招标范围和标段划分</w:t>
      </w:r>
    </w:p>
    <w:p w14:paraId="23771CE9">
      <w:pPr>
        <w:pStyle w:val="43"/>
        <w:shd w:val="clear" w:color="auto" w:fill="auto"/>
        <w:wordWrap w:val="0"/>
        <w:adjustRightInd w:val="0"/>
        <w:snapToGrid w:val="0"/>
        <w:spacing w:line="440" w:lineRule="atLeas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 xml:space="preserve"> 招标范围</w:t>
      </w:r>
    </w:p>
    <w:p w14:paraId="468E0C86">
      <w:pPr>
        <w:pStyle w:val="43"/>
        <w:shd w:val="clear" w:color="auto" w:fill="auto"/>
        <w:wordWrap w:val="0"/>
        <w:adjustRightInd w:val="0"/>
        <w:snapToGrid w:val="0"/>
        <w:spacing w:line="440" w:lineRule="atLeast"/>
        <w:ind w:firstLine="480"/>
        <w:jc w:val="left"/>
        <w:rPr>
          <w:rFonts w:hint="eastAsia" w:ascii="宋体" w:hAnsi="宋体" w:eastAsia="宋体" w:cs="宋体"/>
          <w:snapToGrid w:val="0"/>
          <w:color w:val="auto"/>
          <w:kern w:val="0"/>
          <w:sz w:val="24"/>
          <w:szCs w:val="20"/>
          <w:highlight w:val="none"/>
          <w:u w:val="single"/>
          <w:lang w:val="en-US" w:eastAsia="zh-CN" w:bidi="ar-SA"/>
        </w:rPr>
      </w:pPr>
      <w:r>
        <w:rPr>
          <w:rFonts w:hint="eastAsia" w:ascii="宋体" w:hAnsi="宋体" w:cs="宋体"/>
          <w:snapToGrid w:val="0"/>
          <w:color w:val="auto"/>
          <w:kern w:val="0"/>
          <w:sz w:val="24"/>
          <w:highlight w:val="none"/>
          <w:lang w:val="en-US" w:eastAsia="zh-CN"/>
        </w:rPr>
        <w:t>监理</w:t>
      </w:r>
      <w:r>
        <w:rPr>
          <w:rFonts w:hint="eastAsia" w:ascii="宋体" w:hAnsi="宋体" w:cs="宋体"/>
          <w:snapToGrid w:val="0"/>
          <w:color w:val="auto"/>
          <w:kern w:val="0"/>
          <w:sz w:val="24"/>
          <w:highlight w:val="none"/>
          <w:lang w:eastAsia="zh-CN"/>
        </w:rPr>
        <w:t>：</w:t>
      </w:r>
      <w:r>
        <w:rPr>
          <w:rFonts w:hint="eastAsia" w:ascii="宋体" w:hAnsi="宋体" w:eastAsia="宋体" w:cs="宋体"/>
          <w:snapToGrid w:val="0"/>
          <w:color w:val="auto"/>
          <w:kern w:val="0"/>
          <w:sz w:val="24"/>
          <w:szCs w:val="20"/>
          <w:highlight w:val="none"/>
          <w:u w:val="single"/>
          <w:lang w:val="en-US" w:eastAsia="zh-CN" w:bidi="ar-SA"/>
        </w:rPr>
        <w:t>项目建设施工阶段监理（含施工准备阶段、施工阶段、工程竣工结算阶段和保修阶段监理）。</w:t>
      </w:r>
      <w:bookmarkStart w:id="66" w:name="_Toc20944"/>
    </w:p>
    <w:p w14:paraId="0BDDEE73">
      <w:pPr>
        <w:shd w:val="clear" w:color="auto" w:fill="auto"/>
        <w:wordWrap w:val="0"/>
        <w:adjustRightInd w:val="0"/>
        <w:snapToGrid w:val="0"/>
        <w:spacing w:line="440" w:lineRule="exact"/>
        <w:ind w:firstLine="480"/>
        <w:rPr>
          <w:rFonts w:hint="eastAsia" w:hAnsi="宋体" w:cs="宋体"/>
          <w:b/>
          <w:bCs/>
          <w:snapToGrid w:val="0"/>
          <w:color w:val="auto"/>
          <w:kern w:val="0"/>
          <w:szCs w:val="24"/>
          <w:highlight w:val="none"/>
        </w:rPr>
      </w:pPr>
      <w:r>
        <w:rPr>
          <w:rFonts w:hint="eastAsia" w:hAnsi="宋体" w:cs="宋体"/>
          <w:b/>
          <w:bCs/>
          <w:snapToGrid w:val="0"/>
          <w:color w:val="auto"/>
          <w:kern w:val="0"/>
          <w:highlight w:val="none"/>
        </w:rPr>
        <w:t>1.2.2</w:t>
      </w:r>
      <w:r>
        <w:rPr>
          <w:rFonts w:hint="eastAsia" w:hAnsi="宋体" w:cs="宋体"/>
          <w:snapToGrid w:val="0"/>
          <w:color w:val="auto"/>
          <w:kern w:val="0"/>
          <w:highlight w:val="none"/>
        </w:rPr>
        <w:t xml:space="preserve"> 标段划分：</w:t>
      </w:r>
      <w:r>
        <w:rPr>
          <w:rFonts w:hint="eastAsia" w:hAnsi="宋体" w:cs="宋体"/>
          <w:snapToGrid w:val="0"/>
          <w:color w:val="auto"/>
          <w:kern w:val="0"/>
          <w:highlight w:val="none"/>
          <w:u w:val="single"/>
        </w:rPr>
        <w:t>本招标项目不划分标段。</w:t>
      </w:r>
      <w:bookmarkEnd w:id="66"/>
    </w:p>
    <w:p w14:paraId="6FABEDD3">
      <w:pPr>
        <w:shd w:val="clear" w:color="auto" w:fill="auto"/>
        <w:wordWrap w:val="0"/>
        <w:adjustRightInd w:val="0"/>
        <w:snapToGrid w:val="0"/>
        <w:spacing w:line="440" w:lineRule="exact"/>
        <w:ind w:firstLine="532" w:firstLineChars="221"/>
        <w:rPr>
          <w:rFonts w:hint="eastAsia" w:hAnsi="宋体" w:cs="宋体"/>
          <w:snapToGrid w:val="0"/>
          <w:color w:val="auto"/>
          <w:kern w:val="0"/>
          <w:highlight w:val="none"/>
          <w:u w:val="single"/>
        </w:rPr>
      </w:pPr>
      <w:r>
        <w:rPr>
          <w:rFonts w:hint="eastAsia" w:hAnsi="宋体" w:cs="宋体"/>
          <w:b/>
          <w:bCs/>
          <w:snapToGrid w:val="0"/>
          <w:color w:val="auto"/>
          <w:kern w:val="0"/>
          <w:szCs w:val="24"/>
          <w:highlight w:val="none"/>
        </w:rPr>
        <w:t>1.3</w:t>
      </w:r>
      <w:r>
        <w:rPr>
          <w:rFonts w:hint="eastAsia" w:hAnsi="宋体" w:cs="宋体"/>
          <w:snapToGrid w:val="0"/>
          <w:color w:val="auto"/>
          <w:kern w:val="0"/>
          <w:szCs w:val="24"/>
          <w:highlight w:val="none"/>
        </w:rPr>
        <w:t xml:space="preserve"> 投标费用</w:t>
      </w:r>
      <w:r>
        <w:rPr>
          <w:rFonts w:hint="eastAsia" w:hAnsi="宋体" w:cs="宋体"/>
          <w:snapToGrid w:val="0"/>
          <w:color w:val="auto"/>
          <w:kern w:val="0"/>
          <w:highlight w:val="none"/>
        </w:rPr>
        <w:t>：</w:t>
      </w:r>
      <w:r>
        <w:rPr>
          <w:rFonts w:hint="eastAsia" w:hAnsi="宋体" w:cs="宋体"/>
          <w:snapToGrid w:val="0"/>
          <w:color w:val="auto"/>
          <w:kern w:val="0"/>
          <w:highlight w:val="none"/>
          <w:u w:val="single"/>
        </w:rPr>
        <w:t>投标人应承担所有准备和参加投标的相关费用，不论投标结果如何，招标人均无义务和责任承担这些费用。</w:t>
      </w:r>
    </w:p>
    <w:p w14:paraId="7B65D221">
      <w:pPr>
        <w:shd w:val="clear" w:color="auto" w:fill="auto"/>
        <w:spacing w:before="22" w:line="360" w:lineRule="auto"/>
        <w:ind w:left="496"/>
        <w:rPr>
          <w:rFonts w:hint="eastAsia" w:hAnsi="宋体" w:cs="宋体"/>
          <w:snapToGrid w:val="0"/>
          <w:color w:val="auto"/>
          <w:kern w:val="0"/>
          <w:highlight w:val="none"/>
          <w:u w:val="singl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3FEF23D4">
      <w:pPr>
        <w:shd w:val="clear" w:color="auto" w:fill="auto"/>
        <w:wordWrap w:val="0"/>
        <w:adjustRightInd w:val="0"/>
        <w:snapToGrid w:val="0"/>
        <w:spacing w:line="440" w:lineRule="exact"/>
        <w:ind w:firstLine="530" w:firstLineChars="221"/>
        <w:rPr>
          <w:rFonts w:hint="eastAsia" w:hAnsi="宋体" w:cs="宋体"/>
          <w:snapToGrid w:val="0"/>
          <w:color w:val="auto"/>
          <w:kern w:val="0"/>
          <w:highlight w:val="none"/>
        </w:rPr>
      </w:pPr>
    </w:p>
    <w:p w14:paraId="4576CC3F">
      <w:pPr>
        <w:pStyle w:val="43"/>
        <w:shd w:val="clear" w:color="auto" w:fill="auto"/>
        <w:ind w:firstLine="482" w:firstLineChars="200"/>
        <w:jc w:val="left"/>
        <w:outlineLvl w:val="2"/>
        <w:rPr>
          <w:rFonts w:hint="eastAsia" w:ascii="宋体" w:hAnsi="宋体" w:cs="宋体"/>
          <w:b/>
          <w:bCs/>
          <w:snapToGrid w:val="0"/>
          <w:color w:val="auto"/>
          <w:kern w:val="0"/>
          <w:sz w:val="24"/>
          <w:highlight w:val="none"/>
        </w:rPr>
      </w:pPr>
      <w:bookmarkStart w:id="67" w:name="_Toc10624"/>
      <w:bookmarkStart w:id="68" w:name="_Toc21652"/>
      <w:bookmarkStart w:id="69" w:name="_Toc25237"/>
      <w:bookmarkStart w:id="70" w:name="_Toc21201"/>
      <w:bookmarkStart w:id="71" w:name="_Toc385"/>
      <w:bookmarkStart w:id="72" w:name="_Toc10258"/>
      <w:bookmarkStart w:id="73" w:name="_Toc4482"/>
      <w:bookmarkStart w:id="74" w:name="_Toc32501"/>
      <w:bookmarkStart w:id="75" w:name="_Toc6851"/>
      <w:bookmarkStart w:id="76" w:name="_Toc18493"/>
      <w:bookmarkStart w:id="77" w:name="_Toc3407"/>
      <w:r>
        <w:rPr>
          <w:rFonts w:hint="eastAsia" w:ascii="宋体" w:hAnsi="宋体" w:cs="宋体"/>
          <w:b/>
          <w:bCs/>
          <w:snapToGrid w:val="0"/>
          <w:color w:val="auto"/>
          <w:kern w:val="0"/>
          <w:sz w:val="24"/>
          <w:highlight w:val="none"/>
        </w:rPr>
        <w:t>2．投标人资格要求</w:t>
      </w:r>
      <w:bookmarkEnd w:id="67"/>
      <w:bookmarkEnd w:id="68"/>
      <w:bookmarkEnd w:id="69"/>
      <w:bookmarkEnd w:id="70"/>
      <w:bookmarkEnd w:id="71"/>
      <w:bookmarkEnd w:id="72"/>
      <w:bookmarkEnd w:id="73"/>
      <w:bookmarkEnd w:id="74"/>
      <w:bookmarkEnd w:id="75"/>
      <w:bookmarkEnd w:id="76"/>
      <w:bookmarkEnd w:id="77"/>
      <w:bookmarkStart w:id="78" w:name="_Hlt74496495"/>
      <w:bookmarkEnd w:id="78"/>
    </w:p>
    <w:p w14:paraId="5957782C">
      <w:pPr>
        <w:pStyle w:val="43"/>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firstLineChars="200"/>
        <w:jc w:val="left"/>
        <w:textAlignment w:val="auto"/>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2.1</w:t>
      </w:r>
      <w:r>
        <w:rPr>
          <w:rFonts w:hint="eastAsia" w:ascii="宋体" w:hAnsi="宋体" w:cs="宋体"/>
          <w:snapToGrid w:val="0"/>
          <w:color w:val="auto"/>
          <w:kern w:val="0"/>
          <w:sz w:val="24"/>
          <w:highlight w:val="none"/>
        </w:rPr>
        <w:t xml:space="preserve"> 本次招标</w:t>
      </w:r>
      <w:r>
        <w:rPr>
          <w:rFonts w:hint="eastAsia" w:ascii="宋体" w:hAnsi="宋体" w:cs="宋体"/>
          <w:snapToGrid w:val="0"/>
          <w:color w:val="auto"/>
          <w:kern w:val="0"/>
          <w:sz w:val="24"/>
          <w:highlight w:val="none"/>
          <w:u w:val="single"/>
        </w:rPr>
        <w:t>不接受</w:t>
      </w:r>
      <w:r>
        <w:rPr>
          <w:rFonts w:hint="eastAsia" w:ascii="宋体" w:hAnsi="宋体" w:cs="宋体"/>
          <w:snapToGrid w:val="0"/>
          <w:color w:val="auto"/>
          <w:kern w:val="0"/>
          <w:sz w:val="24"/>
          <w:highlight w:val="none"/>
        </w:rPr>
        <w:t>联合体投标。</w:t>
      </w:r>
    </w:p>
    <w:p w14:paraId="05314D1D">
      <w:pPr>
        <w:pStyle w:val="43"/>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w:t>
      </w:r>
      <w:r>
        <w:rPr>
          <w:rFonts w:hint="eastAsia" w:ascii="宋体" w:hAnsi="宋体" w:cs="宋体"/>
          <w:snapToGrid w:val="0"/>
          <w:color w:val="auto"/>
          <w:kern w:val="0"/>
          <w:sz w:val="24"/>
          <w:highlight w:val="none"/>
        </w:rPr>
        <w:t xml:space="preserve"> 资格资质要求</w:t>
      </w:r>
    </w:p>
    <w:p w14:paraId="74BA0C79">
      <w:pPr>
        <w:pStyle w:val="43"/>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0"/>
        <w:jc w:val="left"/>
        <w:textAlignment w:val="auto"/>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2.2.1</w:t>
      </w:r>
      <w:r>
        <w:rPr>
          <w:rFonts w:hint="eastAsia" w:ascii="宋体" w:hAnsi="宋体" w:cs="宋体"/>
          <w:snapToGrid w:val="0"/>
          <w:color w:val="auto"/>
          <w:kern w:val="0"/>
          <w:sz w:val="24"/>
          <w:highlight w:val="none"/>
        </w:rPr>
        <w:t xml:space="preserve"> 投标人须具备独立法人资格，按国家法律经营。</w:t>
      </w:r>
    </w:p>
    <w:p w14:paraId="573884C5">
      <w:pPr>
        <w:keepNext w:val="0"/>
        <w:keepLines w:val="0"/>
        <w:pageBreakBefore w:val="0"/>
        <w:widowControl w:val="0"/>
        <w:shd w:val="clear" w:color="auto" w:fill="auto"/>
        <w:kinsoku/>
        <w:overflowPunct/>
        <w:topLinePunct w:val="0"/>
        <w:autoSpaceDE/>
        <w:autoSpaceDN/>
        <w:bidi w:val="0"/>
        <w:spacing w:before="0" w:after="0" w:line="440" w:lineRule="exact"/>
        <w:ind w:firstLine="482" w:firstLineChars="200"/>
        <w:textAlignment w:val="auto"/>
        <w:outlineLvl w:val="9"/>
        <w:rPr>
          <w:rFonts w:hint="eastAsia" w:ascii="宋体" w:hAnsi="宋体" w:eastAsia="宋体" w:cs="宋体"/>
          <w:color w:val="auto"/>
          <w:szCs w:val="24"/>
          <w:highlight w:val="none"/>
          <w:u w:val="single"/>
          <w:lang w:eastAsia="zh-CN"/>
        </w:rPr>
      </w:pPr>
      <w:r>
        <w:rPr>
          <w:rFonts w:hint="eastAsia" w:ascii="宋体" w:hAnsi="宋体" w:cs="宋体"/>
          <w:b/>
          <w:bCs/>
          <w:snapToGrid w:val="0"/>
          <w:color w:val="auto"/>
          <w:kern w:val="0"/>
          <w:sz w:val="24"/>
          <w:highlight w:val="none"/>
        </w:rPr>
        <w:t>2.2.2</w:t>
      </w:r>
      <w:r>
        <w:rPr>
          <w:rFonts w:hint="eastAsia" w:ascii="宋体" w:hAnsi="宋体" w:cs="宋体"/>
          <w:snapToGrid w:val="0"/>
          <w:color w:val="auto"/>
          <w:kern w:val="0"/>
          <w:sz w:val="24"/>
          <w:highlight w:val="none"/>
        </w:rPr>
        <w:t xml:space="preserve"> 投标人须具备以下资质：</w:t>
      </w:r>
      <w:r>
        <w:rPr>
          <w:rFonts w:hint="eastAsia" w:ascii="宋体" w:hAnsi="宋体" w:eastAsia="宋体" w:cs="宋体"/>
          <w:color w:val="auto"/>
          <w:szCs w:val="24"/>
          <w:highlight w:val="none"/>
          <w:u w:val="single"/>
          <w:lang w:eastAsia="zh-CN"/>
        </w:rPr>
        <w:t>工程监理综合资质或市政公用工程专业监理乙级以上（含乙级）资质。</w:t>
      </w:r>
    </w:p>
    <w:p w14:paraId="62A0E460">
      <w:pPr>
        <w:pStyle w:val="43"/>
        <w:shd w:val="clear" w:color="auto" w:fill="auto"/>
        <w:wordWrap w:val="0"/>
        <w:adjustRightInd w:val="0"/>
        <w:snapToGrid w:val="0"/>
        <w:spacing w:line="440" w:lineRule="exact"/>
        <w:ind w:firstLine="480"/>
        <w:jc w:val="left"/>
        <w:rPr>
          <w:rFonts w:hint="eastAsia" w:ascii="宋体" w:hAnsi="宋体" w:eastAsia="宋体" w:cs="宋体"/>
          <w:snapToGrid w:val="0"/>
          <w:color w:val="auto"/>
          <w:kern w:val="0"/>
          <w:sz w:val="24"/>
          <w:highlight w:val="none"/>
          <w:lang w:eastAsia="zh-CN"/>
        </w:rPr>
      </w:pPr>
      <w:r>
        <w:rPr>
          <w:rFonts w:hint="eastAsia" w:ascii="宋体" w:hAnsi="宋体" w:cs="宋体"/>
          <w:b/>
          <w:bCs/>
          <w:snapToGrid w:val="0"/>
          <w:color w:val="auto"/>
          <w:kern w:val="0"/>
          <w:sz w:val="24"/>
          <w:highlight w:val="none"/>
        </w:rPr>
        <w:t>2.2.3</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lang w:eastAsia="zh-CN"/>
        </w:rPr>
        <w:t>根据有关文件精神，投标人的企业相关证书到期的，均按该证书的发证机构相关行业主管部门最新文件执行（如自动顺延或推迟办理延期业务的通知），</w:t>
      </w:r>
      <w:r>
        <w:rPr>
          <w:rFonts w:hint="eastAsia" w:ascii="宋体" w:hAnsi="宋体" w:cs="宋体"/>
          <w:b/>
          <w:bCs/>
          <w:snapToGrid w:val="0"/>
          <w:color w:val="auto"/>
          <w:kern w:val="0"/>
          <w:sz w:val="24"/>
          <w:highlight w:val="none"/>
          <w:lang w:eastAsia="zh-CN"/>
        </w:rPr>
        <w:t>投标人必须将相关文件附在该证书后面中，证明在开标日继续有效</w:t>
      </w:r>
      <w:r>
        <w:rPr>
          <w:rFonts w:hint="eastAsia" w:ascii="宋体" w:hAnsi="宋体" w:cs="宋体"/>
          <w:snapToGrid w:val="0"/>
          <w:color w:val="auto"/>
          <w:kern w:val="0"/>
          <w:sz w:val="24"/>
          <w:highlight w:val="none"/>
          <w:lang w:eastAsia="zh-CN"/>
        </w:rPr>
        <w:t>。</w:t>
      </w:r>
    </w:p>
    <w:p w14:paraId="4314C97C">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w:t>
      </w:r>
      <w:r>
        <w:rPr>
          <w:rFonts w:hint="eastAsia" w:ascii="宋体" w:hAnsi="宋体" w:cs="宋体"/>
          <w:snapToGrid w:val="0"/>
          <w:color w:val="auto"/>
          <w:kern w:val="0"/>
          <w:sz w:val="24"/>
          <w:highlight w:val="none"/>
        </w:rPr>
        <w:t xml:space="preserve"> 相关人员要求</w:t>
      </w:r>
    </w:p>
    <w:p w14:paraId="3CE60D09">
      <w:pPr>
        <w:pStyle w:val="43"/>
        <w:shd w:val="clear" w:color="auto" w:fill="auto"/>
        <w:spacing w:line="440" w:lineRule="exact"/>
        <w:ind w:firstLine="482" w:firstLineChars="200"/>
        <w:rPr>
          <w:rFonts w:hint="eastAsia" w:ascii="宋体" w:hAnsi="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2.3.1 </w:t>
      </w:r>
      <w:r>
        <w:rPr>
          <w:rFonts w:hint="eastAsia" w:ascii="宋体" w:hAnsi="宋体" w:cs="宋体"/>
          <w:snapToGrid w:val="0"/>
          <w:color w:val="auto"/>
          <w:kern w:val="0"/>
          <w:sz w:val="24"/>
          <w:highlight w:val="none"/>
          <w:lang w:eastAsia="zh-CN"/>
        </w:rPr>
        <w:t>拟委派的总监理工程师为</w:t>
      </w:r>
      <w:r>
        <w:rPr>
          <w:rFonts w:hint="eastAsia" w:ascii="宋体" w:hAnsi="宋体" w:cs="宋体"/>
          <w:snapToGrid w:val="0"/>
          <w:color w:val="auto"/>
          <w:kern w:val="0"/>
          <w:sz w:val="24"/>
          <w:highlight w:val="none"/>
          <w:u w:val="single"/>
          <w:lang w:eastAsia="zh-CN"/>
        </w:rPr>
        <w:t>市政公用工程</w:t>
      </w:r>
      <w:r>
        <w:rPr>
          <w:rFonts w:hint="eastAsia" w:ascii="宋体" w:hAnsi="宋体" w:cs="宋体"/>
          <w:snapToGrid w:val="0"/>
          <w:color w:val="auto"/>
          <w:kern w:val="0"/>
          <w:sz w:val="24"/>
          <w:highlight w:val="none"/>
          <w:lang w:eastAsia="zh-CN"/>
        </w:rPr>
        <w:t>专业注册监理工程师</w:t>
      </w:r>
      <w:r>
        <w:rPr>
          <w:rFonts w:hint="eastAsia" w:ascii="宋体" w:hAnsi="宋体" w:cs="宋体"/>
          <w:snapToGrid w:val="0"/>
          <w:color w:val="auto"/>
          <w:kern w:val="0"/>
          <w:sz w:val="24"/>
          <w:highlight w:val="none"/>
        </w:rPr>
        <w:t>，应持有国家住建部印发的有效注册证书，其担任总监理工程师职务的其他在施（包括已中标未开工、已开工未竣工）建设工程项目不得超过</w:t>
      </w:r>
      <w:r>
        <w:rPr>
          <w:rFonts w:hint="eastAsia" w:ascii="宋体" w:hAnsi="宋体" w:cs="宋体"/>
          <w:snapToGrid w:val="0"/>
          <w:color w:val="auto"/>
          <w:kern w:val="0"/>
          <w:sz w:val="24"/>
          <w:highlight w:val="none"/>
          <w:lang w:val="en-US" w:eastAsia="zh-CN"/>
        </w:rPr>
        <w:t>2</w:t>
      </w:r>
      <w:r>
        <w:rPr>
          <w:rFonts w:hint="eastAsia" w:ascii="宋体" w:hAnsi="宋体" w:cs="宋体"/>
          <w:snapToGrid w:val="0"/>
          <w:color w:val="auto"/>
          <w:kern w:val="0"/>
          <w:sz w:val="24"/>
          <w:highlight w:val="none"/>
        </w:rPr>
        <w:t>个。</w:t>
      </w:r>
    </w:p>
    <w:p w14:paraId="6C509717">
      <w:pPr>
        <w:pStyle w:val="43"/>
        <w:shd w:val="clear" w:color="auto" w:fill="auto"/>
        <w:spacing w:line="440" w:lineRule="exact"/>
        <w:ind w:firstLine="480"/>
        <w:rPr>
          <w:rFonts w:hint="eastAsia" w:ascii="宋体" w:hAnsi="宋体" w:cs="宋体"/>
          <w:snapToGrid w:val="0"/>
          <w:color w:val="auto"/>
          <w:kern w:val="0"/>
          <w:sz w:val="24"/>
          <w:szCs w:val="28"/>
          <w:highlight w:val="none"/>
        </w:rPr>
      </w:pPr>
      <w:r>
        <w:rPr>
          <w:rFonts w:hint="eastAsia" w:ascii="宋体" w:hAnsi="宋体" w:cs="宋体"/>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64DCA3A8">
      <w:pPr>
        <w:pStyle w:val="43"/>
        <w:shd w:val="clear" w:color="auto" w:fill="auto"/>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2.3.2</w:t>
      </w:r>
      <w:r>
        <w:rPr>
          <w:rFonts w:hint="eastAsia" w:ascii="宋体" w:hAnsi="宋体" w:cs="宋体"/>
          <w:snapToGrid w:val="0"/>
          <w:color w:val="auto"/>
          <w:kern w:val="0"/>
          <w:sz w:val="24"/>
          <w:highlight w:val="none"/>
        </w:rPr>
        <w:t xml:space="preserve"> 投标人与其拟委派的往本项目监理机构的所有人员之间必须具备合法、唯一的劳动聘用关系。拟委派的人员中具备注册执业资格的，其注册单位须与投标人保持一致。</w:t>
      </w:r>
    </w:p>
    <w:p w14:paraId="375117E7">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w:t>
      </w:r>
      <w:r>
        <w:rPr>
          <w:rFonts w:hint="eastAsia" w:ascii="宋体" w:hAnsi="宋体" w:cs="宋体"/>
          <w:snapToGrid w:val="0"/>
          <w:color w:val="auto"/>
          <w:kern w:val="0"/>
          <w:sz w:val="24"/>
          <w:highlight w:val="none"/>
        </w:rPr>
        <w:t xml:space="preserve"> 禁止投标条款</w:t>
      </w:r>
    </w:p>
    <w:p w14:paraId="06AAA283">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2.4.1</w:t>
      </w:r>
      <w:r>
        <w:rPr>
          <w:rFonts w:hint="eastAsia" w:ascii="宋体" w:hAnsi="宋体" w:cs="宋体"/>
          <w:snapToGrid w:val="0"/>
          <w:color w:val="auto"/>
          <w:kern w:val="0"/>
          <w:sz w:val="24"/>
          <w:highlight w:val="none"/>
        </w:rPr>
        <w:t xml:space="preserve"> 投标人不得存在下列情形之一：</w:t>
      </w:r>
    </w:p>
    <w:p w14:paraId="47E5BD07">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5D32FDC0">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3BD6579A">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0B3F93AD">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6F565555">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5F78ADA5">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5FA8BE27">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18A977BE">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39BBCD14">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（9）与本招标项目的施工承包人以及建筑材料、建筑构配件和设备供应商有隶属关系或者其他利害关系；</w:t>
      </w:r>
    </w:p>
    <w:p w14:paraId="4F3DA12C">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66DCAB55">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2DB11AC4">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39B33785">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（13）在最近三年内发生重大监理质量或安全问题（以相关行业主管部门的行政处罚决定或司法机关出具的有关法律文书为准）；</w:t>
      </w:r>
    </w:p>
    <w:p w14:paraId="533605CE">
      <w:pPr>
        <w:pStyle w:val="43"/>
        <w:shd w:val="clear" w:color="auto" w:fill="auto"/>
        <w:wordWrap w:val="0"/>
        <w:adjustRightInd w:val="0"/>
        <w:snapToGrid w:val="0"/>
        <w:spacing w:line="440" w:lineRule="exact"/>
        <w:ind w:firstLine="480" w:firstLineChars="200"/>
        <w:jc w:val="left"/>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 xml:space="preserve"> （14）</w:t>
      </w:r>
      <w:r>
        <w:rPr>
          <w:rFonts w:hint="eastAsia" w:ascii="宋体" w:hAnsi="宋体" w:cs="宋体"/>
          <w:snapToGrid w:val="0"/>
          <w:color w:val="auto"/>
          <w:kern w:val="0"/>
          <w:sz w:val="24"/>
          <w:highlight w:val="none"/>
          <w:lang w:eastAsia="zh-CN"/>
        </w:rPr>
        <w:t>被“信用中国”网站（https://www.creditchina.gov.cn）发布的《法人和非法人组织公共信用信息报告》列为严重失信主体名单的。</w:t>
      </w:r>
    </w:p>
    <w:p w14:paraId="0DCC8EAC">
      <w:pPr>
        <w:pStyle w:val="43"/>
        <w:shd w:val="clear" w:color="auto" w:fill="auto"/>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2.4.2</w:t>
      </w:r>
      <w:r>
        <w:rPr>
          <w:rFonts w:hint="eastAsia" w:ascii="宋体" w:hAnsi="宋体" w:cs="宋体"/>
          <w:snapToGrid w:val="0"/>
          <w:color w:val="auto"/>
          <w:kern w:val="0"/>
          <w:sz w:val="24"/>
          <w:highlight w:val="none"/>
        </w:rPr>
        <w:t xml:space="preserve"> 招标人拒绝以下名单中的单位参加本次投标：</w:t>
      </w:r>
    </w:p>
    <w:tbl>
      <w:tblPr>
        <w:tblStyle w:val="24"/>
        <w:tblpPr w:leftFromText="180" w:rightFromText="180" w:vertAnchor="text" w:horzAnchor="margin" w:tblpXSpec="center" w:tblpY="10"/>
        <w:tblOverlap w:val="neve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4"/>
        <w:gridCol w:w="3800"/>
        <w:gridCol w:w="3270"/>
      </w:tblGrid>
      <w:tr w14:paraId="3C1ADE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2AC7D43B">
            <w:pPr>
              <w:pStyle w:val="43"/>
              <w:wordWrap w:val="0"/>
              <w:adjustRightInd w:val="0"/>
              <w:snapToGrid w:val="0"/>
              <w:spacing w:line="36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3800" w:type="dxa"/>
            <w:tcBorders>
              <w:top w:val="outset" w:color="auto" w:sz="6" w:space="0"/>
              <w:left w:val="outset" w:color="auto" w:sz="6" w:space="0"/>
              <w:bottom w:val="outset" w:color="auto" w:sz="6" w:space="0"/>
              <w:right w:val="outset" w:color="auto" w:sz="6" w:space="0"/>
            </w:tcBorders>
            <w:vAlign w:val="center"/>
          </w:tcPr>
          <w:p w14:paraId="3B01DD40">
            <w:pPr>
              <w:pStyle w:val="43"/>
              <w:wordWrap w:val="0"/>
              <w:adjustRightInd w:val="0"/>
              <w:snapToGrid w:val="0"/>
              <w:spacing w:line="36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单位名称</w:t>
            </w:r>
          </w:p>
        </w:tc>
        <w:tc>
          <w:tcPr>
            <w:tcW w:w="3270" w:type="dxa"/>
            <w:tcBorders>
              <w:top w:val="outset" w:color="auto" w:sz="6" w:space="0"/>
              <w:left w:val="outset" w:color="auto" w:sz="6" w:space="0"/>
              <w:bottom w:val="outset" w:color="auto" w:sz="6" w:space="0"/>
              <w:right w:val="outset" w:color="auto" w:sz="6" w:space="0"/>
            </w:tcBorders>
            <w:vAlign w:val="center"/>
          </w:tcPr>
          <w:p w14:paraId="4CC6A7FD">
            <w:pPr>
              <w:pStyle w:val="43"/>
              <w:wordWrap w:val="0"/>
              <w:adjustRightInd w:val="0"/>
              <w:snapToGrid w:val="0"/>
              <w:spacing w:line="36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拒绝原因</w:t>
            </w:r>
          </w:p>
        </w:tc>
      </w:tr>
      <w:tr w14:paraId="0BE73A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4E3E36BD">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w:t>
            </w:r>
          </w:p>
        </w:tc>
        <w:tc>
          <w:tcPr>
            <w:tcW w:w="3800" w:type="dxa"/>
            <w:tcBorders>
              <w:top w:val="outset" w:color="auto" w:sz="6" w:space="0"/>
              <w:left w:val="outset" w:color="auto" w:sz="6" w:space="0"/>
              <w:bottom w:val="outset" w:color="auto" w:sz="6" w:space="0"/>
              <w:right w:val="outset" w:color="auto" w:sz="6" w:space="0"/>
            </w:tcBorders>
            <w:vAlign w:val="center"/>
          </w:tcPr>
          <w:p w14:paraId="7E8A70F9">
            <w:pPr>
              <w:pStyle w:val="43"/>
              <w:wordWrap w:val="0"/>
              <w:adjustRightInd w:val="0"/>
              <w:snapToGrid w:val="0"/>
              <w:spacing w:line="340" w:lineRule="exact"/>
              <w:jc w:val="center"/>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无</w:t>
            </w:r>
          </w:p>
        </w:tc>
        <w:tc>
          <w:tcPr>
            <w:tcW w:w="3270" w:type="dxa"/>
            <w:tcBorders>
              <w:top w:val="outset" w:color="auto" w:sz="6" w:space="0"/>
              <w:left w:val="outset" w:color="auto" w:sz="6" w:space="0"/>
              <w:bottom w:val="outset" w:color="auto" w:sz="6" w:space="0"/>
              <w:right w:val="outset" w:color="auto" w:sz="6" w:space="0"/>
            </w:tcBorders>
            <w:vAlign w:val="center"/>
          </w:tcPr>
          <w:p w14:paraId="1E1AB823">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为招标人不具有独立法人资格的附属机构</w:t>
            </w:r>
          </w:p>
        </w:tc>
      </w:tr>
      <w:tr w14:paraId="1DA8E0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2D5C5E93">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p>
        </w:tc>
        <w:tc>
          <w:tcPr>
            <w:tcW w:w="3800" w:type="dxa"/>
            <w:tcBorders>
              <w:top w:val="outset" w:color="auto" w:sz="6" w:space="0"/>
              <w:left w:val="outset" w:color="auto" w:sz="6" w:space="0"/>
              <w:bottom w:val="outset" w:color="auto" w:sz="6" w:space="0"/>
              <w:right w:val="outset" w:color="auto" w:sz="6" w:space="0"/>
            </w:tcBorders>
            <w:vAlign w:val="center"/>
          </w:tcPr>
          <w:p w14:paraId="6E378323">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韶关市武江区城市管理和综合执法局</w:t>
            </w:r>
          </w:p>
        </w:tc>
        <w:tc>
          <w:tcPr>
            <w:tcW w:w="3270" w:type="dxa"/>
            <w:tcBorders>
              <w:top w:val="outset" w:color="auto" w:sz="6" w:space="0"/>
              <w:left w:val="outset" w:color="auto" w:sz="6" w:space="0"/>
              <w:bottom w:val="outset" w:color="auto" w:sz="6" w:space="0"/>
              <w:right w:val="outset" w:color="auto" w:sz="6" w:space="0"/>
            </w:tcBorders>
            <w:vAlign w:val="center"/>
          </w:tcPr>
          <w:p w14:paraId="10146CCB">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为本招标项目的招标人</w:t>
            </w:r>
          </w:p>
        </w:tc>
      </w:tr>
      <w:tr w14:paraId="5B1F48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3AF3EE52">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3</w:t>
            </w:r>
          </w:p>
        </w:tc>
        <w:tc>
          <w:tcPr>
            <w:tcW w:w="3800" w:type="dxa"/>
            <w:tcBorders>
              <w:top w:val="outset" w:color="auto" w:sz="6" w:space="0"/>
              <w:left w:val="outset" w:color="auto" w:sz="6" w:space="0"/>
              <w:bottom w:val="outset" w:color="auto" w:sz="6" w:space="0"/>
              <w:right w:val="outset" w:color="auto" w:sz="6" w:space="0"/>
            </w:tcBorders>
            <w:vAlign w:val="center"/>
          </w:tcPr>
          <w:p w14:paraId="29A5F6B7">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广东合正项目管理有限公司</w:t>
            </w:r>
          </w:p>
        </w:tc>
        <w:tc>
          <w:tcPr>
            <w:tcW w:w="3270" w:type="dxa"/>
            <w:tcBorders>
              <w:top w:val="outset" w:color="auto" w:sz="6" w:space="0"/>
              <w:left w:val="outset" w:color="auto" w:sz="6" w:space="0"/>
              <w:bottom w:val="outset" w:color="auto" w:sz="6" w:space="0"/>
              <w:right w:val="outset" w:color="auto" w:sz="6" w:space="0"/>
            </w:tcBorders>
            <w:vAlign w:val="center"/>
          </w:tcPr>
          <w:p w14:paraId="3D9DDDF8">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为本招标项目的招标代理机构</w:t>
            </w:r>
          </w:p>
        </w:tc>
      </w:tr>
      <w:tr w14:paraId="093EFF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0"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224C24D2">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4</w:t>
            </w:r>
          </w:p>
        </w:tc>
        <w:tc>
          <w:tcPr>
            <w:tcW w:w="3800" w:type="dxa"/>
            <w:tcBorders>
              <w:top w:val="outset" w:color="auto" w:sz="6" w:space="0"/>
              <w:left w:val="outset" w:color="auto" w:sz="6" w:space="0"/>
              <w:bottom w:val="outset" w:color="auto" w:sz="6" w:space="0"/>
              <w:right w:val="outset" w:color="auto" w:sz="6" w:space="0"/>
            </w:tcBorders>
            <w:vAlign w:val="center"/>
          </w:tcPr>
          <w:p w14:paraId="4880EB10">
            <w:pPr>
              <w:pStyle w:val="43"/>
              <w:wordWrap w:val="0"/>
              <w:adjustRightInd w:val="0"/>
              <w:snapToGrid w:val="0"/>
              <w:spacing w:line="340" w:lineRule="exact"/>
              <w:jc w:val="center"/>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智埔国际建设集团有限公司</w:t>
            </w:r>
          </w:p>
        </w:tc>
        <w:tc>
          <w:tcPr>
            <w:tcW w:w="3270" w:type="dxa"/>
            <w:tcBorders>
              <w:top w:val="outset" w:color="auto" w:sz="6" w:space="0"/>
              <w:left w:val="outset" w:color="auto" w:sz="6" w:space="0"/>
              <w:bottom w:val="outset" w:color="auto" w:sz="6" w:space="0"/>
              <w:right w:val="outset" w:color="auto" w:sz="6" w:space="0"/>
            </w:tcBorders>
            <w:vAlign w:val="center"/>
          </w:tcPr>
          <w:p w14:paraId="7760883D">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造价咨询</w:t>
            </w:r>
            <w:r>
              <w:rPr>
                <w:rFonts w:hint="eastAsia" w:ascii="宋体" w:hAnsi="宋体" w:cs="宋体"/>
                <w:snapToGrid w:val="0"/>
                <w:color w:val="auto"/>
                <w:kern w:val="0"/>
                <w:sz w:val="21"/>
                <w:szCs w:val="21"/>
                <w:highlight w:val="none"/>
              </w:rPr>
              <w:t>单位</w:t>
            </w:r>
          </w:p>
        </w:tc>
      </w:tr>
      <w:tr w14:paraId="0177AD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0"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24F97F80">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5</w:t>
            </w:r>
          </w:p>
        </w:tc>
        <w:tc>
          <w:tcPr>
            <w:tcW w:w="3800" w:type="dxa"/>
            <w:tcBorders>
              <w:top w:val="outset" w:color="auto" w:sz="6" w:space="0"/>
              <w:left w:val="outset" w:color="auto" w:sz="6" w:space="0"/>
              <w:bottom w:val="outset" w:color="auto" w:sz="6" w:space="0"/>
              <w:right w:val="outset" w:color="auto" w:sz="6" w:space="0"/>
            </w:tcBorders>
            <w:vAlign w:val="center"/>
          </w:tcPr>
          <w:p w14:paraId="4ABF7098">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中誉设计有限公司</w:t>
            </w:r>
          </w:p>
        </w:tc>
        <w:tc>
          <w:tcPr>
            <w:tcW w:w="3270" w:type="dxa"/>
            <w:tcBorders>
              <w:top w:val="outset" w:color="auto" w:sz="6" w:space="0"/>
              <w:left w:val="outset" w:color="auto" w:sz="6" w:space="0"/>
              <w:bottom w:val="outset" w:color="auto" w:sz="6" w:space="0"/>
              <w:right w:val="outset" w:color="auto" w:sz="6" w:space="0"/>
            </w:tcBorders>
            <w:vAlign w:val="center"/>
          </w:tcPr>
          <w:p w14:paraId="3689CD1A">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为本招标项目的设计单位</w:t>
            </w:r>
          </w:p>
        </w:tc>
      </w:tr>
      <w:tr w14:paraId="16BD21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5"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0A038D09">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6</w:t>
            </w:r>
          </w:p>
        </w:tc>
        <w:tc>
          <w:tcPr>
            <w:tcW w:w="3800" w:type="dxa"/>
            <w:tcBorders>
              <w:top w:val="outset" w:color="auto" w:sz="6" w:space="0"/>
              <w:left w:val="outset" w:color="auto" w:sz="6" w:space="0"/>
              <w:bottom w:val="outset" w:color="auto" w:sz="6" w:space="0"/>
              <w:right w:val="outset" w:color="auto" w:sz="6" w:space="0"/>
            </w:tcBorders>
            <w:vAlign w:val="center"/>
          </w:tcPr>
          <w:p w14:paraId="433558C2">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广东省岩土勘测设计研究 有限公司</w:t>
            </w:r>
          </w:p>
        </w:tc>
        <w:tc>
          <w:tcPr>
            <w:tcW w:w="3270" w:type="dxa"/>
            <w:tcBorders>
              <w:top w:val="outset" w:color="auto" w:sz="6" w:space="0"/>
              <w:left w:val="outset" w:color="auto" w:sz="6" w:space="0"/>
              <w:bottom w:val="outset" w:color="auto" w:sz="6" w:space="0"/>
              <w:right w:val="outset" w:color="auto" w:sz="6" w:space="0"/>
            </w:tcBorders>
            <w:vAlign w:val="center"/>
          </w:tcPr>
          <w:p w14:paraId="4C14DCF0">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勘察</w:t>
            </w:r>
            <w:r>
              <w:rPr>
                <w:rFonts w:hint="eastAsia" w:ascii="宋体" w:hAnsi="宋体" w:cs="宋体"/>
                <w:snapToGrid w:val="0"/>
                <w:color w:val="auto"/>
                <w:kern w:val="0"/>
                <w:sz w:val="21"/>
                <w:szCs w:val="21"/>
                <w:highlight w:val="none"/>
              </w:rPr>
              <w:t>单位</w:t>
            </w:r>
          </w:p>
        </w:tc>
      </w:tr>
      <w:tr w14:paraId="4B6FD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5" w:hRule="atLeast"/>
          <w:jc w:val="center"/>
        </w:trPr>
        <w:tc>
          <w:tcPr>
            <w:tcW w:w="934" w:type="dxa"/>
            <w:tcBorders>
              <w:top w:val="outset" w:color="auto" w:sz="6" w:space="0"/>
              <w:left w:val="outset" w:color="auto" w:sz="6" w:space="0"/>
              <w:bottom w:val="outset" w:color="auto" w:sz="6" w:space="0"/>
              <w:right w:val="outset" w:color="auto" w:sz="6" w:space="0"/>
            </w:tcBorders>
            <w:vAlign w:val="center"/>
          </w:tcPr>
          <w:p w14:paraId="71440409">
            <w:pPr>
              <w:pStyle w:val="43"/>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7</w:t>
            </w:r>
          </w:p>
        </w:tc>
        <w:tc>
          <w:tcPr>
            <w:tcW w:w="3800" w:type="dxa"/>
            <w:tcBorders>
              <w:top w:val="outset" w:color="auto" w:sz="6" w:space="0"/>
              <w:left w:val="outset" w:color="auto" w:sz="6" w:space="0"/>
              <w:bottom w:val="outset" w:color="auto" w:sz="6" w:space="0"/>
              <w:right w:val="outset" w:color="auto" w:sz="6" w:space="0"/>
            </w:tcBorders>
            <w:vAlign w:val="center"/>
          </w:tcPr>
          <w:p w14:paraId="06828747">
            <w:pPr>
              <w:pStyle w:val="43"/>
              <w:wordWrap w:val="0"/>
              <w:adjustRightInd w:val="0"/>
              <w:snapToGrid w:val="0"/>
              <w:spacing w:line="340" w:lineRule="exact"/>
              <w:jc w:val="center"/>
              <w:rPr>
                <w:rFonts w:hint="eastAsia" w:ascii="宋体" w:hAnsi="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广东粤湾施工图审查有限公司</w:t>
            </w:r>
          </w:p>
        </w:tc>
        <w:tc>
          <w:tcPr>
            <w:tcW w:w="3270" w:type="dxa"/>
            <w:tcBorders>
              <w:top w:val="outset" w:color="auto" w:sz="6" w:space="0"/>
              <w:left w:val="outset" w:color="auto" w:sz="6" w:space="0"/>
              <w:bottom w:val="outset" w:color="auto" w:sz="6" w:space="0"/>
              <w:right w:val="outset" w:color="auto" w:sz="6" w:space="0"/>
            </w:tcBorders>
            <w:vAlign w:val="center"/>
          </w:tcPr>
          <w:p w14:paraId="0361C873">
            <w:pPr>
              <w:pStyle w:val="43"/>
              <w:wordWrap w:val="0"/>
              <w:adjustRightInd w:val="0"/>
              <w:snapToGrid w:val="0"/>
              <w:spacing w:line="340" w:lineRule="exact"/>
              <w:jc w:val="center"/>
              <w:rPr>
                <w:rFonts w:hint="default" w:ascii="宋体" w:hAnsi="宋体" w:cs="宋体"/>
                <w:snapToGrid w:val="0"/>
                <w:color w:val="auto"/>
                <w:kern w:val="0"/>
                <w:sz w:val="21"/>
                <w:szCs w:val="21"/>
                <w:highlight w:val="none"/>
                <w:lang w:val="en-US"/>
              </w:rPr>
            </w:pPr>
            <w:r>
              <w:rPr>
                <w:rFonts w:hint="eastAsia" w:ascii="宋体" w:hAnsi="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审图机构</w:t>
            </w:r>
          </w:p>
        </w:tc>
      </w:tr>
    </w:tbl>
    <w:p w14:paraId="285377F0">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537D11F4">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5C7FF650">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33C8F51A">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63197472">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4B1157B3">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5AF3A41A">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309ACD5F">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25C2E8B2">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4A915851">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45A49010">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572C24D6">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60D49D16">
      <w:pPr>
        <w:pStyle w:val="43"/>
        <w:shd w:val="clear" w:color="auto" w:fill="auto"/>
        <w:wordWrap w:val="0"/>
        <w:adjustRightInd w:val="0"/>
        <w:snapToGrid w:val="0"/>
        <w:spacing w:line="440" w:lineRule="exact"/>
        <w:ind w:firstLine="482" w:firstLineChars="200"/>
        <w:jc w:val="left"/>
        <w:rPr>
          <w:rFonts w:hint="eastAsia" w:ascii="宋体" w:hAnsi="宋体" w:cs="宋体"/>
          <w:b/>
          <w:bCs/>
          <w:snapToGrid w:val="0"/>
          <w:color w:val="auto"/>
          <w:kern w:val="0"/>
          <w:sz w:val="24"/>
          <w:highlight w:val="none"/>
        </w:rPr>
      </w:pPr>
    </w:p>
    <w:p w14:paraId="6538EF79">
      <w:pPr>
        <w:pStyle w:val="43"/>
        <w:shd w:val="clear" w:color="auto" w:fill="auto"/>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snapToGrid w:val="0"/>
          <w:color w:val="auto"/>
          <w:kern w:val="0"/>
          <w:sz w:val="24"/>
          <w:highlight w:val="none"/>
        </w:rPr>
        <w:t xml:space="preserve"> 其他要求</w:t>
      </w:r>
    </w:p>
    <w:p w14:paraId="30DB3F49">
      <w:pPr>
        <w:pStyle w:val="43"/>
        <w:shd w:val="clear" w:color="auto" w:fill="auto"/>
        <w:wordWrap w:val="0"/>
        <w:adjustRightInd w:val="0"/>
        <w:snapToGrid w:val="0"/>
        <w:spacing w:line="440" w:lineRule="exact"/>
        <w:ind w:firstLine="480" w:firstLineChars="200"/>
        <w:jc w:val="left"/>
        <w:rPr>
          <w:rFonts w:hint="eastAsia" w:ascii="宋体" w:hAnsi="宋体" w:cs="宋体"/>
          <w:b/>
          <w:bCs/>
          <w:snapToGrid w:val="0"/>
          <w:color w:val="auto"/>
          <w:kern w:val="0"/>
          <w:sz w:val="24"/>
          <w:highlight w:val="none"/>
        </w:rPr>
      </w:pPr>
      <w:r>
        <w:rPr>
          <w:rFonts w:hint="eastAsia" w:ascii="宋体" w:hAnsi="宋体" w:cs="宋体"/>
          <w:snapToGrid w:val="0"/>
          <w:color w:val="auto"/>
          <w:kern w:val="0"/>
          <w:sz w:val="24"/>
          <w:highlight w:val="none"/>
          <w:lang w:eastAsia="zh-CN"/>
        </w:rPr>
        <w:t>省外企业须按照《广东省住房和城乡建设厅关于取消省外建筑企业和人员进粤信息备案有关工作的通知》（粤建市﹝2015﹞52号）规定在“进粤企业和人员诚信信息登记平台”录入相关信息并通过数据规范检查。</w:t>
      </w:r>
    </w:p>
    <w:p w14:paraId="4EB73B62">
      <w:pPr>
        <w:pStyle w:val="43"/>
        <w:shd w:val="clear" w:color="auto" w:fill="auto"/>
        <w:ind w:firstLine="482"/>
        <w:jc w:val="left"/>
        <w:outlineLvl w:val="9"/>
        <w:rPr>
          <w:rFonts w:hint="eastAsia" w:ascii="宋体" w:hAnsi="宋体" w:cs="宋体"/>
          <w:b/>
          <w:bCs/>
          <w:snapToGrid w:val="0"/>
          <w:color w:val="auto"/>
          <w:kern w:val="0"/>
          <w:sz w:val="24"/>
          <w:highlight w:val="none"/>
        </w:rPr>
      </w:pPr>
      <w:bookmarkStart w:id="79" w:name="_Toc31726"/>
      <w:bookmarkStart w:id="80" w:name="_Toc25099"/>
      <w:bookmarkStart w:id="81" w:name="_Toc31793"/>
      <w:bookmarkStart w:id="82" w:name="_Toc29552"/>
      <w:bookmarkStart w:id="83" w:name="_Toc12728"/>
      <w:bookmarkStart w:id="84" w:name="_Toc15578"/>
    </w:p>
    <w:p w14:paraId="0DE4057D">
      <w:pPr>
        <w:pStyle w:val="43"/>
        <w:shd w:val="clear" w:color="auto" w:fill="auto"/>
        <w:ind w:firstLine="482"/>
        <w:jc w:val="left"/>
        <w:outlineLvl w:val="2"/>
        <w:rPr>
          <w:rFonts w:hint="default" w:ascii="宋体" w:hAnsi="宋体" w:eastAsia="宋体" w:cs="宋体"/>
          <w:b/>
          <w:bCs/>
          <w:snapToGrid w:val="0"/>
          <w:color w:val="auto"/>
          <w:kern w:val="0"/>
          <w:sz w:val="24"/>
          <w:highlight w:val="none"/>
          <w:lang w:val="en-US" w:eastAsia="zh-CN"/>
        </w:rPr>
      </w:pPr>
      <w:bookmarkStart w:id="85" w:name="_Toc4403"/>
      <w:bookmarkStart w:id="86" w:name="_Toc24123"/>
      <w:r>
        <w:rPr>
          <w:rFonts w:hint="eastAsia" w:ascii="宋体" w:hAnsi="宋体" w:cs="宋体"/>
          <w:b/>
          <w:bCs/>
          <w:snapToGrid w:val="0"/>
          <w:color w:val="auto"/>
          <w:kern w:val="0"/>
          <w:sz w:val="24"/>
          <w:highlight w:val="none"/>
        </w:rPr>
        <w:t>3．</w:t>
      </w:r>
      <w:bookmarkEnd w:id="79"/>
      <w:bookmarkEnd w:id="80"/>
      <w:bookmarkEnd w:id="81"/>
      <w:bookmarkEnd w:id="82"/>
      <w:bookmarkEnd w:id="83"/>
      <w:bookmarkEnd w:id="84"/>
      <w:bookmarkEnd w:id="85"/>
      <w:r>
        <w:rPr>
          <w:rFonts w:hint="eastAsia" w:ascii="宋体" w:hAnsi="宋体" w:cs="宋体"/>
          <w:b/>
          <w:bCs/>
          <w:snapToGrid w:val="0"/>
          <w:color w:val="auto"/>
          <w:kern w:val="0"/>
          <w:sz w:val="24"/>
          <w:highlight w:val="none"/>
          <w:lang w:val="en-US" w:eastAsia="zh-CN"/>
        </w:rPr>
        <w:t>招标文件获取</w:t>
      </w:r>
      <w:bookmarkEnd w:id="86"/>
    </w:p>
    <w:p w14:paraId="27B76D3E">
      <w:pPr>
        <w:keepNext w:val="0"/>
        <w:keepLines w:val="0"/>
        <w:pageBreakBefore w:val="0"/>
        <w:widowControl w:val="0"/>
        <w:shd w:val="clear" w:color="auto" w:fill="auto"/>
        <w:tabs>
          <w:tab w:val="left" w:pos="7020"/>
        </w:tabs>
        <w:kinsoku/>
        <w:wordWrap w:val="0"/>
        <w:overflowPunct/>
        <w:topLinePunct w:val="0"/>
        <w:autoSpaceDE/>
        <w:autoSpaceDN/>
        <w:bidi w:val="0"/>
        <w:adjustRightInd/>
        <w:snapToGrid/>
        <w:spacing w:beforeLines="50"/>
        <w:ind w:firstLine="561"/>
        <w:textAlignment w:val="auto"/>
        <w:rPr>
          <w:rFonts w:hint="eastAsia" w:hAnsi="宋体" w:eastAsia="宋体" w:cs="宋体"/>
          <w:b w:val="0"/>
          <w:bCs w:val="0"/>
          <w:snapToGrid w:val="0"/>
          <w:color w:val="auto"/>
          <w:kern w:val="0"/>
          <w:highlight w:val="none"/>
          <w:lang w:eastAsia="zh-CN"/>
        </w:rPr>
      </w:pPr>
      <w:r>
        <w:rPr>
          <w:rFonts w:hint="eastAsia" w:hAnsi="宋体" w:cs="宋体"/>
          <w:b w:val="0"/>
          <w:bCs w:val="0"/>
          <w:snapToGrid w:val="0"/>
          <w:color w:val="auto"/>
          <w:kern w:val="0"/>
          <w:highlight w:val="none"/>
        </w:rPr>
        <w:t xml:space="preserve">3.1 </w:t>
      </w:r>
      <w:r>
        <w:rPr>
          <w:rFonts w:hint="eastAsia" w:hAnsi="宋体" w:cs="宋体"/>
          <w:snapToGrid w:val="0"/>
          <w:color w:val="auto"/>
          <w:kern w:val="0"/>
          <w:szCs w:val="24"/>
          <w:highlight w:val="none"/>
        </w:rPr>
        <w:t>本次招标实行全流程电子投标。本项目招标文件随招标公告一并在全国公共资源交易平台（广东省·韶关市）（https://ygp.gdzwfw.gov.cn/ggzy-portal/#/440200/index）网站发布。招标文件一经在建设工程交易系统发布，视为发售投标人，招标文件及相关附件由投标人自行在建设工程交易系统下载。请于招标文件获取期间（见本章第二节“重要事项时间地点一览表”）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将投标文件上传到建设工程交易系统（上传后系统将自动加密）完成电子投标。投标人可登录全国公共资源交易平台（广东省·韶关市）（https://ygp.gdzwfw.gov.cn/ggzy-portal/#/440200/index），操作指南在全国公共资源交易平台（广东省·韶关市）（https://ygp.gdzwfw.gov.cn/ggzy-portal/#/440200/index），在【服务指南】栏目中下载《韶关市公共资源建设工程交易系统-投标人操作指南》，了解全流程电子投标操作流程。技术咨询电话：18819797080/0751-8379671 伍先生，业务咨询电话：0751-8633211、8633071。</w:t>
      </w:r>
    </w:p>
    <w:p w14:paraId="62120DE6">
      <w:pPr>
        <w:shd w:val="clear" w:color="auto" w:fill="auto"/>
        <w:tabs>
          <w:tab w:val="left" w:pos="7020"/>
        </w:tabs>
        <w:wordWrap w:val="0"/>
        <w:adjustRightInd w:val="0"/>
        <w:snapToGrid w:val="0"/>
        <w:spacing w:line="440" w:lineRule="exact"/>
        <w:ind w:firstLine="482" w:firstLineChars="200"/>
        <w:rPr>
          <w:rFonts w:hint="eastAsia" w:hAnsi="宋体" w:cs="宋体"/>
          <w:snapToGrid w:val="0"/>
          <w:color w:val="auto"/>
          <w:kern w:val="0"/>
          <w:szCs w:val="24"/>
          <w:highlight w:val="none"/>
        </w:rPr>
      </w:pPr>
      <w:r>
        <w:rPr>
          <w:rFonts w:hint="eastAsia" w:hAnsi="宋体" w:cs="宋体"/>
          <w:b/>
          <w:bCs/>
          <w:snapToGrid w:val="0"/>
          <w:color w:val="auto"/>
          <w:kern w:val="0"/>
          <w:highlight w:val="none"/>
        </w:rPr>
        <w:t>3.2</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只有申领了数字证书（CA）、“粤企签”或GDCA/SZCA/NETCA等符合法律法规规定的电子印章，并在交易系统中完成企业信息数据入库的投标人，方可使用建设工程交易系统进行招标文件及附件获取和电子投标。</w:t>
      </w:r>
    </w:p>
    <w:p w14:paraId="1DEB0757">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首次在韶关市参与建设工程招标投标活动的投标人，必须在平台系统上传企业相关资料办理企业入库事宜。投标人可登录全国公共资源交易平台（广东省·韶关市）（https://ygp.gdzwfw.gov.cn/ggzy-portal/#/440200/index）办理办理企业入库、数字证书及电子印章事宜，具体请在平台查阅相应的交易指引。</w:t>
      </w:r>
    </w:p>
    <w:p w14:paraId="7BA0B2CE">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已入库企业有关信息（如单位名称、基本账号、资质、人员等）发生变化的，须及时在交易系统进行相应变更。投标人未及时变更信息而造成的损失和后果，由投标人自行承担。</w:t>
      </w:r>
    </w:p>
    <w:p w14:paraId="3AD8783B">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32EFE58B">
      <w:pPr>
        <w:pStyle w:val="43"/>
        <w:shd w:val="clear" w:color="auto" w:fill="auto"/>
        <w:ind w:firstLine="482"/>
        <w:jc w:val="left"/>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3.3 投标保证</w:t>
      </w:r>
    </w:p>
    <w:p w14:paraId="0B8E94B7">
      <w:pPr>
        <w:shd w:val="clear" w:color="auto" w:fill="auto"/>
        <w:tabs>
          <w:tab w:val="left" w:pos="7020"/>
        </w:tabs>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3.3.1</w:t>
      </w:r>
      <w:r>
        <w:rPr>
          <w:rFonts w:hint="eastAsia" w:hAnsi="宋体" w:cs="宋体"/>
          <w:snapToGrid w:val="0"/>
          <w:color w:val="auto"/>
          <w:kern w:val="0"/>
          <w:highlight w:val="none"/>
        </w:rPr>
        <w:t xml:space="preserve"> 投标人须缴纳金额为人民币</w:t>
      </w:r>
      <w:r>
        <w:rPr>
          <w:rFonts w:hint="eastAsia" w:hAnsi="宋体" w:cs="宋体"/>
          <w:snapToGrid w:val="0"/>
          <w:color w:val="auto"/>
          <w:kern w:val="0"/>
          <w:szCs w:val="24"/>
          <w:highlight w:val="none"/>
          <w:lang w:val="en-US" w:eastAsia="zh-CN"/>
        </w:rPr>
        <w:t>伍仟元整</w:t>
      </w:r>
      <w:r>
        <w:rPr>
          <w:rFonts w:hint="eastAsia" w:hAnsi="宋体" w:cs="宋体"/>
          <w:snapToGrid w:val="0"/>
          <w:color w:val="auto"/>
          <w:kern w:val="0"/>
          <w:szCs w:val="24"/>
          <w:highlight w:val="none"/>
          <w:lang w:eastAsia="zh-CN"/>
        </w:rPr>
        <w:t>（</w:t>
      </w:r>
      <w:r>
        <w:rPr>
          <w:rFonts w:hint="eastAsia" w:ascii="宋体" w:hAnsi="宋体" w:eastAsia="宋体" w:cs="宋体"/>
          <w:snapToGrid w:val="0"/>
          <w:color w:val="auto"/>
          <w:kern w:val="0"/>
          <w:szCs w:val="24"/>
          <w:highlight w:val="none"/>
          <w:lang w:eastAsia="zh-CN"/>
        </w:rPr>
        <w:t>￥</w:t>
      </w:r>
      <w:r>
        <w:rPr>
          <w:rFonts w:hint="eastAsia" w:hAnsi="宋体" w:cs="宋体"/>
          <w:snapToGrid w:val="0"/>
          <w:color w:val="auto"/>
          <w:kern w:val="0"/>
          <w:szCs w:val="24"/>
          <w:highlight w:val="none"/>
          <w:u w:val="single"/>
          <w:lang w:val="en-US" w:eastAsia="zh-CN"/>
        </w:rPr>
        <w:t>5000.00</w:t>
      </w:r>
      <w:r>
        <w:rPr>
          <w:rFonts w:hint="eastAsia" w:hAnsi="宋体" w:cs="宋体"/>
          <w:snapToGrid w:val="0"/>
          <w:color w:val="auto"/>
          <w:kern w:val="0"/>
          <w:szCs w:val="24"/>
          <w:highlight w:val="none"/>
          <w:u w:val="none"/>
        </w:rPr>
        <w:t>元</w:t>
      </w:r>
      <w:r>
        <w:rPr>
          <w:rFonts w:hint="eastAsia" w:hAnsi="宋体" w:cs="宋体"/>
          <w:snapToGrid w:val="0"/>
          <w:color w:val="auto"/>
          <w:kern w:val="0"/>
          <w:szCs w:val="24"/>
          <w:highlight w:val="none"/>
          <w:lang w:eastAsia="zh-CN"/>
        </w:rPr>
        <w:t>）</w:t>
      </w:r>
      <w:r>
        <w:rPr>
          <w:rFonts w:hint="eastAsia" w:hAnsi="宋体" w:cs="宋体"/>
          <w:snapToGrid w:val="0"/>
          <w:color w:val="auto"/>
          <w:kern w:val="0"/>
          <w:highlight w:val="none"/>
        </w:rPr>
        <w:t xml:space="preserve">的投标保证。 </w:t>
      </w:r>
    </w:p>
    <w:p w14:paraId="454815CE">
      <w:pPr>
        <w:shd w:val="clear" w:color="auto" w:fill="auto"/>
        <w:tabs>
          <w:tab w:val="left" w:pos="7020"/>
        </w:tabs>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3.3.2</w:t>
      </w:r>
      <w:r>
        <w:rPr>
          <w:rFonts w:hint="eastAsia" w:hAnsi="宋体" w:cs="宋体"/>
          <w:snapToGrid w:val="0"/>
          <w:color w:val="auto"/>
          <w:kern w:val="0"/>
          <w:highlight w:val="none"/>
        </w:rPr>
        <w:t xml:space="preserve"> 投标保证的形式包括投标保证金、投标保证担保、投标保证保险三种，由投标人自主选择。</w:t>
      </w:r>
    </w:p>
    <w:p w14:paraId="29CF84C8">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采用投标保证金的，投标人在建设工程交易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704FCF9A">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31DF2546">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w:t>
      </w:r>
      <w:r>
        <w:rPr>
          <w:rFonts w:ascii="宋体" w:hAnsi="宋体" w:eastAsia="宋体" w:cs="宋体"/>
          <w:color w:val="auto"/>
          <w:sz w:val="24"/>
          <w:szCs w:val="24"/>
          <w:highlight w:val="none"/>
        </w:rPr>
        <w:t>采用投标保证保险的，投标人须在投标保证保险投保截止时间（见本章“重要事项时间地点一览表”）前，使用建设工程交易系统完成网上投保。投标人可在系统选择保险机构、录入投保信息、支付保费、</w:t>
      </w:r>
      <w:r>
        <w:rPr>
          <w:rFonts w:hint="eastAsia" w:ascii="宋体" w:hAnsi="宋体" w:eastAsia="宋体" w:cs="宋体"/>
          <w:color w:val="auto"/>
          <w:sz w:val="24"/>
          <w:szCs w:val="24"/>
          <w:highlight w:val="none"/>
          <w:lang w:val="en-US" w:eastAsia="zh-CN"/>
        </w:rPr>
        <w:t>下载</w:t>
      </w:r>
      <w:r>
        <w:rPr>
          <w:rFonts w:ascii="宋体" w:hAnsi="宋体" w:eastAsia="宋体" w:cs="宋体"/>
          <w:color w:val="auto"/>
          <w:sz w:val="24"/>
          <w:szCs w:val="24"/>
          <w:highlight w:val="none"/>
        </w:rPr>
        <w:t>电子保单，电子保单的有效期不得短于投标有效期。投标人可登录</w:t>
      </w:r>
      <w:r>
        <w:rPr>
          <w:rFonts w:hint="eastAsia" w:ascii="宋体" w:hAnsi="宋体" w:eastAsia="宋体" w:cs="宋体"/>
          <w:color w:val="auto"/>
          <w:sz w:val="24"/>
          <w:szCs w:val="24"/>
          <w:highlight w:val="none"/>
          <w:lang w:eastAsia="zh-CN"/>
        </w:rPr>
        <w:t>全国公共资源交易平台（广东省·韶关市）（https://ygp.gdzwfw.gov.cn/ggzy-portal/#/440200/index）</w:t>
      </w:r>
      <w:r>
        <w:rPr>
          <w:rFonts w:hint="eastAsia" w:ascii="宋体" w:hAnsi="宋体" w:eastAsia="宋体" w:cs="宋体"/>
          <w:color w:val="auto"/>
          <w:sz w:val="24"/>
          <w:szCs w:val="24"/>
          <w:highlight w:val="none"/>
        </w:rPr>
        <w:t>查阅相应的服务指南</w:t>
      </w:r>
      <w:r>
        <w:rPr>
          <w:rFonts w:ascii="宋体" w:hAnsi="宋体" w:eastAsia="宋体" w:cs="宋体"/>
          <w:color w:val="auto"/>
          <w:sz w:val="24"/>
          <w:szCs w:val="24"/>
          <w:highlight w:val="none"/>
        </w:rPr>
        <w:t>，了解网上投保具体操作流程。逾期投保的，其投标无效。</w:t>
      </w:r>
    </w:p>
    <w:p w14:paraId="586FB24B">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311AB5B8">
      <w:pPr>
        <w:shd w:val="clear" w:color="auto" w:fill="auto"/>
        <w:tabs>
          <w:tab w:val="left" w:pos="7020"/>
        </w:tabs>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3.4</w:t>
      </w:r>
      <w:r>
        <w:rPr>
          <w:rFonts w:hint="eastAsia" w:hAnsi="宋体" w:cs="宋体"/>
          <w:snapToGrid w:val="0"/>
          <w:color w:val="auto"/>
          <w:kern w:val="0"/>
          <w:highlight w:val="none"/>
        </w:rPr>
        <w:t xml:space="preserve"> 若投标人因自身原因未能正确完成</w:t>
      </w:r>
      <w:r>
        <w:rPr>
          <w:rFonts w:hint="eastAsia" w:ascii="宋体" w:hAnsi="宋体" w:eastAsia="宋体" w:cs="宋体"/>
          <w:snapToGrid w:val="0"/>
          <w:color w:val="auto"/>
          <w:kern w:val="0"/>
          <w:sz w:val="24"/>
          <w:szCs w:val="24"/>
          <w:highlight w:val="none"/>
        </w:rPr>
        <w:t>网上</w:t>
      </w:r>
      <w:r>
        <w:rPr>
          <w:rFonts w:hint="eastAsia" w:hAnsi="宋体" w:eastAsia="宋体" w:cs="宋体"/>
          <w:snapToGrid w:val="0"/>
          <w:color w:val="auto"/>
          <w:kern w:val="0"/>
          <w:sz w:val="24"/>
          <w:szCs w:val="24"/>
          <w:highlight w:val="none"/>
          <w:lang w:eastAsia="zh-CN"/>
        </w:rPr>
        <w:t>获取招标文件</w:t>
      </w:r>
      <w:r>
        <w:rPr>
          <w:rFonts w:hint="eastAsia" w:hAnsi="宋体" w:cs="宋体"/>
          <w:snapToGrid w:val="0"/>
          <w:color w:val="auto"/>
          <w:kern w:val="0"/>
          <w:highlight w:val="none"/>
          <w:lang w:eastAsia="zh-CN"/>
        </w:rPr>
        <w:t>、</w:t>
      </w:r>
      <w:r>
        <w:rPr>
          <w:rFonts w:hint="eastAsia" w:hAnsi="宋体" w:cs="宋体"/>
          <w:snapToGrid w:val="0"/>
          <w:color w:val="auto"/>
          <w:kern w:val="0"/>
          <w:highlight w:val="none"/>
        </w:rPr>
        <w:t>电子投标、缴纳投标保证的，其投标无效。</w:t>
      </w:r>
    </w:p>
    <w:p w14:paraId="54992D2E">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p>
    <w:p w14:paraId="5D2AA960">
      <w:pPr>
        <w:pStyle w:val="43"/>
        <w:shd w:val="clear" w:color="auto" w:fill="auto"/>
        <w:spacing w:line="360" w:lineRule="auto"/>
        <w:ind w:firstLine="482"/>
        <w:jc w:val="left"/>
        <w:outlineLvl w:val="2"/>
        <w:rPr>
          <w:rFonts w:hint="eastAsia" w:ascii="宋体" w:hAnsi="宋体" w:cs="宋体"/>
          <w:b/>
          <w:bCs/>
          <w:snapToGrid w:val="0"/>
          <w:color w:val="auto"/>
          <w:kern w:val="0"/>
          <w:sz w:val="24"/>
          <w:highlight w:val="none"/>
        </w:rPr>
      </w:pPr>
      <w:bookmarkStart w:id="87" w:name="_Toc12793"/>
      <w:bookmarkStart w:id="88" w:name="_Toc30339"/>
      <w:bookmarkStart w:id="89" w:name="_Toc14270"/>
      <w:bookmarkStart w:id="90" w:name="_Toc12858"/>
      <w:bookmarkStart w:id="91" w:name="_Toc6940"/>
      <w:bookmarkStart w:id="92" w:name="_Toc12197"/>
      <w:bookmarkStart w:id="93" w:name="_Toc22716"/>
      <w:bookmarkStart w:id="94" w:name="_Toc16479"/>
      <w:r>
        <w:rPr>
          <w:rFonts w:hint="eastAsia" w:ascii="宋体" w:hAnsi="宋体" w:cs="宋体"/>
          <w:b/>
          <w:bCs/>
          <w:snapToGrid w:val="0"/>
          <w:color w:val="auto"/>
          <w:kern w:val="0"/>
          <w:sz w:val="24"/>
          <w:highlight w:val="none"/>
        </w:rPr>
        <w:t>4．服务期限</w:t>
      </w:r>
      <w:bookmarkEnd w:id="87"/>
      <w:bookmarkEnd w:id="88"/>
      <w:bookmarkEnd w:id="89"/>
      <w:bookmarkEnd w:id="90"/>
      <w:bookmarkEnd w:id="91"/>
      <w:bookmarkEnd w:id="92"/>
      <w:bookmarkEnd w:id="93"/>
      <w:bookmarkEnd w:id="94"/>
    </w:p>
    <w:p w14:paraId="0D67206B">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bookmarkStart w:id="95" w:name="_Toc7508"/>
      <w:r>
        <w:rPr>
          <w:rFonts w:hint="eastAsia" w:hAnsi="宋体" w:cs="宋体"/>
          <w:snapToGrid w:val="0"/>
          <w:color w:val="auto"/>
          <w:kern w:val="0"/>
          <w:highlight w:val="none"/>
          <w:u w:val="single"/>
        </w:rPr>
        <w:t>监理服务期从监理合同签订之日起计，至本工程缺陷责任保修期结束且本工程结算金额经政府主管部门审定且双方的责任义务履行完毕时止。</w:t>
      </w:r>
    </w:p>
    <w:p w14:paraId="4A8578F0">
      <w:pPr>
        <w:shd w:val="clear" w:color="auto" w:fill="auto"/>
        <w:tabs>
          <w:tab w:val="left" w:pos="7020"/>
        </w:tabs>
        <w:wordWrap w:val="0"/>
        <w:adjustRightInd w:val="0"/>
        <w:snapToGrid w:val="0"/>
        <w:spacing w:line="440" w:lineRule="exact"/>
        <w:ind w:firstLine="480" w:firstLineChars="200"/>
        <w:rPr>
          <w:rFonts w:hint="eastAsia" w:hAnsi="宋体" w:cs="宋体"/>
          <w:snapToGrid w:val="0"/>
          <w:color w:val="auto"/>
          <w:kern w:val="0"/>
          <w:highlight w:val="none"/>
        </w:rPr>
      </w:pPr>
    </w:p>
    <w:p w14:paraId="2530EA97">
      <w:pPr>
        <w:pStyle w:val="43"/>
        <w:shd w:val="clear" w:color="auto" w:fill="auto"/>
        <w:spacing w:line="360" w:lineRule="auto"/>
        <w:ind w:firstLine="482"/>
        <w:jc w:val="left"/>
        <w:outlineLvl w:val="2"/>
        <w:rPr>
          <w:rFonts w:hint="eastAsia" w:ascii="宋体" w:hAnsi="宋体" w:cs="宋体"/>
          <w:b/>
          <w:bCs/>
          <w:snapToGrid w:val="0"/>
          <w:color w:val="auto"/>
          <w:kern w:val="0"/>
          <w:sz w:val="24"/>
          <w:highlight w:val="none"/>
        </w:rPr>
      </w:pPr>
      <w:bookmarkStart w:id="96" w:name="_Toc31374"/>
      <w:bookmarkStart w:id="97" w:name="_Toc5087"/>
      <w:bookmarkStart w:id="98" w:name="_Toc24489"/>
      <w:bookmarkStart w:id="99" w:name="_Toc27677"/>
      <w:bookmarkStart w:id="100" w:name="_Toc20452"/>
      <w:bookmarkStart w:id="101" w:name="_Toc20710"/>
      <w:bookmarkStart w:id="102" w:name="_Toc4831"/>
      <w:bookmarkStart w:id="103" w:name="_Toc19377"/>
      <w:bookmarkStart w:id="104" w:name="_Toc31895"/>
      <w:bookmarkStart w:id="105" w:name="_Toc31837"/>
      <w:r>
        <w:rPr>
          <w:rFonts w:hint="eastAsia" w:ascii="宋体" w:hAnsi="宋体" w:cs="宋体"/>
          <w:b/>
          <w:bCs/>
          <w:snapToGrid w:val="0"/>
          <w:color w:val="auto"/>
          <w:kern w:val="0"/>
          <w:sz w:val="24"/>
          <w:highlight w:val="none"/>
        </w:rPr>
        <w:t>5．</w:t>
      </w:r>
      <w:bookmarkEnd w:id="95"/>
      <w:r>
        <w:rPr>
          <w:rFonts w:hint="eastAsia" w:ascii="宋体" w:hAnsi="宋体" w:cs="宋体"/>
          <w:b/>
          <w:bCs/>
          <w:snapToGrid w:val="0"/>
          <w:color w:val="auto"/>
          <w:kern w:val="0"/>
          <w:sz w:val="24"/>
          <w:highlight w:val="none"/>
        </w:rPr>
        <w:t>服务标准</w:t>
      </w:r>
      <w:bookmarkEnd w:id="96"/>
      <w:bookmarkEnd w:id="97"/>
      <w:bookmarkEnd w:id="98"/>
      <w:bookmarkEnd w:id="99"/>
      <w:bookmarkEnd w:id="100"/>
      <w:bookmarkEnd w:id="101"/>
      <w:bookmarkEnd w:id="102"/>
      <w:bookmarkEnd w:id="103"/>
      <w:bookmarkEnd w:id="104"/>
      <w:bookmarkEnd w:id="105"/>
    </w:p>
    <w:p w14:paraId="2718FA77">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5.1</w:t>
      </w:r>
      <w:r>
        <w:rPr>
          <w:rFonts w:hint="eastAsia" w:hAnsi="宋体" w:cs="宋体"/>
          <w:snapToGrid w:val="0"/>
          <w:color w:val="auto"/>
          <w:kern w:val="0"/>
          <w:highlight w:val="none"/>
        </w:rPr>
        <w:t xml:space="preserve"> 工程质量必须达到</w:t>
      </w:r>
      <w:r>
        <w:rPr>
          <w:rFonts w:hint="eastAsia" w:ascii="宋体" w:hAnsi="宋体" w:eastAsia="宋体" w:cs="宋体"/>
          <w:snapToGrid w:val="0"/>
          <w:color w:val="auto"/>
          <w:kern w:val="0"/>
          <w:highlight w:val="none"/>
          <w:u w:val="single"/>
        </w:rPr>
        <w:t>合格</w:t>
      </w:r>
      <w:r>
        <w:rPr>
          <w:rFonts w:hint="eastAsia" w:hAnsi="宋体" w:cs="宋体"/>
          <w:snapToGrid w:val="0"/>
          <w:color w:val="auto"/>
          <w:kern w:val="0"/>
          <w:highlight w:val="none"/>
        </w:rPr>
        <w:t>标准。</w:t>
      </w:r>
    </w:p>
    <w:p w14:paraId="152853D9">
      <w:pPr>
        <w:shd w:val="clear" w:color="auto" w:fill="auto"/>
        <w:wordWrap w:val="0"/>
        <w:adjustRightInd w:val="0"/>
        <w:snapToGrid w:val="0"/>
        <w:spacing w:line="440" w:lineRule="exact"/>
        <w:ind w:firstLine="482" w:firstLineChars="200"/>
        <w:rPr>
          <w:rFonts w:hint="eastAsia" w:hAnsi="宋体" w:cs="宋体"/>
          <w:b/>
          <w:snapToGrid w:val="0"/>
          <w:color w:val="auto"/>
          <w:highlight w:val="none"/>
        </w:rPr>
      </w:pPr>
      <w:r>
        <w:rPr>
          <w:rFonts w:hint="eastAsia" w:hAnsi="宋体" w:cs="宋体"/>
          <w:b/>
          <w:bCs/>
          <w:snapToGrid w:val="0"/>
          <w:color w:val="auto"/>
          <w:kern w:val="0"/>
          <w:highlight w:val="none"/>
        </w:rPr>
        <w:t>5.2</w:t>
      </w:r>
      <w:r>
        <w:rPr>
          <w:rFonts w:hint="eastAsia" w:hAnsi="宋体" w:cs="宋体"/>
          <w:snapToGrid w:val="0"/>
          <w:color w:val="auto"/>
          <w:kern w:val="0"/>
          <w:highlight w:val="none"/>
        </w:rPr>
        <w:t xml:space="preserve"> 根据韶关市人民政府《关于加快推进全市绿色建筑发展工作的通知》（韶府办明电〔2013〕277号）有关规定，</w:t>
      </w:r>
      <w:r>
        <w:rPr>
          <w:rFonts w:hint="eastAsia" w:hAnsi="宋体" w:cs="宋体"/>
          <w:color w:val="auto"/>
          <w:szCs w:val="24"/>
          <w:highlight w:val="none"/>
        </w:rPr>
        <w:t>本招标项目</w:t>
      </w:r>
      <w:r>
        <w:rPr>
          <w:rFonts w:hint="eastAsia" w:hAnsi="宋体" w:cs="宋体"/>
          <w:color w:val="auto"/>
          <w:szCs w:val="24"/>
          <w:highlight w:val="none"/>
          <w:lang w:val="en-US" w:eastAsia="zh-CN"/>
        </w:rPr>
        <w:t>不</w:t>
      </w:r>
      <w:r>
        <w:rPr>
          <w:rFonts w:hint="eastAsia" w:hAnsi="宋体" w:cs="宋体"/>
          <w:color w:val="auto"/>
          <w:szCs w:val="24"/>
          <w:highlight w:val="none"/>
          <w:u w:val="none"/>
        </w:rPr>
        <w:t>纳入</w:t>
      </w:r>
      <w:r>
        <w:rPr>
          <w:rFonts w:hint="eastAsia" w:hAnsi="宋体" w:cs="宋体"/>
          <w:color w:val="auto"/>
          <w:szCs w:val="24"/>
          <w:highlight w:val="none"/>
        </w:rPr>
        <w:t>绿色建设实施范围。</w:t>
      </w:r>
      <w:bookmarkStart w:id="106" w:name="_Hlt69699204"/>
      <w:bookmarkEnd w:id="106"/>
      <w:bookmarkStart w:id="107" w:name="_Hlt74496537"/>
      <w:bookmarkEnd w:id="107"/>
      <w:bookmarkStart w:id="108" w:name="_Hlt88974078"/>
      <w:bookmarkEnd w:id="108"/>
      <w:bookmarkStart w:id="109" w:name="_Hlt69356505"/>
      <w:bookmarkEnd w:id="109"/>
      <w:bookmarkStart w:id="110" w:name="_Hlt111690342"/>
      <w:bookmarkEnd w:id="110"/>
      <w:bookmarkStart w:id="111" w:name="_Hlt74493474"/>
      <w:bookmarkEnd w:id="111"/>
      <w:bookmarkStart w:id="112" w:name="_Hlt120502666"/>
      <w:bookmarkEnd w:id="112"/>
      <w:bookmarkStart w:id="113" w:name="_Hlt121563076"/>
      <w:bookmarkEnd w:id="113"/>
      <w:bookmarkStart w:id="114" w:name="_Toc2679"/>
    </w:p>
    <w:p w14:paraId="00A6C0CE">
      <w:pPr>
        <w:pStyle w:val="43"/>
        <w:shd w:val="clear" w:color="auto" w:fill="auto"/>
        <w:spacing w:line="360" w:lineRule="auto"/>
        <w:ind w:firstLine="482" w:firstLineChars="200"/>
        <w:jc w:val="left"/>
        <w:outlineLvl w:val="2"/>
        <w:rPr>
          <w:rFonts w:hint="eastAsia" w:ascii="宋体" w:hAnsi="宋体" w:cs="宋体"/>
          <w:b/>
          <w:bCs/>
          <w:snapToGrid w:val="0"/>
          <w:color w:val="auto"/>
          <w:kern w:val="0"/>
          <w:sz w:val="24"/>
          <w:highlight w:val="none"/>
        </w:rPr>
      </w:pPr>
      <w:bookmarkStart w:id="115" w:name="_Toc5261"/>
      <w:bookmarkStart w:id="116" w:name="_Toc15969"/>
      <w:bookmarkStart w:id="117" w:name="_Toc29725"/>
      <w:bookmarkStart w:id="118" w:name="_Toc15432"/>
      <w:bookmarkStart w:id="119" w:name="_Toc27367"/>
      <w:bookmarkStart w:id="120" w:name="_Toc32251"/>
      <w:bookmarkStart w:id="121" w:name="_Toc22917"/>
      <w:bookmarkStart w:id="122" w:name="_Toc26482"/>
      <w:bookmarkStart w:id="123" w:name="_Toc17914"/>
      <w:bookmarkStart w:id="124" w:name="_Toc10726"/>
      <w:r>
        <w:rPr>
          <w:rFonts w:hint="eastAsia" w:ascii="宋体" w:hAnsi="宋体" w:cs="宋体"/>
          <w:b/>
          <w:bCs/>
          <w:snapToGrid w:val="0"/>
          <w:color w:val="auto"/>
          <w:kern w:val="0"/>
          <w:sz w:val="24"/>
          <w:highlight w:val="none"/>
        </w:rPr>
        <w:t>6．现场踏勘</w:t>
      </w:r>
      <w:bookmarkEnd w:id="114"/>
      <w:bookmarkEnd w:id="115"/>
      <w:bookmarkEnd w:id="116"/>
      <w:bookmarkEnd w:id="117"/>
      <w:bookmarkEnd w:id="118"/>
      <w:bookmarkEnd w:id="119"/>
      <w:bookmarkEnd w:id="120"/>
      <w:bookmarkEnd w:id="121"/>
      <w:bookmarkEnd w:id="122"/>
      <w:bookmarkEnd w:id="123"/>
      <w:bookmarkEnd w:id="124"/>
    </w:p>
    <w:p w14:paraId="0FD87B4D">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6.1</w:t>
      </w:r>
      <w:r>
        <w:rPr>
          <w:rFonts w:hint="eastAsia" w:hAnsi="宋体" w:cs="宋体"/>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0A2B8B85">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6.2</w:t>
      </w:r>
      <w:r>
        <w:rPr>
          <w:rFonts w:hint="eastAsia" w:hAnsi="宋体" w:cs="宋体"/>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6CF48A57">
      <w:pPr>
        <w:shd w:val="clear" w:color="auto" w:fill="auto"/>
        <w:wordWrap w:val="0"/>
        <w:adjustRightInd w:val="0"/>
        <w:snapToGrid w:val="0"/>
        <w:spacing w:line="440" w:lineRule="exact"/>
        <w:ind w:firstLine="560"/>
        <w:rPr>
          <w:rFonts w:hint="eastAsia" w:hAnsi="宋体" w:cs="宋体"/>
          <w:b/>
          <w:snapToGrid w:val="0"/>
          <w:color w:val="auto"/>
          <w:highlight w:val="none"/>
        </w:rPr>
      </w:pPr>
      <w:r>
        <w:rPr>
          <w:rFonts w:hint="eastAsia" w:hAnsi="宋体" w:cs="宋体"/>
          <w:b/>
          <w:bCs/>
          <w:snapToGrid w:val="0"/>
          <w:color w:val="auto"/>
          <w:kern w:val="0"/>
          <w:highlight w:val="none"/>
        </w:rPr>
        <w:t>6.3</w:t>
      </w:r>
      <w:r>
        <w:rPr>
          <w:rFonts w:hint="eastAsia" w:hAnsi="宋体" w:cs="宋体"/>
          <w:snapToGrid w:val="0"/>
          <w:color w:val="auto"/>
          <w:kern w:val="0"/>
          <w:highlight w:val="none"/>
        </w:rPr>
        <w:t xml:space="preserve"> 现场踏勘期间的交通、食宿由投标人自行安排，费用自理。</w:t>
      </w:r>
      <w:bookmarkStart w:id="125" w:name="_Toc18204"/>
    </w:p>
    <w:p w14:paraId="078F9A45">
      <w:pPr>
        <w:shd w:val="clear" w:color="auto" w:fill="auto"/>
        <w:rPr>
          <w:rFonts w:hint="eastAsia"/>
          <w:color w:val="auto"/>
          <w:highlight w:val="none"/>
        </w:rPr>
      </w:pPr>
      <w:bookmarkStart w:id="126" w:name="_Toc6401"/>
      <w:bookmarkStart w:id="127" w:name="_Toc6787"/>
      <w:bookmarkStart w:id="128" w:name="_Toc16304"/>
      <w:bookmarkStart w:id="129" w:name="_Toc6725"/>
      <w:bookmarkStart w:id="130" w:name="_Toc8820"/>
      <w:bookmarkStart w:id="131" w:name="_Toc22022"/>
      <w:bookmarkStart w:id="132" w:name="_Toc30051"/>
      <w:bookmarkStart w:id="133" w:name="_Toc6981"/>
      <w:bookmarkStart w:id="134" w:name="_Toc15184"/>
      <w:bookmarkStart w:id="135" w:name="_Toc10436"/>
    </w:p>
    <w:p w14:paraId="04920163">
      <w:pPr>
        <w:pStyle w:val="4"/>
        <w:shd w:val="clear" w:color="auto" w:fill="auto"/>
        <w:jc w:val="left"/>
        <w:rPr>
          <w:rFonts w:hint="eastAsia" w:hAnsi="宋体" w:cs="宋体"/>
          <w:b/>
          <w:bCs/>
          <w:snapToGrid w:val="0"/>
          <w:color w:val="auto"/>
          <w:szCs w:val="24"/>
          <w:highlight w:val="none"/>
        </w:rPr>
      </w:pPr>
      <w:bookmarkStart w:id="136" w:name="_Toc23208"/>
      <w:r>
        <w:rPr>
          <w:rFonts w:hint="eastAsia" w:hAnsi="宋体" w:cs="宋体"/>
          <w:b/>
          <w:bCs/>
          <w:snapToGrid w:val="0"/>
          <w:color w:val="auto"/>
          <w:szCs w:val="24"/>
          <w:highlight w:val="none"/>
        </w:rPr>
        <w:t>7．招标文件的提问和答疑</w:t>
      </w:r>
      <w:bookmarkEnd w:id="125"/>
      <w:bookmarkEnd w:id="126"/>
      <w:bookmarkEnd w:id="127"/>
      <w:bookmarkEnd w:id="128"/>
      <w:bookmarkEnd w:id="129"/>
      <w:bookmarkEnd w:id="130"/>
      <w:bookmarkEnd w:id="131"/>
      <w:bookmarkEnd w:id="132"/>
      <w:bookmarkEnd w:id="133"/>
      <w:bookmarkEnd w:id="134"/>
      <w:bookmarkEnd w:id="135"/>
      <w:bookmarkEnd w:id="136"/>
      <w:bookmarkStart w:id="137" w:name="_Hlt74496410"/>
      <w:bookmarkEnd w:id="137"/>
    </w:p>
    <w:p w14:paraId="14411843">
      <w:pPr>
        <w:shd w:val="clear" w:color="auto" w:fill="auto"/>
        <w:wordWrap w:val="0"/>
        <w:adjustRightInd w:val="0"/>
        <w:snapToGrid w:val="0"/>
        <w:spacing w:line="440" w:lineRule="exact"/>
        <w:ind w:firstLine="482" w:firstLineChars="200"/>
        <w:rPr>
          <w:rFonts w:hint="eastAsia" w:hAnsi="宋体" w:cs="宋体"/>
          <w:snapToGrid w:val="0"/>
          <w:color w:val="auto"/>
          <w:kern w:val="0"/>
          <w:szCs w:val="24"/>
          <w:highlight w:val="none"/>
        </w:rPr>
      </w:pPr>
      <w:r>
        <w:rPr>
          <w:rFonts w:hint="eastAsia" w:hAnsi="宋体" w:cs="宋体"/>
          <w:b/>
          <w:bCs/>
          <w:snapToGrid w:val="0"/>
          <w:color w:val="auto"/>
          <w:kern w:val="0"/>
          <w:highlight w:val="none"/>
        </w:rPr>
        <w:t>7.1</w:t>
      </w:r>
      <w:r>
        <w:rPr>
          <w:rFonts w:hint="eastAsia" w:hAnsi="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highlight w:val="none"/>
        </w:rPr>
        <w:t>。</w:t>
      </w:r>
    </w:p>
    <w:p w14:paraId="1D6CB74C">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 xml:space="preserve">7.2 </w:t>
      </w:r>
      <w:r>
        <w:rPr>
          <w:rFonts w:hint="eastAsia" w:hAnsi="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33A7B475">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7.3</w:t>
      </w:r>
      <w:r>
        <w:rPr>
          <w:rFonts w:hint="eastAsia" w:hAnsi="宋体" w:cs="宋体"/>
          <w:snapToGrid w:val="0"/>
          <w:color w:val="auto"/>
          <w:kern w:val="0"/>
          <w:highlight w:val="none"/>
        </w:rPr>
        <w:t xml:space="preserve"> 招标人对招标文件所作的答疑（或修改）公告，构成招标文件的组成部分。</w:t>
      </w:r>
    </w:p>
    <w:p w14:paraId="31CE441E">
      <w:pPr>
        <w:shd w:val="clear" w:color="auto" w:fill="auto"/>
        <w:wordWrap w:val="0"/>
        <w:adjustRightInd w:val="0"/>
        <w:snapToGrid w:val="0"/>
        <w:spacing w:line="440" w:lineRule="exact"/>
        <w:ind w:firstLine="560"/>
        <w:rPr>
          <w:rFonts w:hint="eastAsia" w:hAnsi="宋体" w:cs="宋体"/>
          <w:snapToGrid w:val="0"/>
          <w:color w:val="auto"/>
          <w:kern w:val="0"/>
          <w:highlight w:val="none"/>
        </w:rPr>
      </w:pPr>
    </w:p>
    <w:p w14:paraId="4283CAFC">
      <w:pPr>
        <w:pStyle w:val="4"/>
        <w:shd w:val="clear" w:color="auto" w:fill="auto"/>
        <w:jc w:val="left"/>
        <w:rPr>
          <w:rFonts w:hint="eastAsia" w:hAnsi="宋体" w:cs="宋体"/>
          <w:b/>
          <w:snapToGrid w:val="0"/>
          <w:color w:val="auto"/>
          <w:highlight w:val="none"/>
        </w:rPr>
      </w:pPr>
      <w:bookmarkStart w:id="138" w:name="_Hlt92513715"/>
      <w:bookmarkEnd w:id="138"/>
      <w:bookmarkStart w:id="139" w:name="_Hlt92513711"/>
      <w:bookmarkEnd w:id="139"/>
      <w:bookmarkStart w:id="140" w:name="_Hlt69699188"/>
      <w:bookmarkEnd w:id="140"/>
      <w:bookmarkStart w:id="141" w:name="_Toc24190"/>
      <w:bookmarkStart w:id="142" w:name="_Toc957"/>
      <w:bookmarkStart w:id="143" w:name="_Toc14436"/>
      <w:bookmarkStart w:id="144" w:name="_Toc7759"/>
      <w:bookmarkStart w:id="145" w:name="_Toc3519"/>
      <w:bookmarkStart w:id="146" w:name="_Toc21586"/>
      <w:bookmarkStart w:id="147" w:name="_Toc23139"/>
      <w:bookmarkStart w:id="148" w:name="_Toc18725"/>
      <w:bookmarkStart w:id="149" w:name="_Toc1345"/>
      <w:bookmarkStart w:id="150" w:name="_Toc15770"/>
      <w:bookmarkStart w:id="151" w:name="_Toc32242"/>
      <w:bookmarkStart w:id="152" w:name="_Toc29680"/>
      <w:r>
        <w:rPr>
          <w:rFonts w:hint="eastAsia" w:hAnsi="宋体" w:cs="宋体"/>
          <w:b/>
          <w:snapToGrid w:val="0"/>
          <w:color w:val="auto"/>
          <w:highlight w:val="none"/>
        </w:rPr>
        <w:t>8．最高投标限价</w:t>
      </w:r>
      <w:bookmarkEnd w:id="141"/>
      <w:bookmarkEnd w:id="142"/>
      <w:bookmarkEnd w:id="143"/>
      <w:bookmarkEnd w:id="144"/>
      <w:bookmarkEnd w:id="145"/>
      <w:bookmarkEnd w:id="146"/>
      <w:bookmarkEnd w:id="147"/>
      <w:bookmarkEnd w:id="148"/>
      <w:bookmarkEnd w:id="149"/>
      <w:bookmarkEnd w:id="150"/>
      <w:bookmarkEnd w:id="151"/>
    </w:p>
    <w:p w14:paraId="349160F7">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8.1</w:t>
      </w:r>
      <w:r>
        <w:rPr>
          <w:rFonts w:hint="eastAsia" w:hAnsi="宋体" w:cs="宋体"/>
          <w:snapToGrid w:val="0"/>
          <w:color w:val="auto"/>
          <w:kern w:val="0"/>
          <w:highlight w:val="none"/>
        </w:rPr>
        <w:t xml:space="preserve"> 本招标项目参考以下依据编制最高投标限价：</w:t>
      </w:r>
    </w:p>
    <w:p w14:paraId="364B5DAF">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（1）项目</w:t>
      </w:r>
      <w:r>
        <w:rPr>
          <w:rFonts w:hint="eastAsia" w:ascii="Times New Roman"/>
          <w:snapToGrid w:val="0"/>
          <w:color w:val="auto"/>
          <w:kern w:val="0"/>
          <w:highlight w:val="none"/>
          <w:u w:val="single"/>
        </w:rPr>
        <w:t>概算</w:t>
      </w:r>
      <w:r>
        <w:rPr>
          <w:rFonts w:hint="eastAsia" w:hAnsi="宋体" w:cs="宋体"/>
          <w:snapToGrid w:val="0"/>
          <w:color w:val="auto"/>
          <w:kern w:val="0"/>
          <w:highlight w:val="none"/>
        </w:rPr>
        <w:t>投资额</w:t>
      </w:r>
      <w:r>
        <w:rPr>
          <w:rFonts w:hint="eastAsia" w:hAnsi="宋体" w:cs="宋体"/>
          <w:snapToGrid w:val="0"/>
          <w:color w:val="auto"/>
          <w:kern w:val="0"/>
          <w:highlight w:val="none"/>
          <w:lang w:eastAsia="zh-CN"/>
        </w:rPr>
        <w:t>（</w:t>
      </w:r>
      <w:r>
        <w:rPr>
          <w:rFonts w:hint="eastAsia" w:hAnsi="宋体" w:cs="宋体"/>
          <w:snapToGrid w:val="0"/>
          <w:color w:val="auto"/>
          <w:kern w:val="0"/>
          <w:highlight w:val="none"/>
          <w:lang w:val="en-US" w:eastAsia="zh-CN"/>
        </w:rPr>
        <w:t>参考建安费</w:t>
      </w:r>
      <w:r>
        <w:rPr>
          <w:rFonts w:hint="eastAsia" w:hAnsi="宋体" w:cs="宋体"/>
          <w:snapToGrid w:val="0"/>
          <w:color w:val="auto"/>
          <w:kern w:val="0"/>
          <w:highlight w:val="none"/>
          <w:lang w:eastAsia="zh-CN"/>
        </w:rPr>
        <w:t>）</w:t>
      </w:r>
      <w:r>
        <w:rPr>
          <w:rFonts w:hint="eastAsia" w:hAnsi="宋体" w:cs="宋体"/>
          <w:snapToGrid w:val="0"/>
          <w:color w:val="auto"/>
          <w:kern w:val="0"/>
          <w:highlight w:val="none"/>
        </w:rPr>
        <w:t>；</w:t>
      </w:r>
    </w:p>
    <w:p w14:paraId="3AE7B941">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（2）《建设工程监理与相关服务收费标准》；</w:t>
      </w:r>
    </w:p>
    <w:p w14:paraId="473074A7">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（3）监理及相关服务内容；</w:t>
      </w:r>
    </w:p>
    <w:p w14:paraId="56C47C46">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（4）施工现场情况、工程特点；</w:t>
      </w:r>
    </w:p>
    <w:p w14:paraId="6A04851F">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（5）项目所在地市场价格。</w:t>
      </w:r>
    </w:p>
    <w:p w14:paraId="583297F7">
      <w:pPr>
        <w:shd w:val="clear" w:color="auto" w:fill="auto"/>
        <w:wordWrap w:val="0"/>
        <w:adjustRightInd w:val="0"/>
        <w:snapToGrid w:val="0"/>
        <w:spacing w:line="440" w:lineRule="exact"/>
        <w:ind w:firstLine="482" w:firstLineChars="200"/>
        <w:rPr>
          <w:rFonts w:hint="default" w:hAnsi="宋体" w:cs="宋体"/>
          <w:b/>
          <w:snapToGrid w:val="0"/>
          <w:color w:val="auto"/>
          <w:highlight w:val="none"/>
          <w:u w:val="single"/>
          <w:lang w:val="en-US"/>
        </w:rPr>
      </w:pPr>
      <w:bookmarkStart w:id="153" w:name="_Toc21815"/>
      <w:bookmarkStart w:id="154" w:name="_Toc22817"/>
      <w:bookmarkStart w:id="155" w:name="_Toc5916"/>
      <w:bookmarkStart w:id="156" w:name="_Toc15920"/>
      <w:bookmarkStart w:id="157" w:name="_Toc2756"/>
      <w:bookmarkStart w:id="158" w:name="_Toc30700"/>
      <w:bookmarkStart w:id="159" w:name="_Toc26159"/>
      <w:bookmarkStart w:id="160" w:name="_Toc9190"/>
      <w:bookmarkStart w:id="161" w:name="_Toc22072"/>
      <w:bookmarkStart w:id="162" w:name="_Toc24249"/>
      <w:bookmarkStart w:id="163" w:name="_Toc18554"/>
      <w:r>
        <w:rPr>
          <w:rFonts w:hint="eastAsia" w:hAnsi="宋体" w:cs="宋体"/>
          <w:b/>
          <w:bCs/>
          <w:snapToGrid w:val="0"/>
          <w:color w:val="auto"/>
          <w:kern w:val="0"/>
          <w:highlight w:val="none"/>
        </w:rPr>
        <w:t>8.2</w:t>
      </w:r>
      <w:r>
        <w:rPr>
          <w:rFonts w:hint="eastAsia" w:hAnsi="宋体" w:cs="宋体"/>
          <w:snapToGrid w:val="0"/>
          <w:color w:val="auto"/>
          <w:kern w:val="0"/>
          <w:highlight w:val="none"/>
        </w:rPr>
        <w:t xml:space="preserve"> </w:t>
      </w:r>
      <w:r>
        <w:rPr>
          <w:rFonts w:hint="eastAsia" w:hAnsi="宋体" w:eastAsia="宋体" w:cs="Times New Roman"/>
          <w:color w:val="auto"/>
          <w:highlight w:val="none"/>
          <w:lang w:val="en-US" w:eastAsia="zh-CN"/>
        </w:rPr>
        <w:t>本项目最高投标限价</w:t>
      </w:r>
      <w:r>
        <w:rPr>
          <w:rFonts w:hint="eastAsia" w:hAnsi="宋体" w:cs="Times New Roman"/>
          <w:color w:val="auto"/>
          <w:highlight w:val="none"/>
          <w:lang w:val="en-US" w:eastAsia="zh-CN"/>
        </w:rPr>
        <w:t>为人民币（大写）:</w:t>
      </w:r>
      <w:r>
        <w:rPr>
          <w:rFonts w:hint="eastAsia" w:hAnsi="宋体" w:cs="Times New Roman"/>
          <w:color w:val="auto"/>
          <w:highlight w:val="none"/>
          <w:u w:val="single"/>
          <w:lang w:val="en-US" w:eastAsia="zh-CN"/>
        </w:rPr>
        <w:t>叁拾万零捌仟陆佰柒拾捌元伍角整(</w:t>
      </w:r>
      <w:r>
        <w:rPr>
          <w:rFonts w:hint="default" w:ascii="Arial" w:hAnsi="Arial" w:cs="Arial"/>
          <w:color w:val="auto"/>
          <w:highlight w:val="none"/>
          <w:u w:val="single"/>
          <w:lang w:val="en-US" w:eastAsia="zh-CN"/>
        </w:rPr>
        <w:t>¥</w:t>
      </w:r>
      <w:r>
        <w:rPr>
          <w:rFonts w:hint="eastAsia" w:hAnsi="宋体" w:cs="Times New Roman"/>
          <w:color w:val="auto"/>
          <w:highlight w:val="none"/>
          <w:u w:val="single"/>
          <w:lang w:val="en-US" w:eastAsia="zh-CN"/>
        </w:rPr>
        <w:t>308678.50)；监理服务费投标取费费率上限为1.790%。</w:t>
      </w:r>
    </w:p>
    <w:p w14:paraId="39A32718">
      <w:pPr>
        <w:pStyle w:val="4"/>
        <w:shd w:val="clear" w:color="auto" w:fill="auto"/>
        <w:jc w:val="left"/>
        <w:rPr>
          <w:rFonts w:hint="eastAsia" w:hAnsi="宋体" w:cs="宋体"/>
          <w:b/>
          <w:snapToGrid w:val="0"/>
          <w:color w:val="auto"/>
          <w:highlight w:val="none"/>
        </w:rPr>
      </w:pPr>
      <w:r>
        <w:rPr>
          <w:rFonts w:hint="eastAsia" w:hAnsi="宋体" w:cs="宋体"/>
          <w:b/>
          <w:snapToGrid w:val="0"/>
          <w:color w:val="auto"/>
          <w:highlight w:val="none"/>
        </w:rPr>
        <w:t>9．投标报价</w:t>
      </w:r>
      <w:bookmarkEnd w:id="152"/>
      <w:bookmarkEnd w:id="153"/>
      <w:bookmarkEnd w:id="154"/>
      <w:bookmarkEnd w:id="155"/>
      <w:bookmarkEnd w:id="156"/>
      <w:bookmarkEnd w:id="157"/>
      <w:bookmarkEnd w:id="158"/>
      <w:bookmarkEnd w:id="159"/>
      <w:bookmarkEnd w:id="160"/>
      <w:bookmarkEnd w:id="161"/>
      <w:bookmarkEnd w:id="162"/>
      <w:bookmarkEnd w:id="163"/>
      <w:bookmarkStart w:id="164" w:name="_Hlt74498519"/>
      <w:bookmarkEnd w:id="164"/>
    </w:p>
    <w:p w14:paraId="0CD36A35">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9.1</w:t>
      </w:r>
      <w:r>
        <w:rPr>
          <w:rFonts w:hint="eastAsia" w:ascii="Times New Roman"/>
          <w:snapToGrid w:val="0"/>
          <w:color w:val="auto"/>
          <w:kern w:val="0"/>
          <w:highlight w:val="none"/>
        </w:rPr>
        <w:t xml:space="preserve"> 本次招标采用填报</w:t>
      </w:r>
      <w:r>
        <w:rPr>
          <w:rFonts w:hint="eastAsia" w:ascii="Times New Roman"/>
          <w:snapToGrid w:val="0"/>
          <w:color w:val="auto"/>
          <w:kern w:val="0"/>
          <w:sz w:val="24"/>
          <w:szCs w:val="24"/>
          <w:highlight w:val="none"/>
          <w:u w:val="single"/>
        </w:rPr>
        <w:t>价格和取费费率</w:t>
      </w:r>
      <w:r>
        <w:rPr>
          <w:rFonts w:hint="eastAsia" w:ascii="Times New Roman"/>
          <w:snapToGrid w:val="0"/>
          <w:color w:val="auto"/>
          <w:kern w:val="0"/>
          <w:highlight w:val="none"/>
        </w:rPr>
        <w:t>的方式进行报价。投标人应在《投标函》（格式二）中进行报价并填写《监理及相关服务报酬清单》（格式十</w:t>
      </w:r>
      <w:r>
        <w:rPr>
          <w:rFonts w:hint="eastAsia" w:ascii="Times New Roman"/>
          <w:snapToGrid w:val="0"/>
          <w:color w:val="auto"/>
          <w:kern w:val="0"/>
          <w:highlight w:val="none"/>
          <w:lang w:val="en-US" w:eastAsia="zh-CN"/>
        </w:rPr>
        <w:t>三</w:t>
      </w:r>
      <w:r>
        <w:rPr>
          <w:rFonts w:hint="eastAsia" w:ascii="Times New Roman"/>
          <w:snapToGrid w:val="0"/>
          <w:color w:val="auto"/>
          <w:kern w:val="0"/>
          <w:highlight w:val="none"/>
        </w:rPr>
        <w:t>）。</w:t>
      </w:r>
    </w:p>
    <w:p w14:paraId="087D86A8">
      <w:pPr>
        <w:shd w:val="clear" w:color="auto" w:fill="auto"/>
        <w:wordWrap w:val="0"/>
        <w:adjustRightInd w:val="0"/>
        <w:snapToGrid w:val="0"/>
        <w:spacing w:line="440" w:lineRule="exact"/>
        <w:ind w:firstLine="482" w:firstLineChars="200"/>
        <w:rPr>
          <w:rFonts w:hint="eastAsia" w:ascii="Times New Roman"/>
          <w:b w:val="0"/>
          <w:bCs w:val="0"/>
          <w:snapToGrid w:val="0"/>
          <w:color w:val="auto"/>
          <w:kern w:val="0"/>
          <w:highlight w:val="none"/>
        </w:rPr>
      </w:pPr>
      <w:r>
        <w:rPr>
          <w:rFonts w:hint="eastAsia" w:ascii="Times New Roman"/>
          <w:b/>
          <w:bCs/>
          <w:snapToGrid w:val="0"/>
          <w:color w:val="auto"/>
          <w:kern w:val="0"/>
          <w:highlight w:val="none"/>
        </w:rPr>
        <w:t>9.2</w:t>
      </w:r>
      <w:r>
        <w:rPr>
          <w:rFonts w:hint="eastAsia" w:ascii="Times New Roman"/>
          <w:snapToGrid w:val="0"/>
          <w:color w:val="auto"/>
          <w:kern w:val="0"/>
          <w:highlight w:val="none"/>
        </w:rPr>
        <w:t xml:space="preserve"> 所有报价均以人民币“元”为单位，并</w:t>
      </w:r>
      <w:r>
        <w:rPr>
          <w:rFonts w:hint="eastAsia" w:ascii="Times New Roman"/>
          <w:snapToGrid w:val="0"/>
          <w:color w:val="auto"/>
          <w:kern w:val="0"/>
          <w:highlight w:val="none"/>
          <w:lang w:val="en-US" w:eastAsia="zh-CN"/>
        </w:rPr>
        <w:t>按“四舍五入”原则精确到</w:t>
      </w:r>
      <w:r>
        <w:rPr>
          <w:rFonts w:hint="eastAsia" w:ascii="Times New Roman"/>
          <w:snapToGrid w:val="0"/>
          <w:color w:val="auto"/>
          <w:kern w:val="0"/>
          <w:highlight w:val="none"/>
        </w:rPr>
        <w:t>两位小数；</w:t>
      </w:r>
      <w:r>
        <w:rPr>
          <w:rFonts w:hint="eastAsia" w:ascii="Times New Roman"/>
          <w:b/>
          <w:bCs/>
          <w:snapToGrid w:val="0"/>
          <w:color w:val="auto"/>
          <w:kern w:val="0"/>
          <w:highlight w:val="none"/>
        </w:rPr>
        <w:t>投标取费费率＝投标总价÷建安工程费暂定价×100%，</w:t>
      </w:r>
      <w:r>
        <w:rPr>
          <w:rFonts w:hint="eastAsia" w:ascii="Times New Roman"/>
          <w:b w:val="0"/>
          <w:bCs w:val="0"/>
          <w:snapToGrid w:val="0"/>
          <w:color w:val="auto"/>
          <w:kern w:val="0"/>
          <w:highlight w:val="none"/>
        </w:rPr>
        <w:t>并</w:t>
      </w:r>
      <w:r>
        <w:rPr>
          <w:rFonts w:hint="eastAsia" w:ascii="Times New Roman"/>
          <w:b w:val="0"/>
          <w:bCs w:val="0"/>
          <w:snapToGrid w:val="0"/>
          <w:color w:val="auto"/>
          <w:kern w:val="0"/>
          <w:highlight w:val="none"/>
          <w:lang w:val="en-US" w:eastAsia="zh-CN"/>
        </w:rPr>
        <w:t>按“四舍五入”原则精确到</w:t>
      </w:r>
      <w:r>
        <w:rPr>
          <w:rFonts w:hint="eastAsia" w:ascii="Times New Roman"/>
          <w:b w:val="0"/>
          <w:bCs w:val="0"/>
          <w:snapToGrid w:val="0"/>
          <w:color w:val="auto"/>
          <w:kern w:val="0"/>
          <w:highlight w:val="none"/>
          <w:u w:val="single"/>
        </w:rPr>
        <w:t xml:space="preserve"> </w:t>
      </w:r>
      <w:r>
        <w:rPr>
          <w:rFonts w:hint="eastAsia" w:ascii="Times New Roman"/>
          <w:b w:val="0"/>
          <w:bCs w:val="0"/>
          <w:snapToGrid w:val="0"/>
          <w:color w:val="auto"/>
          <w:kern w:val="0"/>
          <w:highlight w:val="none"/>
          <w:u w:val="single"/>
          <w:lang w:val="en-US" w:eastAsia="zh-CN"/>
        </w:rPr>
        <w:t>三</w:t>
      </w:r>
      <w:r>
        <w:rPr>
          <w:rFonts w:hint="eastAsia" w:ascii="Times New Roman"/>
          <w:b w:val="0"/>
          <w:bCs w:val="0"/>
          <w:snapToGrid w:val="0"/>
          <w:color w:val="auto"/>
          <w:kern w:val="0"/>
          <w:highlight w:val="none"/>
          <w:u w:val="single"/>
        </w:rPr>
        <w:t xml:space="preserve"> </w:t>
      </w:r>
      <w:r>
        <w:rPr>
          <w:rFonts w:hint="eastAsia" w:ascii="Times New Roman"/>
          <w:b w:val="0"/>
          <w:bCs w:val="0"/>
          <w:snapToGrid w:val="0"/>
          <w:color w:val="auto"/>
          <w:kern w:val="0"/>
          <w:highlight w:val="none"/>
        </w:rPr>
        <w:t>位小数。</w:t>
      </w:r>
    </w:p>
    <w:p w14:paraId="396A654B">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ascii="Times New Roman"/>
          <w:b/>
          <w:bCs/>
          <w:snapToGrid w:val="0"/>
          <w:color w:val="auto"/>
          <w:kern w:val="0"/>
          <w:highlight w:val="none"/>
        </w:rPr>
        <w:t>9.3</w:t>
      </w:r>
      <w:r>
        <w:rPr>
          <w:rFonts w:hint="eastAsia" w:ascii="Times New Roman"/>
          <w:snapToGrid w:val="0"/>
          <w:color w:val="auto"/>
          <w:kern w:val="0"/>
          <w:highlight w:val="none"/>
        </w:rPr>
        <w:t xml:space="preserve"> 投标人只允许有一个投标总价。投标总价必须同时用大、小写表示，大、小写报价应保持一致，若不一致，以大写报价为准。</w:t>
      </w:r>
    </w:p>
    <w:p w14:paraId="43712080">
      <w:pPr>
        <w:shd w:val="clear" w:color="auto" w:fill="auto"/>
        <w:wordWrap w:val="0"/>
        <w:adjustRightInd w:val="0"/>
        <w:snapToGrid w:val="0"/>
        <w:spacing w:line="440" w:lineRule="exact"/>
        <w:ind w:firstLine="482" w:firstLineChars="200"/>
        <w:rPr>
          <w:rFonts w:hint="eastAsia" w:hAnsi="宋体" w:eastAsia="宋体" w:cs="宋体"/>
          <w:snapToGrid w:val="0"/>
          <w:color w:val="auto"/>
          <w:kern w:val="0"/>
          <w:highlight w:val="none"/>
          <w:lang w:eastAsia="zh-CN"/>
        </w:rPr>
      </w:pPr>
      <w:r>
        <w:rPr>
          <w:rFonts w:hint="eastAsia" w:hAnsi="宋体" w:cs="宋体"/>
          <w:b/>
          <w:bCs/>
          <w:snapToGrid w:val="0"/>
          <w:color w:val="auto"/>
          <w:kern w:val="0"/>
          <w:highlight w:val="none"/>
        </w:rPr>
        <w:t>9.</w:t>
      </w:r>
      <w:r>
        <w:rPr>
          <w:rFonts w:hint="eastAsia" w:hAnsi="宋体" w:cs="宋体"/>
          <w:b/>
          <w:bCs/>
          <w:snapToGrid w:val="0"/>
          <w:color w:val="auto"/>
          <w:kern w:val="0"/>
          <w:highlight w:val="none"/>
          <w:lang w:val="en-US" w:eastAsia="zh-CN"/>
        </w:rPr>
        <w:t>4</w:t>
      </w:r>
      <w:r>
        <w:rPr>
          <w:rFonts w:hint="eastAsia" w:hAnsi="宋体" w:cs="宋体"/>
          <w:snapToGrid w:val="0"/>
          <w:color w:val="auto"/>
          <w:kern w:val="0"/>
          <w:highlight w:val="none"/>
        </w:rPr>
        <w:t xml:space="preserve"> 投标总价应包括国家规定的增值税税金。</w:t>
      </w:r>
      <w:r>
        <w:rPr>
          <w:rFonts w:hint="eastAsia" w:ascii="Times New Roman"/>
          <w:snapToGrid w:val="0"/>
          <w:color w:val="auto"/>
          <w:kern w:val="0"/>
          <w:highlight w:val="none"/>
        </w:rPr>
        <w:t>本次招标增值税税金按</w:t>
      </w:r>
      <w:r>
        <w:rPr>
          <w:rFonts w:hint="eastAsia" w:ascii="Times New Roman"/>
          <w:snapToGrid w:val="0"/>
          <w:color w:val="auto"/>
          <w:kern w:val="0"/>
          <w:highlight w:val="none"/>
          <w:u w:val="single"/>
        </w:rPr>
        <w:t xml:space="preserve"> 一般 </w:t>
      </w:r>
      <w:r>
        <w:rPr>
          <w:rFonts w:hint="eastAsia" w:ascii="Times New Roman"/>
          <w:snapToGrid w:val="0"/>
          <w:color w:val="auto"/>
          <w:kern w:val="0"/>
          <w:highlight w:val="none"/>
        </w:rPr>
        <w:t>计税方法计算</w:t>
      </w:r>
      <w:r>
        <w:rPr>
          <w:rFonts w:hint="eastAsia" w:ascii="Times New Roman"/>
          <w:snapToGrid w:val="0"/>
          <w:color w:val="auto"/>
          <w:kern w:val="0"/>
          <w:highlight w:val="none"/>
          <w:lang w:eastAsia="zh-CN"/>
        </w:rPr>
        <w:t>。</w:t>
      </w:r>
    </w:p>
    <w:p w14:paraId="2DD75466">
      <w:pPr>
        <w:shd w:val="clear" w:color="auto" w:fill="auto"/>
        <w:wordWrap w:val="0"/>
        <w:adjustRightInd w:val="0"/>
        <w:snapToGrid w:val="0"/>
        <w:spacing w:line="440" w:lineRule="exact"/>
        <w:ind w:firstLine="482" w:firstLineChars="200"/>
        <w:rPr>
          <w:rFonts w:hint="eastAsia" w:ascii="宋体" w:hAnsi="宋体" w:cs="宋体"/>
          <w:color w:val="auto"/>
          <w:highlight w:val="none"/>
        </w:rPr>
      </w:pPr>
      <w:r>
        <w:rPr>
          <w:rFonts w:hint="eastAsia" w:hAnsi="宋体" w:cs="宋体"/>
          <w:b/>
          <w:bCs/>
          <w:snapToGrid w:val="0"/>
          <w:color w:val="auto"/>
          <w:kern w:val="0"/>
          <w:highlight w:val="none"/>
        </w:rPr>
        <w:t>9.</w:t>
      </w:r>
      <w:r>
        <w:rPr>
          <w:rFonts w:hint="eastAsia" w:hAnsi="宋体" w:cs="宋体"/>
          <w:b/>
          <w:bCs/>
          <w:snapToGrid w:val="0"/>
          <w:color w:val="auto"/>
          <w:kern w:val="0"/>
          <w:highlight w:val="none"/>
          <w:lang w:val="en-US" w:eastAsia="zh-CN"/>
        </w:rPr>
        <w:t>5</w:t>
      </w:r>
      <w:r>
        <w:rPr>
          <w:rFonts w:hint="eastAsia" w:hAnsi="宋体" w:cs="宋体"/>
          <w:snapToGrid w:val="0"/>
          <w:color w:val="auto"/>
          <w:kern w:val="0"/>
          <w:highlight w:val="none"/>
        </w:rPr>
        <w:t xml:space="preserve"> 投标总价不得高于最高投标限价，也不得低于成本。投标总价的所有优惠（降价、让利等），均应在《监理及相关服务报酬清单》（格式十</w:t>
      </w:r>
      <w:r>
        <w:rPr>
          <w:rFonts w:hint="eastAsia" w:hAnsi="宋体" w:cs="宋体"/>
          <w:snapToGrid w:val="0"/>
          <w:color w:val="auto"/>
          <w:kern w:val="0"/>
          <w:highlight w:val="none"/>
          <w:lang w:val="en-US" w:eastAsia="zh-CN"/>
        </w:rPr>
        <w:t>三</w:t>
      </w:r>
      <w:r>
        <w:rPr>
          <w:rFonts w:hint="eastAsia" w:hAnsi="宋体" w:cs="宋体"/>
          <w:snapToGrid w:val="0"/>
          <w:color w:val="auto"/>
          <w:kern w:val="0"/>
          <w:highlight w:val="none"/>
        </w:rPr>
        <w:t>）中反映。</w:t>
      </w:r>
    </w:p>
    <w:p w14:paraId="6577D5FD">
      <w:pPr>
        <w:shd w:val="clear" w:color="auto" w:fill="auto"/>
        <w:wordWrap w:val="0"/>
        <w:adjustRightInd w:val="0"/>
        <w:snapToGrid w:val="0"/>
        <w:spacing w:line="440" w:lineRule="exact"/>
        <w:ind w:firstLine="482" w:firstLineChars="200"/>
        <w:rPr>
          <w:rFonts w:hint="eastAsia" w:ascii="宋体" w:hAnsi="宋体" w:cs="宋体"/>
          <w:color w:val="auto"/>
          <w:highlight w:val="none"/>
        </w:rPr>
      </w:pPr>
      <w:r>
        <w:rPr>
          <w:rFonts w:hint="eastAsia" w:hAnsi="宋体" w:cs="宋体"/>
          <w:b/>
          <w:bCs/>
          <w:snapToGrid w:val="0"/>
          <w:color w:val="auto"/>
          <w:kern w:val="0"/>
          <w:highlight w:val="none"/>
        </w:rPr>
        <w:t>9.</w:t>
      </w:r>
      <w:r>
        <w:rPr>
          <w:rFonts w:hint="eastAsia" w:hAnsi="宋体" w:cs="宋体"/>
          <w:b/>
          <w:bCs/>
          <w:snapToGrid w:val="0"/>
          <w:color w:val="auto"/>
          <w:kern w:val="0"/>
          <w:highlight w:val="none"/>
          <w:lang w:val="en-US" w:eastAsia="zh-CN"/>
        </w:rPr>
        <w:t>6</w:t>
      </w:r>
      <w:r>
        <w:rPr>
          <w:rFonts w:hint="eastAsia" w:hAnsi="宋体" w:cs="宋体"/>
          <w:snapToGrid w:val="0"/>
          <w:color w:val="auto"/>
          <w:kern w:val="0"/>
          <w:highlight w:val="none"/>
        </w:rPr>
        <w:t xml:space="preserve"> 投标人应充分了解招标项目的总体情况以及影响投标报价的其他要素。</w:t>
      </w:r>
    </w:p>
    <w:p w14:paraId="4D1D086F">
      <w:pPr>
        <w:pStyle w:val="4"/>
        <w:shd w:val="clear" w:color="auto" w:fill="auto"/>
        <w:jc w:val="left"/>
        <w:rPr>
          <w:rFonts w:hint="eastAsia" w:hAnsi="宋体" w:cs="宋体"/>
          <w:b/>
          <w:snapToGrid w:val="0"/>
          <w:color w:val="auto"/>
          <w:highlight w:val="none"/>
        </w:rPr>
      </w:pPr>
      <w:bookmarkStart w:id="165" w:name="_（十）投标文件的编制、包装、密封"/>
      <w:bookmarkEnd w:id="165"/>
      <w:bookmarkStart w:id="166" w:name="_Toc11933"/>
      <w:bookmarkStart w:id="167" w:name="_Toc27146"/>
      <w:bookmarkStart w:id="168" w:name="_Toc15406"/>
      <w:bookmarkStart w:id="169" w:name="_Toc7646"/>
      <w:bookmarkStart w:id="170" w:name="_Toc28756"/>
      <w:bookmarkStart w:id="171" w:name="_Toc15831"/>
      <w:bookmarkStart w:id="172" w:name="_Toc1394"/>
      <w:bookmarkStart w:id="173" w:name="_Toc28199"/>
      <w:bookmarkStart w:id="174" w:name="_Toc28889"/>
      <w:bookmarkStart w:id="175" w:name="_Toc25728"/>
      <w:bookmarkStart w:id="176" w:name="_Toc22075"/>
      <w:bookmarkStart w:id="177" w:name="_Toc21396"/>
    </w:p>
    <w:p w14:paraId="37C52ED3">
      <w:pPr>
        <w:pStyle w:val="4"/>
        <w:shd w:val="clear" w:color="auto" w:fill="auto"/>
        <w:jc w:val="left"/>
        <w:rPr>
          <w:rFonts w:hint="eastAsia" w:hAnsi="宋体" w:cs="宋体"/>
          <w:b/>
          <w:strike/>
          <w:snapToGrid w:val="0"/>
          <w:color w:val="auto"/>
          <w:highlight w:val="none"/>
        </w:rPr>
      </w:pPr>
      <w:r>
        <w:rPr>
          <w:rFonts w:hint="eastAsia" w:hAnsi="宋体" w:cs="宋体"/>
          <w:b/>
          <w:snapToGrid w:val="0"/>
          <w:color w:val="auto"/>
          <w:highlight w:val="none"/>
        </w:rPr>
        <w:t>10．投标文件的编制</w:t>
      </w:r>
      <w:bookmarkStart w:id="178" w:name="_Hlt69208262"/>
      <w:bookmarkEnd w:id="178"/>
      <w:bookmarkStart w:id="179" w:name="_Hlt69332370"/>
      <w:bookmarkEnd w:id="179"/>
      <w:r>
        <w:rPr>
          <w:rFonts w:hint="eastAsia" w:hAnsi="宋体" w:cs="宋体"/>
          <w:b/>
          <w:snapToGrid w:val="0"/>
          <w:color w:val="auto"/>
          <w:highlight w:val="none"/>
        </w:rPr>
        <w:t>要求</w:t>
      </w:r>
      <w:bookmarkEnd w:id="166"/>
      <w:bookmarkEnd w:id="167"/>
      <w:bookmarkEnd w:id="168"/>
      <w:bookmarkEnd w:id="169"/>
      <w:bookmarkEnd w:id="170"/>
      <w:bookmarkEnd w:id="171"/>
      <w:bookmarkEnd w:id="172"/>
      <w:bookmarkEnd w:id="173"/>
      <w:bookmarkEnd w:id="174"/>
      <w:bookmarkEnd w:id="175"/>
      <w:bookmarkEnd w:id="176"/>
      <w:bookmarkEnd w:id="177"/>
      <w:bookmarkStart w:id="180" w:name="_Hlt74495594"/>
      <w:bookmarkEnd w:id="180"/>
      <w:bookmarkStart w:id="181" w:name="_Hlt78768224"/>
      <w:bookmarkEnd w:id="181"/>
      <w:bookmarkStart w:id="182" w:name="_Hlt74497202"/>
      <w:bookmarkEnd w:id="182"/>
      <w:bookmarkStart w:id="183" w:name="_Toc17114"/>
    </w:p>
    <w:p w14:paraId="2414CBE0">
      <w:pPr>
        <w:shd w:val="clear" w:color="auto" w:fill="auto"/>
        <w:wordWrap w:val="0"/>
        <w:adjustRightInd w:val="0"/>
        <w:snapToGrid w:val="0"/>
        <w:spacing w:line="440" w:lineRule="exact"/>
        <w:ind w:firstLine="482" w:firstLineChars="200"/>
        <w:rPr>
          <w:rFonts w:hint="eastAsia" w:hAnsi="宋体" w:cs="宋体"/>
          <w:b/>
          <w:snapToGrid w:val="0"/>
          <w:color w:val="auto"/>
          <w:kern w:val="0"/>
          <w:highlight w:val="none"/>
        </w:rPr>
      </w:pPr>
      <w:bookmarkStart w:id="184" w:name="_Toc7699"/>
      <w:r>
        <w:rPr>
          <w:rFonts w:hint="eastAsia" w:hAnsi="宋体" w:cs="宋体"/>
          <w:b/>
          <w:bCs/>
          <w:snapToGrid w:val="0"/>
          <w:color w:val="auto"/>
          <w:kern w:val="0"/>
          <w:highlight w:val="none"/>
        </w:rPr>
        <w:t>10.1</w:t>
      </w:r>
      <w:r>
        <w:rPr>
          <w:rFonts w:hint="eastAsia" w:hAnsi="宋体" w:cs="宋体"/>
          <w:bCs/>
          <w:snapToGrid w:val="0"/>
          <w:color w:val="auto"/>
          <w:kern w:val="0"/>
          <w:highlight w:val="none"/>
        </w:rPr>
        <w:t xml:space="preserve"> 一般要求</w:t>
      </w:r>
      <w:bookmarkEnd w:id="183"/>
      <w:bookmarkEnd w:id="184"/>
    </w:p>
    <w:p w14:paraId="6E83DFD4">
      <w:pPr>
        <w:pStyle w:val="10"/>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投标文件应按第六章投标文件格式规定的内容，投标人提交的投标文件应当使用招标文件所提供的投标文件全部格式。</w:t>
      </w:r>
    </w:p>
    <w:p w14:paraId="0E0DA0D4">
      <w:pPr>
        <w:pStyle w:val="10"/>
        <w:shd w:val="clear" w:color="auto" w:fill="auto"/>
        <w:wordWrap w:val="0"/>
        <w:adjustRightInd w:val="0"/>
        <w:snapToGrid w:val="0"/>
        <w:spacing w:line="440" w:lineRule="exact"/>
        <w:ind w:firstLineChars="0"/>
        <w:rPr>
          <w:rFonts w:hint="eastAsia" w:hAnsi="宋体" w:cs="宋体"/>
          <w:snapToGrid w:val="0"/>
          <w:color w:val="auto"/>
          <w:kern w:val="0"/>
          <w:highlight w:val="none"/>
        </w:rPr>
      </w:pPr>
      <w:r>
        <w:rPr>
          <w:rFonts w:hint="eastAsia" w:hAnsi="宋体" w:cs="宋体"/>
          <w:b/>
          <w:bCs/>
          <w:snapToGrid w:val="0"/>
          <w:color w:val="auto"/>
          <w:kern w:val="0"/>
          <w:highlight w:val="none"/>
        </w:rPr>
        <w:t>10.1.1</w:t>
      </w:r>
      <w:r>
        <w:rPr>
          <w:rFonts w:hint="eastAsia" w:hAnsi="宋体" w:cs="宋体"/>
          <w:snapToGrid w:val="0"/>
          <w:color w:val="auto"/>
          <w:kern w:val="0"/>
          <w:highlight w:val="none"/>
        </w:rPr>
        <w:t xml:space="preserve"> 投标人必须响应招标文件，并在充分理解招标人提供的全部文件、设计图纸、资料及现场条件的基础上编制投标文件。因投标文件不符合招标文件的要求而造成的损失和后果，由投标人自行承担。</w:t>
      </w:r>
      <w:bookmarkStart w:id="185" w:name="_Hlt74496890"/>
      <w:bookmarkEnd w:id="185"/>
    </w:p>
    <w:p w14:paraId="4DA48F6B">
      <w:pPr>
        <w:pStyle w:val="10"/>
        <w:shd w:val="clear" w:color="auto" w:fill="auto"/>
        <w:wordWrap w:val="0"/>
        <w:adjustRightInd w:val="0"/>
        <w:snapToGrid w:val="0"/>
        <w:spacing w:line="440" w:lineRule="exact"/>
        <w:ind w:firstLineChars="0"/>
        <w:rPr>
          <w:rFonts w:hint="eastAsia" w:hAnsi="宋体" w:cs="宋体"/>
          <w:snapToGrid w:val="0"/>
          <w:color w:val="auto"/>
          <w:kern w:val="0"/>
          <w:highlight w:val="none"/>
        </w:rPr>
      </w:pPr>
      <w:r>
        <w:rPr>
          <w:rFonts w:hint="eastAsia" w:hAnsi="宋体" w:cs="宋体"/>
          <w:b/>
          <w:bCs/>
          <w:snapToGrid w:val="0"/>
          <w:color w:val="auto"/>
          <w:kern w:val="0"/>
          <w:highlight w:val="none"/>
        </w:rPr>
        <w:t>10.1.2</w:t>
      </w:r>
      <w:r>
        <w:rPr>
          <w:rFonts w:hint="eastAsia" w:hAnsi="宋体" w:cs="宋体"/>
          <w:snapToGrid w:val="0"/>
          <w:color w:val="auto"/>
          <w:kern w:val="0"/>
          <w:highlight w:val="none"/>
        </w:rPr>
        <w:t xml:space="preserve">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hAnsi="宋体" w:cs="宋体"/>
          <w:snapToGrid w:val="0"/>
          <w:color w:val="auto"/>
          <w:kern w:val="0"/>
          <w:highlight w:val="none"/>
          <w:lang w:eastAsia="zh-CN"/>
        </w:rPr>
        <w:t>全国公共资源交易平台 （广东省·韶关市）（https://ygp.gdzwfw.gov.cn/ggzy-portal/#/440200/index）</w:t>
      </w:r>
      <w:r>
        <w:rPr>
          <w:rFonts w:hint="eastAsia" w:hAnsi="宋体" w:cs="宋体"/>
          <w:snapToGrid w:val="0"/>
          <w:color w:val="auto"/>
          <w:kern w:val="0"/>
          <w:highlight w:val="none"/>
        </w:rPr>
        <w:t>交易指引。</w:t>
      </w:r>
    </w:p>
    <w:p w14:paraId="269B0640">
      <w:pPr>
        <w:pStyle w:val="10"/>
        <w:shd w:val="clear" w:color="auto" w:fill="auto"/>
        <w:wordWrap w:val="0"/>
        <w:adjustRightInd w:val="0"/>
        <w:snapToGrid w:val="0"/>
        <w:spacing w:line="440" w:lineRule="exact"/>
        <w:ind w:firstLineChars="0"/>
        <w:rPr>
          <w:rFonts w:hint="eastAsia" w:hAnsi="宋体" w:cs="宋体"/>
          <w:snapToGrid w:val="0"/>
          <w:color w:val="auto"/>
          <w:kern w:val="0"/>
          <w:highlight w:val="none"/>
        </w:rPr>
      </w:pPr>
      <w:r>
        <w:rPr>
          <w:rFonts w:hint="eastAsia" w:hAnsi="宋体" w:cs="宋体"/>
          <w:b/>
          <w:bCs/>
          <w:snapToGrid w:val="0"/>
          <w:color w:val="auto"/>
          <w:kern w:val="0"/>
          <w:highlight w:val="none"/>
        </w:rPr>
        <w:t>10.1.3</w:t>
      </w:r>
      <w:r>
        <w:rPr>
          <w:rFonts w:hint="eastAsia" w:hAnsi="宋体" w:cs="宋体"/>
          <w:snapToGrid w:val="0"/>
          <w:color w:val="auto"/>
          <w:kern w:val="0"/>
          <w:highlight w:val="none"/>
        </w:rPr>
        <w:t xml:space="preserve"> 投标文件需按以下要求签字、盖章：</w:t>
      </w:r>
    </w:p>
    <w:p w14:paraId="406CC2B8">
      <w:pPr>
        <w:pStyle w:val="10"/>
        <w:shd w:val="clear" w:color="auto" w:fill="auto"/>
        <w:wordWrap w:val="0"/>
        <w:adjustRightInd w:val="0"/>
        <w:snapToGrid w:val="0"/>
        <w:spacing w:line="440" w:lineRule="exact"/>
        <w:ind w:firstLineChars="0"/>
        <w:rPr>
          <w:rFonts w:hint="eastAsia" w:hAnsi="宋体" w:cs="宋体"/>
          <w:snapToGrid w:val="0"/>
          <w:color w:val="auto"/>
          <w:kern w:val="0"/>
          <w:highlight w:val="none"/>
        </w:rPr>
      </w:pPr>
      <w:r>
        <w:rPr>
          <w:rFonts w:hint="eastAsia" w:hAnsi="宋体" w:cs="宋体"/>
          <w:b/>
          <w:bCs/>
          <w:snapToGrid w:val="0"/>
          <w:color w:val="auto"/>
          <w:kern w:val="0"/>
          <w:highlight w:val="none"/>
        </w:rPr>
        <w:t>10.1.3.1</w:t>
      </w:r>
      <w:r>
        <w:rPr>
          <w:rFonts w:hint="eastAsia" w:hAnsi="宋体" w:cs="宋体"/>
          <w:snapToGrid w:val="0"/>
          <w:color w:val="auto"/>
          <w:kern w:val="0"/>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1A60943B">
      <w:pPr>
        <w:pStyle w:val="10"/>
        <w:shd w:val="clear" w:color="auto" w:fill="auto"/>
        <w:wordWrap w:val="0"/>
        <w:adjustRightInd w:val="0"/>
        <w:snapToGrid w:val="0"/>
        <w:spacing w:line="440" w:lineRule="exact"/>
        <w:ind w:firstLineChars="0"/>
        <w:rPr>
          <w:rFonts w:hint="eastAsia" w:hAnsi="宋体" w:cs="宋体"/>
          <w:snapToGrid w:val="0"/>
          <w:color w:val="auto"/>
          <w:kern w:val="0"/>
          <w:highlight w:val="none"/>
        </w:rPr>
      </w:pPr>
      <w:r>
        <w:rPr>
          <w:rFonts w:hint="eastAsia" w:hAnsi="宋体" w:cs="宋体"/>
          <w:b/>
          <w:bCs/>
          <w:snapToGrid w:val="0"/>
          <w:color w:val="auto"/>
          <w:kern w:val="0"/>
          <w:highlight w:val="none"/>
        </w:rPr>
        <w:t>10.1.3.2</w:t>
      </w:r>
      <w:r>
        <w:rPr>
          <w:rFonts w:hint="eastAsia" w:hAnsi="宋体" w:cs="宋体"/>
          <w:snapToGrid w:val="0"/>
          <w:color w:val="auto"/>
          <w:kern w:val="0"/>
          <w:highlight w:val="none"/>
        </w:rPr>
        <w:t xml:space="preserve"> 投标文件封套、封面、组成内容中凡要求录入投标人名称且注明“盖单位章”处盖单位法人公章（电子印章）。</w:t>
      </w:r>
    </w:p>
    <w:p w14:paraId="3C70C39D">
      <w:pPr>
        <w:pStyle w:val="10"/>
        <w:shd w:val="clear" w:color="auto" w:fill="auto"/>
        <w:wordWrap w:val="0"/>
        <w:adjustRightInd w:val="0"/>
        <w:snapToGrid w:val="0"/>
        <w:spacing w:line="440" w:lineRule="exact"/>
        <w:ind w:firstLineChars="0"/>
        <w:rPr>
          <w:rFonts w:hint="eastAsia" w:hAnsi="宋体" w:cs="宋体"/>
          <w:snapToGrid w:val="0"/>
          <w:color w:val="auto"/>
          <w:kern w:val="0"/>
          <w:highlight w:val="none"/>
        </w:rPr>
      </w:pPr>
      <w:r>
        <w:rPr>
          <w:rFonts w:hint="eastAsia" w:hAnsi="宋体" w:cs="宋体"/>
          <w:b/>
          <w:bCs/>
          <w:snapToGrid w:val="0"/>
          <w:color w:val="auto"/>
          <w:kern w:val="0"/>
          <w:highlight w:val="none"/>
        </w:rPr>
        <w:t>10.1.3.3</w:t>
      </w:r>
      <w:r>
        <w:rPr>
          <w:rFonts w:hint="eastAsia" w:hAnsi="宋体" w:cs="宋体"/>
          <w:snapToGrid w:val="0"/>
          <w:color w:val="auto"/>
          <w:kern w:val="0"/>
          <w:highlight w:val="none"/>
        </w:rPr>
        <w:t xml:space="preserve"> 投标文件的签字均为签字人本人亲笔署名或签章（电子印章），其余部分无须另行签字、盖章。</w:t>
      </w:r>
    </w:p>
    <w:p w14:paraId="3E364268">
      <w:pPr>
        <w:shd w:val="clear" w:color="auto" w:fill="auto"/>
        <w:wordWrap w:val="0"/>
        <w:adjustRightInd w:val="0"/>
        <w:snapToGrid w:val="0"/>
        <w:spacing w:line="360" w:lineRule="auto"/>
        <w:ind w:firstLine="560"/>
        <w:rPr>
          <w:rFonts w:hint="eastAsia" w:hAnsi="宋体" w:cs="宋体"/>
          <w:snapToGrid w:val="0"/>
          <w:color w:val="auto"/>
          <w:kern w:val="0"/>
          <w:highlight w:val="none"/>
        </w:rPr>
      </w:pPr>
      <w:bookmarkStart w:id="186" w:name="_Toc257031159"/>
      <w:bookmarkStart w:id="187" w:name="_Toc274313880"/>
      <w:bookmarkStart w:id="188" w:name="_Toc29774"/>
    </w:p>
    <w:p w14:paraId="7CA92DC9">
      <w:pPr>
        <w:shd w:val="clear" w:color="auto" w:fill="auto"/>
        <w:wordWrap w:val="0"/>
        <w:adjustRightInd w:val="0"/>
        <w:snapToGrid w:val="0"/>
        <w:spacing w:line="360" w:lineRule="auto"/>
        <w:ind w:firstLine="560"/>
        <w:rPr>
          <w:rFonts w:hint="eastAsia" w:hAnsi="宋体" w:cs="宋体"/>
          <w:b/>
          <w:bCs w:val="0"/>
          <w:snapToGrid w:val="0"/>
          <w:color w:val="auto"/>
          <w:kern w:val="0"/>
          <w:highlight w:val="none"/>
        </w:rPr>
      </w:pPr>
      <w:r>
        <w:rPr>
          <w:rFonts w:hint="eastAsia" w:hAnsi="宋体" w:cs="宋体"/>
          <w:b/>
          <w:bCs/>
          <w:snapToGrid w:val="0"/>
          <w:color w:val="auto"/>
          <w:kern w:val="0"/>
          <w:highlight w:val="none"/>
        </w:rPr>
        <w:t>10.2</w:t>
      </w:r>
      <w:r>
        <w:rPr>
          <w:rFonts w:hint="eastAsia" w:hAnsi="宋体" w:cs="宋体"/>
          <w:bCs/>
          <w:snapToGrid w:val="0"/>
          <w:color w:val="auto"/>
          <w:kern w:val="0"/>
          <w:highlight w:val="none"/>
        </w:rPr>
        <w:t xml:space="preserve"> </w:t>
      </w:r>
      <w:r>
        <w:rPr>
          <w:rFonts w:hint="eastAsia" w:hAnsi="宋体" w:cs="宋体"/>
          <w:b/>
          <w:bCs w:val="0"/>
          <w:snapToGrid w:val="0"/>
          <w:color w:val="auto"/>
          <w:kern w:val="0"/>
          <w:highlight w:val="none"/>
        </w:rPr>
        <w:t>商务标书的编制要求</w:t>
      </w:r>
      <w:bookmarkEnd w:id="186"/>
      <w:bookmarkEnd w:id="187"/>
      <w:bookmarkEnd w:id="188"/>
    </w:p>
    <w:p w14:paraId="261B1933">
      <w:pPr>
        <w:shd w:val="clear" w:color="auto" w:fill="auto"/>
        <w:wordWrap w:val="0"/>
        <w:adjustRightInd w:val="0"/>
        <w:snapToGrid w:val="0"/>
        <w:spacing w:line="360" w:lineRule="auto"/>
        <w:ind w:firstLine="561"/>
        <w:rPr>
          <w:rFonts w:hint="eastAsia" w:hAnsi="宋体" w:cs="宋体"/>
          <w:snapToGrid w:val="0"/>
          <w:color w:val="auto"/>
          <w:kern w:val="0"/>
          <w:highlight w:val="none"/>
          <w:u w:val="single"/>
        </w:rPr>
      </w:pPr>
      <w:r>
        <w:rPr>
          <w:rFonts w:hint="eastAsia" w:hAnsi="宋体" w:cs="宋体"/>
          <w:b/>
          <w:bCs/>
          <w:snapToGrid w:val="0"/>
          <w:color w:val="auto"/>
          <w:kern w:val="0"/>
          <w:highlight w:val="none"/>
        </w:rPr>
        <w:t>10.2.1</w:t>
      </w:r>
      <w:r>
        <w:rPr>
          <w:rFonts w:hint="eastAsia" w:hAnsi="宋体" w:cs="宋体"/>
          <w:snapToGrid w:val="0"/>
          <w:color w:val="auto"/>
          <w:kern w:val="0"/>
          <w:highlight w:val="none"/>
        </w:rPr>
        <w:t xml:space="preserve"> </w:t>
      </w:r>
      <w:r>
        <w:rPr>
          <w:rFonts w:hint="eastAsia" w:hAnsi="宋体" w:cs="宋体"/>
          <w:bCs/>
          <w:snapToGrid w:val="0"/>
          <w:color w:val="auto"/>
          <w:kern w:val="0"/>
          <w:highlight w:val="none"/>
        </w:rPr>
        <w:t>商务标书</w:t>
      </w:r>
      <w:r>
        <w:rPr>
          <w:rFonts w:hint="eastAsia" w:hAnsi="宋体" w:cs="宋体"/>
          <w:snapToGrid w:val="0"/>
          <w:color w:val="auto"/>
          <w:kern w:val="0"/>
          <w:highlight w:val="none"/>
        </w:rPr>
        <w:t>包括但不限于以下内容：</w:t>
      </w:r>
    </w:p>
    <w:p w14:paraId="099116C8">
      <w:pPr>
        <w:shd w:val="clear" w:color="auto" w:fill="auto"/>
        <w:wordWrap w:val="0"/>
        <w:adjustRightInd w:val="0"/>
        <w:snapToGrid w:val="0"/>
        <w:spacing w:line="360" w:lineRule="auto"/>
        <w:rPr>
          <w:rFonts w:hint="eastAsia" w:hAnsi="宋体" w:cs="宋体"/>
          <w:snapToGrid w:val="0"/>
          <w:color w:val="auto"/>
          <w:kern w:val="0"/>
          <w:szCs w:val="18"/>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szCs w:val="18"/>
          <w:highlight w:val="none"/>
        </w:rPr>
        <w:t>（1）封面（格式一）；</w:t>
      </w:r>
    </w:p>
    <w:p w14:paraId="11D2CE5B">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（2）目录；</w:t>
      </w:r>
    </w:p>
    <w:p w14:paraId="0BA0558E">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（3）《</w:t>
      </w:r>
      <w:r>
        <w:rPr>
          <w:rFonts w:hint="eastAsia" w:hAnsi="宋体" w:cs="宋体"/>
          <w:snapToGrid w:val="0"/>
          <w:color w:val="auto"/>
          <w:kern w:val="0"/>
          <w:highlight w:val="none"/>
        </w:rPr>
        <w:t>投标函</w:t>
      </w:r>
      <w:r>
        <w:rPr>
          <w:rFonts w:hint="eastAsia" w:hAnsi="宋体" w:cs="宋体"/>
          <w:snapToGrid w:val="0"/>
          <w:color w:val="auto"/>
          <w:kern w:val="0"/>
          <w:szCs w:val="18"/>
          <w:highlight w:val="none"/>
        </w:rPr>
        <w:t>》（格式二）；</w:t>
      </w:r>
    </w:p>
    <w:p w14:paraId="26417980">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highlight w:val="none"/>
        </w:rPr>
        <w:t>（4）《</w:t>
      </w:r>
      <w:r>
        <w:rPr>
          <w:rFonts w:hint="eastAsia" w:hAnsi="宋体" w:cs="宋体"/>
          <w:snapToGrid w:val="0"/>
          <w:color w:val="auto"/>
          <w:kern w:val="0"/>
          <w:szCs w:val="22"/>
          <w:highlight w:val="none"/>
        </w:rPr>
        <w:t>各项</w:t>
      </w:r>
      <w:r>
        <w:rPr>
          <w:rFonts w:hint="eastAsia" w:hAnsi="宋体" w:cs="宋体"/>
          <w:snapToGrid w:val="0"/>
          <w:color w:val="auto"/>
          <w:kern w:val="0"/>
          <w:highlight w:val="none"/>
        </w:rPr>
        <w:t>承诺一览表》（格式三）；</w:t>
      </w:r>
    </w:p>
    <w:p w14:paraId="7C906E00">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（5）《授权委托书》（格式四）；</w:t>
      </w:r>
    </w:p>
    <w:p w14:paraId="4F2727E3">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（6）《法定代表人身份证明》（格式五）；</w:t>
      </w:r>
    </w:p>
    <w:p w14:paraId="2B26F487">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7）投标保证缴纳证明（投标人附建设工程交易系统《韶关市公共资源交易一体化平台保证金缴纳信息》页面截图外，采用投标保证金的，附银行转账单截图；采用投标保证担保的，附电子保函截图；采用投标保证保险的，附电子保单截图）；</w:t>
      </w:r>
    </w:p>
    <w:p w14:paraId="2016F1AF">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w:t>
      </w:r>
      <w:r>
        <w:rPr>
          <w:rFonts w:hint="eastAsia" w:hAnsi="宋体" w:cs="宋体"/>
          <w:snapToGrid w:val="0"/>
          <w:color w:val="auto"/>
          <w:kern w:val="0"/>
          <w:szCs w:val="18"/>
          <w:highlight w:val="none"/>
          <w:lang w:val="en-US" w:eastAsia="zh-CN"/>
        </w:rPr>
        <w:t>8</w:t>
      </w:r>
      <w:r>
        <w:rPr>
          <w:rFonts w:hint="eastAsia" w:hAnsi="宋体" w:cs="宋体"/>
          <w:snapToGrid w:val="0"/>
          <w:color w:val="auto"/>
          <w:kern w:val="0"/>
          <w:szCs w:val="18"/>
          <w:highlight w:val="none"/>
        </w:rPr>
        <w:t>）《投标人基本情况表》（格式六）及所附资料；</w:t>
      </w:r>
    </w:p>
    <w:p w14:paraId="3C581DC2">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（9）《总监理工程师任职声明》（格式七或格式八，由投标人根据拟派总监理工程师任职情况选用）；</w:t>
      </w:r>
    </w:p>
    <w:p w14:paraId="3ED5124B">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（10）《总监理工程师任职项目情况表》（格式九）及所附资料；</w:t>
      </w:r>
    </w:p>
    <w:p w14:paraId="1C6C2A25">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（11）《项目监理机构组成人员汇总表》（格式十）及所附资料；</w:t>
      </w:r>
    </w:p>
    <w:p w14:paraId="08506000">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（12）《总监理工程师简历表》（格式十一）及所附资料；</w:t>
      </w:r>
    </w:p>
    <w:p w14:paraId="21407C72">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（13）《其他拟派人员简历表》（格式十二）及所附资料；</w:t>
      </w:r>
    </w:p>
    <w:p w14:paraId="42875401">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（14）《监理及相关服务报酬清单》（格式十三）；</w:t>
      </w:r>
    </w:p>
    <w:p w14:paraId="09DF2BC2">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w:t>
      </w:r>
      <w:r>
        <w:rPr>
          <w:rFonts w:hint="eastAsia" w:hAnsi="宋体" w:cs="宋体"/>
          <w:snapToGrid w:val="0"/>
          <w:color w:val="auto"/>
          <w:kern w:val="0"/>
          <w:szCs w:val="18"/>
          <w:highlight w:val="none"/>
          <w:lang w:val="en-US" w:eastAsia="zh-CN"/>
        </w:rPr>
        <w:t>5</w:t>
      </w:r>
      <w:r>
        <w:rPr>
          <w:rFonts w:hint="eastAsia" w:hAnsi="宋体" w:cs="宋体"/>
          <w:snapToGrid w:val="0"/>
          <w:color w:val="auto"/>
          <w:kern w:val="0"/>
          <w:szCs w:val="18"/>
          <w:highlight w:val="none"/>
        </w:rPr>
        <w:t>）详细评审阶段要求提供的评审资料（详见本节第</w:t>
      </w:r>
      <w:r>
        <w:rPr>
          <w:rFonts w:hint="eastAsia" w:hAnsi="宋体" w:cs="宋体"/>
          <w:b/>
          <w:bCs/>
          <w:snapToGrid w:val="0"/>
          <w:color w:val="auto"/>
          <w:kern w:val="0"/>
          <w:szCs w:val="18"/>
          <w:highlight w:val="none"/>
        </w:rPr>
        <w:t>15.5.1</w:t>
      </w:r>
      <w:r>
        <w:rPr>
          <w:rFonts w:hint="eastAsia" w:hAnsi="宋体" w:cs="宋体"/>
          <w:snapToGrid w:val="0"/>
          <w:color w:val="auto"/>
          <w:kern w:val="0"/>
          <w:szCs w:val="18"/>
          <w:highlight w:val="none"/>
        </w:rPr>
        <w:t>目）；</w:t>
      </w:r>
    </w:p>
    <w:p w14:paraId="2F3E9F71">
      <w:pPr>
        <w:shd w:val="clear" w:color="auto" w:fill="auto"/>
        <w:wordWrap w:val="0"/>
        <w:adjustRightInd w:val="0"/>
        <w:snapToGrid w:val="0"/>
        <w:spacing w:line="360" w:lineRule="auto"/>
        <w:ind w:firstLine="480" w:firstLineChars="200"/>
        <w:rPr>
          <w:rFonts w:hint="eastAsia" w:hAnsi="宋体" w:cs="宋体"/>
          <w:snapToGrid w:val="0"/>
          <w:color w:val="auto"/>
          <w:kern w:val="0"/>
          <w:szCs w:val="18"/>
          <w:highlight w:val="none"/>
        </w:rPr>
      </w:pPr>
      <w:r>
        <w:rPr>
          <w:rFonts w:hint="eastAsia" w:hAnsi="宋体" w:cs="宋体"/>
          <w:snapToGrid w:val="0"/>
          <w:color w:val="auto"/>
          <w:kern w:val="0"/>
          <w:szCs w:val="18"/>
          <w:highlight w:val="none"/>
        </w:rPr>
        <w:t>（1</w:t>
      </w:r>
      <w:r>
        <w:rPr>
          <w:rFonts w:hint="eastAsia" w:hAnsi="宋体" w:cs="宋体"/>
          <w:snapToGrid w:val="0"/>
          <w:color w:val="auto"/>
          <w:kern w:val="0"/>
          <w:szCs w:val="18"/>
          <w:highlight w:val="none"/>
          <w:lang w:val="en-US" w:eastAsia="zh-CN"/>
        </w:rPr>
        <w:t>6</w:t>
      </w:r>
      <w:r>
        <w:rPr>
          <w:rFonts w:hint="eastAsia" w:hAnsi="宋体" w:cs="宋体"/>
          <w:snapToGrid w:val="0"/>
          <w:color w:val="auto"/>
          <w:kern w:val="0"/>
          <w:szCs w:val="18"/>
          <w:highlight w:val="none"/>
        </w:rPr>
        <w:t>）投标人认为有必要补充的其他资料。（例如投标人已经工商变更，但其员工执业资格注册证书上的企业名称未能在投标期间完成变更的书面说明和佐证材料；企业所在省、地级市住建部门或其授权的组织（机构）关于企业资质、人员资格有效期自动顺延或延期办理的相关文件等）</w:t>
      </w:r>
    </w:p>
    <w:p w14:paraId="5C3CB28B">
      <w:pPr>
        <w:shd w:val="clear" w:color="auto" w:fill="auto"/>
        <w:wordWrap w:val="0"/>
        <w:adjustRightInd w:val="0"/>
        <w:snapToGrid w:val="0"/>
        <w:spacing w:line="360" w:lineRule="auto"/>
        <w:ind w:firstLine="482" w:firstLineChars="200"/>
        <w:rPr>
          <w:rFonts w:hint="eastAsia" w:hAnsi="宋体" w:cs="宋体"/>
          <w:b/>
          <w:bCs/>
          <w:snapToGrid w:val="0"/>
          <w:color w:val="auto"/>
          <w:kern w:val="0"/>
          <w:szCs w:val="18"/>
          <w:highlight w:val="none"/>
        </w:rPr>
      </w:pP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 xml:space="preserve"> 本节第</w:t>
      </w:r>
      <w:r>
        <w:rPr>
          <w:rFonts w:hint="eastAsia" w:hAnsi="宋体" w:cs="宋体"/>
          <w:b/>
          <w:bCs/>
          <w:snapToGrid w:val="0"/>
          <w:color w:val="auto"/>
          <w:kern w:val="0"/>
          <w:szCs w:val="18"/>
          <w:highlight w:val="none"/>
        </w:rPr>
        <w:t>10.2.1</w:t>
      </w:r>
      <w:r>
        <w:rPr>
          <w:rFonts w:hint="eastAsia" w:hAnsi="宋体" w:cs="宋体"/>
          <w:snapToGrid w:val="0"/>
          <w:color w:val="auto"/>
          <w:kern w:val="0"/>
          <w:szCs w:val="18"/>
          <w:highlight w:val="none"/>
        </w:rPr>
        <w:t>目中所列出的商务标书组成内容中，第（1）至第（1</w:t>
      </w:r>
      <w:r>
        <w:rPr>
          <w:rFonts w:hint="eastAsia" w:hAnsi="宋体" w:cs="宋体"/>
          <w:snapToGrid w:val="0"/>
          <w:color w:val="auto"/>
          <w:kern w:val="0"/>
          <w:szCs w:val="18"/>
          <w:highlight w:val="none"/>
          <w:lang w:val="en-US" w:eastAsia="zh-CN"/>
        </w:rPr>
        <w:t>4</w:t>
      </w:r>
      <w:r>
        <w:rPr>
          <w:rFonts w:hint="eastAsia" w:hAnsi="宋体" w:cs="宋体"/>
          <w:snapToGrid w:val="0"/>
          <w:color w:val="auto"/>
          <w:kern w:val="0"/>
          <w:szCs w:val="18"/>
          <w:highlight w:val="none"/>
        </w:rPr>
        <w:t>）项所有投标人均应提供。</w:t>
      </w:r>
      <w:r>
        <w:rPr>
          <w:rFonts w:hint="eastAsia" w:hAnsi="宋体" w:cs="宋体"/>
          <w:b/>
          <w:bCs/>
          <w:snapToGrid w:val="0"/>
          <w:color w:val="auto"/>
          <w:kern w:val="0"/>
          <w:szCs w:val="18"/>
          <w:highlight w:val="none"/>
        </w:rPr>
        <w:t>拟派总监理工程师现阶段未担任任何在施建设工程项目总监理工程师的，无需提供第（10）项内容。</w:t>
      </w:r>
    </w:p>
    <w:p w14:paraId="158616B6">
      <w:pPr>
        <w:shd w:val="clear" w:color="auto" w:fill="auto"/>
        <w:wordWrap w:val="0"/>
        <w:adjustRightInd w:val="0"/>
        <w:snapToGrid w:val="0"/>
        <w:spacing w:line="360" w:lineRule="auto"/>
        <w:ind w:firstLine="482" w:firstLineChars="200"/>
        <w:rPr>
          <w:rFonts w:hint="eastAsia" w:hAnsi="宋体" w:cs="宋体"/>
          <w:b/>
          <w:bCs/>
          <w:snapToGrid w:val="0"/>
          <w:color w:val="auto"/>
          <w:kern w:val="0"/>
          <w:szCs w:val="18"/>
          <w:highlight w:val="none"/>
        </w:rPr>
      </w:pPr>
      <w:r>
        <w:rPr>
          <w:rFonts w:hint="eastAsia" w:hAnsi="宋体" w:cs="宋体"/>
          <w:b/>
          <w:bCs/>
          <w:snapToGrid w:val="0"/>
          <w:color w:val="auto"/>
          <w:kern w:val="0"/>
          <w:highlight w:val="none"/>
        </w:rPr>
        <w:t>10.2.3</w:t>
      </w:r>
      <w:r>
        <w:rPr>
          <w:rFonts w:hint="eastAsia" w:hAnsi="宋体" w:cs="宋体"/>
          <w:snapToGrid w:val="0"/>
          <w:color w:val="auto"/>
          <w:kern w:val="0"/>
          <w:highlight w:val="none"/>
        </w:rPr>
        <w:t xml:space="preserve"> 商务标书的组成内容按本节第</w:t>
      </w:r>
      <w:r>
        <w:rPr>
          <w:rFonts w:hint="eastAsia" w:hAnsi="宋体" w:cs="宋体"/>
          <w:b/>
          <w:bCs/>
          <w:snapToGrid w:val="0"/>
          <w:color w:val="auto"/>
          <w:kern w:val="0"/>
          <w:highlight w:val="none"/>
        </w:rPr>
        <w:t>10.2.1</w:t>
      </w:r>
      <w:r>
        <w:rPr>
          <w:rFonts w:hint="eastAsia" w:hAnsi="宋体" w:cs="宋体"/>
          <w:snapToGrid w:val="0"/>
          <w:color w:val="auto"/>
          <w:kern w:val="0"/>
          <w:highlight w:val="none"/>
        </w:rPr>
        <w:t>目规定的顺序整理、编排后，逐页（页码起始从封面开始）连续标记页码。</w:t>
      </w:r>
    </w:p>
    <w:p w14:paraId="66CF9507">
      <w:pPr>
        <w:shd w:val="clear" w:color="auto" w:fill="auto"/>
        <w:wordWrap w:val="0"/>
        <w:adjustRightInd w:val="0"/>
        <w:snapToGrid w:val="0"/>
        <w:spacing w:line="360" w:lineRule="auto"/>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10.2.4</w:t>
      </w:r>
      <w:r>
        <w:rPr>
          <w:rFonts w:hint="eastAsia" w:hAnsi="宋体" w:cs="宋体"/>
          <w:snapToGrid w:val="0"/>
          <w:color w:val="auto"/>
          <w:kern w:val="0"/>
          <w:highlight w:val="none"/>
        </w:rPr>
        <w:t xml:space="preserve"> </w:t>
      </w:r>
      <w:r>
        <w:rPr>
          <w:rFonts w:hint="eastAsia" w:hAnsi="宋体" w:cs="宋体"/>
          <w:bCs/>
          <w:snapToGrid w:val="0"/>
          <w:color w:val="auto"/>
          <w:kern w:val="0"/>
          <w:highlight w:val="none"/>
        </w:rPr>
        <w:t>商务标书</w:t>
      </w:r>
      <w:r>
        <w:rPr>
          <w:rFonts w:hint="eastAsia" w:hAnsi="宋体" w:cs="宋体"/>
          <w:snapToGrid w:val="0"/>
          <w:color w:val="auto"/>
          <w:kern w:val="0"/>
          <w:highlight w:val="none"/>
        </w:rPr>
        <w:t>应尽量避免手工涂改、行间插字或删除。如果出现上述情况，改动之处应加盖单位章或由投标人的法定代表人或其委托代理人签字确认。</w:t>
      </w:r>
    </w:p>
    <w:p w14:paraId="10DD5743">
      <w:pPr>
        <w:shd w:val="clear" w:color="auto" w:fill="auto"/>
        <w:wordWrap w:val="0"/>
        <w:adjustRightInd w:val="0"/>
        <w:snapToGrid w:val="0"/>
        <w:spacing w:line="360" w:lineRule="auto"/>
        <w:ind w:firstLine="480"/>
        <w:rPr>
          <w:rFonts w:hint="eastAsia" w:hAnsi="宋体" w:cs="宋体"/>
          <w:bCs/>
          <w:snapToGrid w:val="0"/>
          <w:color w:val="auto"/>
          <w:kern w:val="0"/>
          <w:highlight w:val="none"/>
        </w:rPr>
      </w:pPr>
      <w:bookmarkStart w:id="189" w:name="_Toc7035"/>
      <w:r>
        <w:rPr>
          <w:rFonts w:hint="eastAsia" w:hAnsi="宋体" w:cs="宋体"/>
          <w:b/>
          <w:bCs/>
          <w:snapToGrid w:val="0"/>
          <w:color w:val="auto"/>
          <w:kern w:val="0"/>
          <w:highlight w:val="none"/>
        </w:rPr>
        <w:t>10.3</w:t>
      </w:r>
      <w:r>
        <w:rPr>
          <w:rFonts w:hint="eastAsia" w:hAnsi="宋体" w:cs="宋体"/>
          <w:bCs/>
          <w:snapToGrid w:val="0"/>
          <w:color w:val="auto"/>
          <w:kern w:val="0"/>
          <w:highlight w:val="none"/>
        </w:rPr>
        <w:t xml:space="preserve"> </w:t>
      </w:r>
      <w:r>
        <w:rPr>
          <w:rFonts w:hint="eastAsia" w:ascii="宋体" w:hAnsi="宋体" w:eastAsia="宋体" w:cs="宋体"/>
          <w:b/>
          <w:bCs w:val="0"/>
          <w:snapToGrid w:val="0"/>
          <w:color w:val="auto"/>
          <w:kern w:val="0"/>
          <w:highlight w:val="none"/>
        </w:rPr>
        <w:t>监理大纲的编制要求</w:t>
      </w:r>
    </w:p>
    <w:p w14:paraId="538CA49B">
      <w:pPr>
        <w:shd w:val="clear" w:color="auto" w:fill="auto"/>
        <w:wordWrap w:val="0"/>
        <w:adjustRightInd w:val="0"/>
        <w:snapToGrid w:val="0"/>
        <w:spacing w:line="360" w:lineRule="auto"/>
        <w:ind w:firstLine="480"/>
        <w:rPr>
          <w:rFonts w:hint="eastAsia" w:hAnsi="宋体" w:cs="宋体"/>
          <w:bCs/>
          <w:snapToGrid w:val="0"/>
          <w:color w:val="auto"/>
          <w:kern w:val="0"/>
          <w:highlight w:val="none"/>
        </w:rPr>
      </w:pPr>
      <w:r>
        <w:rPr>
          <w:rFonts w:hint="eastAsia" w:hAnsi="宋体" w:cs="宋体"/>
          <w:b/>
          <w:snapToGrid w:val="0"/>
          <w:color w:val="auto"/>
          <w:kern w:val="0"/>
          <w:highlight w:val="none"/>
        </w:rPr>
        <w:t>10.3.1</w:t>
      </w:r>
      <w:r>
        <w:rPr>
          <w:rFonts w:hint="eastAsia" w:hAnsi="宋体" w:cs="宋体"/>
          <w:bCs/>
          <w:snapToGrid w:val="0"/>
          <w:color w:val="auto"/>
          <w:kern w:val="0"/>
          <w:highlight w:val="none"/>
        </w:rPr>
        <w:t xml:space="preserve"> 监理大纲</w:t>
      </w:r>
      <w:r>
        <w:rPr>
          <w:rFonts w:hint="eastAsia" w:hAnsi="宋体" w:cs="宋体"/>
          <w:snapToGrid w:val="0"/>
          <w:color w:val="auto"/>
          <w:kern w:val="0"/>
          <w:highlight w:val="none"/>
        </w:rPr>
        <w:t>的编制依据包括且不限于</w:t>
      </w:r>
      <w:r>
        <w:rPr>
          <w:rFonts w:hint="eastAsia" w:hAnsi="宋体" w:cs="宋体"/>
          <w:bCs/>
          <w:snapToGrid w:val="0"/>
          <w:color w:val="auto"/>
          <w:kern w:val="0"/>
          <w:highlight w:val="none"/>
        </w:rPr>
        <w:t>：</w:t>
      </w:r>
    </w:p>
    <w:p w14:paraId="79D7F834">
      <w:pPr>
        <w:shd w:val="clear" w:color="auto" w:fill="auto"/>
        <w:wordWrap w:val="0"/>
        <w:adjustRightInd w:val="0"/>
        <w:snapToGrid w:val="0"/>
        <w:ind w:firstLine="480"/>
        <w:rPr>
          <w:rFonts w:hint="eastAsia" w:hAnsi="宋体" w:cs="宋体"/>
          <w:bCs/>
          <w:snapToGrid w:val="0"/>
          <w:color w:val="auto"/>
          <w:kern w:val="0"/>
          <w:highlight w:val="none"/>
        </w:rPr>
      </w:pPr>
      <w:r>
        <w:rPr>
          <w:rFonts w:hint="eastAsia" w:hAnsi="宋体" w:cs="宋体"/>
          <w:bCs/>
          <w:snapToGrid w:val="0"/>
          <w:color w:val="auto"/>
          <w:kern w:val="0"/>
          <w:highlight w:val="none"/>
        </w:rPr>
        <w:t>（1）招标文件及</w:t>
      </w:r>
      <w:r>
        <w:rPr>
          <w:rFonts w:hint="eastAsia" w:hAnsi="宋体" w:cs="宋体"/>
          <w:snapToGrid w:val="0"/>
          <w:color w:val="auto"/>
          <w:kern w:val="0"/>
          <w:highlight w:val="none"/>
        </w:rPr>
        <w:t>其答疑（或修改）公告；</w:t>
      </w:r>
    </w:p>
    <w:p w14:paraId="67125531">
      <w:pPr>
        <w:shd w:val="clear" w:color="auto" w:fill="auto"/>
        <w:wordWrap w:val="0"/>
        <w:adjustRightInd w:val="0"/>
        <w:snapToGrid w:val="0"/>
        <w:ind w:firstLine="480"/>
        <w:rPr>
          <w:rFonts w:hint="eastAsia" w:hAnsi="宋体" w:cs="宋体"/>
          <w:bCs/>
          <w:snapToGrid w:val="0"/>
          <w:color w:val="auto"/>
          <w:kern w:val="0"/>
          <w:highlight w:val="none"/>
        </w:rPr>
      </w:pPr>
      <w:r>
        <w:rPr>
          <w:rFonts w:hint="eastAsia" w:hAnsi="宋体" w:cs="宋体"/>
          <w:bCs/>
          <w:snapToGrid w:val="0"/>
          <w:color w:val="auto"/>
          <w:kern w:val="0"/>
          <w:highlight w:val="none"/>
        </w:rPr>
        <w:t>（2）施工现场情况、工程特点；</w:t>
      </w:r>
    </w:p>
    <w:p w14:paraId="7E371278">
      <w:pPr>
        <w:shd w:val="clear" w:color="auto" w:fill="auto"/>
        <w:wordWrap w:val="0"/>
        <w:adjustRightInd w:val="0"/>
        <w:snapToGrid w:val="0"/>
        <w:ind w:firstLine="480"/>
        <w:rPr>
          <w:rFonts w:hint="eastAsia" w:hAnsi="宋体" w:cs="宋体"/>
          <w:bCs/>
          <w:snapToGrid w:val="0"/>
          <w:color w:val="auto"/>
          <w:kern w:val="0"/>
          <w:highlight w:val="none"/>
        </w:rPr>
      </w:pPr>
      <w:r>
        <w:rPr>
          <w:rFonts w:hint="eastAsia" w:hAnsi="宋体" w:cs="宋体"/>
          <w:bCs/>
          <w:snapToGrid w:val="0"/>
          <w:color w:val="auto"/>
          <w:kern w:val="0"/>
          <w:highlight w:val="none"/>
        </w:rPr>
        <w:t>（3）相关法律、法规、规定；</w:t>
      </w:r>
    </w:p>
    <w:p w14:paraId="6D343BF6">
      <w:pPr>
        <w:shd w:val="clear" w:color="auto" w:fill="auto"/>
        <w:wordWrap w:val="0"/>
        <w:adjustRightInd w:val="0"/>
        <w:snapToGrid w:val="0"/>
        <w:ind w:firstLine="480"/>
        <w:rPr>
          <w:rFonts w:hint="eastAsia" w:hAnsi="宋体" w:cs="宋体"/>
          <w:bCs/>
          <w:snapToGrid w:val="0"/>
          <w:color w:val="auto"/>
          <w:kern w:val="0"/>
          <w:highlight w:val="none"/>
        </w:rPr>
      </w:pPr>
      <w:r>
        <w:rPr>
          <w:rFonts w:hint="eastAsia" w:hAnsi="宋体" w:cs="宋体"/>
          <w:bCs/>
          <w:snapToGrid w:val="0"/>
          <w:color w:val="auto"/>
          <w:kern w:val="0"/>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69122B92">
      <w:pPr>
        <w:shd w:val="clear" w:color="auto" w:fill="auto"/>
        <w:wordWrap w:val="0"/>
        <w:adjustRightInd w:val="0"/>
        <w:snapToGrid w:val="0"/>
        <w:ind w:firstLine="482" w:firstLineChars="200"/>
        <w:rPr>
          <w:rFonts w:hint="eastAsia" w:hAnsi="宋体" w:cs="宋体"/>
          <w:snapToGrid w:val="0"/>
          <w:color w:val="auto"/>
          <w:kern w:val="0"/>
          <w:highlight w:val="none"/>
        </w:rPr>
      </w:pPr>
      <w:r>
        <w:rPr>
          <w:rFonts w:hint="eastAsia" w:hAnsi="宋体" w:cs="宋体"/>
          <w:b/>
          <w:snapToGrid w:val="0"/>
          <w:color w:val="auto"/>
          <w:kern w:val="0"/>
          <w:highlight w:val="none"/>
        </w:rPr>
        <w:t>10.3.2</w:t>
      </w:r>
      <w:r>
        <w:rPr>
          <w:rFonts w:hint="eastAsia" w:hAnsi="宋体" w:cs="宋体"/>
          <w:bCs/>
          <w:snapToGrid w:val="0"/>
          <w:color w:val="auto"/>
          <w:kern w:val="0"/>
          <w:highlight w:val="none"/>
        </w:rPr>
        <w:t xml:space="preserve"> 监理大纲</w:t>
      </w:r>
      <w:r>
        <w:rPr>
          <w:rFonts w:hint="eastAsia" w:hAnsi="宋体" w:cs="宋体"/>
          <w:snapToGrid w:val="0"/>
          <w:color w:val="auto"/>
          <w:kern w:val="0"/>
          <w:highlight w:val="none"/>
        </w:rPr>
        <w:t>包括但不限于以下内容：</w:t>
      </w:r>
    </w:p>
    <w:p w14:paraId="1D9D752F">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（1）封面</w:t>
      </w:r>
      <w:r>
        <w:rPr>
          <w:rFonts w:hint="eastAsia" w:hAnsi="宋体" w:cs="宋体"/>
          <w:snapToGrid w:val="0"/>
          <w:color w:val="auto"/>
          <w:kern w:val="0"/>
          <w:szCs w:val="18"/>
          <w:highlight w:val="none"/>
        </w:rPr>
        <w:t>（格式一）</w:t>
      </w:r>
      <w:r>
        <w:rPr>
          <w:rFonts w:hint="eastAsia" w:hAnsi="宋体" w:cs="宋体"/>
          <w:snapToGrid w:val="0"/>
          <w:color w:val="auto"/>
          <w:kern w:val="0"/>
          <w:highlight w:val="none"/>
        </w:rPr>
        <w:t>；</w:t>
      </w:r>
    </w:p>
    <w:p w14:paraId="1F41C405">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（2）目录；</w:t>
      </w:r>
    </w:p>
    <w:p w14:paraId="36166C14">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（3）监理工程概况；</w:t>
      </w:r>
    </w:p>
    <w:p w14:paraId="1BDEBA10">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（4）监理及相关服务的范围、内容；</w:t>
      </w:r>
    </w:p>
    <w:p w14:paraId="3C36C289">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（5）监理及相关服务的依据、目标；</w:t>
      </w:r>
    </w:p>
    <w:p w14:paraId="64B6F7AD">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（6）项目监理机构设置（框图）、岗位职责；</w:t>
      </w:r>
    </w:p>
    <w:p w14:paraId="1B5638FB">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（7）监理及相关服务的工作程序、方法和制度；</w:t>
      </w:r>
    </w:p>
    <w:p w14:paraId="2CC09DC6">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（8）拟投入的监理及相关服务人员；</w:t>
      </w:r>
    </w:p>
    <w:p w14:paraId="2F9BA909">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（9）质量、进度、造价、安全、绿色施工监理措施；</w:t>
      </w:r>
    </w:p>
    <w:p w14:paraId="4CCF5F8D">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（10）合同、信息管理方案；</w:t>
      </w:r>
    </w:p>
    <w:p w14:paraId="21A60A30">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（11）组织协调内容及措施；</w:t>
      </w:r>
    </w:p>
    <w:p w14:paraId="3B4C8971">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（12）监理及相关服务的工作重点、难点分析；</w:t>
      </w:r>
    </w:p>
    <w:p w14:paraId="5E84DDAD">
      <w:pPr>
        <w:shd w:val="clear" w:color="auto" w:fill="auto"/>
        <w:wordWrap w:val="0"/>
        <w:adjustRightInd w:val="0"/>
        <w:snapToGrid w:val="0"/>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（13）对本工程监理及相关服务的合理化建议。</w:t>
      </w:r>
    </w:p>
    <w:p w14:paraId="4C088B4F">
      <w:pPr>
        <w:shd w:val="clear" w:color="auto" w:fill="auto"/>
        <w:wordWrap w:val="0"/>
        <w:adjustRightInd w:val="0"/>
        <w:snapToGrid w:val="0"/>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10.3.3</w:t>
      </w:r>
      <w:r>
        <w:rPr>
          <w:rFonts w:hint="eastAsia" w:hAnsi="宋体" w:cs="宋体"/>
          <w:snapToGrid w:val="0"/>
          <w:color w:val="auto"/>
          <w:kern w:val="0"/>
          <w:highlight w:val="none"/>
        </w:rPr>
        <w:t xml:space="preserve"> 本节第</w:t>
      </w:r>
      <w:r>
        <w:rPr>
          <w:rFonts w:hint="eastAsia" w:hAnsi="宋体" w:cs="宋体"/>
          <w:b/>
          <w:bCs/>
          <w:snapToGrid w:val="0"/>
          <w:color w:val="auto"/>
          <w:kern w:val="0"/>
          <w:highlight w:val="none"/>
        </w:rPr>
        <w:t>10.3.2</w:t>
      </w:r>
      <w:r>
        <w:rPr>
          <w:rFonts w:hint="eastAsia" w:hAnsi="宋体" w:cs="宋体"/>
          <w:snapToGrid w:val="0"/>
          <w:color w:val="auto"/>
          <w:kern w:val="0"/>
          <w:highlight w:val="none"/>
        </w:rPr>
        <w:t>目中所列出的</w:t>
      </w:r>
      <w:r>
        <w:rPr>
          <w:rFonts w:hint="eastAsia" w:hAnsi="宋体" w:cs="宋体"/>
          <w:bCs/>
          <w:snapToGrid w:val="0"/>
          <w:color w:val="auto"/>
          <w:kern w:val="0"/>
          <w:highlight w:val="none"/>
        </w:rPr>
        <w:t>监理大纲</w:t>
      </w:r>
      <w:r>
        <w:rPr>
          <w:rFonts w:hint="eastAsia" w:hAnsi="宋体" w:cs="宋体"/>
          <w:snapToGrid w:val="0"/>
          <w:color w:val="auto"/>
          <w:kern w:val="0"/>
          <w:highlight w:val="none"/>
        </w:rPr>
        <w:t>组成内容，</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w:t>
      </w:r>
    </w:p>
    <w:p w14:paraId="2362F3D1">
      <w:pPr>
        <w:shd w:val="clear" w:color="auto" w:fill="auto"/>
        <w:wordWrap w:val="0"/>
        <w:adjustRightInd w:val="0"/>
        <w:snapToGrid w:val="0"/>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10.3.4</w:t>
      </w:r>
      <w:r>
        <w:rPr>
          <w:rFonts w:hint="eastAsia" w:hAnsi="宋体" w:cs="宋体"/>
          <w:snapToGrid w:val="0"/>
          <w:color w:val="auto"/>
          <w:kern w:val="0"/>
          <w:highlight w:val="none"/>
        </w:rPr>
        <w:t xml:space="preserve"> </w:t>
      </w:r>
      <w:r>
        <w:rPr>
          <w:rFonts w:hint="eastAsia" w:hAnsi="宋体" w:cs="宋体"/>
          <w:bCs/>
          <w:snapToGrid w:val="0"/>
          <w:color w:val="auto"/>
          <w:kern w:val="0"/>
          <w:highlight w:val="none"/>
        </w:rPr>
        <w:t>监理大纲</w:t>
      </w:r>
      <w:r>
        <w:rPr>
          <w:rFonts w:hint="eastAsia" w:hAnsi="宋体" w:cs="宋体"/>
          <w:snapToGrid w:val="0"/>
          <w:color w:val="auto"/>
          <w:kern w:val="0"/>
          <w:highlight w:val="none"/>
        </w:rPr>
        <w:t>的组成内容按本节第</w:t>
      </w:r>
      <w:r>
        <w:rPr>
          <w:rFonts w:hint="eastAsia" w:hAnsi="宋体" w:cs="宋体"/>
          <w:b/>
          <w:bCs/>
          <w:snapToGrid w:val="0"/>
          <w:color w:val="auto"/>
          <w:kern w:val="0"/>
          <w:highlight w:val="none"/>
        </w:rPr>
        <w:t>10.3.2</w:t>
      </w:r>
      <w:r>
        <w:rPr>
          <w:rFonts w:hint="eastAsia" w:hAnsi="宋体" w:cs="宋体"/>
          <w:snapToGrid w:val="0"/>
          <w:color w:val="auto"/>
          <w:kern w:val="0"/>
          <w:highlight w:val="none"/>
        </w:rPr>
        <w:t>目规定的顺序整理、编排后，逐页（页码起始从封面开始）连续标记页码。</w:t>
      </w:r>
    </w:p>
    <w:p w14:paraId="6475F054">
      <w:pPr>
        <w:shd w:val="clear" w:color="auto" w:fill="auto"/>
        <w:wordWrap w:val="0"/>
        <w:adjustRightInd w:val="0"/>
        <w:snapToGrid w:val="0"/>
        <w:ind w:firstLine="482" w:firstLineChars="200"/>
        <w:rPr>
          <w:rFonts w:hint="eastAsia" w:hAnsi="宋体" w:cs="宋体"/>
          <w:i/>
          <w:iCs/>
          <w:snapToGrid w:val="0"/>
          <w:color w:val="auto"/>
          <w:kern w:val="0"/>
          <w:highlight w:val="none"/>
        </w:rPr>
      </w:pPr>
      <w:r>
        <w:rPr>
          <w:rFonts w:hint="eastAsia" w:hAnsi="宋体" w:cs="宋体"/>
          <w:b/>
          <w:bCs/>
          <w:snapToGrid w:val="0"/>
          <w:color w:val="auto"/>
          <w:kern w:val="0"/>
          <w:highlight w:val="none"/>
        </w:rPr>
        <w:t>10.3.5</w:t>
      </w:r>
      <w:r>
        <w:rPr>
          <w:rFonts w:hint="eastAsia" w:hAnsi="宋体" w:cs="宋体"/>
          <w:snapToGrid w:val="0"/>
          <w:color w:val="auto"/>
          <w:kern w:val="0"/>
          <w:highlight w:val="none"/>
        </w:rPr>
        <w:t xml:space="preserve"> </w:t>
      </w:r>
      <w:r>
        <w:rPr>
          <w:rFonts w:hint="eastAsia" w:hAnsi="宋体" w:cs="宋体"/>
          <w:bCs/>
          <w:snapToGrid w:val="0"/>
          <w:color w:val="auto"/>
          <w:kern w:val="0"/>
          <w:highlight w:val="none"/>
        </w:rPr>
        <w:t>监理大纲</w:t>
      </w:r>
      <w:r>
        <w:rPr>
          <w:rFonts w:hint="eastAsia" w:hAnsi="宋体" w:cs="宋体"/>
          <w:snapToGrid w:val="0"/>
          <w:color w:val="auto"/>
          <w:kern w:val="0"/>
          <w:highlight w:val="none"/>
        </w:rPr>
        <w:t>应尽量避免手工涂改、行间插字或删除。如果出现上述情况，改动之处应加盖单位章或由投标人的法定代表人或其委托代理人签字确认。</w:t>
      </w:r>
    </w:p>
    <w:p w14:paraId="12617CFD">
      <w:pPr>
        <w:pStyle w:val="4"/>
        <w:shd w:val="clear" w:color="auto" w:fill="auto"/>
        <w:spacing w:line="360" w:lineRule="auto"/>
        <w:ind w:left="0" w:leftChars="0" w:firstLine="482" w:firstLineChars="200"/>
        <w:jc w:val="left"/>
        <w:rPr>
          <w:rFonts w:hint="eastAsia" w:hAnsi="宋体" w:cs="宋体"/>
          <w:b/>
          <w:snapToGrid w:val="0"/>
          <w:color w:val="auto"/>
          <w:highlight w:val="none"/>
        </w:rPr>
      </w:pPr>
      <w:bookmarkStart w:id="190" w:name="_Toc622"/>
      <w:bookmarkStart w:id="191" w:name="_Toc22841"/>
      <w:bookmarkStart w:id="192" w:name="_Toc22692"/>
      <w:bookmarkStart w:id="193" w:name="_Toc9264"/>
      <w:bookmarkStart w:id="194" w:name="_Toc13149"/>
      <w:bookmarkStart w:id="195" w:name="_Toc5060"/>
      <w:bookmarkStart w:id="196" w:name="_Toc8133"/>
      <w:bookmarkStart w:id="197" w:name="_Toc20297"/>
      <w:bookmarkStart w:id="198" w:name="_Toc18491"/>
      <w:bookmarkStart w:id="199" w:name="_Toc4068"/>
      <w:bookmarkStart w:id="200" w:name="_Toc28533"/>
      <w:r>
        <w:rPr>
          <w:rFonts w:hint="eastAsia" w:hAnsi="宋体" w:cs="宋体"/>
          <w:b/>
          <w:snapToGrid w:val="0"/>
          <w:color w:val="auto"/>
          <w:highlight w:val="none"/>
        </w:rPr>
        <w:t>11．</w:t>
      </w:r>
      <w:bookmarkEnd w:id="189"/>
      <w:bookmarkEnd w:id="190"/>
      <w:bookmarkEnd w:id="191"/>
      <w:bookmarkEnd w:id="192"/>
      <w:bookmarkEnd w:id="193"/>
      <w:bookmarkEnd w:id="194"/>
      <w:bookmarkEnd w:id="195"/>
      <w:bookmarkEnd w:id="196"/>
      <w:bookmarkEnd w:id="197"/>
      <w:bookmarkEnd w:id="198"/>
      <w:r>
        <w:rPr>
          <w:rFonts w:hint="eastAsia" w:hAnsi="宋体" w:cs="宋体"/>
          <w:b/>
          <w:snapToGrid w:val="0"/>
          <w:color w:val="auto"/>
          <w:highlight w:val="none"/>
        </w:rPr>
        <w:t>电子投标</w:t>
      </w:r>
      <w:bookmarkEnd w:id="199"/>
      <w:bookmarkEnd w:id="200"/>
    </w:p>
    <w:p w14:paraId="319D8680">
      <w:pPr>
        <w:shd w:val="clear" w:color="auto" w:fill="auto"/>
        <w:wordWrap w:val="0"/>
        <w:adjustRightInd w:val="0"/>
        <w:snapToGrid w:val="0"/>
        <w:spacing w:line="440" w:lineRule="exact"/>
        <w:ind w:firstLine="560"/>
        <w:rPr>
          <w:rFonts w:hint="eastAsia" w:hAnsi="宋体" w:cs="宋体"/>
          <w:snapToGrid w:val="0"/>
          <w:color w:val="auto"/>
          <w:kern w:val="0"/>
          <w:highlight w:val="none"/>
        </w:rPr>
      </w:pPr>
      <w:bookmarkStart w:id="201" w:name="_Hlt66200498"/>
      <w:bookmarkEnd w:id="201"/>
      <w:bookmarkStart w:id="202" w:name="_Hlt66511038"/>
      <w:bookmarkEnd w:id="202"/>
      <w:r>
        <w:rPr>
          <w:rFonts w:hint="eastAsia" w:hAnsi="宋体" w:cs="宋体"/>
          <w:b/>
          <w:bCs/>
          <w:snapToGrid w:val="0"/>
          <w:color w:val="auto"/>
          <w:kern w:val="0"/>
          <w:highlight w:val="none"/>
        </w:rPr>
        <w:t>11.1</w:t>
      </w:r>
      <w:r>
        <w:rPr>
          <w:rFonts w:hint="eastAsia" w:hAnsi="宋体" w:cs="宋体"/>
          <w:snapToGrid w:val="0"/>
          <w:color w:val="auto"/>
          <w:kern w:val="0"/>
          <w:highlight w:val="none"/>
        </w:rPr>
        <w:t xml:space="preserve"> </w:t>
      </w:r>
      <w:bookmarkStart w:id="203" w:name="_Hlt88627590"/>
      <w:bookmarkEnd w:id="203"/>
      <w:r>
        <w:rPr>
          <w:rFonts w:hint="eastAsia" w:hAnsi="宋体" w:cs="宋体"/>
          <w:snapToGrid w:val="0"/>
          <w:color w:val="auto"/>
          <w:kern w:val="0"/>
          <w:highlight w:val="none"/>
        </w:rPr>
        <w:t>在建设工程交易系统上传加盖了电子印章的投标文件、录入相关信息及标书页码信息，（</w:t>
      </w:r>
      <w:r>
        <w:rPr>
          <w:rFonts w:hint="eastAsia" w:hAnsi="宋体" w:cs="宋体"/>
          <w:b/>
          <w:bCs/>
          <w:snapToGrid w:val="0"/>
          <w:color w:val="auto"/>
          <w:kern w:val="0"/>
          <w:highlight w:val="none"/>
        </w:rPr>
        <w:t>页码起始从封面开始</w:t>
      </w:r>
      <w:r>
        <w:rPr>
          <w:rFonts w:hint="eastAsia" w:hAnsi="宋体" w:cs="宋体"/>
          <w:snapToGrid w:val="0"/>
          <w:color w:val="auto"/>
          <w:kern w:val="0"/>
          <w:highlight w:val="none"/>
        </w:rPr>
        <w:t>）并提交投标标书。提交标书为已加密投标文件。具体操作参照《韶关市公共资源建设工程交易系统-投标人操作指南》。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CA数字证书对投标文件进行文件加密，形成加密的投标文件并提交标书。</w:t>
      </w:r>
    </w:p>
    <w:p w14:paraId="340F0D06">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11.2</w:t>
      </w:r>
      <w:r>
        <w:rPr>
          <w:rFonts w:hint="eastAsia" w:hAnsi="宋体" w:cs="宋体"/>
          <w:snapToGrid w:val="0"/>
          <w:color w:val="auto"/>
          <w:kern w:val="0"/>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bookmarkStart w:id="204" w:name="_Toc32203"/>
    </w:p>
    <w:p w14:paraId="2D6A4F2A">
      <w:pPr>
        <w:shd w:val="clear" w:color="auto" w:fill="auto"/>
        <w:wordWrap w:val="0"/>
        <w:adjustRightInd w:val="0"/>
        <w:snapToGrid w:val="0"/>
        <w:spacing w:line="440" w:lineRule="exact"/>
        <w:ind w:firstLine="560"/>
        <w:rPr>
          <w:rFonts w:hint="eastAsia" w:ascii="宋体" w:hAnsi="宋体" w:eastAsia="宋体" w:cs="宋体"/>
          <w:b w:val="0"/>
          <w:bCs w:val="0"/>
          <w:snapToGrid w:val="0"/>
          <w:color w:val="auto"/>
          <w:kern w:val="0"/>
          <w:highlight w:val="none"/>
        </w:rPr>
      </w:pPr>
      <w:r>
        <w:rPr>
          <w:rFonts w:hint="eastAsia" w:ascii="宋体" w:hAnsi="宋体" w:eastAsia="宋体" w:cs="宋体"/>
          <w:b/>
          <w:bCs/>
          <w:snapToGrid w:val="0"/>
          <w:color w:val="auto"/>
          <w:kern w:val="0"/>
          <w:highlight w:val="none"/>
        </w:rPr>
        <w:t>11.3</w:t>
      </w:r>
      <w:r>
        <w:rPr>
          <w:rFonts w:hint="eastAsia" w:ascii="宋体" w:hAnsi="宋体" w:eastAsia="宋体" w:cs="宋体"/>
          <w:b w:val="0"/>
          <w:bCs w:val="0"/>
          <w:snapToGrid w:val="0"/>
          <w:color w:val="auto"/>
          <w:kern w:val="0"/>
          <w:highlight w:val="none"/>
        </w:rPr>
        <w:t>投标文件的提交</w:t>
      </w:r>
    </w:p>
    <w:p w14:paraId="30331FF2">
      <w:pPr>
        <w:shd w:val="clear" w:color="auto" w:fill="auto"/>
        <w:wordWrap w:val="0"/>
        <w:adjustRightInd w:val="0"/>
        <w:snapToGrid w:val="0"/>
        <w:spacing w:line="440" w:lineRule="exact"/>
        <w:ind w:firstLine="560"/>
        <w:rPr>
          <w:rFonts w:hint="eastAsia" w:ascii="宋体" w:hAnsi="宋体" w:eastAsia="宋体" w:cs="宋体"/>
          <w:b w:val="0"/>
          <w:bCs w:val="0"/>
          <w:snapToGrid w:val="0"/>
          <w:color w:val="auto"/>
          <w:kern w:val="0"/>
          <w:highlight w:val="none"/>
        </w:rPr>
      </w:pPr>
      <w:r>
        <w:rPr>
          <w:rFonts w:hint="eastAsia" w:ascii="宋体" w:hAnsi="宋体" w:eastAsia="宋体" w:cs="宋体"/>
          <w:b/>
          <w:bCs/>
          <w:snapToGrid w:val="0"/>
          <w:color w:val="auto"/>
          <w:kern w:val="0"/>
          <w:highlight w:val="none"/>
        </w:rPr>
        <w:t xml:space="preserve">11.3.1 </w:t>
      </w:r>
      <w:r>
        <w:rPr>
          <w:rFonts w:hint="eastAsia" w:ascii="宋体" w:hAnsi="宋体" w:eastAsia="宋体" w:cs="宋体"/>
          <w:b w:val="0"/>
          <w:bCs w:val="0"/>
          <w:snapToGrid w:val="0"/>
          <w:color w:val="auto"/>
          <w:kern w:val="0"/>
          <w:highlight w:val="none"/>
        </w:rPr>
        <w:t>投标人必须在规定的截止时间前使用交易系统完成获取招标文件、缴纳投标保证和全流程电子投标，只有满足以上所有条件，方为有效投标。</w:t>
      </w:r>
    </w:p>
    <w:p w14:paraId="1F0DAA07">
      <w:pPr>
        <w:shd w:val="clear" w:color="auto" w:fill="auto"/>
        <w:wordWrap w:val="0"/>
        <w:adjustRightInd w:val="0"/>
        <w:snapToGrid w:val="0"/>
        <w:spacing w:line="440" w:lineRule="exact"/>
        <w:ind w:firstLine="560"/>
        <w:rPr>
          <w:rFonts w:hint="eastAsia" w:ascii="宋体" w:hAnsi="宋体" w:eastAsia="宋体" w:cs="宋体"/>
          <w:b w:val="0"/>
          <w:bCs w:val="0"/>
          <w:snapToGrid w:val="0"/>
          <w:color w:val="auto"/>
          <w:kern w:val="0"/>
          <w:highlight w:val="none"/>
        </w:rPr>
      </w:pPr>
      <w:r>
        <w:rPr>
          <w:rFonts w:hint="eastAsia" w:ascii="宋体" w:hAnsi="宋体" w:eastAsia="宋体" w:cs="宋体"/>
          <w:b/>
          <w:bCs/>
          <w:snapToGrid w:val="0"/>
          <w:color w:val="auto"/>
          <w:kern w:val="0"/>
          <w:highlight w:val="none"/>
        </w:rPr>
        <w:t>11.3.2</w:t>
      </w:r>
      <w:r>
        <w:rPr>
          <w:rFonts w:hint="eastAsia" w:ascii="宋体" w:hAnsi="宋体" w:eastAsia="宋体" w:cs="宋体"/>
          <w:b w:val="0"/>
          <w:bCs w:val="0"/>
          <w:snapToGrid w:val="0"/>
          <w:color w:val="auto"/>
          <w:kern w:val="0"/>
          <w:highlight w:val="none"/>
        </w:rPr>
        <w:t xml:space="preserve"> 投标人如有招标文件要求提交的用于评审的证书、证件、证明原件（附一式两份清单），由投标人法定代表人或其委托代理人在指定的时间和地点递交（见</w:t>
      </w:r>
      <w:r>
        <w:rPr>
          <w:rFonts w:hint="eastAsia" w:ascii="宋体" w:hAnsi="宋体" w:eastAsia="宋体" w:cs="宋体"/>
          <w:color w:val="auto"/>
          <w:sz w:val="24"/>
          <w:szCs w:val="24"/>
          <w:highlight w:val="none"/>
          <w:lang w:val="en-US" w:eastAsia="zh-CN"/>
        </w:rPr>
        <w:t>本章</w:t>
      </w:r>
      <w:r>
        <w:rPr>
          <w:rFonts w:hint="eastAsia" w:hAnsi="宋体" w:cs="宋体"/>
          <w:snapToGrid w:val="0"/>
          <w:color w:val="auto"/>
          <w:kern w:val="0"/>
          <w:szCs w:val="24"/>
          <w:highlight w:val="none"/>
        </w:rPr>
        <w:t>第二节</w:t>
      </w:r>
      <w:r>
        <w:rPr>
          <w:rFonts w:ascii="宋体" w:hAnsi="宋体" w:eastAsia="宋体" w:cs="宋体"/>
          <w:color w:val="auto"/>
          <w:sz w:val="24"/>
          <w:szCs w:val="24"/>
          <w:highlight w:val="none"/>
        </w:rPr>
        <w:t>“重要事项时间地点一览表”</w:t>
      </w:r>
      <w:r>
        <w:rPr>
          <w:rFonts w:hint="eastAsia" w:ascii="宋体" w:hAnsi="宋体" w:eastAsia="宋体" w:cs="宋体"/>
          <w:b w:val="0"/>
          <w:bCs w:val="0"/>
          <w:snapToGrid w:val="0"/>
          <w:color w:val="auto"/>
          <w:kern w:val="0"/>
          <w:highlight w:val="none"/>
        </w:rPr>
        <w:t>）。</w:t>
      </w:r>
    </w:p>
    <w:p w14:paraId="6F83B777">
      <w:pPr>
        <w:pStyle w:val="4"/>
        <w:keepNext/>
        <w:keepLines/>
        <w:pageBreakBefore w:val="0"/>
        <w:widowControl w:val="0"/>
        <w:shd w:val="clear" w:color="auto" w:fill="auto"/>
        <w:kinsoku/>
        <w:wordWrap/>
        <w:overflowPunct/>
        <w:topLinePunct w:val="0"/>
        <w:autoSpaceDE/>
        <w:autoSpaceDN/>
        <w:bidi w:val="0"/>
        <w:adjustRightInd/>
        <w:snapToGrid/>
        <w:spacing w:before="240"/>
        <w:jc w:val="left"/>
        <w:textAlignment w:val="auto"/>
        <w:rPr>
          <w:rFonts w:hint="eastAsia" w:hAnsi="宋体" w:cs="宋体"/>
          <w:b/>
          <w:snapToGrid w:val="0"/>
          <w:color w:val="auto"/>
          <w:highlight w:val="none"/>
        </w:rPr>
      </w:pPr>
      <w:bookmarkStart w:id="205" w:name="_Toc372"/>
      <w:bookmarkStart w:id="206" w:name="_Toc23904"/>
      <w:bookmarkStart w:id="207" w:name="_Toc9067"/>
      <w:bookmarkStart w:id="208" w:name="_Toc17228"/>
      <w:bookmarkStart w:id="209" w:name="_Toc18783"/>
      <w:bookmarkStart w:id="210" w:name="_Toc8371"/>
      <w:bookmarkStart w:id="211" w:name="_Toc7230"/>
      <w:bookmarkStart w:id="212" w:name="_Toc8384"/>
      <w:bookmarkStart w:id="213" w:name="_Toc12850"/>
      <w:bookmarkStart w:id="214" w:name="_Toc11440"/>
      <w:bookmarkStart w:id="215" w:name="_Toc13375"/>
      <w:r>
        <w:rPr>
          <w:rFonts w:hint="eastAsia" w:hAnsi="宋体" w:cs="宋体"/>
          <w:b/>
          <w:snapToGrid w:val="0"/>
          <w:color w:val="auto"/>
          <w:highlight w:val="none"/>
        </w:rPr>
        <w:t>12．</w:t>
      </w:r>
      <w:bookmarkEnd w:id="204"/>
      <w:bookmarkEnd w:id="205"/>
      <w:bookmarkEnd w:id="206"/>
      <w:bookmarkEnd w:id="207"/>
      <w:bookmarkEnd w:id="208"/>
      <w:bookmarkEnd w:id="209"/>
      <w:bookmarkEnd w:id="210"/>
      <w:bookmarkEnd w:id="211"/>
      <w:bookmarkEnd w:id="212"/>
      <w:bookmarkEnd w:id="213"/>
      <w:r>
        <w:rPr>
          <w:rFonts w:hint="eastAsia" w:hAnsi="宋体" w:cs="宋体"/>
          <w:b/>
          <w:snapToGrid w:val="0"/>
          <w:color w:val="auto"/>
          <w:highlight w:val="none"/>
        </w:rPr>
        <w:t>电子投标及投标解密失败及突发情况的补救方案</w:t>
      </w:r>
      <w:bookmarkEnd w:id="214"/>
      <w:bookmarkEnd w:id="215"/>
    </w:p>
    <w:p w14:paraId="169781F8">
      <w:pPr>
        <w:pStyle w:val="43"/>
        <w:shd w:val="clear" w:color="auto" w:fill="auto"/>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12.1</w:t>
      </w:r>
      <w:r>
        <w:rPr>
          <w:rFonts w:hint="eastAsia" w:ascii="宋体" w:hAnsi="宋体" w:cs="宋体"/>
          <w:snapToGrid w:val="0"/>
          <w:color w:val="auto"/>
          <w:kern w:val="0"/>
          <w:sz w:val="24"/>
          <w:highlight w:val="none"/>
        </w:rPr>
        <w:t xml:space="preserve"> 按照交易平台关于全流程电子化项目的相关指南进行操作。详见：</w:t>
      </w:r>
      <w:r>
        <w:rPr>
          <w:rFonts w:hint="eastAsia" w:ascii="宋体" w:hAnsi="宋体" w:cs="宋体"/>
          <w:snapToGrid w:val="0"/>
          <w:color w:val="auto"/>
          <w:kern w:val="0"/>
          <w:sz w:val="24"/>
          <w:highlight w:val="none"/>
          <w:lang w:eastAsia="zh-CN"/>
        </w:rPr>
        <w:t>全国公共资源交易平台 （广东省·韶关市）</w:t>
      </w:r>
      <w:r>
        <w:rPr>
          <w:rFonts w:hint="eastAsia" w:ascii="宋体" w:hAnsi="宋体" w:cs="宋体"/>
          <w:snapToGrid w:val="0"/>
          <w:color w:val="auto"/>
          <w:kern w:val="0"/>
          <w:sz w:val="24"/>
          <w:highlight w:val="none"/>
        </w:rPr>
        <w:t>交易指引栏目发布的最新版操作指引。</w:t>
      </w:r>
    </w:p>
    <w:p w14:paraId="664A5C38">
      <w:pPr>
        <w:pStyle w:val="43"/>
        <w:shd w:val="clear" w:color="auto" w:fill="auto"/>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12.2</w:t>
      </w:r>
      <w:r>
        <w:rPr>
          <w:rFonts w:hint="eastAsia" w:ascii="宋体" w:hAnsi="宋体" w:cs="宋体"/>
          <w:snapToGrid w:val="0"/>
          <w:color w:val="auto"/>
          <w:kern w:val="0"/>
          <w:sz w:val="24"/>
          <w:highlight w:val="none"/>
        </w:rPr>
        <w:t xml:space="preserve"> </w:t>
      </w:r>
      <w:r>
        <w:rPr>
          <w:rFonts w:hint="eastAsia" w:ascii="宋体" w:hAnsi="宋体" w:cs="宋体"/>
          <w:b/>
          <w:bCs/>
          <w:snapToGrid w:val="0"/>
          <w:color w:val="auto"/>
          <w:kern w:val="0"/>
          <w:sz w:val="24"/>
          <w:highlight w:val="none"/>
        </w:rPr>
        <w:t>补救方案</w:t>
      </w:r>
    </w:p>
    <w:p w14:paraId="7B6FD83A">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r>
        <w:rPr>
          <w:rFonts w:hint="eastAsia" w:hAnsi="宋体" w:cs="宋体"/>
          <w:b/>
          <w:bCs/>
          <w:snapToGrid w:val="0"/>
          <w:color w:val="auto"/>
          <w:kern w:val="0"/>
          <w:highlight w:val="none"/>
        </w:rPr>
        <w:t>电子投标文件解密失败且未在规定的时限内按要求成功上传未加密的备用投标文件的，视为无效投标。</w:t>
      </w:r>
    </w:p>
    <w:p w14:paraId="3FBBB24B">
      <w:pPr>
        <w:shd w:val="clear" w:color="auto" w:fill="auto"/>
        <w:wordWrap w:val="0"/>
        <w:adjustRightInd w:val="0"/>
        <w:snapToGrid w:val="0"/>
        <w:spacing w:line="440" w:lineRule="exact"/>
        <w:ind w:firstLine="480" w:firstLineChars="200"/>
        <w:rPr>
          <w:rFonts w:hint="eastAsia" w:hAnsi="宋体" w:eastAsia="宋体" w:cs="宋体"/>
          <w:snapToGrid w:val="0"/>
          <w:color w:val="auto"/>
          <w:kern w:val="0"/>
          <w:highlight w:val="none"/>
          <w:lang w:eastAsia="zh-CN"/>
        </w:rPr>
      </w:pPr>
      <w:r>
        <w:rPr>
          <w:rFonts w:hint="eastAsia" w:hAnsi="宋体" w:cs="宋体"/>
          <w:snapToGrid w:val="0"/>
          <w:color w:val="auto"/>
          <w:kern w:val="0"/>
          <w:highlight w:val="none"/>
        </w:rPr>
        <w:t>（2）在评标过程中，因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776014CB">
      <w:pPr>
        <w:shd w:val="clear" w:color="auto" w:fill="auto"/>
        <w:wordWrap w:val="0"/>
        <w:adjustRightInd w:val="0"/>
        <w:snapToGrid w:val="0"/>
        <w:spacing w:line="440" w:lineRule="exact"/>
        <w:ind w:firstLine="480" w:firstLineChars="200"/>
        <w:rPr>
          <w:rFonts w:hint="eastAsia" w:hAnsi="宋体" w:eastAsia="宋体" w:cs="宋体"/>
          <w:snapToGrid w:val="0"/>
          <w:color w:val="auto"/>
          <w:kern w:val="0"/>
          <w:highlight w:val="none"/>
          <w:lang w:eastAsia="zh-CN"/>
        </w:rPr>
      </w:pPr>
      <w:r>
        <w:rPr>
          <w:rFonts w:hint="eastAsia" w:hAnsi="宋体" w:cs="宋体"/>
          <w:snapToGrid w:val="0"/>
          <w:color w:val="auto"/>
          <w:kern w:val="0"/>
          <w:highlight w:val="none"/>
        </w:rPr>
        <w:t>（3）除发生上述情况外，开标评标均以投标人通过交易平台网上提交的电子投标文件为准。</w:t>
      </w:r>
    </w:p>
    <w:p w14:paraId="7BA9AEBA">
      <w:pPr>
        <w:shd w:val="clear" w:color="auto" w:fill="auto"/>
        <w:wordWrap w:val="0"/>
        <w:adjustRightInd w:val="0"/>
        <w:snapToGrid w:val="0"/>
        <w:spacing w:line="440" w:lineRule="exact"/>
        <w:ind w:firstLine="482" w:firstLineChars="200"/>
        <w:outlineLvl w:val="2"/>
        <w:rPr>
          <w:rFonts w:hint="eastAsia" w:hAnsi="宋体" w:cs="宋体"/>
          <w:snapToGrid w:val="0"/>
          <w:color w:val="auto"/>
          <w:kern w:val="0"/>
          <w:highlight w:val="none"/>
        </w:rPr>
      </w:pPr>
      <w:bookmarkStart w:id="216" w:name="_Toc24499"/>
      <w:bookmarkStart w:id="217" w:name="_Toc6192"/>
      <w:bookmarkStart w:id="218" w:name="_Toc3479"/>
      <w:bookmarkStart w:id="219" w:name="_Toc22212"/>
      <w:bookmarkStart w:id="220" w:name="_Toc28656"/>
      <w:bookmarkStart w:id="221" w:name="_Toc10059"/>
      <w:bookmarkStart w:id="222" w:name="_Toc22389"/>
      <w:bookmarkStart w:id="223" w:name="_Toc15056"/>
      <w:bookmarkStart w:id="224" w:name="_Toc28771"/>
      <w:bookmarkStart w:id="225" w:name="_Toc18672"/>
      <w:r>
        <w:rPr>
          <w:rFonts w:hint="eastAsia" w:hAnsi="宋体" w:cs="宋体"/>
          <w:b/>
          <w:snapToGrid w:val="0"/>
          <w:color w:val="auto"/>
          <w:kern w:val="0"/>
          <w:highlight w:val="none"/>
        </w:rPr>
        <w:t>13．投标有效期</w:t>
      </w:r>
      <w:bookmarkEnd w:id="216"/>
      <w:bookmarkEnd w:id="217"/>
      <w:bookmarkEnd w:id="218"/>
      <w:bookmarkEnd w:id="219"/>
      <w:bookmarkEnd w:id="220"/>
      <w:bookmarkEnd w:id="221"/>
      <w:bookmarkEnd w:id="222"/>
      <w:bookmarkEnd w:id="223"/>
      <w:bookmarkEnd w:id="224"/>
      <w:bookmarkEnd w:id="225"/>
    </w:p>
    <w:p w14:paraId="78CE370A">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本次招标投标有效期为90个日历天，自招标人或其授权的招标代理机构接收投标人递交的投标文件之日起计。在此期间，投标人不得撤销或修改其投标文件，否则其投标保证不予退还。</w:t>
      </w:r>
    </w:p>
    <w:p w14:paraId="047BBFC5">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p>
    <w:p w14:paraId="10FB744D">
      <w:pPr>
        <w:shd w:val="clear" w:color="auto" w:fill="auto"/>
        <w:wordWrap w:val="0"/>
        <w:adjustRightInd w:val="0"/>
        <w:snapToGrid w:val="0"/>
        <w:spacing w:line="440" w:lineRule="exact"/>
        <w:ind w:firstLine="482" w:firstLineChars="200"/>
        <w:outlineLvl w:val="2"/>
        <w:rPr>
          <w:rFonts w:hint="eastAsia" w:hAnsi="宋体" w:cs="宋体"/>
          <w:snapToGrid w:val="0"/>
          <w:color w:val="auto"/>
          <w:kern w:val="0"/>
          <w:highlight w:val="none"/>
        </w:rPr>
      </w:pPr>
      <w:bookmarkStart w:id="226" w:name="_Toc15804"/>
      <w:bookmarkStart w:id="227" w:name="_Toc18547"/>
      <w:bookmarkStart w:id="228" w:name="_Toc18658"/>
      <w:bookmarkStart w:id="229" w:name="_Toc3636"/>
      <w:bookmarkStart w:id="230" w:name="_Toc23878"/>
      <w:bookmarkStart w:id="231" w:name="_Toc17676"/>
      <w:bookmarkStart w:id="232" w:name="_Toc29341"/>
      <w:bookmarkStart w:id="233" w:name="_Toc16024"/>
      <w:bookmarkStart w:id="234" w:name="_Toc1214"/>
      <w:bookmarkStart w:id="235" w:name="_Toc5946"/>
      <w:r>
        <w:rPr>
          <w:rFonts w:hint="eastAsia" w:hAnsi="宋体" w:cs="宋体"/>
          <w:b/>
          <w:snapToGrid w:val="0"/>
          <w:color w:val="auto"/>
          <w:kern w:val="0"/>
          <w:highlight w:val="none"/>
        </w:rPr>
        <w:t>14．开标</w:t>
      </w:r>
      <w:bookmarkEnd w:id="226"/>
      <w:bookmarkEnd w:id="227"/>
      <w:bookmarkEnd w:id="228"/>
      <w:bookmarkEnd w:id="229"/>
      <w:bookmarkEnd w:id="230"/>
      <w:bookmarkEnd w:id="231"/>
      <w:bookmarkEnd w:id="232"/>
      <w:bookmarkEnd w:id="233"/>
      <w:bookmarkEnd w:id="234"/>
      <w:bookmarkEnd w:id="235"/>
    </w:p>
    <w:p w14:paraId="7445D983">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w:t>
      </w:r>
      <w:r>
        <w:rPr>
          <w:rFonts w:hint="eastAsia" w:ascii="宋体" w:hAnsi="宋体" w:cs="宋体"/>
          <w:snapToGrid w:val="0"/>
          <w:color w:val="auto"/>
          <w:kern w:val="0"/>
          <w:sz w:val="24"/>
          <w:highlight w:val="none"/>
        </w:rPr>
        <w:t xml:space="preserve"> 招标人邀请所有正确完成了</w:t>
      </w:r>
      <w:r>
        <w:rPr>
          <w:rFonts w:hint="eastAsia" w:ascii="宋体" w:hAnsi="宋体" w:eastAsia="宋体" w:cs="宋体"/>
          <w:snapToGrid w:val="0"/>
          <w:color w:val="auto"/>
          <w:kern w:val="0"/>
          <w:sz w:val="24"/>
          <w:szCs w:val="24"/>
          <w:highlight w:val="none"/>
        </w:rPr>
        <w:t>网上</w:t>
      </w:r>
      <w:r>
        <w:rPr>
          <w:rFonts w:hint="eastAsia" w:hAnsi="宋体" w:eastAsia="宋体" w:cs="宋体"/>
          <w:snapToGrid w:val="0"/>
          <w:color w:val="auto"/>
          <w:kern w:val="0"/>
          <w:sz w:val="24"/>
          <w:szCs w:val="24"/>
          <w:highlight w:val="none"/>
          <w:lang w:eastAsia="zh-CN"/>
        </w:rPr>
        <w:t>获取招标文件</w:t>
      </w:r>
      <w:r>
        <w:rPr>
          <w:rFonts w:hint="eastAsia" w:ascii="宋体" w:hAnsi="宋体" w:cs="宋体"/>
          <w:snapToGrid w:val="0"/>
          <w:color w:val="auto"/>
          <w:kern w:val="0"/>
          <w:sz w:val="24"/>
          <w:highlight w:val="none"/>
        </w:rPr>
        <w:t>、电子投标、缴纳投标保证的投标人参加开标</w:t>
      </w:r>
      <w:r>
        <w:rPr>
          <w:rFonts w:hint="eastAsia" w:ascii="宋体" w:hAnsi="宋体" w:cs="宋体"/>
          <w:b w:val="0"/>
          <w:bCs w:val="0"/>
          <w:snapToGrid w:val="0"/>
          <w:color w:val="auto"/>
          <w:kern w:val="0"/>
          <w:sz w:val="24"/>
          <w:highlight w:val="none"/>
        </w:rPr>
        <w:t>，投标人可自主决定是否参加</w:t>
      </w:r>
      <w:r>
        <w:rPr>
          <w:rFonts w:hint="eastAsia" w:ascii="宋体" w:hAnsi="宋体" w:cs="宋体"/>
          <w:snapToGrid w:val="0"/>
          <w:color w:val="auto"/>
          <w:kern w:val="0"/>
          <w:sz w:val="24"/>
          <w:highlight w:val="none"/>
        </w:rPr>
        <w:t>。投标人可登陆交易平台观看开标实况、提出异议或进行澄清、确认等操作（具体按招标文件和系统操作手册为准）。投标人不参加开标的，视其默认开标结果，以及放弃在开标期间见证、监督、投诉、申辩的权利。</w:t>
      </w:r>
    </w:p>
    <w:p w14:paraId="1A039281">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14.1.1</w:t>
      </w:r>
      <w:r>
        <w:rPr>
          <w:rFonts w:hint="eastAsia" w:ascii="宋体" w:hAnsi="宋体" w:cs="宋体"/>
          <w:snapToGrid w:val="0"/>
          <w:color w:val="auto"/>
          <w:kern w:val="0"/>
          <w:sz w:val="24"/>
          <w:highlight w:val="none"/>
        </w:rPr>
        <w:t xml:space="preserve"> 开标时间和地点：见</w:t>
      </w:r>
      <w:r>
        <w:rPr>
          <w:rFonts w:hint="eastAsia" w:ascii="宋体" w:hAnsi="宋体" w:cs="宋体"/>
          <w:snapToGrid w:val="0"/>
          <w:color w:val="auto"/>
          <w:kern w:val="0"/>
          <w:sz w:val="24"/>
          <w:highlight w:val="none"/>
          <w:lang w:val="en-US" w:eastAsia="zh-CN"/>
        </w:rPr>
        <w:t>本章</w:t>
      </w:r>
      <w:r>
        <w:rPr>
          <w:rFonts w:hint="eastAsia" w:ascii="宋体" w:hAnsi="宋体" w:cs="宋体"/>
          <w:snapToGrid w:val="0"/>
          <w:color w:val="auto"/>
          <w:kern w:val="0"/>
          <w:sz w:val="24"/>
          <w:highlight w:val="none"/>
        </w:rPr>
        <w:t>第二节“重要事项时间地点一览表”。</w:t>
      </w:r>
    </w:p>
    <w:p w14:paraId="54DD0F36">
      <w:pPr>
        <w:pStyle w:val="43"/>
        <w:shd w:val="clear" w:color="auto" w:fill="auto"/>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cs="宋体"/>
          <w:b/>
          <w:bCs/>
          <w:snapToGrid w:val="0"/>
          <w:color w:val="auto"/>
          <w:kern w:val="0"/>
          <w:sz w:val="24"/>
          <w:szCs w:val="20"/>
          <w:highlight w:val="none"/>
        </w:rPr>
        <w:t>14.1.2</w:t>
      </w:r>
      <w:r>
        <w:rPr>
          <w:rFonts w:hint="eastAsia" w:ascii="宋体" w:hAnsi="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见本招标文件“重要事项时间地点一览表”）至电子投标截止时间（见本招标文件“重要事项时间地点一览表”）期间登录</w:t>
      </w:r>
      <w:r>
        <w:rPr>
          <w:rFonts w:hint="eastAsia" w:ascii="宋体" w:hAnsi="宋体" w:eastAsia="宋体" w:cs="宋体"/>
          <w:snapToGrid w:val="0"/>
          <w:color w:val="auto"/>
          <w:kern w:val="0"/>
          <w:sz w:val="24"/>
          <w:highlight w:val="none"/>
          <w:lang w:eastAsia="zh-CN"/>
        </w:rPr>
        <w:t>全国公共资源交易平台（广东省·韶关市）（https://ygp.gdzwfw.gov.cn/ggzy-portal/#/440200/index）</w:t>
      </w:r>
      <w:r>
        <w:rPr>
          <w:rFonts w:hint="eastAsia" w:ascii="宋体" w:hAnsi="宋体" w:eastAsia="宋体" w:cs="宋体"/>
          <w:snapToGrid w:val="0"/>
          <w:color w:val="auto"/>
          <w:kern w:val="0"/>
          <w:sz w:val="24"/>
          <w:highlight w:val="none"/>
        </w:rPr>
        <w:t>查询是否发布了取消开标活动的相关信息。</w:t>
      </w:r>
    </w:p>
    <w:p w14:paraId="76582E33">
      <w:pPr>
        <w:pStyle w:val="43"/>
        <w:shd w:val="clear" w:color="auto" w:fill="auto"/>
        <w:wordWrap w:val="0"/>
        <w:adjustRightInd w:val="0"/>
        <w:snapToGrid w:val="0"/>
        <w:spacing w:line="440" w:lineRule="exact"/>
        <w:ind w:firstLine="480"/>
        <w:jc w:val="left"/>
        <w:rPr>
          <w:rFonts w:hint="eastAsia" w:ascii="宋体" w:hAnsi="宋体" w:cs="宋体"/>
          <w:snapToGrid w:val="0"/>
          <w:color w:val="auto"/>
          <w:kern w:val="0"/>
          <w:sz w:val="24"/>
          <w:highlight w:val="none"/>
        </w:rPr>
      </w:pPr>
      <w:r>
        <w:rPr>
          <w:rFonts w:hint="eastAsia" w:ascii="宋体" w:hAnsi="宋体" w:eastAsia="宋体" w:cs="宋体"/>
          <w:b/>
          <w:bCs/>
          <w:snapToGrid w:val="0"/>
          <w:color w:val="auto"/>
          <w:kern w:val="0"/>
          <w:sz w:val="24"/>
          <w:szCs w:val="20"/>
          <w:highlight w:val="none"/>
          <w:lang w:val="en-US" w:eastAsia="zh-CN"/>
        </w:rPr>
        <w:t>14.1</w:t>
      </w:r>
      <w:r>
        <w:rPr>
          <w:rFonts w:hint="eastAsia" w:ascii="宋体" w:hAnsi="宋体" w:eastAsia="宋体" w:cs="宋体"/>
          <w:b/>
          <w:bCs/>
          <w:snapToGrid w:val="0"/>
          <w:color w:val="auto"/>
          <w:kern w:val="0"/>
          <w:sz w:val="24"/>
          <w:szCs w:val="20"/>
          <w:highlight w:val="none"/>
        </w:rPr>
        <w:t xml:space="preserve">.3 </w:t>
      </w:r>
      <w:r>
        <w:rPr>
          <w:rFonts w:hint="eastAsia" w:ascii="宋体" w:hAnsi="宋体" w:eastAsia="宋体" w:cs="宋体"/>
          <w:snapToGrid w:val="0"/>
          <w:color w:val="auto"/>
          <w:kern w:val="0"/>
          <w:sz w:val="24"/>
          <w:highlight w:val="none"/>
        </w:rPr>
        <w:t>本项目实行全流程电子化招标投标，</w:t>
      </w:r>
      <w:r>
        <w:rPr>
          <w:rFonts w:hint="eastAsia" w:ascii="宋体" w:hAnsi="宋体" w:cs="宋体"/>
          <w:snapToGrid w:val="0"/>
          <w:color w:val="auto"/>
          <w:kern w:val="0"/>
          <w:sz w:val="24"/>
          <w:highlight w:val="none"/>
          <w:lang w:val="en-US" w:eastAsia="zh-CN"/>
        </w:rPr>
        <w:t>投标</w:t>
      </w:r>
      <w:r>
        <w:rPr>
          <w:rFonts w:hint="eastAsia" w:ascii="宋体" w:hAnsi="宋体" w:eastAsia="宋体" w:cs="宋体"/>
          <w:snapToGrid w:val="0"/>
          <w:color w:val="auto"/>
          <w:kern w:val="0"/>
          <w:sz w:val="24"/>
          <w:highlight w:val="none"/>
        </w:rPr>
        <w:t>人在交易平台按要求上传加盖电子印章并经加密的电子投标文件，并在交易平台录准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3184CEB">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14.2</w:t>
      </w:r>
      <w:r>
        <w:rPr>
          <w:rFonts w:hint="eastAsia" w:hAnsi="宋体" w:cs="宋体"/>
          <w:snapToGrid w:val="0"/>
          <w:color w:val="auto"/>
          <w:kern w:val="0"/>
          <w:highlight w:val="none"/>
        </w:rPr>
        <w:t xml:space="preserve"> 开标程序</w:t>
      </w:r>
    </w:p>
    <w:p w14:paraId="129B4D7E">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（1）主持人（招标人代表或招标人授权的招标代理机构人员）宣读开标纪律。</w:t>
      </w:r>
    </w:p>
    <w:p w14:paraId="4FA2AA89">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（2）主持人宣布唱标人、记录人、见证人、监督人等有关人员姓名。</w:t>
      </w:r>
    </w:p>
    <w:p w14:paraId="556661B6">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lang w:eastAsia="zh-CN"/>
        </w:rPr>
      </w:pPr>
      <w:r>
        <w:rPr>
          <w:rFonts w:hint="eastAsia" w:hAnsi="宋体" w:cs="宋体"/>
          <w:snapToGrid w:val="0"/>
          <w:color w:val="auto"/>
          <w:kern w:val="0"/>
          <w:highlight w:val="none"/>
        </w:rPr>
        <w:t>（3）唱标人公布在投标截止时间前</w:t>
      </w:r>
      <w:r>
        <w:rPr>
          <w:rFonts w:hint="eastAsia" w:hAnsi="宋体" w:cs="宋体"/>
          <w:snapToGrid w:val="0"/>
          <w:color w:val="auto"/>
          <w:kern w:val="0"/>
          <w:highlight w:val="none"/>
          <w:lang w:val="en-US" w:eastAsia="zh-CN"/>
        </w:rPr>
        <w:t>提</w:t>
      </w:r>
      <w:r>
        <w:rPr>
          <w:rFonts w:hint="eastAsia" w:hAnsi="宋体" w:cs="宋体"/>
          <w:snapToGrid w:val="0"/>
          <w:color w:val="auto"/>
          <w:kern w:val="0"/>
          <w:highlight w:val="none"/>
        </w:rPr>
        <w:t>交</w:t>
      </w:r>
      <w:r>
        <w:rPr>
          <w:rFonts w:hint="eastAsia" w:hAnsi="宋体" w:cs="宋体"/>
          <w:snapToGrid w:val="0"/>
          <w:color w:val="auto"/>
          <w:kern w:val="0"/>
          <w:highlight w:val="none"/>
          <w:lang w:val="en-US" w:eastAsia="zh-CN"/>
        </w:rPr>
        <w:t>电子</w:t>
      </w:r>
      <w:r>
        <w:rPr>
          <w:rFonts w:hint="eastAsia" w:hAnsi="宋体" w:cs="宋体"/>
          <w:snapToGrid w:val="0"/>
          <w:color w:val="auto"/>
          <w:kern w:val="0"/>
          <w:highlight w:val="none"/>
        </w:rPr>
        <w:t>投标文件的投标人数量和名称</w:t>
      </w:r>
      <w:r>
        <w:rPr>
          <w:rFonts w:hint="eastAsia" w:hAnsi="宋体" w:cs="宋体"/>
          <w:snapToGrid w:val="0"/>
          <w:color w:val="auto"/>
          <w:kern w:val="0"/>
          <w:highlight w:val="none"/>
          <w:lang w:eastAsia="zh-CN"/>
        </w:rPr>
        <w:t>。</w:t>
      </w:r>
    </w:p>
    <w:p w14:paraId="79C46286">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（4）</w:t>
      </w:r>
      <w:r>
        <w:rPr>
          <w:rFonts w:hint="eastAsia" w:ascii="宋体" w:hAnsi="宋体" w:cs="宋体"/>
          <w:color w:val="auto"/>
          <w:sz w:val="24"/>
          <w:szCs w:val="24"/>
          <w:highlight w:val="none"/>
        </w:rPr>
        <w:t>招标代理机构在交易场所工作人员的见证下，</w:t>
      </w:r>
      <w:r>
        <w:rPr>
          <w:rFonts w:hint="eastAsia" w:ascii="宋体" w:hAnsi="宋体" w:cs="宋体"/>
          <w:snapToGrid w:val="0"/>
          <w:color w:val="auto"/>
          <w:kern w:val="0"/>
          <w:sz w:val="24"/>
          <w:highlight w:val="none"/>
        </w:rPr>
        <w:t>对投标人的电子投标信息进行解密，建设工程交易系统自动生成《投标保证缴纳情况表》和《开标一览表》</w:t>
      </w:r>
      <w:r>
        <w:rPr>
          <w:rFonts w:hint="eastAsia" w:hAnsi="宋体" w:cs="宋体"/>
          <w:color w:val="auto"/>
          <w:szCs w:val="24"/>
          <w:highlight w:val="none"/>
        </w:rPr>
        <w:t>。</w:t>
      </w:r>
    </w:p>
    <w:p w14:paraId="104D8872">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）唱标人检查《开标一览表》中各投标人的投标总价、监理服务期限是否符合招标文件规定。若不符合规定，招标代理机构应将有关情形在《开标一览表》“备注”栏中注明。</w:t>
      </w:r>
    </w:p>
    <w:p w14:paraId="60E585A4">
      <w:pPr>
        <w:shd w:val="clear" w:color="auto" w:fill="auto"/>
        <w:wordWrap w:val="0"/>
        <w:adjustRightInd w:val="0"/>
        <w:snapToGrid w:val="0"/>
        <w:spacing w:line="440" w:lineRule="exact"/>
        <w:ind w:firstLine="482" w:firstLineChars="200"/>
        <w:rPr>
          <w:rFonts w:hint="eastAsia"/>
          <w:b/>
          <w:bCs/>
          <w:color w:val="auto"/>
          <w:highlight w:val="none"/>
        </w:rPr>
      </w:pPr>
      <w:r>
        <w:rPr>
          <w:rFonts w:hint="eastAsia"/>
          <w:b/>
          <w:bCs/>
          <w:color w:val="auto"/>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11BECE06">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6</w:t>
      </w:r>
      <w:r>
        <w:rPr>
          <w:rFonts w:hint="eastAsia" w:hAnsi="宋体" w:cs="宋体"/>
          <w:snapToGrid w:val="0"/>
          <w:color w:val="auto"/>
          <w:kern w:val="0"/>
          <w:highlight w:val="none"/>
        </w:rPr>
        <w:t>）招标人代表、唱标人、记录人等有关人员在《投标保证缴纳情况表》以及《开标一览表》上签字确认。</w:t>
      </w:r>
    </w:p>
    <w:p w14:paraId="003F62C9">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7</w:t>
      </w:r>
      <w:r>
        <w:rPr>
          <w:rFonts w:hint="eastAsia" w:hAnsi="宋体" w:cs="宋体"/>
          <w:snapToGrid w:val="0"/>
          <w:color w:val="auto"/>
          <w:kern w:val="0"/>
          <w:highlight w:val="none"/>
        </w:rPr>
        <w:t>）主持人宣布有关注意事项后，宣布开标结束。</w:t>
      </w:r>
    </w:p>
    <w:p w14:paraId="4FEF108A">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14.3</w:t>
      </w:r>
      <w:r>
        <w:rPr>
          <w:rFonts w:hint="eastAsia" w:hAnsi="宋体" w:cs="宋体"/>
          <w:snapToGrid w:val="0"/>
          <w:color w:val="auto"/>
          <w:kern w:val="0"/>
          <w:highlight w:val="none"/>
        </w:rPr>
        <w:t xml:space="preserve"> 投标人对开标相关事项（如开标程序、唱标次序和内容等）有异议的，必须在开标期间和开标现场提出，招标人或其授权的招标代理机构应当场作出答复，并记录在案。对开标事项的异议未在开标期间和开标现场提出的，招标人不予受理。</w:t>
      </w:r>
    </w:p>
    <w:p w14:paraId="42EDB01F">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14.4</w:t>
      </w:r>
      <w:r>
        <w:rPr>
          <w:rFonts w:hint="eastAsia" w:hAnsi="宋体" w:cs="宋体"/>
          <w:snapToGrid w:val="0"/>
          <w:color w:val="auto"/>
          <w:kern w:val="0"/>
          <w:highlight w:val="none"/>
        </w:rPr>
        <w:t xml:space="preserve"> 招标代理机构资料原件</w:t>
      </w:r>
      <w:r>
        <w:rPr>
          <w:rFonts w:hint="eastAsia" w:hAnsi="宋体" w:cs="宋体"/>
          <w:snapToGrid w:val="0"/>
          <w:color w:val="auto"/>
          <w:kern w:val="0"/>
          <w:highlight w:val="none"/>
          <w:lang w:eastAsia="zh-CN"/>
        </w:rPr>
        <w:t>（</w:t>
      </w:r>
      <w:r>
        <w:rPr>
          <w:rFonts w:hint="eastAsia" w:hAnsi="宋体" w:cs="宋体"/>
          <w:snapToGrid w:val="0"/>
          <w:color w:val="auto"/>
          <w:kern w:val="0"/>
          <w:highlight w:val="none"/>
          <w:lang w:val="en-US" w:eastAsia="zh-CN"/>
        </w:rPr>
        <w:t>如有）</w:t>
      </w:r>
      <w:r>
        <w:rPr>
          <w:rFonts w:hint="eastAsia" w:hAnsi="宋体" w:cs="宋体"/>
          <w:snapToGrid w:val="0"/>
          <w:color w:val="auto"/>
          <w:kern w:val="0"/>
          <w:highlight w:val="none"/>
        </w:rPr>
        <w:t>、《开标一览表》以及其他有关资料移交评标委员会。</w:t>
      </w:r>
      <w:bookmarkStart w:id="236" w:name="_Hlt127093805"/>
      <w:bookmarkEnd w:id="236"/>
    </w:p>
    <w:p w14:paraId="7618AC99">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p>
    <w:p w14:paraId="3102644D">
      <w:pPr>
        <w:shd w:val="clear" w:color="auto" w:fill="auto"/>
        <w:wordWrap w:val="0"/>
        <w:adjustRightInd w:val="0"/>
        <w:snapToGrid w:val="0"/>
        <w:spacing w:line="440" w:lineRule="exact"/>
        <w:ind w:firstLine="482" w:firstLineChars="200"/>
        <w:outlineLvl w:val="2"/>
        <w:rPr>
          <w:rFonts w:hint="eastAsia" w:hAnsi="宋体" w:cs="宋体"/>
          <w:b/>
          <w:snapToGrid w:val="0"/>
          <w:color w:val="auto"/>
          <w:kern w:val="0"/>
          <w:highlight w:val="none"/>
        </w:rPr>
      </w:pPr>
      <w:bookmarkStart w:id="237" w:name="_Toc6005"/>
      <w:bookmarkStart w:id="238" w:name="_Toc16582"/>
      <w:bookmarkStart w:id="239" w:name="_Toc32135"/>
      <w:bookmarkStart w:id="240" w:name="_Toc15736"/>
      <w:bookmarkStart w:id="241" w:name="_Toc28982"/>
      <w:bookmarkStart w:id="242" w:name="_Toc3135"/>
      <w:bookmarkStart w:id="243" w:name="_Toc7763"/>
      <w:bookmarkStart w:id="244" w:name="_Toc21857"/>
      <w:bookmarkStart w:id="245" w:name="_Toc12385"/>
      <w:bookmarkStart w:id="246" w:name="_Toc13528"/>
      <w:r>
        <w:rPr>
          <w:rFonts w:hint="eastAsia" w:hAnsi="宋体" w:cs="宋体"/>
          <w:b/>
          <w:snapToGrid w:val="0"/>
          <w:color w:val="auto"/>
          <w:kern w:val="0"/>
          <w:highlight w:val="none"/>
        </w:rPr>
        <w:t>15．评标</w:t>
      </w:r>
      <w:bookmarkEnd w:id="237"/>
      <w:bookmarkEnd w:id="238"/>
      <w:bookmarkEnd w:id="239"/>
      <w:bookmarkEnd w:id="240"/>
      <w:bookmarkEnd w:id="241"/>
      <w:bookmarkEnd w:id="242"/>
      <w:bookmarkEnd w:id="243"/>
      <w:bookmarkEnd w:id="244"/>
      <w:bookmarkEnd w:id="245"/>
      <w:bookmarkEnd w:id="246"/>
    </w:p>
    <w:p w14:paraId="5EE9B022">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评标分为初步评审和详细评审两个阶段，由评标委员会在有关部门的监督下，严格按照本招标文件指定的评标方法，对投标人的投标文件进行评审。</w:t>
      </w:r>
    </w:p>
    <w:p w14:paraId="0462F752">
      <w:pPr>
        <w:shd w:val="clear" w:color="auto" w:fill="auto"/>
        <w:wordWrap w:val="0"/>
        <w:adjustRightInd w:val="0"/>
        <w:snapToGrid w:val="0"/>
        <w:spacing w:line="440" w:lineRule="exact"/>
        <w:ind w:firstLine="482" w:firstLineChars="200"/>
        <w:rPr>
          <w:rFonts w:hint="eastAsia" w:hAnsi="宋体" w:cs="宋体"/>
          <w:bCs/>
          <w:snapToGrid w:val="0"/>
          <w:color w:val="auto"/>
          <w:kern w:val="0"/>
          <w:highlight w:val="none"/>
        </w:rPr>
      </w:pPr>
      <w:r>
        <w:rPr>
          <w:rFonts w:hint="eastAsia" w:hAnsi="宋体" w:cs="宋体"/>
          <w:b/>
          <w:bCs/>
          <w:snapToGrid w:val="0"/>
          <w:color w:val="auto"/>
          <w:kern w:val="0"/>
          <w:highlight w:val="none"/>
        </w:rPr>
        <w:t>15.1</w:t>
      </w:r>
      <w:r>
        <w:rPr>
          <w:rFonts w:hint="eastAsia" w:hAnsi="宋体" w:cs="宋体"/>
          <w:bCs/>
          <w:snapToGrid w:val="0"/>
          <w:color w:val="auto"/>
          <w:kern w:val="0"/>
          <w:highlight w:val="none"/>
        </w:rPr>
        <w:t xml:space="preserve"> 评标委员会</w:t>
      </w:r>
    </w:p>
    <w:p w14:paraId="3ACAD3A3">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b/>
          <w:bCs/>
          <w:snapToGrid w:val="0"/>
          <w:color w:val="auto"/>
          <w:kern w:val="0"/>
          <w:highlight w:val="none"/>
        </w:rPr>
        <w:t>15.1.1</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评标委员会由5人组成，其中招标人</w:t>
      </w:r>
      <w:r>
        <w:rPr>
          <w:rFonts w:hint="eastAsia" w:ascii="宋体" w:hAnsi="宋体" w:eastAsia="宋体" w:cs="宋体"/>
          <w:snapToGrid w:val="0"/>
          <w:color w:val="auto"/>
          <w:kern w:val="0"/>
          <w:szCs w:val="24"/>
          <w:highlight w:val="none"/>
        </w:rPr>
        <w:t>代表 0人，专家5人。专家从广东省综合评标评审专家库</w:t>
      </w:r>
      <w:r>
        <w:rPr>
          <w:rFonts w:hint="eastAsia" w:hAnsi="宋体" w:cs="宋体"/>
          <w:snapToGrid w:val="0"/>
          <w:color w:val="auto"/>
          <w:kern w:val="0"/>
          <w:szCs w:val="24"/>
          <w:highlight w:val="none"/>
          <w:lang w:val="en-US" w:eastAsia="zh-CN"/>
        </w:rPr>
        <w:t>--韶关区域</w:t>
      </w:r>
      <w:r>
        <w:rPr>
          <w:rFonts w:hint="eastAsia" w:ascii="宋体" w:hAnsi="宋体" w:eastAsia="宋体" w:cs="宋体"/>
          <w:snapToGrid w:val="0"/>
          <w:color w:val="auto"/>
          <w:kern w:val="0"/>
          <w:szCs w:val="24"/>
          <w:highlight w:val="none"/>
        </w:rPr>
        <w:t>中随机抽取，其中技术类专家3人，经济类专家2人。</w:t>
      </w:r>
      <w:r>
        <w:rPr>
          <w:rFonts w:hint="eastAsia" w:hAnsi="宋体" w:cs="宋体"/>
          <w:snapToGrid w:val="0"/>
          <w:color w:val="auto"/>
          <w:kern w:val="0"/>
          <w:highlight w:val="none"/>
        </w:rPr>
        <w:t>评标委员会设负责人，由评标委员会成员推举产生。评标委员会负责人与评标委员会的其他成员有同等的表决权。</w:t>
      </w:r>
    </w:p>
    <w:p w14:paraId="34C8B416">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b/>
          <w:bCs/>
          <w:snapToGrid w:val="0"/>
          <w:color w:val="auto"/>
          <w:kern w:val="0"/>
          <w:highlight w:val="none"/>
        </w:rPr>
        <w:t>15.1.2</w:t>
      </w:r>
      <w:r>
        <w:rPr>
          <w:rFonts w:hint="eastAsia" w:hAnsi="宋体" w:cs="宋体"/>
          <w:snapToGrid w:val="0"/>
          <w:color w:val="auto"/>
          <w:kern w:val="0"/>
          <w:highlight w:val="none"/>
        </w:rPr>
        <w:t xml:space="preserve"> 评标委员会应认真、公正、诚实、廉洁地履行职责。有下列情形之一的，不得担任评标委员会成员：</w:t>
      </w:r>
    </w:p>
    <w:p w14:paraId="0E794552">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snapToGrid w:val="0"/>
          <w:color w:val="auto"/>
          <w:kern w:val="0"/>
          <w:highlight w:val="none"/>
        </w:rPr>
        <w:t>（1）投标人或投标人主要负责人的近亲属；</w:t>
      </w:r>
    </w:p>
    <w:p w14:paraId="15C842F9">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snapToGrid w:val="0"/>
          <w:color w:val="auto"/>
          <w:kern w:val="0"/>
          <w:highlight w:val="none"/>
        </w:rPr>
        <w:t>（2）项目主管部门或者行政监督部门的人员；</w:t>
      </w:r>
    </w:p>
    <w:p w14:paraId="087D1EAF">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snapToGrid w:val="0"/>
          <w:color w:val="auto"/>
          <w:kern w:val="0"/>
          <w:highlight w:val="none"/>
        </w:rPr>
        <w:t>（3）与投标人有经济利益关系，可能影响对投标公正评审的；</w:t>
      </w:r>
    </w:p>
    <w:p w14:paraId="237B6CB0">
      <w:pPr>
        <w:shd w:val="clear" w:color="auto" w:fill="auto"/>
        <w:wordWrap w:val="0"/>
        <w:adjustRightInd w:val="0"/>
        <w:snapToGrid w:val="0"/>
        <w:spacing w:line="440" w:lineRule="exact"/>
        <w:ind w:firstLine="560"/>
        <w:rPr>
          <w:rFonts w:hint="eastAsia" w:hAnsi="宋体" w:cs="宋体"/>
          <w:snapToGrid w:val="0"/>
          <w:color w:val="auto"/>
          <w:kern w:val="0"/>
          <w:highlight w:val="none"/>
        </w:rPr>
      </w:pPr>
      <w:r>
        <w:rPr>
          <w:rFonts w:hint="eastAsia" w:hAnsi="宋体" w:cs="宋体"/>
          <w:snapToGrid w:val="0"/>
          <w:color w:val="auto"/>
          <w:kern w:val="0"/>
          <w:highlight w:val="none"/>
        </w:rPr>
        <w:t>（4）曾因在招标、评标以及其他与招标投标有关活动中从事违法行为而受过行政处罚或刑事处罚的。</w:t>
      </w:r>
    </w:p>
    <w:p w14:paraId="42020477">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评标委员会成员有以上情形之一的，应主动提出回避。</w:t>
      </w:r>
    </w:p>
    <w:p w14:paraId="059E07D5">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15.1.3</w:t>
      </w:r>
      <w:r>
        <w:rPr>
          <w:rFonts w:hint="eastAsia" w:hAnsi="宋体" w:cs="宋体"/>
          <w:snapToGrid w:val="0"/>
          <w:color w:val="auto"/>
          <w:kern w:val="0"/>
          <w:highlight w:val="none"/>
        </w:rPr>
        <w:t xml:space="preserve"> 评标全过程实行封闭式管理，在中标结果公布前，禁止评标委员会成员以任何方式私下接触投标人。</w:t>
      </w:r>
    </w:p>
    <w:p w14:paraId="7F54AAB3">
      <w:pPr>
        <w:shd w:val="clear" w:color="auto" w:fill="auto"/>
        <w:wordWrap w:val="0"/>
        <w:adjustRightInd w:val="0"/>
        <w:snapToGrid w:val="0"/>
        <w:spacing w:line="440" w:lineRule="exact"/>
        <w:ind w:firstLine="480" w:firstLineChars="200"/>
        <w:rPr>
          <w:rFonts w:hint="eastAsia" w:hAnsi="宋体" w:cs="宋体"/>
          <w:b w:val="0"/>
          <w:bCs w:val="0"/>
          <w:snapToGrid w:val="0"/>
          <w:color w:val="auto"/>
          <w:kern w:val="0"/>
          <w:highlight w:val="none"/>
        </w:rPr>
      </w:pPr>
      <w:r>
        <w:rPr>
          <w:rFonts w:hint="eastAsia" w:hAnsi="宋体" w:cs="宋体"/>
          <w:b w:val="0"/>
          <w:bCs w:val="0"/>
          <w:snapToGrid w:val="0"/>
          <w:color w:val="auto"/>
          <w:kern w:val="0"/>
          <w:highlight w:val="none"/>
        </w:rPr>
        <w:t>评标过程中，招标文件明确指定采用现场实时查询的信息资料（如“信用中国”信息等），由招标代理机构工作人员在评标委员会成员、交易场所工作人员共同见证下，使用指定设备登录相关发布网站进行下载、打印，并移交评标委员会。完成评标后，相关查询资料应予妥善保存、归档。</w:t>
      </w:r>
    </w:p>
    <w:p w14:paraId="1898463E">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15.1.4</w:t>
      </w:r>
      <w:r>
        <w:rPr>
          <w:rFonts w:hint="eastAsia" w:hAnsi="宋体" w:cs="宋体"/>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153E082">
      <w:pPr>
        <w:shd w:val="clear" w:color="auto" w:fill="auto"/>
        <w:wordWrap w:val="0"/>
        <w:adjustRightInd w:val="0"/>
        <w:snapToGrid w:val="0"/>
        <w:spacing w:line="440" w:lineRule="exact"/>
        <w:ind w:firstLine="562"/>
        <w:rPr>
          <w:rFonts w:hint="eastAsia" w:hAnsi="宋体" w:cs="宋体"/>
          <w:b/>
          <w:snapToGrid w:val="0"/>
          <w:color w:val="auto"/>
          <w:kern w:val="0"/>
          <w:szCs w:val="22"/>
          <w:highlight w:val="none"/>
        </w:rPr>
      </w:pPr>
      <w:r>
        <w:rPr>
          <w:rFonts w:hint="eastAsia" w:hAnsi="宋体" w:cs="宋体"/>
          <w:b/>
          <w:bCs/>
          <w:snapToGrid w:val="0"/>
          <w:color w:val="auto"/>
          <w:kern w:val="0"/>
          <w:highlight w:val="none"/>
        </w:rPr>
        <w:t>15.1.5</w:t>
      </w:r>
      <w:r>
        <w:rPr>
          <w:rFonts w:hint="eastAsia" w:hAnsi="宋体" w:cs="宋体"/>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448AF67">
      <w:pPr>
        <w:shd w:val="clear" w:color="auto" w:fill="auto"/>
        <w:wordWrap w:val="0"/>
        <w:adjustRightInd w:val="0"/>
        <w:snapToGrid w:val="0"/>
        <w:spacing w:line="440" w:lineRule="exact"/>
        <w:ind w:firstLine="561"/>
        <w:rPr>
          <w:rFonts w:hint="eastAsia" w:hAnsi="宋体" w:cs="宋体"/>
          <w:bCs/>
          <w:snapToGrid w:val="0"/>
          <w:color w:val="auto"/>
          <w:kern w:val="0"/>
          <w:highlight w:val="none"/>
        </w:rPr>
      </w:pPr>
      <w:r>
        <w:rPr>
          <w:rFonts w:hint="eastAsia" w:hAnsi="宋体" w:cs="宋体"/>
          <w:b/>
          <w:bCs/>
          <w:snapToGrid w:val="0"/>
          <w:color w:val="auto"/>
          <w:kern w:val="0"/>
          <w:highlight w:val="none"/>
        </w:rPr>
        <w:t>15.2</w:t>
      </w:r>
      <w:r>
        <w:rPr>
          <w:rFonts w:hint="eastAsia" w:hAnsi="宋体" w:cs="宋体"/>
          <w:bCs/>
          <w:snapToGrid w:val="0"/>
          <w:color w:val="auto"/>
          <w:kern w:val="0"/>
          <w:szCs w:val="22"/>
          <w:highlight w:val="none"/>
        </w:rPr>
        <w:t xml:space="preserve"> 评标方法</w:t>
      </w:r>
    </w:p>
    <w:p w14:paraId="4C00A5C4">
      <w:pPr>
        <w:shd w:val="clear" w:color="auto" w:fill="auto"/>
        <w:wordWrap w:val="0"/>
        <w:adjustRightInd w:val="0"/>
        <w:snapToGrid w:val="0"/>
        <w:spacing w:line="440" w:lineRule="exact"/>
        <w:ind w:firstLine="562"/>
        <w:rPr>
          <w:rFonts w:hint="eastAsia" w:hAnsi="宋体" w:cs="宋体"/>
          <w:i/>
          <w:iCs/>
          <w:snapToGrid w:val="0"/>
          <w:color w:val="auto"/>
          <w:kern w:val="0"/>
          <w:highlight w:val="none"/>
        </w:rPr>
      </w:pPr>
      <w:r>
        <w:rPr>
          <w:rFonts w:hint="eastAsia" w:hAnsi="宋体" w:cs="宋体"/>
          <w:snapToGrid w:val="0"/>
          <w:color w:val="auto"/>
          <w:kern w:val="0"/>
          <w:highlight w:val="none"/>
        </w:rPr>
        <w:t>根据有关法律、法规的相关规定，结合本招标项目资金来源和规模特点，本次招标采用“综合评估法”进行评标。</w:t>
      </w:r>
    </w:p>
    <w:p w14:paraId="5FE776BC">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15.3</w:t>
      </w:r>
      <w:r>
        <w:rPr>
          <w:rFonts w:hint="eastAsia" w:hAnsi="宋体" w:cs="宋体"/>
          <w:bCs/>
          <w:snapToGrid w:val="0"/>
          <w:color w:val="auto"/>
          <w:kern w:val="0"/>
          <w:szCs w:val="22"/>
          <w:highlight w:val="none"/>
        </w:rPr>
        <w:t xml:space="preserve"> 评审范围：</w:t>
      </w:r>
      <w:r>
        <w:rPr>
          <w:rFonts w:hint="eastAsia" w:hAnsi="宋体" w:cs="宋体"/>
          <w:snapToGrid w:val="0"/>
          <w:color w:val="auto"/>
          <w:kern w:val="0"/>
          <w:highlight w:val="none"/>
        </w:rPr>
        <w:t>评标委员会应对所有进入评标投标人的投标文件进行评审。</w:t>
      </w:r>
    </w:p>
    <w:p w14:paraId="22773F73">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15.4</w:t>
      </w:r>
      <w:r>
        <w:rPr>
          <w:rFonts w:hint="eastAsia" w:hAnsi="宋体" w:cs="宋体"/>
          <w:snapToGrid w:val="0"/>
          <w:color w:val="auto"/>
          <w:kern w:val="0"/>
          <w:highlight w:val="none"/>
        </w:rPr>
        <w:t xml:space="preserve"> 初步评审阶段</w:t>
      </w:r>
    </w:p>
    <w:p w14:paraId="06DA596D">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初步评审阶段分为资格评审、形式评审和响应性评审三个环节。</w:t>
      </w:r>
    </w:p>
    <w:p w14:paraId="13CD2F20">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15.4.1</w:t>
      </w:r>
      <w:r>
        <w:rPr>
          <w:rFonts w:hint="eastAsia" w:hAnsi="宋体" w:cs="宋体"/>
          <w:snapToGrid w:val="0"/>
          <w:color w:val="auto"/>
          <w:kern w:val="0"/>
          <w:highlight w:val="none"/>
        </w:rPr>
        <w:t xml:space="preserve"> 资格评审环节</w:t>
      </w:r>
    </w:p>
    <w:p w14:paraId="049B1C03">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资格评审事项包括：</w:t>
      </w:r>
    </w:p>
    <w:p w14:paraId="06C00083">
      <w:pPr>
        <w:numPr>
          <w:ilvl w:val="0"/>
          <w:numId w:val="1"/>
        </w:num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投标人是否符合本章第三节第2.4条“禁止投标条款”规定。如果“禁止投标条款”包括列入严重失信主体名单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4A643607">
      <w:pPr>
        <w:numPr>
          <w:ilvl w:val="0"/>
          <w:numId w:val="1"/>
        </w:num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投标人名称是否与营业执照、资质证书一致。</w:t>
      </w:r>
    </w:p>
    <w:p w14:paraId="46108637">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3</w:t>
      </w:r>
      <w:r>
        <w:rPr>
          <w:rFonts w:hint="eastAsia" w:hAnsi="宋体" w:cs="宋体"/>
          <w:snapToGrid w:val="0"/>
          <w:color w:val="auto"/>
          <w:kern w:val="0"/>
          <w:highlight w:val="none"/>
        </w:rPr>
        <w:t>）投标人的资质是否符合招标文件规定；其营业执照、资质证书是否合法、有效。</w:t>
      </w:r>
    </w:p>
    <w:p w14:paraId="39A5681C">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4</w:t>
      </w:r>
      <w:r>
        <w:rPr>
          <w:rFonts w:hint="eastAsia" w:hAnsi="宋体" w:cs="宋体"/>
          <w:snapToGrid w:val="0"/>
          <w:color w:val="auto"/>
          <w:kern w:val="0"/>
          <w:highlight w:val="none"/>
        </w:rPr>
        <w:t>）投标文件中拟委派的总监理工程师是否与《开标一览表》一致；拟委派的总监理工程师的条件是否符合招标文件规定；</w:t>
      </w:r>
      <w:r>
        <w:rPr>
          <w:rFonts w:hint="eastAsia" w:ascii="Times New Roman"/>
          <w:snapToGrid w:val="0"/>
          <w:color w:val="auto"/>
          <w:kern w:val="0"/>
          <w:highlight w:val="none"/>
        </w:rPr>
        <w:t>是否擅自修改、遗漏《总监理工程师任职声明》的实质性内容；</w:t>
      </w:r>
      <w:r>
        <w:rPr>
          <w:rFonts w:hint="eastAsia" w:hAnsi="宋体" w:cs="宋体"/>
          <w:snapToGrid w:val="0"/>
          <w:color w:val="auto"/>
          <w:kern w:val="0"/>
          <w:highlight w:val="none"/>
        </w:rPr>
        <w:t>拟委派的总监理工程师现阶段有担任其他在施建设工程项目总监理工程师职务的，任职项目建设单位是否在《</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》内盖章同意或另行出具了书面同意意见。</w:t>
      </w:r>
    </w:p>
    <w:p w14:paraId="787A3EF5">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w:t>
      </w:r>
      <w:r>
        <w:rPr>
          <w:rFonts w:hint="eastAsia" w:ascii="Times New Roman"/>
          <w:snapToGrid w:val="0"/>
          <w:color w:val="auto"/>
          <w:kern w:val="0"/>
          <w:highlight w:val="none"/>
        </w:rPr>
        <w:t>拟委派的总监理工程师的注册证书</w:t>
      </w:r>
      <w:r>
        <w:rPr>
          <w:rFonts w:hint="eastAsia" w:ascii="Times New Roman"/>
          <w:snapToGrid w:val="0"/>
          <w:color w:val="auto"/>
          <w:kern w:val="0"/>
          <w:highlight w:val="none"/>
          <w:lang w:val="en-US" w:eastAsia="zh-CN"/>
        </w:rPr>
        <w:t>是否为</w:t>
      </w:r>
      <w:r>
        <w:rPr>
          <w:rFonts w:hint="eastAsia" w:ascii="Times New Roman"/>
          <w:snapToGrid w:val="0"/>
          <w:color w:val="auto"/>
          <w:kern w:val="0"/>
          <w:highlight w:val="none"/>
        </w:rPr>
        <w:t>住房和城乡建设主管部门颁发的，注册单位与投标人</w:t>
      </w:r>
      <w:r>
        <w:rPr>
          <w:rFonts w:hint="eastAsia" w:ascii="Times New Roman"/>
          <w:snapToGrid w:val="0"/>
          <w:color w:val="auto"/>
          <w:kern w:val="0"/>
          <w:highlight w:val="none"/>
          <w:lang w:val="en-US" w:eastAsia="zh-CN"/>
        </w:rPr>
        <w:t>是否</w:t>
      </w:r>
      <w:r>
        <w:rPr>
          <w:rFonts w:hint="eastAsia" w:ascii="Times New Roman"/>
          <w:snapToGrid w:val="0"/>
          <w:color w:val="auto"/>
          <w:kern w:val="0"/>
          <w:highlight w:val="none"/>
        </w:rPr>
        <w:t>一致，</w:t>
      </w:r>
      <w:r>
        <w:rPr>
          <w:rFonts w:hint="eastAsia" w:ascii="Times New Roman"/>
          <w:snapToGrid w:val="0"/>
          <w:color w:val="auto"/>
          <w:kern w:val="0"/>
          <w:highlight w:val="none"/>
          <w:lang w:val="en-US" w:eastAsia="zh-CN"/>
        </w:rPr>
        <w:t>是否</w:t>
      </w:r>
      <w:r>
        <w:rPr>
          <w:rFonts w:hint="eastAsia" w:ascii="Times New Roman"/>
          <w:snapToGrid w:val="0"/>
          <w:color w:val="auto"/>
          <w:kern w:val="0"/>
          <w:highlight w:val="none"/>
        </w:rPr>
        <w:t>在有效期内</w:t>
      </w:r>
      <w:r>
        <w:rPr>
          <w:rFonts w:hint="eastAsia" w:hAnsi="宋体" w:cs="宋体"/>
          <w:snapToGrid w:val="0"/>
          <w:color w:val="auto"/>
          <w:kern w:val="0"/>
          <w:highlight w:val="none"/>
        </w:rPr>
        <w:t>。</w:t>
      </w:r>
    </w:p>
    <w:p w14:paraId="633C3D54">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6</w:t>
      </w:r>
      <w:r>
        <w:rPr>
          <w:rFonts w:hint="eastAsia" w:hAnsi="宋体" w:cs="宋体"/>
          <w:snapToGrid w:val="0"/>
          <w:color w:val="auto"/>
          <w:kern w:val="0"/>
          <w:highlight w:val="none"/>
        </w:rPr>
        <w:t>）</w:t>
      </w:r>
      <w:r>
        <w:rPr>
          <w:rFonts w:hint="eastAsia" w:ascii="宋体" w:hAnsi="宋体" w:eastAsia="宋体" w:cs="宋体"/>
          <w:snapToGrid w:val="0"/>
          <w:color w:val="auto"/>
          <w:kern w:val="0"/>
          <w:highlight w:val="none"/>
        </w:rPr>
        <w:t>投标人为外省建筑企业的，是否按规定在“进粤企业和人员诚信信息登记平台”录入企业有关信息并通过数据规范检查</w:t>
      </w:r>
      <w:r>
        <w:rPr>
          <w:rFonts w:hint="eastAsia" w:ascii="宋体" w:hAnsi="宋体" w:eastAsia="宋体" w:cs="宋体"/>
          <w:color w:val="auto"/>
          <w:szCs w:val="24"/>
          <w:highlight w:val="none"/>
        </w:rPr>
        <w:t>。</w:t>
      </w:r>
    </w:p>
    <w:p w14:paraId="503250FF">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15.4.2</w:t>
      </w:r>
      <w:r>
        <w:rPr>
          <w:rFonts w:hint="eastAsia" w:hAnsi="宋体" w:cs="宋体"/>
          <w:snapToGrid w:val="0"/>
          <w:color w:val="auto"/>
          <w:kern w:val="0"/>
          <w:highlight w:val="none"/>
        </w:rPr>
        <w:t xml:space="preserve"> 形式评审环节</w:t>
      </w:r>
    </w:p>
    <w:p w14:paraId="3D476D0F">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形式评审事项包括：</w:t>
      </w:r>
    </w:p>
    <w:p w14:paraId="25305295">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（1）投标文件的分册组成是否符合招标文件规定。</w:t>
      </w:r>
    </w:p>
    <w:p w14:paraId="5974A16D">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（2）本节第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”的组成内容（包括该组成内容的所附资料）是否完整、齐全。</w:t>
      </w:r>
    </w:p>
    <w:p w14:paraId="0EEF693F">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（3）各分册是否按招标文件规定签字、盖章。</w:t>
      </w:r>
    </w:p>
    <w:p w14:paraId="17DE8D01">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b/>
          <w:bCs/>
          <w:snapToGrid w:val="0"/>
          <w:color w:val="auto"/>
          <w:kern w:val="0"/>
          <w:highlight w:val="none"/>
        </w:rPr>
        <w:t>15.4.3</w:t>
      </w:r>
      <w:r>
        <w:rPr>
          <w:rFonts w:hint="eastAsia" w:hAnsi="宋体" w:cs="宋体"/>
          <w:snapToGrid w:val="0"/>
          <w:color w:val="auto"/>
          <w:kern w:val="0"/>
          <w:highlight w:val="none"/>
        </w:rPr>
        <w:t xml:space="preserve"> 响应性评审环节</w:t>
      </w:r>
    </w:p>
    <w:p w14:paraId="3F6FC3CD">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响应性评审事项包括：</w:t>
      </w:r>
    </w:p>
    <w:p w14:paraId="25CB8FE8">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（1）投标有效期、监理及相关服务期限等是否响应招标文件实质性要求；是否擅自修改、遗漏《投标函》《各项承诺一览表》的实质性内容。</w:t>
      </w:r>
    </w:p>
    <w:p w14:paraId="2342C470">
      <w:pPr>
        <w:shd w:val="clear" w:color="auto" w:fill="auto"/>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（2）投标总价是否唯一；投标总价是否超出最高投标限价。</w:t>
      </w:r>
    </w:p>
    <w:p w14:paraId="4A78F03B">
      <w:pPr>
        <w:shd w:val="clear" w:color="auto" w:fill="auto"/>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（3）监理大纲中的监理及相关服务的范围、内容、目标是否符合招标文件规定。</w:t>
      </w:r>
    </w:p>
    <w:p w14:paraId="37C652AB">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15.4.4</w:t>
      </w:r>
      <w:r>
        <w:rPr>
          <w:rFonts w:hint="eastAsia" w:hAnsi="宋体" w:cs="宋体"/>
          <w:snapToGrid w:val="0"/>
          <w:color w:val="auto"/>
          <w:kern w:val="0"/>
          <w:highlight w:val="none"/>
        </w:rPr>
        <w:t xml:space="preserve"> 否决投标说明</w:t>
      </w:r>
    </w:p>
    <w:p w14:paraId="345506CA">
      <w:pPr>
        <w:shd w:val="clear" w:color="auto" w:fill="auto"/>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初步评审阶段各个环节否决投标的全部条件，在本章第四节“否决投标条件”第</w:t>
      </w:r>
      <w:r>
        <w:rPr>
          <w:rFonts w:hint="eastAsia" w:hAnsi="宋体" w:cs="宋体"/>
          <w:b/>
          <w:bCs/>
          <w:snapToGrid w:val="0"/>
          <w:color w:val="auto"/>
          <w:kern w:val="0"/>
          <w:highlight w:val="none"/>
        </w:rPr>
        <w:t>1</w:t>
      </w:r>
      <w:r>
        <w:rPr>
          <w:rFonts w:hint="eastAsia" w:hAnsi="宋体" w:cs="宋体"/>
          <w:snapToGrid w:val="0"/>
          <w:color w:val="auto"/>
          <w:kern w:val="0"/>
          <w:highlight w:val="none"/>
        </w:rPr>
        <w:t>条至第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2D8254A8">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b/>
          <w:bCs/>
          <w:snapToGrid w:val="0"/>
          <w:color w:val="auto"/>
          <w:kern w:val="0"/>
          <w:highlight w:val="none"/>
        </w:rPr>
        <w:t xml:space="preserve">    </w:t>
      </w:r>
      <w:bookmarkStart w:id="247" w:name="_Hlt121629839"/>
      <w:r>
        <w:rPr>
          <w:rFonts w:hint="eastAsia" w:hAnsi="宋体" w:cs="宋体"/>
          <w:b/>
          <w:bCs/>
          <w:snapToGrid w:val="0"/>
          <w:color w:val="auto"/>
          <w:kern w:val="0"/>
          <w:highlight w:val="none"/>
        </w:rPr>
        <w:t>15.5</w:t>
      </w:r>
      <w:r>
        <w:rPr>
          <w:rFonts w:hint="eastAsia" w:hAnsi="宋体" w:cs="宋体"/>
          <w:snapToGrid w:val="0"/>
          <w:color w:val="auto"/>
          <w:kern w:val="0"/>
          <w:highlight w:val="none"/>
        </w:rPr>
        <w:t xml:space="preserve"> 详细评审阶段</w:t>
      </w:r>
    </w:p>
    <w:p w14:paraId="78097330">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b/>
          <w:bCs/>
          <w:snapToGrid w:val="0"/>
          <w:color w:val="auto"/>
          <w:kern w:val="0"/>
          <w:highlight w:val="none"/>
        </w:rPr>
        <w:t xml:space="preserve">    15.5.1</w:t>
      </w:r>
      <w:r>
        <w:rPr>
          <w:rFonts w:hint="eastAsia" w:hAnsi="宋体" w:cs="宋体"/>
          <w:bCs/>
          <w:snapToGrid w:val="0"/>
          <w:color w:val="auto"/>
          <w:kern w:val="0"/>
          <w:highlight w:val="none"/>
        </w:rPr>
        <w:t xml:space="preserve"> “综合评估法”评审程序</w:t>
      </w:r>
    </w:p>
    <w:p w14:paraId="3CC3B9D2">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评审内容分为商务、技术和投标报价三大部分，综合得分满分为100分。其中，商务满分为</w:t>
      </w:r>
      <w:r>
        <w:rPr>
          <w:rFonts w:hint="eastAsia" w:hAnsi="宋体" w:cs="宋体"/>
          <w:snapToGrid w:val="0"/>
          <w:color w:val="auto"/>
          <w:kern w:val="0"/>
          <w:highlight w:val="none"/>
          <w:u w:val="single"/>
          <w:lang w:val="en-US" w:eastAsia="zh-CN"/>
        </w:rPr>
        <w:t>60</w:t>
      </w:r>
      <w:r>
        <w:rPr>
          <w:rFonts w:hint="eastAsia" w:hAnsi="宋体" w:cs="宋体"/>
          <w:snapToGrid w:val="0"/>
          <w:color w:val="auto"/>
          <w:kern w:val="0"/>
          <w:highlight w:val="none"/>
        </w:rPr>
        <w:t>分，技术满分为</w:t>
      </w:r>
      <w:r>
        <w:rPr>
          <w:rFonts w:hint="eastAsia" w:hAnsi="宋体" w:cs="宋体"/>
          <w:snapToGrid w:val="0"/>
          <w:color w:val="auto"/>
          <w:kern w:val="0"/>
          <w:highlight w:val="none"/>
          <w:u w:val="single"/>
          <w:lang w:val="en-US" w:eastAsia="zh-CN"/>
        </w:rPr>
        <w:t>20</w:t>
      </w:r>
      <w:r>
        <w:rPr>
          <w:rFonts w:hint="eastAsia" w:hAnsi="宋体" w:cs="宋体"/>
          <w:snapToGrid w:val="0"/>
          <w:color w:val="auto"/>
          <w:kern w:val="0"/>
          <w:highlight w:val="none"/>
        </w:rPr>
        <w:t>分，投标报价部分满分为</w:t>
      </w:r>
      <w:r>
        <w:rPr>
          <w:rFonts w:hint="eastAsia" w:hAnsi="宋体" w:cs="宋体"/>
          <w:snapToGrid w:val="0"/>
          <w:color w:val="auto"/>
          <w:kern w:val="0"/>
          <w:highlight w:val="none"/>
          <w:u w:val="single"/>
          <w:lang w:val="en-US" w:eastAsia="zh-CN"/>
        </w:rPr>
        <w:t>20</w:t>
      </w:r>
      <w:r>
        <w:rPr>
          <w:rFonts w:hint="eastAsia" w:hAnsi="宋体" w:cs="宋体"/>
          <w:snapToGrid w:val="0"/>
          <w:color w:val="auto"/>
          <w:kern w:val="0"/>
          <w:highlight w:val="none"/>
        </w:rPr>
        <w:t>分。</w:t>
      </w:r>
    </w:p>
    <w:p w14:paraId="29F09F9B">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除特别注明外，综合得分以及商务、技术、投标报价得分的中间过程计算值和最终值，均按“四舍五入”原则精确到两位小数。</w:t>
      </w:r>
    </w:p>
    <w:p w14:paraId="017E0367">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（1）商务得分M</w:t>
      </w:r>
      <w:r>
        <w:rPr>
          <w:rFonts w:hint="eastAsia" w:hAnsi="宋体" w:cs="宋体"/>
          <w:snapToGrid w:val="0"/>
          <w:color w:val="auto"/>
          <w:kern w:val="0"/>
          <w:highlight w:val="none"/>
          <w:vertAlign w:val="subscript"/>
        </w:rPr>
        <w:t>1</w:t>
      </w:r>
    </w:p>
    <w:p w14:paraId="37555E32">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w:t>
      </w:r>
    </w:p>
    <w:p w14:paraId="47826ADA">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（2）技术得分M</w:t>
      </w:r>
      <w:r>
        <w:rPr>
          <w:rFonts w:hint="eastAsia" w:hAnsi="宋体" w:cs="宋体"/>
          <w:snapToGrid w:val="0"/>
          <w:color w:val="auto"/>
          <w:kern w:val="0"/>
          <w:highlight w:val="none"/>
          <w:vertAlign w:val="subscript"/>
        </w:rPr>
        <w:t>2</w:t>
      </w:r>
    </w:p>
    <w:p w14:paraId="27D344BF">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评标委员会各成员独立按照《综合评分表》技术部分（监理大纲）指定的评分标准对各评分因素进行打分。将所有评分去掉一个最高分和一个最低分后，取算术平均值，即为某投标人的技术得分M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w:t>
      </w:r>
    </w:p>
    <w:p w14:paraId="60F59425">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（3）投标报价得分M</w:t>
      </w:r>
      <w:r>
        <w:rPr>
          <w:rFonts w:hint="eastAsia" w:hAnsi="宋体" w:cs="宋体"/>
          <w:snapToGrid w:val="0"/>
          <w:color w:val="auto"/>
          <w:kern w:val="0"/>
          <w:highlight w:val="none"/>
          <w:vertAlign w:val="subscript"/>
        </w:rPr>
        <w:t>3</w:t>
      </w:r>
    </w:p>
    <w:p w14:paraId="7EE4423B">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a</w:t>
      </w:r>
      <w:r>
        <w:rPr>
          <w:rFonts w:hint="eastAsia" w:hAnsi="宋体" w:cs="宋体"/>
          <w:snapToGrid w:val="0"/>
          <w:color w:val="auto"/>
          <w:kern w:val="0"/>
          <w:highlight w:val="none"/>
        </w:rPr>
        <w:t>．评标委员会按照《综合评分表》投标报价部分指定的方法计算评标基准价D。</w:t>
      </w:r>
    </w:p>
    <w:p w14:paraId="21BE56D1">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b</w:t>
      </w:r>
      <w:r>
        <w:rPr>
          <w:rFonts w:hint="eastAsia" w:hAnsi="宋体" w:cs="宋体"/>
          <w:snapToGrid w:val="0"/>
          <w:color w:val="auto"/>
          <w:kern w:val="0"/>
          <w:highlight w:val="none"/>
        </w:rPr>
        <w:t>．采用内插法计算某投标人的投标报价得分M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，即当投标人的投标总价等于评标基准价时得满分，每高于评标基准价一个百分点扣</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分, 每低于评标基准价一个百分点扣0.</w:t>
      </w:r>
      <w:r>
        <w:rPr>
          <w:rFonts w:hint="eastAsia" w:hAnsi="宋体" w:cs="宋体"/>
          <w:snapToGrid w:val="0"/>
          <w:color w:val="auto"/>
          <w:kern w:val="0"/>
          <w:highlight w:val="none"/>
          <w:lang w:val="en-US" w:eastAsia="zh-CN"/>
        </w:rPr>
        <w:t>3</w:t>
      </w:r>
      <w:r>
        <w:rPr>
          <w:rFonts w:hint="eastAsia" w:hAnsi="宋体" w:cs="宋体"/>
          <w:snapToGrid w:val="0"/>
          <w:color w:val="auto"/>
          <w:kern w:val="0"/>
          <w:highlight w:val="none"/>
        </w:rPr>
        <w:t>分，扣完为止。公式如下：</w:t>
      </w:r>
    </w:p>
    <w:p w14:paraId="33CD20FA">
      <w:pPr>
        <w:shd w:val="clear" w:color="auto" w:fill="auto"/>
        <w:wordWrap w:val="0"/>
        <w:adjustRightInd w:val="0"/>
        <w:snapToGrid w:val="0"/>
        <w:spacing w:line="440" w:lineRule="exact"/>
        <w:jc w:val="center"/>
        <w:rPr>
          <w:rFonts w:hint="eastAsia" w:hAnsi="宋体" w:cs="宋体"/>
          <w:snapToGrid w:val="0"/>
          <w:color w:val="auto"/>
          <w:kern w:val="0"/>
          <w:highlight w:val="none"/>
        </w:rPr>
      </w:pP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＝投标报价满分－（| Di－D | ÷D）×100×E</w:t>
      </w:r>
    </w:p>
    <w:p w14:paraId="58ECB083">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式中：D为评标基准价，Di为某投标人的投标总价；</w:t>
      </w:r>
    </w:p>
    <w:p w14:paraId="42367DC5">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E为扣分因子。当Di＞D时，E＝</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；当Di＜D时，E＝0.</w:t>
      </w:r>
      <w:r>
        <w:rPr>
          <w:rFonts w:hint="eastAsia" w:hAnsi="宋体" w:cs="宋体"/>
          <w:snapToGrid w:val="0"/>
          <w:color w:val="auto"/>
          <w:kern w:val="0"/>
          <w:highlight w:val="none"/>
          <w:lang w:val="en-US" w:eastAsia="zh-CN"/>
        </w:rPr>
        <w:t>3</w:t>
      </w:r>
      <w:r>
        <w:rPr>
          <w:rFonts w:hint="eastAsia" w:hAnsi="宋体" w:cs="宋体"/>
          <w:snapToGrid w:val="0"/>
          <w:color w:val="auto"/>
          <w:kern w:val="0"/>
          <w:highlight w:val="none"/>
        </w:rPr>
        <w:t>。</w:t>
      </w:r>
    </w:p>
    <w:p w14:paraId="240B6AF1">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（4）综合得分M</w:t>
      </w:r>
    </w:p>
    <w:p w14:paraId="15D1E02C">
      <w:pPr>
        <w:shd w:val="clear" w:color="auto" w:fill="auto"/>
        <w:wordWrap w:val="0"/>
        <w:adjustRightInd w:val="0"/>
        <w:snapToGrid w:val="0"/>
        <w:spacing w:line="440" w:lineRule="exact"/>
        <w:jc w:val="center"/>
        <w:rPr>
          <w:rFonts w:hint="eastAsia" w:hAnsi="宋体" w:cs="宋体"/>
          <w:snapToGrid w:val="0"/>
          <w:color w:val="auto"/>
          <w:kern w:val="0"/>
          <w:highlight w:val="none"/>
        </w:rPr>
      </w:pPr>
      <w:r>
        <w:rPr>
          <w:rFonts w:hint="eastAsia" w:hAnsi="宋体" w:cs="宋体"/>
          <w:snapToGrid w:val="0"/>
          <w:color w:val="auto"/>
          <w:kern w:val="0"/>
          <w:highlight w:val="none"/>
        </w:rPr>
        <w:t>M＝M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p>
    <w:p w14:paraId="060A6763">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式中：M为综合得分，M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为商务得分，M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为技术得分，M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为投标报价得分。</w:t>
      </w:r>
    </w:p>
    <w:p w14:paraId="5F0300A3">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sectPr>
          <w:endnotePr>
            <w:numFmt w:val="decimal"/>
          </w:endnotePr>
          <w:pgSz w:w="11906" w:h="16838"/>
          <w:pgMar w:top="1701" w:right="1255" w:bottom="1417" w:left="1531" w:header="850" w:footer="992" w:gutter="0"/>
          <w:cols w:space="720" w:num="1"/>
          <w:rtlGutter w:val="0"/>
          <w:docGrid w:linePitch="327" w:charSpace="0"/>
        </w:sectPr>
      </w:pPr>
    </w:p>
    <w:p w14:paraId="146ED2CE">
      <w:pPr>
        <w:shd w:val="clear" w:color="auto" w:fill="auto"/>
        <w:wordWrap w:val="0"/>
        <w:adjustRightInd w:val="0"/>
        <w:snapToGrid w:val="0"/>
        <w:spacing w:line="440" w:lineRule="exact"/>
        <w:jc w:val="center"/>
        <w:rPr>
          <w:rFonts w:ascii="Times New Roman" w:hAnsi="Times New Roman" w:eastAsia="宋体" w:cs="Times New Roman"/>
          <w:snapToGrid w:val="0"/>
          <w:color w:val="auto"/>
          <w:kern w:val="0"/>
          <w:highlight w:val="none"/>
        </w:rPr>
      </w:pPr>
      <w:r>
        <w:rPr>
          <w:rFonts w:hint="eastAsia" w:ascii="Times New Roman" w:hAnsi="Times New Roman" w:eastAsia="宋体" w:cs="Times New Roman"/>
          <w:b/>
          <w:bCs/>
          <w:snapToGrid w:val="0"/>
          <w:color w:val="auto"/>
          <w:kern w:val="0"/>
          <w:sz w:val="36"/>
          <w:szCs w:val="36"/>
          <w:highlight w:val="none"/>
        </w:rPr>
        <w:t>表1</w:t>
      </w:r>
      <w:r>
        <w:rPr>
          <w:rFonts w:hint="eastAsia" w:ascii="Times New Roman" w:hAnsi="Times New Roman" w:eastAsia="宋体" w:cs="Times New Roman"/>
          <w:b/>
          <w:bCs/>
          <w:snapToGrid w:val="0"/>
          <w:color w:val="auto"/>
          <w:kern w:val="0"/>
          <w:sz w:val="36"/>
          <w:szCs w:val="36"/>
          <w:highlight w:val="none"/>
          <w:lang w:val="en-US" w:eastAsia="zh-CN"/>
        </w:rPr>
        <w:t xml:space="preserve">  </w:t>
      </w:r>
      <w:r>
        <w:rPr>
          <w:rFonts w:hint="eastAsia" w:ascii="Times New Roman" w:hAnsi="Times New Roman" w:eastAsia="宋体" w:cs="Times New Roman"/>
          <w:b/>
          <w:bCs/>
          <w:snapToGrid w:val="0"/>
          <w:color w:val="auto"/>
          <w:kern w:val="0"/>
          <w:sz w:val="36"/>
          <w:szCs w:val="36"/>
          <w:highlight w:val="none"/>
        </w:rPr>
        <w:t>综合评分表</w:t>
      </w:r>
    </w:p>
    <w:tbl>
      <w:tblPr>
        <w:tblStyle w:val="24"/>
        <w:tblW w:w="10159" w:type="dxa"/>
        <w:jc w:val="center"/>
        <w:tblLayout w:type="fixed"/>
        <w:tblCellMar>
          <w:top w:w="0" w:type="dxa"/>
          <w:left w:w="108" w:type="dxa"/>
          <w:bottom w:w="0" w:type="dxa"/>
          <w:right w:w="108" w:type="dxa"/>
        </w:tblCellMar>
      </w:tblPr>
      <w:tblGrid>
        <w:gridCol w:w="1404"/>
        <w:gridCol w:w="4848"/>
        <w:gridCol w:w="3907"/>
      </w:tblGrid>
      <w:tr w14:paraId="74A0D95C">
        <w:tblPrEx>
          <w:tblCellMar>
            <w:top w:w="0" w:type="dxa"/>
            <w:left w:w="108" w:type="dxa"/>
            <w:bottom w:w="0" w:type="dxa"/>
            <w:right w:w="108" w:type="dxa"/>
          </w:tblCellMar>
        </w:tblPrEx>
        <w:trPr>
          <w:trHeight w:val="624" w:hRule="exact"/>
          <w:jc w:val="center"/>
        </w:trPr>
        <w:tc>
          <w:tcPr>
            <w:tcW w:w="10159" w:type="dxa"/>
            <w:gridSpan w:val="3"/>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62C19162">
            <w:pPr>
              <w:pStyle w:val="61"/>
              <w:tabs>
                <w:tab w:val="left" w:pos="1354"/>
                <w:tab w:val="left" w:pos="1459"/>
                <w:tab w:val="center" w:pos="3902"/>
                <w:tab w:val="right" w:pos="7805"/>
              </w:tabs>
              <w:wordWrap w:val="0"/>
              <w:snapToGrid w:val="0"/>
              <w:spacing w:after="0" w:line="440" w:lineRule="exact"/>
              <w:rPr>
                <w:rFonts w:hint="eastAsia" w:ascii="黑体" w:hAnsi="黑体" w:eastAsia="黑体"/>
                <w:color w:val="auto"/>
                <w:kern w:val="0"/>
                <w:szCs w:val="21"/>
                <w:highlight w:val="none"/>
              </w:rPr>
            </w:pPr>
            <w:r>
              <w:rPr>
                <w:rFonts w:hint="eastAsia" w:ascii="黑体" w:hAnsi="黑体" w:eastAsia="黑体"/>
                <w:color w:val="auto"/>
                <w:kern w:val="0"/>
                <w:szCs w:val="21"/>
                <w:highlight w:val="none"/>
              </w:rPr>
              <w:t>商务部分，满分：</w:t>
            </w:r>
            <w:r>
              <w:rPr>
                <w:rFonts w:hint="eastAsia" w:ascii="黑体" w:hAnsi="黑体" w:eastAsia="黑体"/>
                <w:color w:val="auto"/>
                <w:kern w:val="0"/>
                <w:szCs w:val="21"/>
                <w:highlight w:val="none"/>
                <w:u w:val="single"/>
              </w:rPr>
              <w:t>60</w:t>
            </w:r>
            <w:r>
              <w:rPr>
                <w:rFonts w:hint="eastAsia" w:ascii="黑体" w:hAnsi="黑体" w:eastAsia="黑体"/>
                <w:color w:val="auto"/>
                <w:kern w:val="0"/>
                <w:szCs w:val="21"/>
                <w:highlight w:val="none"/>
              </w:rPr>
              <w:t>分。</w:t>
            </w:r>
          </w:p>
        </w:tc>
      </w:tr>
      <w:tr w14:paraId="199525E2">
        <w:tblPrEx>
          <w:tblCellMar>
            <w:top w:w="0" w:type="dxa"/>
            <w:left w:w="108" w:type="dxa"/>
            <w:bottom w:w="0" w:type="dxa"/>
            <w:right w:w="108" w:type="dxa"/>
          </w:tblCellMar>
        </w:tblPrEx>
        <w:trPr>
          <w:trHeight w:val="624" w:hRule="exac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343ADE9A">
            <w:pPr>
              <w:pStyle w:val="61"/>
              <w:tabs>
                <w:tab w:val="left" w:pos="1354"/>
                <w:tab w:val="left" w:pos="1459"/>
                <w:tab w:val="center" w:pos="3902"/>
                <w:tab w:val="right" w:pos="7805"/>
              </w:tabs>
              <w:wordWrap w:val="0"/>
              <w:snapToGrid w:val="0"/>
              <w:spacing w:after="0" w:line="440" w:lineRule="exact"/>
              <w:jc w:val="center"/>
              <w:rPr>
                <w:rFonts w:hint="eastAsia" w:ascii="黑体" w:hAnsi="黑体" w:eastAsia="黑体"/>
                <w:color w:val="auto"/>
                <w:kern w:val="0"/>
                <w:szCs w:val="21"/>
                <w:highlight w:val="none"/>
              </w:rPr>
            </w:pPr>
            <w:r>
              <w:rPr>
                <w:rFonts w:hint="eastAsia" w:ascii="黑体" w:hAnsi="黑体" w:eastAsia="黑体"/>
                <w:color w:val="auto"/>
                <w:kern w:val="0"/>
                <w:szCs w:val="21"/>
                <w:highlight w:val="none"/>
              </w:rPr>
              <w:t>评分因素</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3C7CDA41">
            <w:pPr>
              <w:pStyle w:val="61"/>
              <w:tabs>
                <w:tab w:val="left" w:pos="1354"/>
                <w:tab w:val="left" w:pos="1459"/>
                <w:tab w:val="center" w:pos="3902"/>
                <w:tab w:val="right" w:pos="7805"/>
              </w:tabs>
              <w:wordWrap w:val="0"/>
              <w:snapToGrid w:val="0"/>
              <w:spacing w:after="0" w:line="440" w:lineRule="exact"/>
              <w:jc w:val="center"/>
              <w:rPr>
                <w:rFonts w:hint="eastAsia" w:ascii="黑体" w:hAnsi="黑体" w:eastAsia="黑体"/>
                <w:color w:val="auto"/>
                <w:kern w:val="0"/>
                <w:szCs w:val="21"/>
                <w:highlight w:val="none"/>
              </w:rPr>
            </w:pPr>
            <w:r>
              <w:rPr>
                <w:rFonts w:hint="eastAsia" w:ascii="黑体" w:hAnsi="黑体" w:eastAsia="黑体"/>
                <w:color w:val="auto"/>
                <w:kern w:val="0"/>
                <w:szCs w:val="21"/>
                <w:highlight w:val="none"/>
              </w:rPr>
              <w:t>评分标准</w:t>
            </w:r>
          </w:p>
        </w:tc>
        <w:tc>
          <w:tcPr>
            <w:tcW w:w="3907" w:type="dxa"/>
            <w:tcBorders>
              <w:top w:val="single" w:color="000000" w:sz="4" w:space="0"/>
              <w:left w:val="single" w:color="000000" w:sz="4" w:space="0"/>
              <w:bottom w:val="single" w:color="000000" w:sz="4" w:space="0"/>
              <w:right w:val="single" w:color="000000" w:sz="4" w:space="0"/>
            </w:tcBorders>
            <w:noWrap w:val="0"/>
            <w:vAlign w:val="center"/>
          </w:tcPr>
          <w:p w14:paraId="2FF237B1">
            <w:pPr>
              <w:pStyle w:val="61"/>
              <w:tabs>
                <w:tab w:val="left" w:pos="1354"/>
                <w:tab w:val="left" w:pos="1459"/>
                <w:tab w:val="center" w:pos="3902"/>
                <w:tab w:val="right" w:pos="7805"/>
              </w:tabs>
              <w:wordWrap w:val="0"/>
              <w:snapToGrid w:val="0"/>
              <w:spacing w:after="0" w:line="440" w:lineRule="exact"/>
              <w:jc w:val="center"/>
              <w:rPr>
                <w:rFonts w:hint="eastAsia" w:ascii="黑体" w:hAnsi="黑体" w:eastAsia="黑体"/>
                <w:color w:val="auto"/>
                <w:kern w:val="0"/>
                <w:szCs w:val="21"/>
                <w:highlight w:val="none"/>
              </w:rPr>
            </w:pPr>
            <w:r>
              <w:rPr>
                <w:rFonts w:hint="eastAsia" w:ascii="黑体" w:hAnsi="黑体" w:eastAsia="黑体"/>
                <w:color w:val="auto"/>
                <w:kern w:val="0"/>
                <w:szCs w:val="21"/>
                <w:highlight w:val="none"/>
              </w:rPr>
              <w:t>备注</w:t>
            </w:r>
          </w:p>
        </w:tc>
      </w:tr>
      <w:tr w14:paraId="6E5AAEDC">
        <w:tblPrEx>
          <w:tblCellMar>
            <w:top w:w="0" w:type="dxa"/>
            <w:left w:w="108" w:type="dxa"/>
            <w:bottom w:w="0" w:type="dxa"/>
            <w:right w:w="108" w:type="dxa"/>
          </w:tblCellMar>
        </w:tblPrEx>
        <w:trPr>
          <w:trHeight w:val="752"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4F341D32">
            <w:pPr>
              <w:pStyle w:val="7"/>
              <w:keepNext w:val="0"/>
              <w:keepLines w:val="0"/>
              <w:pageBreakBefore w:val="0"/>
              <w:shd w:val="clear" w:color="auto" w:fill="auto"/>
              <w:kinsoku/>
              <w:overflowPunct/>
              <w:topLinePunct w:val="0"/>
              <w:autoSpaceDE/>
              <w:autoSpaceDN/>
              <w:bidi w:val="0"/>
              <w:spacing w:line="360" w:lineRule="auto"/>
              <w:jc w:val="center"/>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企业业绩</w:t>
            </w:r>
          </w:p>
          <w:p w14:paraId="7392CFD9">
            <w:pPr>
              <w:pStyle w:val="7"/>
              <w:keepNext w:val="0"/>
              <w:keepLines w:val="0"/>
              <w:pageBreakBefore w:val="0"/>
              <w:shd w:val="clear" w:color="auto" w:fill="auto"/>
              <w:kinsoku/>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w:t>
            </w:r>
            <w:r>
              <w:rPr>
                <w:rFonts w:hint="eastAsia" w:hAnsi="宋体" w:cs="宋体"/>
                <w:b w:val="0"/>
                <w:bCs w:val="0"/>
                <w:caps w:val="0"/>
                <w:smallCaps w:val="0"/>
                <w:snapToGrid w:val="0"/>
                <w:color w:val="auto"/>
                <w:spacing w:val="0"/>
                <w:kern w:val="0"/>
                <w:sz w:val="24"/>
                <w:szCs w:val="24"/>
                <w:highlight w:val="none"/>
                <w:u w:val="none"/>
                <w:lang w:val="en-US" w:eastAsia="zh-CN"/>
              </w:rPr>
              <w:t>12</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00CF2B4C">
            <w:pPr>
              <w:pStyle w:val="7"/>
              <w:keepNext w:val="0"/>
              <w:keepLines w:val="0"/>
              <w:pageBreakBefore w:val="0"/>
              <w:shd w:val="clear" w:color="auto" w:fill="auto"/>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企业近 5 年来（2020年1月1日至今），企业监理的业绩情况：</w:t>
            </w:r>
          </w:p>
          <w:p w14:paraId="26E49AF1">
            <w:pPr>
              <w:pStyle w:val="7"/>
              <w:keepNext w:val="0"/>
              <w:keepLines w:val="0"/>
              <w:pageBreakBefore w:val="0"/>
              <w:shd w:val="clear" w:color="auto" w:fill="auto"/>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1.完成过类似工程的，每</w:t>
            </w:r>
            <w:r>
              <w:rPr>
                <w:rFonts w:hint="eastAsia" w:hAnsi="宋体" w:cs="宋体"/>
                <w:b w:val="0"/>
                <w:bCs w:val="0"/>
                <w:caps w:val="0"/>
                <w:smallCaps w:val="0"/>
                <w:snapToGrid w:val="0"/>
                <w:color w:val="auto"/>
                <w:spacing w:val="0"/>
                <w:kern w:val="0"/>
                <w:sz w:val="24"/>
                <w:szCs w:val="24"/>
                <w:highlight w:val="none"/>
                <w:u w:val="none"/>
                <w:lang w:val="en-US" w:eastAsia="zh-CN"/>
              </w:rPr>
              <w:t>个</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得</w:t>
            </w:r>
            <w:r>
              <w:rPr>
                <w:rFonts w:hint="eastAsia" w:hAnsi="宋体" w:cs="宋体"/>
                <w:b w:val="0"/>
                <w:bCs w:val="0"/>
                <w:caps w:val="0"/>
                <w:smallCaps w:val="0"/>
                <w:snapToGrid w:val="0"/>
                <w:color w:val="auto"/>
                <w:spacing w:val="0"/>
                <w:kern w:val="0"/>
                <w:sz w:val="24"/>
                <w:szCs w:val="24"/>
                <w:highlight w:val="none"/>
                <w:u w:val="none"/>
                <w:lang w:val="en-US" w:eastAsia="zh-CN"/>
              </w:rPr>
              <w:t>4</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p w14:paraId="25735496">
            <w:pPr>
              <w:pStyle w:val="7"/>
              <w:keepNext w:val="0"/>
              <w:keepLines w:val="0"/>
              <w:pageBreakBefore w:val="0"/>
              <w:shd w:val="clear" w:color="auto" w:fill="auto"/>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2.未完成过类似工程的，不予计分。</w:t>
            </w:r>
          </w:p>
          <w:p w14:paraId="363DE787">
            <w:pPr>
              <w:pStyle w:val="7"/>
              <w:keepNext w:val="0"/>
              <w:keepLines w:val="0"/>
              <w:pageBreakBefore w:val="0"/>
              <w:shd w:val="clear" w:color="auto" w:fill="auto"/>
              <w:kinsoku/>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3.本项最多得</w:t>
            </w:r>
            <w:r>
              <w:rPr>
                <w:rFonts w:hint="eastAsia" w:hAnsi="宋体" w:cs="宋体"/>
                <w:b w:val="0"/>
                <w:bCs w:val="0"/>
                <w:caps w:val="0"/>
                <w:smallCaps w:val="0"/>
                <w:snapToGrid w:val="0"/>
                <w:color w:val="auto"/>
                <w:spacing w:val="0"/>
                <w:kern w:val="0"/>
                <w:sz w:val="24"/>
                <w:szCs w:val="24"/>
                <w:highlight w:val="none"/>
                <w:u w:val="none"/>
                <w:lang w:val="en-US" w:eastAsia="zh-CN"/>
              </w:rPr>
              <w:t>12</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tc>
        <w:tc>
          <w:tcPr>
            <w:tcW w:w="3907" w:type="dxa"/>
            <w:tcBorders>
              <w:top w:val="single" w:color="000000" w:sz="4" w:space="0"/>
              <w:left w:val="single" w:color="000000" w:sz="4" w:space="0"/>
              <w:bottom w:val="single" w:color="000000" w:sz="4" w:space="0"/>
              <w:right w:val="single" w:color="000000" w:sz="4" w:space="0"/>
            </w:tcBorders>
            <w:noWrap w:val="0"/>
            <w:vAlign w:val="center"/>
          </w:tcPr>
          <w:p w14:paraId="28233F69">
            <w:pPr>
              <w:pStyle w:val="7"/>
              <w:keepNext w:val="0"/>
              <w:keepLines w:val="0"/>
              <w:pageBreakBefore w:val="0"/>
              <w:shd w:val="clear" w:color="auto" w:fill="auto"/>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1.类似工程：是指完成过建安费≥</w:t>
            </w:r>
            <w:r>
              <w:rPr>
                <w:rFonts w:hint="eastAsia" w:hAnsi="宋体" w:cs="宋体"/>
                <w:b w:val="0"/>
                <w:bCs w:val="0"/>
                <w:caps w:val="0"/>
                <w:smallCaps w:val="0"/>
                <w:snapToGrid w:val="0"/>
                <w:color w:val="auto"/>
                <w:spacing w:val="0"/>
                <w:kern w:val="0"/>
                <w:sz w:val="24"/>
                <w:szCs w:val="24"/>
                <w:highlight w:val="none"/>
                <w:u w:val="none"/>
                <w:lang w:val="en-US" w:eastAsia="zh-CN"/>
              </w:rPr>
              <w:t>1500</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万元的质量验收合格的市政工程监理服务项目。</w:t>
            </w:r>
          </w:p>
          <w:p w14:paraId="455BF05D">
            <w:pPr>
              <w:pStyle w:val="7"/>
              <w:keepNext w:val="0"/>
              <w:keepLines w:val="0"/>
              <w:pageBreakBefore w:val="0"/>
              <w:shd w:val="clear" w:color="auto" w:fill="auto"/>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2.需同时提供监理合同关键页及竣工验收报告（证明）彩色扫描件（或打印件）。</w:t>
            </w:r>
          </w:p>
          <w:p w14:paraId="1194690C">
            <w:pPr>
              <w:pStyle w:val="7"/>
              <w:keepNext w:val="0"/>
              <w:keepLines w:val="0"/>
              <w:pageBreakBefore w:val="0"/>
              <w:shd w:val="clear" w:color="auto" w:fill="auto"/>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3.业绩时间以竣工验收报告或竣工验收证明出具日期为准。</w:t>
            </w:r>
          </w:p>
          <w:p w14:paraId="7C62D4BA">
            <w:pPr>
              <w:shd w:val="clear" w:color="auto" w:fil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4.任一业绩有以下情形之一的，该业绩视为无效，不予计分：</w:t>
            </w:r>
          </w:p>
          <w:p w14:paraId="3A157859">
            <w:pPr>
              <w:shd w:val="clear" w:color="auto" w:fil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①业绩不属于类似工程的； </w:t>
            </w:r>
          </w:p>
          <w:p w14:paraId="23BFB186">
            <w:pPr>
              <w:shd w:val="clear" w:color="auto" w:fil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②业绩规模不符合要求的； </w:t>
            </w:r>
          </w:p>
          <w:p w14:paraId="1864D539">
            <w:pPr>
              <w:shd w:val="clear" w:color="auto" w:fil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③业绩时间不符合要求的； </w:t>
            </w:r>
          </w:p>
          <w:p w14:paraId="76601F69">
            <w:pPr>
              <w:shd w:val="clear" w:color="auto" w:fil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lang w:val="en-US" w:eastAsia="zh-CN"/>
              </w:rPr>
              <w:t>④业绩未竣工验收的。</w:t>
            </w:r>
          </w:p>
        </w:tc>
      </w:tr>
      <w:tr w14:paraId="343A230E">
        <w:tblPrEx>
          <w:tblCellMar>
            <w:top w:w="0" w:type="dxa"/>
            <w:left w:w="108" w:type="dxa"/>
            <w:bottom w:w="0" w:type="dxa"/>
            <w:right w:w="108" w:type="dxa"/>
          </w:tblCellMar>
        </w:tblPrEx>
        <w:trPr>
          <w:trHeight w:val="790"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66BB7BCC">
            <w:pPr>
              <w:pStyle w:val="7"/>
              <w:keepNext w:val="0"/>
              <w:keepLines w:val="0"/>
              <w:pageBreakBefore w:val="0"/>
              <w:shd w:val="clear" w:color="auto" w:fill="auto"/>
              <w:kinsoku/>
              <w:overflowPunct/>
              <w:topLinePunct w:val="0"/>
              <w:autoSpaceDE/>
              <w:autoSpaceDN/>
              <w:bidi w:val="0"/>
              <w:spacing w:line="360" w:lineRule="auto"/>
              <w:jc w:val="center"/>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企业奖项</w:t>
            </w:r>
          </w:p>
          <w:p w14:paraId="0180F1D1">
            <w:pPr>
              <w:pStyle w:val="7"/>
              <w:keepNext w:val="0"/>
              <w:keepLines w:val="0"/>
              <w:pageBreakBefore w:val="0"/>
              <w:shd w:val="clear" w:color="auto" w:fill="auto"/>
              <w:kinsoku/>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（10分）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0263DF87">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企业近 5 年来（2020年1月1日至今）获得过市政工程类监理奖项情况：</w:t>
            </w:r>
          </w:p>
          <w:p w14:paraId="69B82EF8">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1、获得过国家级奖项的，每个得8分；</w:t>
            </w:r>
          </w:p>
          <w:p w14:paraId="4C387050">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2、获得过省级奖项的，每个得4分；</w:t>
            </w:r>
          </w:p>
          <w:p w14:paraId="21536BFB">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3、获得过地市级奖项的，每个得2分；</w:t>
            </w:r>
          </w:p>
          <w:p w14:paraId="54DD4CEB">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4、以上奖项均未获得的，不予计分。</w:t>
            </w:r>
          </w:p>
          <w:p w14:paraId="6689FE08">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u w:val="none"/>
                <w:lang w:val="en-US" w:eastAsia="zh-CN"/>
              </w:rPr>
              <w:t>说明：本项最高得10分。</w:t>
            </w:r>
          </w:p>
        </w:tc>
        <w:tc>
          <w:tcPr>
            <w:tcW w:w="3907" w:type="dxa"/>
            <w:tcBorders>
              <w:top w:val="single" w:color="000000" w:sz="4" w:space="0"/>
              <w:left w:val="single" w:color="000000" w:sz="4" w:space="0"/>
              <w:bottom w:val="single" w:color="000000" w:sz="4" w:space="0"/>
              <w:right w:val="single" w:color="000000" w:sz="4" w:space="0"/>
            </w:tcBorders>
            <w:noWrap w:val="0"/>
            <w:vAlign w:val="center"/>
          </w:tcPr>
          <w:p w14:paraId="08FF9032">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1.允许投标人提交多个业绩，但同一业绩只按最高级别奖项计分一次。</w:t>
            </w:r>
          </w:p>
          <w:p w14:paraId="618ECAF8">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2．需附有关奖项证明彩色扫描件。</w:t>
            </w:r>
          </w:p>
          <w:p w14:paraId="6BB3BB1C">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3.颁发机构限定以下范围：</w:t>
            </w:r>
          </w:p>
          <w:p w14:paraId="46B0E38D">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①国家级奖项：国务院、住建部、国家市政行业协会；（相关协会需经民政部门备案，须提供备案截图，否则不得分）；</w:t>
            </w:r>
          </w:p>
          <w:p w14:paraId="42D49306">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②省级奖项：省级人民政府、省级住建部门、省市政行业协会；（相关协会需经民政部门备案，须提供备案截图，否则不得分）</w:t>
            </w:r>
            <w:r>
              <w:rPr>
                <w:rFonts w:hint="eastAsia" w:hAnsi="宋体" w:cs="宋体"/>
                <w:b w:val="0"/>
                <w:bCs w:val="0"/>
                <w:snapToGrid w:val="0"/>
                <w:color w:val="auto"/>
                <w:kern w:val="0"/>
                <w:sz w:val="24"/>
                <w:szCs w:val="24"/>
                <w:highlight w:val="none"/>
                <w:u w:val="none"/>
                <w:lang w:val="en-US" w:eastAsia="zh-CN"/>
              </w:rPr>
              <w:t>；</w:t>
            </w:r>
          </w:p>
          <w:p w14:paraId="45C19ACD">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③地市级奖项：地级市人民政府、地级市住建部门、地市级市政行业协会颁发的（相关协会需经民政部门备案）。</w:t>
            </w:r>
          </w:p>
          <w:p w14:paraId="448D34DA">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4.获奖时间以奖项证明的落款日期为准。</w:t>
            </w:r>
          </w:p>
          <w:p w14:paraId="67DA603A">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5.任一奖项有以下情形之一的，该奖项视为无效，不予计分：</w:t>
            </w:r>
          </w:p>
          <w:p w14:paraId="2E5C4053">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①奖项不属于指定类别的；</w:t>
            </w:r>
          </w:p>
          <w:p w14:paraId="7E04E660">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②颁发机构不符合要求的；</w:t>
            </w:r>
          </w:p>
          <w:p w14:paraId="11B20324">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③获奖时间不符合要求的。</w:t>
            </w:r>
          </w:p>
          <w:p w14:paraId="4DA52B37">
            <w:pPr>
              <w:keepNext w:val="0"/>
              <w:keepLines w:val="0"/>
              <w:pageBreakBefore w:val="0"/>
              <w:numPr>
                <w:ilvl w:val="0"/>
                <w:numId w:val="0"/>
              </w:numPr>
              <w:shd w:val="clear" w:color="auto" w:fill="auto"/>
              <w:kinsoku/>
              <w:wordWrap w:val="0"/>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color w:val="auto"/>
                <w:highlight w:val="none"/>
              </w:rPr>
              <w:t>说明：以上所称“要求”均指本表评分标准及备注的要求，下同。</w:t>
            </w:r>
          </w:p>
        </w:tc>
      </w:tr>
      <w:tr w14:paraId="3B175E68">
        <w:tblPrEx>
          <w:tblCellMar>
            <w:top w:w="0" w:type="dxa"/>
            <w:left w:w="108" w:type="dxa"/>
            <w:bottom w:w="0" w:type="dxa"/>
            <w:right w:w="108" w:type="dxa"/>
          </w:tblCellMar>
        </w:tblPrEx>
        <w:trPr>
          <w:trHeight w:val="790"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6D926750">
            <w:pPr>
              <w:pStyle w:val="7"/>
              <w:keepNext w:val="0"/>
              <w:keepLines w:val="0"/>
              <w:pageBreakBefore w:val="0"/>
              <w:shd w:val="clear" w:color="auto" w:fill="auto"/>
              <w:kinsoku/>
              <w:overflowPunct/>
              <w:topLinePunct w:val="0"/>
              <w:autoSpaceDE/>
              <w:autoSpaceDN/>
              <w:bidi w:val="0"/>
              <w:spacing w:line="360" w:lineRule="auto"/>
              <w:jc w:val="center"/>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 xml:space="preserve">企业管理 </w:t>
            </w:r>
          </w:p>
          <w:p w14:paraId="478F13F8">
            <w:pPr>
              <w:pStyle w:val="7"/>
              <w:keepNext w:val="0"/>
              <w:keepLines w:val="0"/>
              <w:pageBreakBefore w:val="0"/>
              <w:shd w:val="clear" w:color="auto" w:fill="auto"/>
              <w:kinsoku/>
              <w:overflowPunct/>
              <w:topLinePunct w:val="0"/>
              <w:autoSpaceDE/>
              <w:autoSpaceDN/>
              <w:bidi w:val="0"/>
              <w:spacing w:line="360" w:lineRule="auto"/>
              <w:jc w:val="center"/>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体系认证</w:t>
            </w:r>
          </w:p>
          <w:p w14:paraId="773ACB98">
            <w:pPr>
              <w:pStyle w:val="7"/>
              <w:keepNext w:val="0"/>
              <w:keepLines w:val="0"/>
              <w:pageBreakBefore w:val="0"/>
              <w:shd w:val="clear" w:color="auto" w:fill="auto"/>
              <w:kinsoku/>
              <w:overflowPunct/>
              <w:topLinePunct w:val="0"/>
              <w:autoSpaceDE/>
              <w:autoSpaceDN/>
              <w:bidi w:val="0"/>
              <w:spacing w:line="360" w:lineRule="auto"/>
              <w:jc w:val="center"/>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w:t>
            </w:r>
            <w:r>
              <w:rPr>
                <w:rFonts w:hint="eastAsia" w:hAnsi="宋体" w:cs="宋体"/>
                <w:b w:val="0"/>
                <w:bCs w:val="0"/>
                <w:caps w:val="0"/>
                <w:smallCaps w:val="0"/>
                <w:snapToGrid w:val="0"/>
                <w:color w:val="auto"/>
                <w:spacing w:val="0"/>
                <w:kern w:val="0"/>
                <w:sz w:val="24"/>
                <w:szCs w:val="24"/>
                <w:highlight w:val="none"/>
                <w:u w:val="none"/>
                <w:lang w:val="en-US" w:eastAsia="zh-CN"/>
              </w:rPr>
              <w:t>6</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7CFD440B">
            <w:pPr>
              <w:pStyle w:val="7"/>
              <w:keepNext w:val="0"/>
              <w:keepLines w:val="0"/>
              <w:pageBreakBefore w:val="0"/>
              <w:shd w:val="clear" w:color="auto" w:fill="auto"/>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1.质量管理体系认证、职业健康安全管理体系认证、环境管理体系认证中，每获得1项认证得2分，最高得6分。</w:t>
            </w:r>
          </w:p>
          <w:p w14:paraId="6A51B086">
            <w:pPr>
              <w:pStyle w:val="7"/>
              <w:keepNext w:val="0"/>
              <w:keepLines w:val="0"/>
              <w:pageBreakBefore w:val="0"/>
              <w:numPr>
                <w:ilvl w:val="0"/>
                <w:numId w:val="0"/>
              </w:numPr>
              <w:shd w:val="clear" w:color="auto" w:fill="auto"/>
              <w:kinsoku/>
              <w:overflowPunct/>
              <w:topLinePunct w:val="0"/>
              <w:autoSpaceDE/>
              <w:autoSpaceDN/>
              <w:bidi w:val="0"/>
              <w:spacing w:line="360" w:lineRule="auto"/>
              <w:ind w:leftChars="0"/>
              <w:textAlignment w:val="auto"/>
              <w:rPr>
                <w:rFonts w:hint="eastAsia"/>
                <w:color w:val="auto"/>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2.未获得以上认证的，不予计分。</w:t>
            </w:r>
          </w:p>
        </w:tc>
        <w:tc>
          <w:tcPr>
            <w:tcW w:w="3907" w:type="dxa"/>
            <w:tcBorders>
              <w:top w:val="single" w:color="000000" w:sz="4" w:space="0"/>
              <w:left w:val="single" w:color="000000" w:sz="4" w:space="0"/>
              <w:bottom w:val="single" w:color="000000" w:sz="4" w:space="0"/>
              <w:right w:val="single" w:color="000000" w:sz="4" w:space="0"/>
            </w:tcBorders>
            <w:noWrap w:val="0"/>
            <w:vAlign w:val="center"/>
          </w:tcPr>
          <w:p w14:paraId="03EFF476">
            <w:pPr>
              <w:pStyle w:val="7"/>
              <w:keepNext w:val="0"/>
              <w:keepLines w:val="0"/>
              <w:pageBreakBefore w:val="0"/>
              <w:shd w:val="clear" w:color="auto" w:fill="auto"/>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1．需附在有效期内的认证证书彩色扫描件。</w:t>
            </w:r>
          </w:p>
          <w:p w14:paraId="30DF2543">
            <w:pPr>
              <w:pStyle w:val="7"/>
              <w:shd w:val="clear" w:color="auto" w:fil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2．任一认证证书不在有效期内的，该认证证书视为无效，不予计分。</w:t>
            </w:r>
          </w:p>
        </w:tc>
      </w:tr>
      <w:tr w14:paraId="571B3A1C">
        <w:tblPrEx>
          <w:tblCellMar>
            <w:top w:w="0" w:type="dxa"/>
            <w:left w:w="108" w:type="dxa"/>
            <w:bottom w:w="0" w:type="dxa"/>
            <w:right w:w="108" w:type="dxa"/>
          </w:tblCellMar>
        </w:tblPrEx>
        <w:trPr>
          <w:trHeight w:val="5350"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2C6BD20C">
            <w:pPr>
              <w:spacing w:line="240" w:lineRule="auto"/>
              <w:ind w:left="24" w:leftChars="10" w:right="24" w:rightChars="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纳税信用</w:t>
            </w:r>
          </w:p>
          <w:p w14:paraId="6D9220B9">
            <w:pPr>
              <w:spacing w:line="240" w:lineRule="auto"/>
              <w:ind w:left="24" w:leftChars="10" w:right="24" w:rightChars="1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等级（10分）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1F40C4F9">
            <w:pPr>
              <w:rPr>
                <w:rFonts w:hint="eastAsia"/>
                <w:b w:val="0"/>
                <w:bCs w:val="0"/>
                <w:color w:val="auto"/>
                <w:highlight w:val="none"/>
                <w:lang w:val="en-US" w:eastAsia="zh-CN"/>
              </w:rPr>
            </w:pPr>
            <w:r>
              <w:rPr>
                <w:rFonts w:hint="eastAsia"/>
                <w:b w:val="0"/>
                <w:bCs w:val="0"/>
                <w:color w:val="auto"/>
                <w:highlight w:val="none"/>
                <w:lang w:val="en-US" w:eastAsia="zh-CN"/>
              </w:rPr>
              <w:t>企业获得纳税信用A级荣誉情况（其中必须具有2024年度）：</w:t>
            </w:r>
          </w:p>
          <w:p w14:paraId="22E21167">
            <w:pPr>
              <w:rPr>
                <w:rFonts w:hint="eastAsia"/>
                <w:b w:val="0"/>
                <w:bCs w:val="0"/>
                <w:color w:val="auto"/>
                <w:highlight w:val="none"/>
                <w:lang w:val="en-US" w:eastAsia="zh-CN"/>
              </w:rPr>
            </w:pPr>
            <w:r>
              <w:rPr>
                <w:rFonts w:hint="eastAsia"/>
                <w:b w:val="0"/>
                <w:bCs w:val="0"/>
                <w:color w:val="auto"/>
                <w:highlight w:val="none"/>
                <w:lang w:val="en-US" w:eastAsia="zh-CN"/>
              </w:rPr>
              <w:t>1.获得过纳税信用A级1年的得2分：；</w:t>
            </w:r>
          </w:p>
          <w:p w14:paraId="39DE3C85">
            <w:pPr>
              <w:numPr>
                <w:ilvl w:val="0"/>
                <w:numId w:val="2"/>
              </w:numPr>
              <w:rPr>
                <w:rFonts w:hint="eastAsia"/>
                <w:b w:val="0"/>
                <w:bCs w:val="0"/>
                <w:color w:val="auto"/>
                <w:highlight w:val="none"/>
                <w:lang w:val="en-US" w:eastAsia="zh-CN"/>
              </w:rPr>
            </w:pPr>
            <w:r>
              <w:rPr>
                <w:rFonts w:hint="eastAsia"/>
                <w:b w:val="0"/>
                <w:bCs w:val="0"/>
                <w:color w:val="auto"/>
                <w:highlight w:val="none"/>
                <w:lang w:val="en-US" w:eastAsia="zh-CN"/>
              </w:rPr>
              <w:t>获得过纳税信用A级连续2-3年的得4分；</w:t>
            </w:r>
          </w:p>
          <w:p w14:paraId="4AEE5E90">
            <w:pPr>
              <w:numPr>
                <w:ilvl w:val="0"/>
                <w:numId w:val="2"/>
              </w:numPr>
              <w:rPr>
                <w:rFonts w:hint="default"/>
                <w:b w:val="0"/>
                <w:bCs w:val="0"/>
                <w:color w:val="auto"/>
                <w:highlight w:val="none"/>
                <w:lang w:val="en-US" w:eastAsia="zh-CN"/>
              </w:rPr>
            </w:pPr>
            <w:r>
              <w:rPr>
                <w:rFonts w:hint="eastAsia"/>
                <w:b w:val="0"/>
                <w:bCs w:val="0"/>
                <w:color w:val="auto"/>
                <w:highlight w:val="none"/>
                <w:lang w:val="en-US" w:eastAsia="zh-CN"/>
              </w:rPr>
              <w:t>获得过纳税信用A级连续4-5年的得6分；</w:t>
            </w:r>
          </w:p>
          <w:p w14:paraId="7C7DB5FC">
            <w:pPr>
              <w:pStyle w:val="29"/>
              <w:ind w:left="0" w:leftChars="0" w:firstLine="0" w:firstLineChars="0"/>
              <w:rPr>
                <w:rFonts w:hint="default" w:ascii="宋体" w:hAnsi="Times New Roman" w:eastAsia="宋体" w:cs="Times New Roman"/>
                <w:b w:val="0"/>
                <w:bCs w:val="0"/>
                <w:color w:val="auto"/>
                <w:kern w:val="2"/>
                <w:sz w:val="24"/>
                <w:szCs w:val="20"/>
                <w:highlight w:val="none"/>
                <w:lang w:val="en-US" w:eastAsia="zh-CN" w:bidi="ar-SA"/>
              </w:rPr>
            </w:pPr>
            <w:r>
              <w:rPr>
                <w:rFonts w:hint="eastAsia" w:ascii="宋体" w:hAnsi="Times New Roman" w:eastAsia="宋体" w:cs="Times New Roman"/>
                <w:b w:val="0"/>
                <w:bCs w:val="0"/>
                <w:color w:val="auto"/>
                <w:kern w:val="2"/>
                <w:sz w:val="24"/>
                <w:szCs w:val="20"/>
                <w:highlight w:val="none"/>
                <w:lang w:val="en-US" w:eastAsia="zh-CN" w:bidi="ar-SA"/>
              </w:rPr>
              <w:t>4.获得过纳税信用A级连续</w:t>
            </w:r>
            <w:r>
              <w:rPr>
                <w:rFonts w:hint="eastAsia" w:ascii="宋体" w:cs="Times New Roman"/>
                <w:b w:val="0"/>
                <w:bCs w:val="0"/>
                <w:color w:val="auto"/>
                <w:kern w:val="2"/>
                <w:sz w:val="24"/>
                <w:szCs w:val="20"/>
                <w:highlight w:val="none"/>
                <w:lang w:val="en-US" w:eastAsia="zh-CN" w:bidi="ar-SA"/>
              </w:rPr>
              <w:t>6年及以上</w:t>
            </w:r>
            <w:r>
              <w:rPr>
                <w:rFonts w:hint="eastAsia" w:ascii="宋体" w:hAnsi="Times New Roman" w:eastAsia="宋体" w:cs="Times New Roman"/>
                <w:b w:val="0"/>
                <w:bCs w:val="0"/>
                <w:color w:val="auto"/>
                <w:kern w:val="2"/>
                <w:sz w:val="24"/>
                <w:szCs w:val="20"/>
                <w:highlight w:val="none"/>
                <w:lang w:val="en-US" w:eastAsia="zh-CN" w:bidi="ar-SA"/>
              </w:rPr>
              <w:t>的得</w:t>
            </w:r>
            <w:r>
              <w:rPr>
                <w:rFonts w:hint="eastAsia" w:ascii="宋体" w:cs="Times New Roman"/>
                <w:b w:val="0"/>
                <w:bCs w:val="0"/>
                <w:color w:val="auto"/>
                <w:kern w:val="2"/>
                <w:sz w:val="24"/>
                <w:szCs w:val="20"/>
                <w:highlight w:val="none"/>
                <w:lang w:val="en-US" w:eastAsia="zh-CN" w:bidi="ar-SA"/>
              </w:rPr>
              <w:t>10</w:t>
            </w:r>
            <w:r>
              <w:rPr>
                <w:rFonts w:hint="eastAsia" w:ascii="宋体" w:hAnsi="Times New Roman" w:eastAsia="宋体" w:cs="Times New Roman"/>
                <w:b w:val="0"/>
                <w:bCs w:val="0"/>
                <w:color w:val="auto"/>
                <w:kern w:val="2"/>
                <w:sz w:val="24"/>
                <w:szCs w:val="20"/>
                <w:highlight w:val="none"/>
                <w:lang w:val="en-US" w:eastAsia="zh-CN" w:bidi="ar-SA"/>
              </w:rPr>
              <w:t>分</w:t>
            </w:r>
            <w:r>
              <w:rPr>
                <w:rFonts w:hint="eastAsia" w:ascii="宋体" w:cs="Times New Roman"/>
                <w:b w:val="0"/>
                <w:bCs w:val="0"/>
                <w:color w:val="auto"/>
                <w:kern w:val="2"/>
                <w:sz w:val="24"/>
                <w:szCs w:val="20"/>
                <w:highlight w:val="none"/>
                <w:lang w:val="en-US" w:eastAsia="zh-CN" w:bidi="ar-SA"/>
              </w:rPr>
              <w:t>；</w:t>
            </w:r>
          </w:p>
          <w:p w14:paraId="17789772">
            <w:pPr>
              <w:pStyle w:val="29"/>
              <w:ind w:left="0" w:leftChars="0" w:firstLine="0" w:firstLineChars="0"/>
              <w:rPr>
                <w:rFonts w:hint="default"/>
                <w:b w:val="0"/>
                <w:bCs w:val="0"/>
                <w:color w:val="auto"/>
                <w:highlight w:val="none"/>
                <w:lang w:val="en-US" w:eastAsia="zh-CN"/>
              </w:rPr>
            </w:pPr>
            <w:r>
              <w:rPr>
                <w:rFonts w:hint="eastAsia" w:ascii="宋体" w:hAnsi="宋体" w:cs="宋体"/>
                <w:b w:val="0"/>
                <w:bCs w:val="0"/>
                <w:color w:val="auto"/>
                <w:kern w:val="2"/>
                <w:sz w:val="24"/>
                <w:szCs w:val="24"/>
                <w:highlight w:val="none"/>
                <w:lang w:val="en-US" w:eastAsia="zh-CN" w:bidi="ar-SA"/>
              </w:rPr>
              <w:t>本项目最多得10分。</w:t>
            </w:r>
          </w:p>
        </w:tc>
        <w:tc>
          <w:tcPr>
            <w:tcW w:w="3907" w:type="dxa"/>
            <w:tcBorders>
              <w:top w:val="single" w:color="000000" w:sz="4" w:space="0"/>
              <w:left w:val="single" w:color="000000" w:sz="4" w:space="0"/>
              <w:bottom w:val="single" w:color="000000" w:sz="4" w:space="0"/>
              <w:right w:val="single" w:color="000000" w:sz="4" w:space="0"/>
            </w:tcBorders>
            <w:noWrap w:val="0"/>
            <w:vAlign w:val="center"/>
          </w:tcPr>
          <w:p w14:paraId="03F66180">
            <w:pPr>
              <w:pStyle w:val="8"/>
              <w:keepNext w:val="0"/>
              <w:keepLines w:val="0"/>
              <w:pageBreakBefore w:val="0"/>
              <w:kinsoku/>
              <w:wordWrap w:val="0"/>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1.必须提供企业纳税信用A级纳税人证明材料（或证书）彩色扫描件或打印件，否则不得分；</w:t>
            </w:r>
          </w:p>
          <w:p w14:paraId="7D297E49">
            <w:pPr>
              <w:pStyle w:val="8"/>
              <w:keepNext w:val="0"/>
              <w:keepLines w:val="0"/>
              <w:pageBreakBefore w:val="0"/>
              <w:kinsoku/>
              <w:wordWrap w:val="0"/>
              <w:overflowPunct/>
              <w:topLinePunct w:val="0"/>
              <w:autoSpaceDE/>
              <w:autoSpaceDN/>
              <w:bidi w:val="0"/>
              <w:adjustRightInd w:val="0"/>
              <w:snapToGrid w:val="0"/>
              <w:spacing w:after="0" w:afterLines="0" w:line="360" w:lineRule="auto"/>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2.只计算投标人自身（不计算投标人的分公司、子公司及分支机构）。</w:t>
            </w:r>
          </w:p>
        </w:tc>
      </w:tr>
      <w:tr w14:paraId="782FDEB5">
        <w:tblPrEx>
          <w:tblCellMar>
            <w:top w:w="0" w:type="dxa"/>
            <w:left w:w="108" w:type="dxa"/>
            <w:bottom w:w="0" w:type="dxa"/>
            <w:right w:w="108" w:type="dxa"/>
          </w:tblCellMar>
        </w:tblPrEx>
        <w:trPr>
          <w:trHeight w:val="1046"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265681D9">
            <w:pPr>
              <w:spacing w:line="240" w:lineRule="auto"/>
              <w:ind w:left="24" w:leftChars="10" w:right="24" w:righ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r>
              <w:rPr>
                <w:rFonts w:hint="eastAsia" w:ascii="宋体" w:hAnsi="宋体" w:eastAsia="宋体" w:cs="宋体"/>
                <w:color w:val="auto"/>
                <w:kern w:val="0"/>
                <w:sz w:val="24"/>
                <w:szCs w:val="24"/>
                <w:highlight w:val="none"/>
              </w:rPr>
              <w:t>综合素质</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249D881F">
            <w:pPr>
              <w:keepNext w:val="0"/>
              <w:keepLines w:val="0"/>
              <w:pageBreakBefore w:val="0"/>
              <w:widowControl/>
              <w:numPr>
                <w:ilvl w:val="0"/>
                <w:numId w:val="3"/>
              </w:numPr>
              <w:kinsoku/>
              <w:overflowPunct/>
              <w:topLinePunct w:val="0"/>
              <w:autoSpaceDE/>
              <w:autoSpaceDN/>
              <w:bidi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具有中级或以上职称的得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670501E6">
            <w:pPr>
              <w:keepNext w:val="0"/>
              <w:keepLines w:val="0"/>
              <w:pageBreakBefore w:val="0"/>
              <w:widowControl/>
              <w:numPr>
                <w:ilvl w:val="0"/>
                <w:numId w:val="3"/>
              </w:numPr>
              <w:kinsoku/>
              <w:overflowPunct/>
              <w:topLinePunct w:val="0"/>
              <w:autoSpaceDE/>
              <w:autoSpaceDN/>
              <w:bidi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一级建造师注册证书的得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6DEF0E22">
            <w:pPr>
              <w:pStyle w:val="13"/>
              <w:rPr>
                <w:rFonts w:hint="eastAsia"/>
                <w:color w:val="auto"/>
                <w:highlight w:val="none"/>
                <w:lang w:val="en-US" w:eastAsia="zh-CN"/>
              </w:rPr>
            </w:pPr>
            <w:r>
              <w:rPr>
                <w:rFonts w:hint="eastAsia" w:ascii="宋体" w:hAnsi="宋体" w:cs="宋体"/>
                <w:b w:val="0"/>
                <w:bCs w:val="0"/>
                <w:color w:val="auto"/>
                <w:kern w:val="2"/>
                <w:sz w:val="24"/>
                <w:szCs w:val="24"/>
                <w:highlight w:val="none"/>
                <w:lang w:val="en-US" w:eastAsia="zh-CN" w:bidi="ar-SA"/>
              </w:rPr>
              <w:t>本项目最多得10分。</w:t>
            </w:r>
          </w:p>
        </w:tc>
        <w:tc>
          <w:tcPr>
            <w:tcW w:w="3907" w:type="dxa"/>
            <w:tcBorders>
              <w:top w:val="single" w:color="000000" w:sz="4" w:space="0"/>
              <w:left w:val="single" w:color="000000" w:sz="4" w:space="0"/>
              <w:bottom w:val="single" w:color="000000" w:sz="4" w:space="0"/>
              <w:right w:val="single" w:color="000000" w:sz="4" w:space="0"/>
            </w:tcBorders>
            <w:noWrap w:val="0"/>
            <w:vAlign w:val="center"/>
          </w:tcPr>
          <w:p w14:paraId="657B2335">
            <w:pPr>
              <w:pStyle w:val="8"/>
              <w:keepNext w:val="0"/>
              <w:keepLines w:val="0"/>
              <w:pageBreakBefore w:val="0"/>
              <w:kinsoku/>
              <w:wordWrap w:val="0"/>
              <w:overflowPunct/>
              <w:topLinePunct w:val="0"/>
              <w:autoSpaceDE/>
              <w:autoSpaceDN/>
              <w:bidi w:val="0"/>
              <w:adjustRightInd w:val="0"/>
              <w:snapToGrid w:val="0"/>
              <w:spacing w:after="0" w:afterLines="0" w:line="360" w:lineRule="exact"/>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rPr>
              <w:t>需附提供证</w:t>
            </w:r>
            <w:r>
              <w:rPr>
                <w:rFonts w:hint="eastAsia" w:ascii="宋体" w:hAnsi="宋体" w:eastAsia="宋体" w:cs="宋体"/>
                <w:b w:val="0"/>
                <w:bCs w:val="0"/>
                <w:snapToGrid w:val="0"/>
                <w:color w:val="auto"/>
                <w:kern w:val="0"/>
                <w:sz w:val="24"/>
                <w:szCs w:val="24"/>
                <w:highlight w:val="none"/>
                <w:u w:val="none"/>
                <w:lang w:val="en-US" w:eastAsia="zh-CN"/>
              </w:rPr>
              <w:t>书彩色扫描件</w:t>
            </w:r>
            <w:r>
              <w:rPr>
                <w:rFonts w:hint="eastAsia" w:ascii="宋体" w:hAnsi="宋体" w:eastAsia="宋体" w:cs="宋体"/>
                <w:b w:val="0"/>
                <w:bCs w:val="0"/>
                <w:snapToGrid w:val="0"/>
                <w:color w:val="auto"/>
                <w:kern w:val="0"/>
                <w:sz w:val="24"/>
                <w:szCs w:val="24"/>
                <w:highlight w:val="none"/>
              </w:rPr>
              <w:t>。</w:t>
            </w:r>
          </w:p>
        </w:tc>
      </w:tr>
      <w:tr w14:paraId="1C2D33B3">
        <w:tblPrEx>
          <w:tblCellMar>
            <w:top w:w="0" w:type="dxa"/>
            <w:left w:w="108" w:type="dxa"/>
            <w:bottom w:w="0" w:type="dxa"/>
            <w:right w:w="108" w:type="dxa"/>
          </w:tblCellMar>
        </w:tblPrEx>
        <w:trPr>
          <w:trHeight w:val="2184" w:hRule="atLeast"/>
          <w:jc w:val="center"/>
        </w:trPr>
        <w:tc>
          <w:tcPr>
            <w:tcW w:w="1404" w:type="dxa"/>
            <w:tcBorders>
              <w:top w:val="single" w:color="000000" w:sz="4" w:space="0"/>
              <w:left w:val="single" w:color="000000" w:sz="4" w:space="0"/>
              <w:right w:val="single" w:color="000000" w:sz="4" w:space="0"/>
            </w:tcBorders>
            <w:noWrap w:val="0"/>
            <w:vAlign w:val="center"/>
          </w:tcPr>
          <w:p w14:paraId="4FF8996B">
            <w:pPr>
              <w:spacing w:line="240" w:lineRule="auto"/>
              <w:ind w:left="24" w:leftChars="10" w:right="24" w:rightChars="10"/>
              <w:jc w:val="center"/>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项目监理机构其他</w:t>
            </w:r>
            <w:r>
              <w:rPr>
                <w:rFonts w:hint="eastAsia" w:ascii="宋体" w:hAnsi="宋体" w:eastAsia="宋体" w:cs="宋体"/>
                <w:color w:val="auto"/>
                <w:sz w:val="24"/>
                <w:szCs w:val="24"/>
                <w:highlight w:val="none"/>
                <w:lang w:val="zh-TW" w:eastAsia="zh-TW"/>
              </w:rPr>
              <w:t>人员配备</w:t>
            </w:r>
          </w:p>
          <w:p w14:paraId="5A137441">
            <w:pPr>
              <w:spacing w:line="240" w:lineRule="auto"/>
              <w:ind w:left="24" w:leftChars="10" w:right="24" w:righ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4848" w:type="dxa"/>
            <w:tcBorders>
              <w:top w:val="single" w:color="000000" w:sz="4" w:space="0"/>
              <w:left w:val="single" w:color="000000" w:sz="4" w:space="0"/>
              <w:right w:val="single" w:color="000000" w:sz="4" w:space="0"/>
            </w:tcBorders>
            <w:noWrap w:val="0"/>
            <w:vAlign w:val="center"/>
          </w:tcPr>
          <w:p w14:paraId="6686915E">
            <w:pPr>
              <w:pStyle w:val="62"/>
              <w:keepNext w:val="0"/>
              <w:keepLines w:val="0"/>
              <w:pageBreakBefore w:val="0"/>
              <w:widowControl/>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拟委派本项目监理人员数量和专业完全满足表2《项目监理机构其他人员需求表》（以下简称《需求表》）要求的得</w:t>
            </w:r>
            <w:r>
              <w:rPr>
                <w:rFonts w:hint="eastAsia"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；不满足《需求表》要求的，每少一人扣</w:t>
            </w:r>
            <w:r>
              <w:rPr>
                <w:rFonts w:hint="eastAsia" w:hAnsi="宋体" w:cs="宋体"/>
                <w:b w:val="0"/>
                <w:bCs w:val="0"/>
                <w:caps w:val="0"/>
                <w:smallCaps w:val="0"/>
                <w:snapToGrid w:val="0"/>
                <w:color w:val="auto"/>
                <w:spacing w:val="0"/>
                <w:kern w:val="0"/>
                <w:sz w:val="24"/>
                <w:szCs w:val="24"/>
                <w:highlight w:val="none"/>
                <w:u w:val="none"/>
                <w:lang w:val="en-US" w:eastAsia="zh-CN"/>
              </w:rPr>
              <w:t>1</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分，本项最高得</w:t>
            </w:r>
            <w:r>
              <w:rPr>
                <w:rFonts w:hint="eastAsia" w:hAnsi="宋体" w:cs="宋体"/>
                <w:b w:val="0"/>
                <w:bCs w:val="0"/>
                <w:caps w:val="0"/>
                <w:smallCaps w:val="0"/>
                <w:snapToGrid w:val="0"/>
                <w:color w:val="auto"/>
                <w:spacing w:val="0"/>
                <w:kern w:val="0"/>
                <w:sz w:val="24"/>
                <w:szCs w:val="24"/>
                <w:highlight w:val="none"/>
                <w:u w:val="none"/>
                <w:lang w:val="en-US" w:eastAsia="zh-CN"/>
              </w:rPr>
              <w:t>4</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p w14:paraId="3E61FAC9">
            <w:pPr>
              <w:pStyle w:val="62"/>
              <w:keepNext w:val="0"/>
              <w:keepLines w:val="0"/>
              <w:pageBreakBefore w:val="0"/>
              <w:widowControl/>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lang w:eastAsia="zh-CN"/>
              </w:rPr>
              <w:t>拟派人员中，具备中级职称(或以上)的每人得1分，本项满分4分。</w:t>
            </w:r>
          </w:p>
          <w:p w14:paraId="1025D08F">
            <w:pPr>
              <w:pStyle w:val="7"/>
              <w:rPr>
                <w:rFonts w:hint="eastAsia" w:ascii="宋体" w:hAnsi="宋体" w:eastAsia="宋体" w:cs="宋体"/>
                <w:color w:val="auto"/>
                <w:sz w:val="24"/>
                <w:szCs w:val="24"/>
                <w:highlight w:val="none"/>
                <w:lang w:val="en-US" w:eastAsia="zh-CN"/>
              </w:rPr>
            </w:pPr>
            <w:r>
              <w:rPr>
                <w:rFonts w:hint="eastAsia" w:hAnsi="宋体" w:cs="宋体"/>
                <w:caps w:val="0"/>
                <w:smallCaps w:val="0"/>
                <w:snapToGrid w:val="0"/>
                <w:color w:val="auto"/>
                <w:spacing w:val="0"/>
                <w:kern w:val="0"/>
                <w:sz w:val="24"/>
                <w:szCs w:val="24"/>
                <w:highlight w:val="none"/>
                <w:lang w:val="en-US" w:eastAsia="zh-CN"/>
              </w:rPr>
              <w:t>3.</w:t>
            </w:r>
            <w:r>
              <w:rPr>
                <w:rFonts w:hint="eastAsia" w:ascii="宋体" w:hAnsi="宋体" w:eastAsia="宋体" w:cs="宋体"/>
                <w:caps w:val="0"/>
                <w:smallCaps w:val="0"/>
                <w:snapToGrid w:val="0"/>
                <w:color w:val="auto"/>
                <w:spacing w:val="0"/>
                <w:kern w:val="0"/>
                <w:sz w:val="24"/>
                <w:szCs w:val="24"/>
                <w:highlight w:val="none"/>
                <w:lang w:eastAsia="zh-CN"/>
              </w:rPr>
              <w:t>拟派</w:t>
            </w:r>
            <w:r>
              <w:rPr>
                <w:rFonts w:hint="default" w:ascii="宋体" w:hAnsi="宋体" w:eastAsia="宋体" w:cs="宋体"/>
                <w:b w:val="0"/>
                <w:bCs w:val="0"/>
                <w:caps w:val="0"/>
                <w:smallCaps w:val="0"/>
                <w:snapToGrid w:val="0"/>
                <w:color w:val="auto"/>
                <w:spacing w:val="0"/>
                <w:kern w:val="0"/>
                <w:sz w:val="24"/>
                <w:szCs w:val="24"/>
                <w:highlight w:val="none"/>
                <w:u w:val="none"/>
                <w:lang w:val="en-US" w:eastAsia="zh-CN"/>
              </w:rPr>
              <w:t>市政公用工程</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专业监理工程师</w:t>
            </w:r>
            <w:r>
              <w:rPr>
                <w:rFonts w:hint="eastAsia" w:hAnsi="宋体" w:cs="宋体"/>
                <w:b w:val="0"/>
                <w:bCs w:val="0"/>
                <w:caps w:val="0"/>
                <w:smallCaps w:val="0"/>
                <w:snapToGrid w:val="0"/>
                <w:color w:val="auto"/>
                <w:spacing w:val="0"/>
                <w:kern w:val="0"/>
                <w:sz w:val="24"/>
                <w:szCs w:val="24"/>
                <w:highlight w:val="none"/>
                <w:u w:val="none"/>
                <w:lang w:val="en-US" w:eastAsia="zh-CN"/>
              </w:rPr>
              <w:t>中</w:t>
            </w:r>
            <w:r>
              <w:rPr>
                <w:rFonts w:hint="eastAsia" w:ascii="宋体" w:hAnsi="宋体" w:eastAsia="宋体" w:cs="宋体"/>
                <w:caps w:val="0"/>
                <w:smallCaps w:val="0"/>
                <w:snapToGrid w:val="0"/>
                <w:color w:val="auto"/>
                <w:spacing w:val="0"/>
                <w:kern w:val="0"/>
                <w:sz w:val="24"/>
                <w:szCs w:val="24"/>
                <w:highlight w:val="none"/>
                <w:lang w:eastAsia="zh-CN"/>
              </w:rPr>
              <w:t>，具备</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高级</w:t>
            </w:r>
            <w:r>
              <w:rPr>
                <w:rFonts w:hint="eastAsia" w:hAnsi="宋体" w:cs="宋体"/>
                <w:b w:val="0"/>
                <w:bCs w:val="0"/>
                <w:caps w:val="0"/>
                <w:smallCaps w:val="0"/>
                <w:snapToGrid w:val="0"/>
                <w:color w:val="auto"/>
                <w:spacing w:val="0"/>
                <w:kern w:val="0"/>
                <w:sz w:val="24"/>
                <w:szCs w:val="24"/>
                <w:highlight w:val="none"/>
                <w:u w:val="none"/>
                <w:lang w:val="en-US" w:eastAsia="zh-CN"/>
              </w:rPr>
              <w:t>或</w:t>
            </w:r>
            <w:r>
              <w:rPr>
                <w:rFonts w:hint="default" w:ascii="宋体" w:hAnsi="宋体" w:eastAsia="宋体" w:cs="宋体"/>
                <w:b w:val="0"/>
                <w:bCs w:val="0"/>
                <w:caps w:val="0"/>
                <w:smallCaps w:val="0"/>
                <w:snapToGrid w:val="0"/>
                <w:color w:val="auto"/>
                <w:spacing w:val="0"/>
                <w:kern w:val="0"/>
                <w:sz w:val="24"/>
                <w:szCs w:val="24"/>
                <w:highlight w:val="none"/>
                <w:u w:val="none"/>
                <w:lang w:val="en-US" w:eastAsia="zh-CN"/>
              </w:rPr>
              <w:t>以上职称</w:t>
            </w:r>
            <w:r>
              <w:rPr>
                <w:rFonts w:hint="eastAsia" w:hAnsi="宋体" w:cs="宋体"/>
                <w:b w:val="0"/>
                <w:bCs w:val="0"/>
                <w:caps w:val="0"/>
                <w:smallCaps w:val="0"/>
                <w:snapToGrid w:val="0"/>
                <w:color w:val="auto"/>
                <w:spacing w:val="0"/>
                <w:kern w:val="0"/>
                <w:sz w:val="24"/>
                <w:szCs w:val="24"/>
                <w:highlight w:val="none"/>
                <w:u w:val="none"/>
                <w:lang w:val="en-US" w:eastAsia="zh-CN"/>
              </w:rPr>
              <w:t>的</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得2分，具备</w:t>
            </w:r>
            <w:r>
              <w:rPr>
                <w:rFonts w:hint="eastAsia" w:hAnsi="宋体" w:cs="宋体"/>
                <w:b w:val="0"/>
                <w:bCs w:val="0"/>
                <w:caps w:val="0"/>
                <w:smallCaps w:val="0"/>
                <w:snapToGrid w:val="0"/>
                <w:color w:val="auto"/>
                <w:spacing w:val="0"/>
                <w:kern w:val="0"/>
                <w:sz w:val="24"/>
                <w:szCs w:val="24"/>
                <w:highlight w:val="none"/>
                <w:u w:val="none"/>
                <w:lang w:val="en-US" w:eastAsia="zh-CN"/>
              </w:rPr>
              <w:t>注册安全工程师的得2</w:t>
            </w:r>
            <w:r>
              <w:rPr>
                <w:rFonts w:hint="default" w:ascii="宋体" w:hAnsi="宋体" w:eastAsia="宋体" w:cs="宋体"/>
                <w:b w:val="0"/>
                <w:bCs w:val="0"/>
                <w:caps w:val="0"/>
                <w:smallCaps w:val="0"/>
                <w:snapToGrid w:val="0"/>
                <w:color w:val="auto"/>
                <w:spacing w:val="0"/>
                <w:kern w:val="0"/>
                <w:sz w:val="24"/>
                <w:szCs w:val="24"/>
                <w:highlight w:val="none"/>
                <w:u w:val="none"/>
                <w:lang w:val="en-US" w:eastAsia="zh-CN"/>
              </w:rPr>
              <w:t>分</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，本项满分4分</w:t>
            </w:r>
            <w:r>
              <w:rPr>
                <w:rFonts w:hint="default" w:ascii="宋体" w:hAnsi="宋体" w:eastAsia="宋体" w:cs="宋体"/>
                <w:b w:val="0"/>
                <w:bCs w:val="0"/>
                <w:caps w:val="0"/>
                <w:smallCaps w:val="0"/>
                <w:snapToGrid w:val="0"/>
                <w:color w:val="auto"/>
                <w:spacing w:val="0"/>
                <w:kern w:val="0"/>
                <w:sz w:val="24"/>
                <w:szCs w:val="24"/>
                <w:highlight w:val="none"/>
                <w:u w:val="none"/>
                <w:lang w:val="en-US" w:eastAsia="zh-CN"/>
              </w:rPr>
              <w:t>。</w:t>
            </w:r>
          </w:p>
        </w:tc>
        <w:tc>
          <w:tcPr>
            <w:tcW w:w="3907" w:type="dxa"/>
            <w:tcBorders>
              <w:top w:val="single" w:color="000000" w:sz="4" w:space="0"/>
              <w:left w:val="single" w:color="000000" w:sz="4" w:space="0"/>
              <w:right w:val="single" w:color="000000" w:sz="4" w:space="0"/>
            </w:tcBorders>
            <w:noWrap w:val="0"/>
            <w:vAlign w:val="center"/>
          </w:tcPr>
          <w:p w14:paraId="28C5EC5A">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满足表2《项目监理机构其他人员需求表》</w:t>
            </w:r>
            <w:r>
              <w:rPr>
                <w:rFonts w:hint="eastAsia" w:ascii="宋体" w:hAnsi="宋体" w:eastAsia="宋体" w:cs="宋体"/>
                <w:caps w:val="0"/>
                <w:smallCaps w:val="0"/>
                <w:snapToGrid w:val="0"/>
                <w:color w:val="auto"/>
                <w:spacing w:val="0"/>
                <w:kern w:val="0"/>
                <w:sz w:val="24"/>
                <w:szCs w:val="24"/>
                <w:highlight w:val="none"/>
                <w:lang w:eastAsia="zh-CN"/>
              </w:rPr>
              <w:t>要求的本评分项可得</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；不</w:t>
            </w:r>
            <w:r>
              <w:rPr>
                <w:rFonts w:hint="eastAsia" w:ascii="宋体" w:hAnsi="宋体" w:eastAsia="宋体" w:cs="宋体"/>
                <w:color w:val="auto"/>
                <w:sz w:val="24"/>
                <w:szCs w:val="24"/>
                <w:highlight w:val="none"/>
              </w:rPr>
              <w:t>满足</w:t>
            </w:r>
            <w:r>
              <w:rPr>
                <w:rFonts w:hint="eastAsia" w:ascii="宋体" w:hAnsi="宋体" w:eastAsia="宋体" w:cs="宋体"/>
                <w:caps w:val="0"/>
                <w:smallCaps w:val="0"/>
                <w:snapToGrid w:val="0"/>
                <w:color w:val="auto"/>
                <w:spacing w:val="0"/>
                <w:kern w:val="0"/>
                <w:sz w:val="24"/>
                <w:szCs w:val="24"/>
                <w:highlight w:val="none"/>
                <w:lang w:eastAsia="zh-CN"/>
              </w:rPr>
              <w:t>要求的本评分项不得分。</w:t>
            </w:r>
          </w:p>
          <w:p w14:paraId="6B7B9B2F">
            <w:pPr>
              <w:pStyle w:val="8"/>
              <w:keepNext w:val="0"/>
              <w:keepLines w:val="0"/>
              <w:pageBreakBefore w:val="0"/>
              <w:kinsoku/>
              <w:wordWrap w:val="0"/>
              <w:overflowPunct/>
              <w:topLinePunct w:val="0"/>
              <w:autoSpaceDE/>
              <w:autoSpaceDN/>
              <w:bidi w:val="0"/>
              <w:adjustRightInd w:val="0"/>
              <w:snapToGrid w:val="0"/>
              <w:spacing w:after="0" w:afterLines="0"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rPr>
              <w:t>须提供相应</w:t>
            </w:r>
            <w:r>
              <w:rPr>
                <w:rFonts w:hint="eastAsia" w:ascii="宋体" w:hAnsi="宋体" w:eastAsia="宋体" w:cs="宋体"/>
                <w:b w:val="0"/>
                <w:bCs w:val="0"/>
                <w:snapToGrid w:val="0"/>
                <w:color w:val="auto"/>
                <w:kern w:val="0"/>
                <w:sz w:val="24"/>
                <w:szCs w:val="24"/>
                <w:highlight w:val="none"/>
                <w:lang w:val="en-US" w:eastAsia="zh-CN"/>
              </w:rPr>
              <w:t>证书彩色扫描件</w:t>
            </w:r>
            <w:r>
              <w:rPr>
                <w:rFonts w:hint="eastAsia" w:ascii="宋体" w:hAnsi="宋体" w:eastAsia="宋体" w:cs="宋体"/>
                <w:b w:val="0"/>
                <w:bCs w:val="0"/>
                <w:snapToGrid w:val="0"/>
                <w:color w:val="auto"/>
                <w:kern w:val="0"/>
                <w:sz w:val="24"/>
                <w:szCs w:val="24"/>
                <w:highlight w:val="none"/>
              </w:rPr>
              <w:t>，</w:t>
            </w:r>
            <w:r>
              <w:rPr>
                <w:rFonts w:hint="eastAsia" w:ascii="宋体" w:hAnsi="宋体" w:eastAsia="宋体" w:cs="宋体"/>
                <w:b w:val="0"/>
                <w:bCs w:val="0"/>
                <w:snapToGrid w:val="0"/>
                <w:color w:val="auto"/>
                <w:kern w:val="0"/>
                <w:sz w:val="24"/>
                <w:szCs w:val="24"/>
                <w:highlight w:val="none"/>
                <w:lang w:val="en-US" w:eastAsia="zh-CN"/>
              </w:rPr>
              <w:t>人员业绩</w:t>
            </w:r>
            <w:r>
              <w:rPr>
                <w:rFonts w:hint="eastAsia" w:ascii="宋体" w:hAnsi="宋体" w:eastAsia="宋体" w:cs="宋体"/>
                <w:b w:val="0"/>
                <w:bCs w:val="0"/>
                <w:snapToGrid w:val="0"/>
                <w:color w:val="auto"/>
                <w:kern w:val="0"/>
                <w:sz w:val="24"/>
                <w:szCs w:val="24"/>
                <w:highlight w:val="none"/>
              </w:rPr>
              <w:t>提供</w:t>
            </w:r>
            <w:r>
              <w:rPr>
                <w:rFonts w:hint="eastAsia" w:ascii="宋体" w:hAnsi="宋体" w:eastAsia="宋体" w:cs="宋体"/>
                <w:b w:val="0"/>
                <w:bCs w:val="0"/>
                <w:snapToGrid w:val="0"/>
                <w:color w:val="auto"/>
                <w:kern w:val="0"/>
                <w:sz w:val="24"/>
                <w:szCs w:val="24"/>
                <w:highlight w:val="none"/>
                <w:lang w:val="en-US" w:eastAsia="zh-CN"/>
              </w:rPr>
              <w:t>合同彩色扫描件</w:t>
            </w:r>
            <w:r>
              <w:rPr>
                <w:rFonts w:hint="eastAsia" w:ascii="宋体" w:hAnsi="宋体" w:eastAsia="宋体" w:cs="宋体"/>
                <w:b w:val="0"/>
                <w:bCs w:val="0"/>
                <w:snapToGrid w:val="0"/>
                <w:color w:val="auto"/>
                <w:kern w:val="0"/>
                <w:sz w:val="24"/>
                <w:szCs w:val="24"/>
                <w:highlight w:val="none"/>
              </w:rPr>
              <w:t>，否则不得分。</w:t>
            </w:r>
          </w:p>
        </w:tc>
      </w:tr>
      <w:tr w14:paraId="17845DA5">
        <w:tblPrEx>
          <w:tblCellMar>
            <w:top w:w="0" w:type="dxa"/>
            <w:left w:w="108" w:type="dxa"/>
            <w:bottom w:w="0" w:type="dxa"/>
            <w:right w:w="108" w:type="dxa"/>
          </w:tblCellMar>
        </w:tblPrEx>
        <w:trPr>
          <w:trHeight w:val="624" w:hRule="exact"/>
          <w:jc w:val="center"/>
        </w:trPr>
        <w:tc>
          <w:tcPr>
            <w:tcW w:w="10159"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4658FE2">
            <w:pPr>
              <w:pStyle w:val="61"/>
              <w:wordWrap w:val="0"/>
              <w:snapToGrid w:val="0"/>
              <w:spacing w:after="0" w:line="440" w:lineRule="exact"/>
              <w:jc w:val="left"/>
              <w:rPr>
                <w:rFonts w:hint="eastAsia" w:ascii="黑体" w:hAnsi="黑体" w:eastAsia="黑体"/>
                <w:color w:val="auto"/>
                <w:kern w:val="0"/>
                <w:sz w:val="24"/>
                <w:szCs w:val="24"/>
                <w:highlight w:val="none"/>
              </w:rPr>
            </w:pPr>
            <w:r>
              <w:rPr>
                <w:rFonts w:hint="eastAsia" w:ascii="黑体" w:hAnsi="黑体" w:eastAsia="黑体"/>
                <w:color w:val="auto"/>
                <w:kern w:val="0"/>
                <w:sz w:val="24"/>
                <w:szCs w:val="24"/>
                <w:highlight w:val="none"/>
              </w:rPr>
              <w:t>技术部分（监理大纲），满分：</w:t>
            </w:r>
            <w:r>
              <w:rPr>
                <w:rFonts w:hint="eastAsia" w:ascii="黑体" w:hAnsi="黑体" w:eastAsia="黑体"/>
                <w:color w:val="auto"/>
                <w:kern w:val="0"/>
                <w:sz w:val="24"/>
                <w:szCs w:val="24"/>
                <w:highlight w:val="none"/>
                <w:u w:val="single"/>
                <w:lang w:val="en-US" w:eastAsia="zh-CN"/>
              </w:rPr>
              <w:t>20</w:t>
            </w:r>
            <w:r>
              <w:rPr>
                <w:rFonts w:hint="eastAsia" w:ascii="黑体" w:hAnsi="黑体" w:eastAsia="黑体"/>
                <w:color w:val="auto"/>
                <w:kern w:val="0"/>
                <w:sz w:val="24"/>
                <w:szCs w:val="24"/>
                <w:highlight w:val="none"/>
              </w:rPr>
              <w:t>分。</w:t>
            </w:r>
          </w:p>
        </w:tc>
      </w:tr>
      <w:tr w14:paraId="4F91D629">
        <w:tblPrEx>
          <w:tblCellMar>
            <w:top w:w="0" w:type="dxa"/>
            <w:left w:w="108" w:type="dxa"/>
            <w:bottom w:w="0" w:type="dxa"/>
            <w:right w:w="108" w:type="dxa"/>
          </w:tblCellMar>
        </w:tblPrEx>
        <w:trPr>
          <w:trHeight w:val="624" w:hRule="exac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7EF63DAB">
            <w:pPr>
              <w:pStyle w:val="61"/>
              <w:wordWrap w:val="0"/>
              <w:snapToGrid w:val="0"/>
              <w:spacing w:after="0" w:line="440" w:lineRule="exact"/>
              <w:jc w:val="center"/>
              <w:rPr>
                <w:rFonts w:hint="eastAsia" w:ascii="黑体" w:hAnsi="黑体" w:eastAsia="黑体"/>
                <w:color w:val="auto"/>
                <w:kern w:val="0"/>
                <w:sz w:val="24"/>
                <w:szCs w:val="24"/>
                <w:highlight w:val="none"/>
              </w:rPr>
            </w:pPr>
            <w:r>
              <w:rPr>
                <w:rFonts w:hint="eastAsia" w:ascii="黑体" w:hAnsi="黑体" w:eastAsia="黑体"/>
                <w:color w:val="auto"/>
                <w:kern w:val="0"/>
                <w:sz w:val="24"/>
                <w:szCs w:val="24"/>
                <w:highlight w:val="none"/>
              </w:rPr>
              <w:t>评分因素</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543C9E3A">
            <w:pPr>
              <w:pStyle w:val="61"/>
              <w:wordWrap w:val="0"/>
              <w:snapToGrid w:val="0"/>
              <w:spacing w:after="0" w:line="440" w:lineRule="exact"/>
              <w:jc w:val="center"/>
              <w:rPr>
                <w:rFonts w:hint="eastAsia" w:ascii="黑体" w:hAnsi="黑体" w:eastAsia="黑体"/>
                <w:color w:val="auto"/>
                <w:kern w:val="0"/>
                <w:sz w:val="24"/>
                <w:szCs w:val="24"/>
                <w:highlight w:val="none"/>
              </w:rPr>
            </w:pPr>
            <w:r>
              <w:rPr>
                <w:rFonts w:hint="eastAsia" w:ascii="黑体" w:hAnsi="黑体" w:eastAsia="黑体"/>
                <w:color w:val="auto"/>
                <w:kern w:val="0"/>
                <w:sz w:val="24"/>
                <w:szCs w:val="24"/>
                <w:highlight w:val="none"/>
              </w:rPr>
              <w:t>评分标准</w:t>
            </w:r>
          </w:p>
        </w:tc>
        <w:tc>
          <w:tcPr>
            <w:tcW w:w="3907" w:type="dxa"/>
            <w:tcBorders>
              <w:top w:val="single" w:color="000000" w:sz="4" w:space="0"/>
              <w:left w:val="single" w:color="000000" w:sz="4" w:space="0"/>
              <w:bottom w:val="single" w:color="000000" w:sz="4" w:space="0"/>
              <w:right w:val="single" w:color="000000" w:sz="4" w:space="0"/>
            </w:tcBorders>
            <w:noWrap w:val="0"/>
            <w:vAlign w:val="center"/>
          </w:tcPr>
          <w:p w14:paraId="791F63B1">
            <w:pPr>
              <w:pStyle w:val="61"/>
              <w:wordWrap w:val="0"/>
              <w:snapToGrid w:val="0"/>
              <w:spacing w:after="0" w:line="440" w:lineRule="exact"/>
              <w:jc w:val="center"/>
              <w:rPr>
                <w:rFonts w:hint="eastAsia" w:ascii="黑体" w:hAnsi="黑体" w:eastAsia="黑体"/>
                <w:color w:val="auto"/>
                <w:kern w:val="0"/>
                <w:sz w:val="24"/>
                <w:szCs w:val="24"/>
                <w:highlight w:val="none"/>
              </w:rPr>
            </w:pPr>
            <w:r>
              <w:rPr>
                <w:rFonts w:hint="eastAsia" w:ascii="黑体" w:hAnsi="黑体" w:eastAsia="黑体"/>
                <w:color w:val="auto"/>
                <w:kern w:val="0"/>
                <w:sz w:val="24"/>
                <w:szCs w:val="24"/>
                <w:highlight w:val="none"/>
              </w:rPr>
              <w:t>备注</w:t>
            </w:r>
          </w:p>
        </w:tc>
      </w:tr>
      <w:tr w14:paraId="25D0DDA9">
        <w:tblPrEx>
          <w:tblCellMar>
            <w:top w:w="0" w:type="dxa"/>
            <w:left w:w="108" w:type="dxa"/>
            <w:bottom w:w="0" w:type="dxa"/>
            <w:right w:w="108" w:type="dxa"/>
          </w:tblCellMar>
        </w:tblPrEx>
        <w:trPr>
          <w:trHeight w:val="480"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5ED5D5C6">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监理依据</w:t>
            </w:r>
          </w:p>
          <w:p w14:paraId="286CC1D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及工作目标</w:t>
            </w:r>
          </w:p>
          <w:p w14:paraId="774B432A">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Times New Roman"/>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w:t>
            </w:r>
            <w:r>
              <w:rPr>
                <w:rFonts w:hint="eastAsia" w:ascii="宋体" w:hAnsi="宋体" w:eastAsia="宋体" w:cs="宋体"/>
                <w:b w:val="0"/>
                <w:bCs w:val="0"/>
                <w:snapToGrid w:val="0"/>
                <w:color w:val="auto"/>
                <w:kern w:val="0"/>
                <w:sz w:val="24"/>
                <w:szCs w:val="24"/>
                <w:highlight w:val="none"/>
                <w:u w:val="none"/>
                <w:lang w:val="en-US" w:eastAsia="zh-CN"/>
              </w:rPr>
              <w:t>2</w:t>
            </w:r>
            <w:r>
              <w:rPr>
                <w:rFonts w:hint="eastAsia" w:ascii="宋体" w:hAnsi="宋体" w:eastAsia="宋体" w:cs="宋体"/>
                <w:b w:val="0"/>
                <w:bCs w:val="0"/>
                <w:snapToGrid w:val="0"/>
                <w:color w:val="auto"/>
                <w:kern w:val="0"/>
                <w:sz w:val="24"/>
                <w:szCs w:val="24"/>
                <w:highlight w:val="none"/>
                <w:u w:val="none"/>
                <w:lang w:eastAsia="zh-CN"/>
              </w:rPr>
              <w:t>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25DCA931">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【优】得该项评分因素分值的90%～100%（含90%）。</w:t>
            </w:r>
            <w:bookmarkStart w:id="585" w:name="_GoBack"/>
            <w:bookmarkEnd w:id="585"/>
          </w:p>
          <w:p w14:paraId="7D959456">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【良】得该项评分因素分值的80%～90%（含80%）。</w:t>
            </w:r>
          </w:p>
          <w:p w14:paraId="24285DF1">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【中】得该项评分因素分值的70%～80%（含70%）。</w:t>
            </w:r>
          </w:p>
          <w:p w14:paraId="1B928658">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Times New Roman"/>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【差】得该项评分因素分值的60～70%（含60%）。</w:t>
            </w:r>
          </w:p>
        </w:tc>
        <w:tc>
          <w:tcPr>
            <w:tcW w:w="3907" w:type="dxa"/>
            <w:tcBorders>
              <w:top w:val="single" w:color="000000" w:sz="4" w:space="0"/>
              <w:left w:val="single" w:color="000000" w:sz="4" w:space="0"/>
              <w:bottom w:val="single" w:color="000000" w:sz="4" w:space="0"/>
              <w:right w:val="single" w:color="000000" w:sz="4" w:space="0"/>
            </w:tcBorders>
            <w:noWrap w:val="0"/>
            <w:vAlign w:val="center"/>
          </w:tcPr>
          <w:p w14:paraId="607D27C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要求依据全面、适用；目标清晰、正确；针对性强。</w:t>
            </w:r>
          </w:p>
        </w:tc>
      </w:tr>
      <w:tr w14:paraId="03C9C67E">
        <w:tblPrEx>
          <w:tblCellMar>
            <w:top w:w="0" w:type="dxa"/>
            <w:left w:w="108" w:type="dxa"/>
            <w:bottom w:w="0" w:type="dxa"/>
            <w:right w:w="108" w:type="dxa"/>
          </w:tblCellMar>
        </w:tblPrEx>
        <w:trPr>
          <w:trHeight w:val="457"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03029C22">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工程质量</w:t>
            </w:r>
          </w:p>
          <w:p w14:paraId="73E4F333">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监理措施</w:t>
            </w:r>
          </w:p>
          <w:p w14:paraId="35A2EAE3">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w:t>
            </w:r>
            <w:r>
              <w:rPr>
                <w:rFonts w:hint="eastAsia" w:ascii="宋体" w:hAnsi="宋体" w:eastAsia="宋体" w:cs="宋体"/>
                <w:b w:val="0"/>
                <w:bCs w:val="0"/>
                <w:snapToGrid w:val="0"/>
                <w:color w:val="auto"/>
                <w:kern w:val="0"/>
                <w:sz w:val="24"/>
                <w:szCs w:val="24"/>
                <w:highlight w:val="none"/>
                <w:u w:val="none"/>
                <w:lang w:val="en-US" w:eastAsia="zh-CN"/>
              </w:rPr>
              <w:t>2</w:t>
            </w:r>
            <w:r>
              <w:rPr>
                <w:rFonts w:hint="eastAsia" w:ascii="宋体" w:hAnsi="宋体" w:eastAsia="宋体" w:cs="宋体"/>
                <w:b w:val="0"/>
                <w:bCs w:val="0"/>
                <w:snapToGrid w:val="0"/>
                <w:color w:val="auto"/>
                <w:kern w:val="0"/>
                <w:sz w:val="24"/>
                <w:szCs w:val="24"/>
                <w:highlight w:val="none"/>
                <w:u w:val="none"/>
                <w:lang w:eastAsia="zh-CN"/>
              </w:rPr>
              <w:t>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5942E064">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【优】得该项评分因素分值的90%～100%（含90%）。</w:t>
            </w:r>
          </w:p>
          <w:p w14:paraId="69AD257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【良】得该项评分因素分值的80%～90%（含80%）。</w:t>
            </w:r>
          </w:p>
          <w:p w14:paraId="0EE4C02E">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【中】得该项评分因素分值的70%～80%（含70%）。</w:t>
            </w:r>
          </w:p>
          <w:p w14:paraId="58AAEDA2">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【差】得该项评分因素分值的60～70%（含60%）。</w:t>
            </w:r>
          </w:p>
        </w:tc>
        <w:tc>
          <w:tcPr>
            <w:tcW w:w="3907" w:type="dxa"/>
            <w:vMerge w:val="restart"/>
            <w:tcBorders>
              <w:top w:val="single" w:color="000000" w:sz="4" w:space="0"/>
              <w:left w:val="single" w:color="000000" w:sz="4" w:space="0"/>
              <w:right w:val="single" w:color="000000" w:sz="4" w:space="0"/>
            </w:tcBorders>
            <w:noWrap w:val="0"/>
            <w:vAlign w:val="center"/>
          </w:tcPr>
          <w:p w14:paraId="3E513199">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要求目标正确、方法可行、预控和动态管理措施具体、针对性强。脱离本工程实际、机械照搬照抄规范和技术标准的，不能得满分。</w:t>
            </w:r>
          </w:p>
        </w:tc>
      </w:tr>
      <w:tr w14:paraId="0D6109C1">
        <w:tblPrEx>
          <w:tblCellMar>
            <w:top w:w="0" w:type="dxa"/>
            <w:left w:w="108" w:type="dxa"/>
            <w:bottom w:w="0" w:type="dxa"/>
            <w:right w:w="108" w:type="dxa"/>
          </w:tblCellMar>
        </w:tblPrEx>
        <w:trPr>
          <w:trHeight w:val="457"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4EED71B9">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工程进度</w:t>
            </w:r>
          </w:p>
          <w:p w14:paraId="718B591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监理措施</w:t>
            </w:r>
          </w:p>
          <w:p w14:paraId="515B4E7C">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w:t>
            </w:r>
            <w:r>
              <w:rPr>
                <w:rFonts w:hint="eastAsia" w:ascii="宋体" w:hAnsi="宋体" w:eastAsia="宋体" w:cs="宋体"/>
                <w:b w:val="0"/>
                <w:bCs w:val="0"/>
                <w:snapToGrid w:val="0"/>
                <w:color w:val="auto"/>
                <w:kern w:val="0"/>
                <w:sz w:val="24"/>
                <w:szCs w:val="24"/>
                <w:highlight w:val="none"/>
                <w:u w:val="none"/>
                <w:lang w:val="en-US" w:eastAsia="zh-CN"/>
              </w:rPr>
              <w:t>2</w:t>
            </w:r>
            <w:r>
              <w:rPr>
                <w:rFonts w:hint="eastAsia" w:ascii="宋体" w:hAnsi="宋体" w:eastAsia="宋体" w:cs="宋体"/>
                <w:b w:val="0"/>
                <w:bCs w:val="0"/>
                <w:snapToGrid w:val="0"/>
                <w:color w:val="auto"/>
                <w:kern w:val="0"/>
                <w:sz w:val="24"/>
                <w:szCs w:val="24"/>
                <w:highlight w:val="none"/>
                <w:u w:val="none"/>
                <w:lang w:eastAsia="zh-CN"/>
              </w:rPr>
              <w:t>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510511EC">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【优】得该项评分因素分值的90%～100%（含90%）。</w:t>
            </w:r>
          </w:p>
          <w:p w14:paraId="2E3B253E">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【良】得该项评分因素分值的80%～90%（含80%）。</w:t>
            </w:r>
          </w:p>
          <w:p w14:paraId="18F804E2">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【中】得该项评分因素分值的70%～80%（含70%）。</w:t>
            </w:r>
          </w:p>
          <w:p w14:paraId="4AC9C96C">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【差】得该项评分因素分值的60～70%（含60%）。</w:t>
            </w:r>
          </w:p>
        </w:tc>
        <w:tc>
          <w:tcPr>
            <w:tcW w:w="3907" w:type="dxa"/>
            <w:vMerge w:val="continue"/>
            <w:tcBorders>
              <w:left w:val="single" w:color="000000" w:sz="4" w:space="0"/>
              <w:right w:val="single" w:color="000000" w:sz="4" w:space="0"/>
            </w:tcBorders>
            <w:noWrap w:val="0"/>
            <w:vAlign w:val="center"/>
          </w:tcPr>
          <w:p w14:paraId="380E0C12">
            <w:pPr>
              <w:pStyle w:val="8"/>
              <w:shd w:val="clear" w:color="auto" w:fill="auto"/>
              <w:wordWrap w:val="0"/>
              <w:adjustRightInd w:val="0"/>
              <w:snapToGrid w:val="0"/>
              <w:spacing w:after="0" w:line="400" w:lineRule="exact"/>
              <w:rPr>
                <w:rFonts w:hint="eastAsia" w:eastAsia="宋体"/>
                <w:color w:val="auto"/>
                <w:kern w:val="0"/>
                <w:sz w:val="24"/>
                <w:szCs w:val="24"/>
                <w:highlight w:val="none"/>
              </w:rPr>
            </w:pPr>
          </w:p>
        </w:tc>
      </w:tr>
      <w:tr w14:paraId="235EC47E">
        <w:tblPrEx>
          <w:tblCellMar>
            <w:top w:w="0" w:type="dxa"/>
            <w:left w:w="108" w:type="dxa"/>
            <w:bottom w:w="0" w:type="dxa"/>
            <w:right w:w="108" w:type="dxa"/>
          </w:tblCellMar>
        </w:tblPrEx>
        <w:trPr>
          <w:trHeight w:val="457"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60F1E28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工程造价</w:t>
            </w:r>
          </w:p>
          <w:p w14:paraId="127C01E6">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监理措施</w:t>
            </w:r>
          </w:p>
          <w:p w14:paraId="0D810393">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w:t>
            </w:r>
            <w:r>
              <w:rPr>
                <w:rFonts w:hint="eastAsia" w:ascii="宋体" w:hAnsi="宋体" w:eastAsia="宋体" w:cs="宋体"/>
                <w:b w:val="0"/>
                <w:bCs w:val="0"/>
                <w:snapToGrid w:val="0"/>
                <w:color w:val="auto"/>
                <w:kern w:val="0"/>
                <w:sz w:val="24"/>
                <w:szCs w:val="24"/>
                <w:highlight w:val="none"/>
                <w:u w:val="none"/>
                <w:lang w:val="en-US" w:eastAsia="zh-CN"/>
              </w:rPr>
              <w:t>2</w:t>
            </w:r>
            <w:r>
              <w:rPr>
                <w:rFonts w:hint="eastAsia" w:ascii="宋体" w:hAnsi="宋体" w:eastAsia="宋体" w:cs="宋体"/>
                <w:b w:val="0"/>
                <w:bCs w:val="0"/>
                <w:snapToGrid w:val="0"/>
                <w:color w:val="auto"/>
                <w:kern w:val="0"/>
                <w:sz w:val="24"/>
                <w:szCs w:val="24"/>
                <w:highlight w:val="none"/>
                <w:u w:val="none"/>
                <w:lang w:eastAsia="zh-CN"/>
              </w:rPr>
              <w:t>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5E5E9458">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【优】得该项评分因素分值的90%～100%（含90%）。</w:t>
            </w:r>
          </w:p>
          <w:p w14:paraId="7B17AE16">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【良】得该项评分因素分值的80%～90%（含80%）。</w:t>
            </w:r>
          </w:p>
          <w:p w14:paraId="5AEB2658">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【中】得该项评分因素分值的70%～80%（含70%）。</w:t>
            </w:r>
          </w:p>
          <w:p w14:paraId="3884369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【差】得该项评分因素分值的60～70%（含60%）。</w:t>
            </w:r>
          </w:p>
        </w:tc>
        <w:tc>
          <w:tcPr>
            <w:tcW w:w="3907" w:type="dxa"/>
            <w:vMerge w:val="continue"/>
            <w:tcBorders>
              <w:left w:val="single" w:color="000000" w:sz="4" w:space="0"/>
              <w:right w:val="single" w:color="000000" w:sz="4" w:space="0"/>
            </w:tcBorders>
            <w:noWrap w:val="0"/>
            <w:vAlign w:val="center"/>
          </w:tcPr>
          <w:p w14:paraId="7821475E">
            <w:pPr>
              <w:pStyle w:val="8"/>
              <w:shd w:val="clear" w:color="auto" w:fill="auto"/>
              <w:wordWrap w:val="0"/>
              <w:adjustRightInd w:val="0"/>
              <w:snapToGrid w:val="0"/>
              <w:spacing w:after="0" w:line="400" w:lineRule="exact"/>
              <w:rPr>
                <w:rFonts w:hint="eastAsia" w:eastAsia="宋体"/>
                <w:color w:val="auto"/>
                <w:kern w:val="0"/>
                <w:sz w:val="24"/>
                <w:szCs w:val="24"/>
                <w:highlight w:val="none"/>
              </w:rPr>
            </w:pPr>
          </w:p>
        </w:tc>
      </w:tr>
      <w:tr w14:paraId="02BD5D67">
        <w:tblPrEx>
          <w:tblCellMar>
            <w:top w:w="0" w:type="dxa"/>
            <w:left w:w="108" w:type="dxa"/>
            <w:bottom w:w="0" w:type="dxa"/>
            <w:right w:w="108" w:type="dxa"/>
          </w:tblCellMar>
        </w:tblPrEx>
        <w:trPr>
          <w:trHeight w:val="457"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68C8A34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安全防护</w:t>
            </w:r>
          </w:p>
          <w:p w14:paraId="5EBDDCB8">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监理措施</w:t>
            </w:r>
          </w:p>
          <w:p w14:paraId="53E0B8CE">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w:t>
            </w:r>
            <w:r>
              <w:rPr>
                <w:rFonts w:hint="eastAsia" w:ascii="宋体" w:hAnsi="宋体" w:eastAsia="宋体" w:cs="宋体"/>
                <w:b w:val="0"/>
                <w:bCs w:val="0"/>
                <w:snapToGrid w:val="0"/>
                <w:color w:val="auto"/>
                <w:kern w:val="0"/>
                <w:sz w:val="24"/>
                <w:szCs w:val="24"/>
                <w:highlight w:val="none"/>
                <w:u w:val="none"/>
                <w:lang w:val="en-US" w:eastAsia="zh-CN"/>
              </w:rPr>
              <w:t>2</w:t>
            </w:r>
            <w:r>
              <w:rPr>
                <w:rFonts w:hint="eastAsia" w:ascii="宋体" w:hAnsi="宋体" w:eastAsia="宋体" w:cs="宋体"/>
                <w:b w:val="0"/>
                <w:bCs w:val="0"/>
                <w:snapToGrid w:val="0"/>
                <w:color w:val="auto"/>
                <w:kern w:val="0"/>
                <w:sz w:val="24"/>
                <w:szCs w:val="24"/>
                <w:highlight w:val="none"/>
                <w:u w:val="none"/>
                <w:lang w:eastAsia="zh-CN"/>
              </w:rPr>
              <w:t>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34755024">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【优】得该项评分因素分值的90%～100%（含90%）。</w:t>
            </w:r>
          </w:p>
          <w:p w14:paraId="7D6EAFD0">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【良】得该项评分因素分值的80%～90%（含80%）。</w:t>
            </w:r>
          </w:p>
          <w:p w14:paraId="0EBD495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【中】得该项评分因素分值的70%～80%（含70%）。</w:t>
            </w:r>
          </w:p>
          <w:p w14:paraId="696DD51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【差】得该项评分因素分值的60～70%（含60%）。</w:t>
            </w:r>
          </w:p>
        </w:tc>
        <w:tc>
          <w:tcPr>
            <w:tcW w:w="3907" w:type="dxa"/>
            <w:vMerge w:val="continue"/>
            <w:tcBorders>
              <w:left w:val="single" w:color="000000" w:sz="4" w:space="0"/>
              <w:right w:val="single" w:color="000000" w:sz="4" w:space="0"/>
            </w:tcBorders>
            <w:noWrap w:val="0"/>
            <w:vAlign w:val="center"/>
          </w:tcPr>
          <w:p w14:paraId="2F8DF12D">
            <w:pPr>
              <w:pStyle w:val="8"/>
              <w:shd w:val="clear" w:color="auto" w:fill="auto"/>
              <w:wordWrap w:val="0"/>
              <w:adjustRightInd w:val="0"/>
              <w:snapToGrid w:val="0"/>
              <w:spacing w:after="0" w:line="400" w:lineRule="exact"/>
              <w:rPr>
                <w:rFonts w:hint="eastAsia" w:eastAsia="宋体"/>
                <w:color w:val="auto"/>
                <w:kern w:val="0"/>
                <w:sz w:val="24"/>
                <w:szCs w:val="24"/>
                <w:highlight w:val="none"/>
              </w:rPr>
            </w:pPr>
          </w:p>
        </w:tc>
      </w:tr>
      <w:tr w14:paraId="560E6C89">
        <w:tblPrEx>
          <w:tblCellMar>
            <w:top w:w="0" w:type="dxa"/>
            <w:left w:w="108" w:type="dxa"/>
            <w:bottom w:w="0" w:type="dxa"/>
            <w:right w:w="108" w:type="dxa"/>
          </w:tblCellMar>
        </w:tblPrEx>
        <w:trPr>
          <w:trHeight w:val="457"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5B37636F">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绿色施工</w:t>
            </w:r>
          </w:p>
          <w:p w14:paraId="04DBC57A">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、文明施工</w:t>
            </w:r>
          </w:p>
          <w:p w14:paraId="68DC21AF">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监理措施</w:t>
            </w:r>
          </w:p>
          <w:p w14:paraId="095C369F">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w:t>
            </w:r>
            <w:r>
              <w:rPr>
                <w:rFonts w:hint="eastAsia" w:ascii="宋体" w:hAnsi="宋体" w:eastAsia="宋体" w:cs="宋体"/>
                <w:b w:val="0"/>
                <w:bCs w:val="0"/>
                <w:snapToGrid w:val="0"/>
                <w:color w:val="auto"/>
                <w:kern w:val="0"/>
                <w:sz w:val="24"/>
                <w:szCs w:val="24"/>
                <w:highlight w:val="none"/>
                <w:u w:val="none"/>
                <w:lang w:val="en-US" w:eastAsia="zh-CN"/>
              </w:rPr>
              <w:t>2</w:t>
            </w:r>
            <w:r>
              <w:rPr>
                <w:rFonts w:hint="eastAsia" w:ascii="宋体" w:hAnsi="宋体" w:eastAsia="宋体" w:cs="宋体"/>
                <w:b w:val="0"/>
                <w:bCs w:val="0"/>
                <w:snapToGrid w:val="0"/>
                <w:color w:val="auto"/>
                <w:kern w:val="0"/>
                <w:sz w:val="24"/>
                <w:szCs w:val="24"/>
                <w:highlight w:val="none"/>
                <w:u w:val="none"/>
                <w:lang w:eastAsia="zh-CN"/>
              </w:rPr>
              <w:t>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081DFE30">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【优】得该项评分因素分值的90%～100%（含90%）。</w:t>
            </w:r>
          </w:p>
          <w:p w14:paraId="2B4632E4">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【良】得该项评分因素分值的80%～90%（含80%）。</w:t>
            </w:r>
          </w:p>
          <w:p w14:paraId="43CFEA86">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【中】得该项评分因素分值的70%～80%（含70%）。</w:t>
            </w:r>
          </w:p>
          <w:p w14:paraId="1F256DB2">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【差】得该项评分因素分值的60～70%（含60%）。</w:t>
            </w:r>
          </w:p>
        </w:tc>
        <w:tc>
          <w:tcPr>
            <w:tcW w:w="3907" w:type="dxa"/>
            <w:vMerge w:val="continue"/>
            <w:tcBorders>
              <w:left w:val="single" w:color="000000" w:sz="4" w:space="0"/>
              <w:bottom w:val="single" w:color="000000" w:sz="4" w:space="0"/>
              <w:right w:val="single" w:color="000000" w:sz="4" w:space="0"/>
            </w:tcBorders>
            <w:noWrap w:val="0"/>
            <w:vAlign w:val="center"/>
          </w:tcPr>
          <w:p w14:paraId="47B469E4">
            <w:pPr>
              <w:pStyle w:val="8"/>
              <w:shd w:val="clear" w:color="auto" w:fill="auto"/>
              <w:wordWrap w:val="0"/>
              <w:adjustRightInd w:val="0"/>
              <w:snapToGrid w:val="0"/>
              <w:spacing w:after="0" w:line="400" w:lineRule="exact"/>
              <w:rPr>
                <w:rFonts w:hint="eastAsia" w:eastAsia="宋体"/>
                <w:color w:val="auto"/>
                <w:kern w:val="0"/>
                <w:sz w:val="24"/>
                <w:szCs w:val="24"/>
                <w:highlight w:val="none"/>
              </w:rPr>
            </w:pPr>
          </w:p>
        </w:tc>
      </w:tr>
      <w:tr w14:paraId="50C4EEF1">
        <w:tblPrEx>
          <w:tblCellMar>
            <w:top w:w="0" w:type="dxa"/>
            <w:left w:w="108" w:type="dxa"/>
            <w:bottom w:w="0" w:type="dxa"/>
            <w:right w:w="108" w:type="dxa"/>
          </w:tblCellMar>
        </w:tblPrEx>
        <w:trPr>
          <w:trHeight w:val="457"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6BA12323">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合同、信息</w:t>
            </w:r>
          </w:p>
          <w:p w14:paraId="564636DA">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管理方案</w:t>
            </w:r>
          </w:p>
          <w:p w14:paraId="6DCDA71B">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w:t>
            </w:r>
            <w:r>
              <w:rPr>
                <w:rFonts w:hint="eastAsia" w:ascii="宋体" w:hAnsi="宋体" w:eastAsia="宋体" w:cs="宋体"/>
                <w:b w:val="0"/>
                <w:bCs w:val="0"/>
                <w:snapToGrid w:val="0"/>
                <w:color w:val="auto"/>
                <w:kern w:val="0"/>
                <w:sz w:val="24"/>
                <w:szCs w:val="24"/>
                <w:highlight w:val="none"/>
                <w:u w:val="none"/>
                <w:lang w:val="en-US" w:eastAsia="zh-CN"/>
              </w:rPr>
              <w:t>2</w:t>
            </w:r>
            <w:r>
              <w:rPr>
                <w:rFonts w:hint="eastAsia" w:ascii="宋体" w:hAnsi="宋体" w:eastAsia="宋体" w:cs="宋体"/>
                <w:b w:val="0"/>
                <w:bCs w:val="0"/>
                <w:snapToGrid w:val="0"/>
                <w:color w:val="auto"/>
                <w:kern w:val="0"/>
                <w:sz w:val="24"/>
                <w:szCs w:val="24"/>
                <w:highlight w:val="none"/>
                <w:u w:val="none"/>
                <w:lang w:eastAsia="zh-CN"/>
              </w:rPr>
              <w:t>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65A380A6">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【优】得该项评分因素分值的90%～100%（含90%）。</w:t>
            </w:r>
          </w:p>
          <w:p w14:paraId="79790E06">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【良】得该项评分因素分值的80%～90%（含80%）。</w:t>
            </w:r>
          </w:p>
          <w:p w14:paraId="5DB05B51">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【中】得该项评分因素分值的70%～80%（含70%）。</w:t>
            </w:r>
          </w:p>
          <w:p w14:paraId="42D18198">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【差】得该项评分因素分值的60～70%（含60%）。</w:t>
            </w:r>
          </w:p>
        </w:tc>
        <w:tc>
          <w:tcPr>
            <w:tcW w:w="3907" w:type="dxa"/>
            <w:tcBorders>
              <w:top w:val="single" w:color="000000" w:sz="4" w:space="0"/>
              <w:left w:val="single" w:color="000000" w:sz="4" w:space="0"/>
              <w:bottom w:val="single" w:color="000000" w:sz="4" w:space="0"/>
              <w:right w:val="single" w:color="000000" w:sz="4" w:space="0"/>
            </w:tcBorders>
            <w:noWrap w:val="0"/>
            <w:vAlign w:val="center"/>
          </w:tcPr>
          <w:p w14:paraId="1A08AE44">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要求各项制度规范清晰，方法科学合理，措施及时有效，针对性强。能够切实防范和处理合同纠纷，提升监理工作效能。</w:t>
            </w:r>
          </w:p>
        </w:tc>
      </w:tr>
      <w:tr w14:paraId="1F38780F">
        <w:tblPrEx>
          <w:tblCellMar>
            <w:top w:w="0" w:type="dxa"/>
            <w:left w:w="108" w:type="dxa"/>
            <w:bottom w:w="0" w:type="dxa"/>
            <w:right w:w="108" w:type="dxa"/>
          </w:tblCellMar>
        </w:tblPrEx>
        <w:trPr>
          <w:trHeight w:val="457"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5F6B24F1">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组织协调</w:t>
            </w:r>
          </w:p>
          <w:p w14:paraId="55A02330">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内容及措施</w:t>
            </w:r>
          </w:p>
          <w:p w14:paraId="2F927165">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w:t>
            </w:r>
            <w:r>
              <w:rPr>
                <w:rFonts w:hint="eastAsia" w:ascii="宋体" w:hAnsi="宋体" w:eastAsia="宋体" w:cs="宋体"/>
                <w:b w:val="0"/>
                <w:bCs w:val="0"/>
                <w:snapToGrid w:val="0"/>
                <w:color w:val="auto"/>
                <w:kern w:val="0"/>
                <w:sz w:val="24"/>
                <w:szCs w:val="24"/>
                <w:highlight w:val="none"/>
                <w:u w:val="none"/>
                <w:lang w:val="en-US" w:eastAsia="zh-CN"/>
              </w:rPr>
              <w:t>2</w:t>
            </w:r>
            <w:r>
              <w:rPr>
                <w:rFonts w:hint="eastAsia" w:ascii="宋体" w:hAnsi="宋体" w:eastAsia="宋体" w:cs="宋体"/>
                <w:b w:val="0"/>
                <w:bCs w:val="0"/>
                <w:snapToGrid w:val="0"/>
                <w:color w:val="auto"/>
                <w:kern w:val="0"/>
                <w:sz w:val="24"/>
                <w:szCs w:val="24"/>
                <w:highlight w:val="none"/>
                <w:u w:val="none"/>
                <w:lang w:eastAsia="zh-CN"/>
              </w:rPr>
              <w:t>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60D0639C">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【优】得该项评分因素分值的90%～100%（含90%）。</w:t>
            </w:r>
          </w:p>
          <w:p w14:paraId="354D22F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【良】得该项评分因素分值的80%～90%（含80%）。</w:t>
            </w:r>
          </w:p>
          <w:p w14:paraId="3D3D9566">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【中】得该项评分因素分值的70%～80%（含70%）。</w:t>
            </w:r>
          </w:p>
          <w:p w14:paraId="49001079">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【差】得该项评分因素分值的60～70%（含60%）。</w:t>
            </w:r>
          </w:p>
        </w:tc>
        <w:tc>
          <w:tcPr>
            <w:tcW w:w="3907" w:type="dxa"/>
            <w:tcBorders>
              <w:top w:val="single" w:color="000000" w:sz="4" w:space="0"/>
              <w:left w:val="single" w:color="000000" w:sz="4" w:space="0"/>
              <w:bottom w:val="single" w:color="000000" w:sz="4" w:space="0"/>
              <w:right w:val="single" w:color="000000" w:sz="4" w:space="0"/>
            </w:tcBorders>
            <w:noWrap w:val="0"/>
            <w:vAlign w:val="center"/>
          </w:tcPr>
          <w:p w14:paraId="7BC7DD5D">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要求各项制度规范清晰，方法科学合理，措施及时有效，针对性强。能够高效收集、协调、处理、反馈各方各类问题。</w:t>
            </w:r>
          </w:p>
        </w:tc>
      </w:tr>
      <w:tr w14:paraId="2A02D52D">
        <w:tblPrEx>
          <w:tblCellMar>
            <w:top w:w="0" w:type="dxa"/>
            <w:left w:w="108" w:type="dxa"/>
            <w:bottom w:w="0" w:type="dxa"/>
            <w:right w:w="108" w:type="dxa"/>
          </w:tblCellMar>
        </w:tblPrEx>
        <w:trPr>
          <w:trHeight w:val="457"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2FDE5FC3">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监理工作重点、难点分析</w:t>
            </w:r>
          </w:p>
          <w:p w14:paraId="3139A9DF">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center"/>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w:t>
            </w:r>
            <w:r>
              <w:rPr>
                <w:rFonts w:hint="eastAsia" w:ascii="宋体" w:hAnsi="宋体" w:eastAsia="宋体" w:cs="宋体"/>
                <w:b w:val="0"/>
                <w:bCs w:val="0"/>
                <w:snapToGrid w:val="0"/>
                <w:color w:val="auto"/>
                <w:kern w:val="0"/>
                <w:sz w:val="24"/>
                <w:szCs w:val="24"/>
                <w:highlight w:val="none"/>
                <w:u w:val="none"/>
                <w:lang w:val="en-US" w:eastAsia="zh-CN"/>
              </w:rPr>
              <w:t>2</w:t>
            </w:r>
            <w:r>
              <w:rPr>
                <w:rFonts w:hint="eastAsia" w:ascii="宋体" w:hAnsi="宋体" w:eastAsia="宋体" w:cs="宋体"/>
                <w:b w:val="0"/>
                <w:bCs w:val="0"/>
                <w:snapToGrid w:val="0"/>
                <w:color w:val="auto"/>
                <w:kern w:val="0"/>
                <w:sz w:val="24"/>
                <w:szCs w:val="24"/>
                <w:highlight w:val="none"/>
                <w:u w:val="none"/>
                <w:lang w:eastAsia="zh-CN"/>
              </w:rPr>
              <w:t>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74EF9892">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【优】得该项评分因素分值的90%～100%（含90%）。</w:t>
            </w:r>
          </w:p>
          <w:p w14:paraId="7EEC845C">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【良】得该项评分因素分值的80%～90%（含80%）。</w:t>
            </w:r>
          </w:p>
          <w:p w14:paraId="1505A6CF">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【中】得该项评分因素分值的70%～80%（含70%）。</w:t>
            </w:r>
          </w:p>
          <w:p w14:paraId="38301660">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【差】得该项评分因素分值的60～70%（含60%）。</w:t>
            </w:r>
          </w:p>
        </w:tc>
        <w:tc>
          <w:tcPr>
            <w:tcW w:w="3907" w:type="dxa"/>
            <w:tcBorders>
              <w:top w:val="single" w:color="000000" w:sz="4" w:space="0"/>
              <w:left w:val="single" w:color="000000" w:sz="4" w:space="0"/>
              <w:bottom w:val="single" w:color="000000" w:sz="4" w:space="0"/>
              <w:right w:val="single" w:color="000000" w:sz="4" w:space="0"/>
            </w:tcBorders>
            <w:noWrap w:val="0"/>
            <w:vAlign w:val="center"/>
          </w:tcPr>
          <w:p w14:paraId="4AD2AA45">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要求方法可行、措施具体、针对性强。</w:t>
            </w:r>
          </w:p>
        </w:tc>
      </w:tr>
      <w:tr w14:paraId="4F25B9AE">
        <w:tblPrEx>
          <w:tblCellMar>
            <w:top w:w="0" w:type="dxa"/>
            <w:left w:w="108" w:type="dxa"/>
            <w:bottom w:w="0" w:type="dxa"/>
            <w:right w:w="108" w:type="dxa"/>
          </w:tblCellMar>
        </w:tblPrEx>
        <w:trPr>
          <w:trHeight w:val="457"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1A95FF3D">
            <w:pPr>
              <w:pStyle w:val="38"/>
              <w:shd w:val="clear" w:color="auto" w:fill="auto"/>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合理化建议</w:t>
            </w:r>
          </w:p>
          <w:p w14:paraId="6828496F">
            <w:pPr>
              <w:pStyle w:val="38"/>
              <w:shd w:val="clear" w:color="auto" w:fill="auto"/>
              <w:wordWrap w:val="0"/>
              <w:adjustRightInd w:val="0"/>
              <w:snapToGrid w:val="0"/>
              <w:spacing w:line="400" w:lineRule="exact"/>
              <w:jc w:val="center"/>
              <w:rPr>
                <w:rFonts w:hint="eastAsia" w:eastAsia="宋体"/>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分）</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14:paraId="50C547C2">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【优】得该项评分因素分值的90%～100%（含90%）。</w:t>
            </w:r>
          </w:p>
          <w:p w14:paraId="151C0A25">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【良】得该项评分因素分值的80%～90%（含80%）。</w:t>
            </w:r>
          </w:p>
          <w:p w14:paraId="41045087">
            <w:pPr>
              <w:pStyle w:val="8"/>
              <w:keepNext w:val="0"/>
              <w:keepLines w:val="0"/>
              <w:pageBreakBefore w:val="0"/>
              <w:shd w:val="clear" w:color="auto" w:fill="auto"/>
              <w:kinsoku/>
              <w:wordWrap w:val="0"/>
              <w:overflowPunct/>
              <w:topLinePunct w:val="0"/>
              <w:autoSpaceDE/>
              <w:autoSpaceDN/>
              <w:bidi w:val="0"/>
              <w:adjustRightInd w:val="0"/>
              <w:snapToGrid w:val="0"/>
              <w:spacing w:after="0" w:line="340" w:lineRule="exact"/>
              <w:jc w:val="left"/>
              <w:textAlignment w:val="auto"/>
              <w:rPr>
                <w:rFonts w:hint="eastAsia" w:ascii="宋体" w:hAnsi="宋体" w:eastAsia="宋体" w:cs="宋体"/>
                <w:b w:val="0"/>
                <w:bCs w:val="0"/>
                <w:snapToGrid w:val="0"/>
                <w:color w:val="auto"/>
                <w:kern w:val="0"/>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eastAsia="zh-CN"/>
              </w:rPr>
              <w:t>【中】得该项评分因素分值的70%～80%（含70%）。</w:t>
            </w:r>
          </w:p>
          <w:p w14:paraId="0D38A510">
            <w:pPr>
              <w:pStyle w:val="39"/>
              <w:shd w:val="clear" w:color="auto" w:fill="auto"/>
              <w:wordWrap w:val="0"/>
              <w:adjustRightInd w:val="0"/>
              <w:snapToGrid w:val="0"/>
              <w:spacing w:line="400" w:lineRule="exact"/>
              <w:rPr>
                <w:rFonts w:hint="eastAsia" w:eastAsia="宋体"/>
                <w:color w:val="auto"/>
                <w:kern w:val="0"/>
                <w:sz w:val="24"/>
                <w:szCs w:val="24"/>
                <w:highlight w:val="none"/>
              </w:rPr>
            </w:pPr>
            <w:r>
              <w:rPr>
                <w:rFonts w:hint="eastAsia" w:ascii="宋体" w:hAnsi="宋体" w:eastAsia="宋体" w:cs="宋体"/>
                <w:b w:val="0"/>
                <w:bCs w:val="0"/>
                <w:snapToGrid w:val="0"/>
                <w:color w:val="auto"/>
                <w:kern w:val="0"/>
                <w:sz w:val="24"/>
                <w:szCs w:val="24"/>
                <w:highlight w:val="none"/>
                <w:u w:val="none"/>
                <w:lang w:eastAsia="zh-CN"/>
              </w:rPr>
              <w:t>【差】得该项评分因素分值的60～70%（含60%）。</w:t>
            </w:r>
          </w:p>
        </w:tc>
        <w:tc>
          <w:tcPr>
            <w:tcW w:w="3907" w:type="dxa"/>
            <w:tcBorders>
              <w:top w:val="single" w:color="000000" w:sz="4" w:space="0"/>
              <w:left w:val="single" w:color="000000" w:sz="4" w:space="0"/>
              <w:bottom w:val="single" w:color="000000" w:sz="4" w:space="0"/>
              <w:right w:val="single" w:color="000000" w:sz="4" w:space="0"/>
            </w:tcBorders>
            <w:noWrap w:val="0"/>
            <w:vAlign w:val="center"/>
          </w:tcPr>
          <w:p w14:paraId="2AD1CF3F">
            <w:pPr>
              <w:pStyle w:val="39"/>
              <w:shd w:val="clear" w:color="auto" w:fill="auto"/>
              <w:wordWrap w:val="0"/>
              <w:adjustRightInd w:val="0"/>
              <w:snapToGrid w:val="0"/>
              <w:spacing w:line="400" w:lineRule="exact"/>
              <w:rPr>
                <w:rFonts w:hint="eastAsia" w:eastAsia="宋体"/>
                <w:color w:val="auto"/>
                <w:kern w:val="0"/>
                <w:sz w:val="24"/>
                <w:szCs w:val="24"/>
                <w:highlight w:val="none"/>
              </w:rPr>
            </w:pPr>
            <w:r>
              <w:rPr>
                <w:rFonts w:hint="eastAsia" w:ascii="宋体" w:hAnsi="宋体" w:eastAsia="宋体" w:cs="宋体"/>
                <w:snapToGrid w:val="0"/>
                <w:color w:val="auto"/>
                <w:kern w:val="0"/>
                <w:sz w:val="24"/>
                <w:szCs w:val="24"/>
                <w:highlight w:val="none"/>
              </w:rPr>
              <w:t>要求方法可行、措施具体、针对性强。</w:t>
            </w:r>
          </w:p>
        </w:tc>
      </w:tr>
      <w:tr w14:paraId="40EFC14B">
        <w:tblPrEx>
          <w:tblCellMar>
            <w:top w:w="0" w:type="dxa"/>
            <w:left w:w="108" w:type="dxa"/>
            <w:bottom w:w="0" w:type="dxa"/>
            <w:right w:w="108" w:type="dxa"/>
          </w:tblCellMar>
        </w:tblPrEx>
        <w:trPr>
          <w:trHeight w:val="624" w:hRule="exact"/>
          <w:jc w:val="center"/>
        </w:trPr>
        <w:tc>
          <w:tcPr>
            <w:tcW w:w="10159"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FB3D430">
            <w:pPr>
              <w:pStyle w:val="39"/>
              <w:wordWrap w:val="0"/>
              <w:snapToGrid w:val="0"/>
              <w:spacing w:line="400" w:lineRule="exact"/>
              <w:rPr>
                <w:rFonts w:hint="eastAsia" w:ascii="黑体" w:hAnsi="黑体" w:eastAsia="黑体"/>
                <w:color w:val="auto"/>
                <w:kern w:val="0"/>
                <w:sz w:val="24"/>
                <w:szCs w:val="24"/>
                <w:highlight w:val="none"/>
              </w:rPr>
            </w:pPr>
            <w:r>
              <w:rPr>
                <w:rFonts w:hint="eastAsia" w:ascii="黑体" w:hAnsi="黑体" w:eastAsia="黑体"/>
                <w:color w:val="auto"/>
                <w:kern w:val="0"/>
                <w:sz w:val="24"/>
                <w:szCs w:val="24"/>
                <w:highlight w:val="none"/>
              </w:rPr>
              <w:t>投标报价部分，满分：</w:t>
            </w:r>
            <w:r>
              <w:rPr>
                <w:rFonts w:hint="eastAsia" w:ascii="黑体" w:hAnsi="黑体" w:eastAsia="黑体"/>
                <w:color w:val="auto"/>
                <w:kern w:val="0"/>
                <w:sz w:val="24"/>
                <w:szCs w:val="24"/>
                <w:highlight w:val="none"/>
                <w:u w:val="single"/>
                <w:lang w:val="en-US" w:eastAsia="zh-CN"/>
              </w:rPr>
              <w:t>2</w:t>
            </w:r>
            <w:r>
              <w:rPr>
                <w:rFonts w:hint="eastAsia" w:ascii="黑体" w:hAnsi="黑体" w:eastAsia="黑体"/>
                <w:color w:val="auto"/>
                <w:kern w:val="0"/>
                <w:sz w:val="24"/>
                <w:szCs w:val="24"/>
                <w:highlight w:val="none"/>
                <w:u w:val="single"/>
              </w:rPr>
              <w:t>0</w:t>
            </w:r>
            <w:r>
              <w:rPr>
                <w:rFonts w:hint="eastAsia" w:ascii="黑体" w:hAnsi="黑体" w:eastAsia="黑体"/>
                <w:color w:val="auto"/>
                <w:kern w:val="0"/>
                <w:sz w:val="24"/>
                <w:szCs w:val="24"/>
                <w:highlight w:val="none"/>
              </w:rPr>
              <w:t>分。</w:t>
            </w:r>
          </w:p>
        </w:tc>
      </w:tr>
      <w:tr w14:paraId="39F1906D">
        <w:tblPrEx>
          <w:tblCellMar>
            <w:top w:w="0" w:type="dxa"/>
            <w:left w:w="108" w:type="dxa"/>
            <w:bottom w:w="0" w:type="dxa"/>
            <w:right w:w="108" w:type="dxa"/>
          </w:tblCellMar>
        </w:tblPrEx>
        <w:trPr>
          <w:trHeight w:val="624" w:hRule="exac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057B72E7">
            <w:pPr>
              <w:pStyle w:val="61"/>
              <w:wordWrap w:val="0"/>
              <w:snapToGrid w:val="0"/>
              <w:spacing w:after="0" w:line="440" w:lineRule="exact"/>
              <w:jc w:val="center"/>
              <w:rPr>
                <w:rFonts w:hint="eastAsia" w:ascii="黑体" w:hAnsi="黑体" w:eastAsia="黑体"/>
                <w:color w:val="auto"/>
                <w:kern w:val="0"/>
                <w:sz w:val="24"/>
                <w:szCs w:val="24"/>
                <w:highlight w:val="none"/>
              </w:rPr>
            </w:pPr>
            <w:r>
              <w:rPr>
                <w:rFonts w:hint="eastAsia" w:ascii="黑体" w:hAnsi="黑体" w:eastAsia="黑体"/>
                <w:color w:val="auto"/>
                <w:kern w:val="0"/>
                <w:sz w:val="24"/>
                <w:szCs w:val="24"/>
                <w:highlight w:val="none"/>
              </w:rPr>
              <w:t>评分事项</w:t>
            </w:r>
          </w:p>
        </w:tc>
        <w:tc>
          <w:tcPr>
            <w:tcW w:w="8755" w:type="dxa"/>
            <w:gridSpan w:val="2"/>
            <w:tcBorders>
              <w:top w:val="single" w:color="000000" w:sz="4" w:space="0"/>
              <w:left w:val="single" w:color="000000" w:sz="4" w:space="0"/>
              <w:bottom w:val="single" w:color="000000" w:sz="4" w:space="0"/>
              <w:right w:val="single" w:color="000000" w:sz="4" w:space="0"/>
            </w:tcBorders>
            <w:noWrap w:val="0"/>
            <w:vAlign w:val="center"/>
          </w:tcPr>
          <w:p w14:paraId="0F927474">
            <w:pPr>
              <w:pStyle w:val="61"/>
              <w:wordWrap w:val="0"/>
              <w:snapToGrid w:val="0"/>
              <w:spacing w:after="0" w:line="440" w:lineRule="exact"/>
              <w:jc w:val="center"/>
              <w:rPr>
                <w:rFonts w:hint="eastAsia" w:ascii="黑体" w:hAnsi="黑体" w:eastAsia="黑体"/>
                <w:color w:val="auto"/>
                <w:kern w:val="0"/>
                <w:sz w:val="24"/>
                <w:szCs w:val="24"/>
                <w:highlight w:val="none"/>
              </w:rPr>
            </w:pPr>
            <w:r>
              <w:rPr>
                <w:rFonts w:hint="eastAsia" w:ascii="黑体" w:hAnsi="黑体" w:eastAsia="黑体"/>
                <w:color w:val="auto"/>
                <w:kern w:val="0"/>
                <w:sz w:val="24"/>
                <w:szCs w:val="24"/>
                <w:highlight w:val="none"/>
              </w:rPr>
              <w:t>评分方法</w:t>
            </w:r>
          </w:p>
        </w:tc>
      </w:tr>
      <w:tr w14:paraId="3FEBE505">
        <w:tblPrEx>
          <w:tblCellMar>
            <w:top w:w="0" w:type="dxa"/>
            <w:left w:w="108" w:type="dxa"/>
            <w:bottom w:w="0" w:type="dxa"/>
            <w:right w:w="108" w:type="dxa"/>
          </w:tblCellMar>
        </w:tblPrEx>
        <w:trPr>
          <w:trHeight w:val="4878" w:hRule="exac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66D6D1C8">
            <w:pPr>
              <w:pStyle w:val="38"/>
              <w:shd w:val="clear" w:color="auto" w:fill="auto"/>
              <w:adjustRightInd w:val="0"/>
              <w:snapToGrid w:val="0"/>
              <w:spacing w:line="400" w:lineRule="exact"/>
              <w:jc w:val="center"/>
              <w:rPr>
                <w:rFonts w:hint="eastAsia" w:ascii="宋体" w:hAnsi="宋体" w:eastAsia="宋体" w:cs="宋体"/>
                <w:b w:val="0"/>
                <w:bCs w:val="0"/>
                <w:strike w:val="0"/>
                <w:dstrike w:val="0"/>
                <w:color w:val="auto"/>
                <w:sz w:val="24"/>
                <w:szCs w:val="24"/>
                <w:highlight w:val="none"/>
              </w:rPr>
            </w:pPr>
            <w:r>
              <w:rPr>
                <w:rFonts w:hint="eastAsia" w:ascii="宋体" w:hAnsi="宋体" w:eastAsia="宋体" w:cs="宋体"/>
                <w:b w:val="0"/>
                <w:bCs w:val="0"/>
                <w:strike w:val="0"/>
                <w:dstrike w:val="0"/>
                <w:color w:val="auto"/>
                <w:sz w:val="24"/>
                <w:szCs w:val="24"/>
                <w:highlight w:val="none"/>
              </w:rPr>
              <w:t>投标</w:t>
            </w:r>
          </w:p>
          <w:p w14:paraId="4217C1E0">
            <w:pPr>
              <w:pStyle w:val="61"/>
              <w:wordWrap w:val="0"/>
              <w:snapToGrid w:val="0"/>
              <w:spacing w:after="0" w:line="440" w:lineRule="exact"/>
              <w:jc w:val="center"/>
              <w:rPr>
                <w:rFonts w:hint="eastAsia" w:ascii="黑体" w:hAnsi="黑体" w:eastAsia="黑体"/>
                <w:color w:val="auto"/>
                <w:kern w:val="0"/>
                <w:sz w:val="24"/>
                <w:szCs w:val="24"/>
                <w:highlight w:val="none"/>
              </w:rPr>
            </w:pPr>
            <w:r>
              <w:rPr>
                <w:rFonts w:hint="eastAsia" w:ascii="宋体" w:hAnsi="宋体" w:eastAsia="宋体" w:cs="宋体"/>
                <w:b w:val="0"/>
                <w:bCs w:val="0"/>
                <w:strike w:val="0"/>
                <w:dstrike w:val="0"/>
                <w:color w:val="auto"/>
                <w:sz w:val="24"/>
                <w:szCs w:val="24"/>
                <w:highlight w:val="none"/>
              </w:rPr>
              <w:t>报价</w:t>
            </w:r>
          </w:p>
        </w:tc>
        <w:tc>
          <w:tcPr>
            <w:tcW w:w="8755" w:type="dxa"/>
            <w:gridSpan w:val="2"/>
            <w:tcBorders>
              <w:top w:val="single" w:color="000000" w:sz="4" w:space="0"/>
              <w:left w:val="single" w:color="000000" w:sz="4" w:space="0"/>
              <w:bottom w:val="single" w:color="000000" w:sz="4" w:space="0"/>
              <w:right w:val="single" w:color="000000" w:sz="4" w:space="0"/>
            </w:tcBorders>
            <w:noWrap w:val="0"/>
            <w:vAlign w:val="center"/>
          </w:tcPr>
          <w:p w14:paraId="0FAF21CF">
            <w:pPr>
              <w:shd w:val="clear" w:color="auto" w:fill="auto"/>
              <w:wordWrap w:val="0"/>
              <w:adjustRightInd w:val="0"/>
              <w:snapToGrid w:val="0"/>
              <w:spacing w:line="240" w:lineRule="auto"/>
              <w:ind w:firstLine="240" w:firstLineChars="100"/>
              <w:jc w:val="left"/>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trike w:val="0"/>
                <w:dstrike w:val="0"/>
                <w:snapToGrid w:val="0"/>
                <w:color w:val="auto"/>
                <w:kern w:val="0"/>
                <w:sz w:val="24"/>
                <w:szCs w:val="24"/>
                <w:highlight w:val="none"/>
                <w:u w:val="single"/>
              </w:rPr>
              <w:t>3</w:t>
            </w:r>
            <w:r>
              <w:rPr>
                <w:rFonts w:hint="eastAsia" w:ascii="宋体" w:hAnsi="宋体" w:eastAsia="宋体" w:cs="宋体"/>
                <w:strike w:val="0"/>
                <w:dstrike w:val="0"/>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24"/>
              <w:tblW w:w="0" w:type="auto"/>
              <w:tblInd w:w="118" w:type="dxa"/>
              <w:tblLayout w:type="fixed"/>
              <w:tblCellMar>
                <w:top w:w="0" w:type="dxa"/>
                <w:left w:w="108" w:type="dxa"/>
                <w:bottom w:w="0" w:type="dxa"/>
                <w:right w:w="108" w:type="dxa"/>
              </w:tblCellMar>
            </w:tblPr>
            <w:tblGrid>
              <w:gridCol w:w="1594"/>
              <w:gridCol w:w="864"/>
              <w:gridCol w:w="903"/>
              <w:gridCol w:w="940"/>
              <w:gridCol w:w="923"/>
              <w:gridCol w:w="959"/>
              <w:gridCol w:w="902"/>
              <w:gridCol w:w="891"/>
            </w:tblGrid>
            <w:tr w14:paraId="4BF3D1C9">
              <w:tblPrEx>
                <w:tblCellMar>
                  <w:top w:w="0" w:type="dxa"/>
                  <w:left w:w="108" w:type="dxa"/>
                  <w:bottom w:w="0" w:type="dxa"/>
                  <w:right w:w="108" w:type="dxa"/>
                </w:tblCellMar>
              </w:tblPrEx>
              <w:trPr>
                <w:trHeight w:val="361" w:hRule="atLeast"/>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38BFEF03">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号球</w:t>
                  </w:r>
                </w:p>
              </w:tc>
              <w:tc>
                <w:tcPr>
                  <w:tcW w:w="864" w:type="dxa"/>
                  <w:tcBorders>
                    <w:top w:val="single" w:color="000000" w:sz="4" w:space="0"/>
                    <w:left w:val="nil"/>
                    <w:bottom w:val="single" w:color="000000" w:sz="4" w:space="0"/>
                    <w:right w:val="single" w:color="000000" w:sz="4" w:space="0"/>
                  </w:tcBorders>
                  <w:noWrap w:val="0"/>
                  <w:vAlign w:val="center"/>
                </w:tcPr>
                <w:p w14:paraId="4CE18394">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1</w:t>
                  </w:r>
                </w:p>
              </w:tc>
              <w:tc>
                <w:tcPr>
                  <w:tcW w:w="903" w:type="dxa"/>
                  <w:tcBorders>
                    <w:top w:val="single" w:color="000000" w:sz="4" w:space="0"/>
                    <w:left w:val="nil"/>
                    <w:bottom w:val="single" w:color="000000" w:sz="4" w:space="0"/>
                    <w:right w:val="single" w:color="000000" w:sz="4" w:space="0"/>
                  </w:tcBorders>
                  <w:noWrap w:val="0"/>
                  <w:vAlign w:val="center"/>
                </w:tcPr>
                <w:p w14:paraId="4F517D11">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2</w:t>
                  </w:r>
                </w:p>
              </w:tc>
              <w:tc>
                <w:tcPr>
                  <w:tcW w:w="940" w:type="dxa"/>
                  <w:tcBorders>
                    <w:top w:val="single" w:color="000000" w:sz="4" w:space="0"/>
                    <w:left w:val="nil"/>
                    <w:bottom w:val="single" w:color="000000" w:sz="4" w:space="0"/>
                    <w:right w:val="single" w:color="000000" w:sz="4" w:space="0"/>
                  </w:tcBorders>
                  <w:noWrap w:val="0"/>
                  <w:vAlign w:val="center"/>
                </w:tcPr>
                <w:p w14:paraId="30CFBEF8">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3</w:t>
                  </w:r>
                </w:p>
              </w:tc>
              <w:tc>
                <w:tcPr>
                  <w:tcW w:w="923" w:type="dxa"/>
                  <w:tcBorders>
                    <w:top w:val="single" w:color="000000" w:sz="4" w:space="0"/>
                    <w:left w:val="nil"/>
                    <w:bottom w:val="single" w:color="000000" w:sz="4" w:space="0"/>
                    <w:right w:val="single" w:color="000000" w:sz="4" w:space="0"/>
                  </w:tcBorders>
                  <w:noWrap w:val="0"/>
                  <w:vAlign w:val="center"/>
                </w:tcPr>
                <w:p w14:paraId="1CE9C0AC">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4</w:t>
                  </w:r>
                </w:p>
              </w:tc>
              <w:tc>
                <w:tcPr>
                  <w:tcW w:w="959" w:type="dxa"/>
                  <w:tcBorders>
                    <w:top w:val="single" w:color="000000" w:sz="4" w:space="0"/>
                    <w:left w:val="nil"/>
                    <w:bottom w:val="single" w:color="000000" w:sz="4" w:space="0"/>
                    <w:right w:val="single" w:color="000000" w:sz="4" w:space="0"/>
                  </w:tcBorders>
                  <w:noWrap w:val="0"/>
                  <w:vAlign w:val="center"/>
                </w:tcPr>
                <w:p w14:paraId="4461411E">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5</w:t>
                  </w:r>
                </w:p>
              </w:tc>
              <w:tc>
                <w:tcPr>
                  <w:tcW w:w="902" w:type="dxa"/>
                  <w:tcBorders>
                    <w:top w:val="single" w:color="000000" w:sz="4" w:space="0"/>
                    <w:left w:val="nil"/>
                    <w:bottom w:val="single" w:color="000000" w:sz="4" w:space="0"/>
                    <w:right w:val="single" w:color="000000" w:sz="4" w:space="0"/>
                  </w:tcBorders>
                  <w:noWrap w:val="0"/>
                  <w:vAlign w:val="center"/>
                </w:tcPr>
                <w:p w14:paraId="6AE617DA">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6</w:t>
                  </w:r>
                </w:p>
              </w:tc>
              <w:tc>
                <w:tcPr>
                  <w:tcW w:w="891" w:type="dxa"/>
                  <w:tcBorders>
                    <w:top w:val="single" w:color="000000" w:sz="4" w:space="0"/>
                    <w:left w:val="nil"/>
                    <w:bottom w:val="single" w:color="000000" w:sz="4" w:space="0"/>
                    <w:right w:val="single" w:color="000000" w:sz="4" w:space="0"/>
                  </w:tcBorders>
                  <w:noWrap w:val="0"/>
                  <w:vAlign w:val="center"/>
                </w:tcPr>
                <w:p w14:paraId="39A7A1E2">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7</w:t>
                  </w:r>
                </w:p>
              </w:tc>
            </w:tr>
            <w:tr w14:paraId="03145E91">
              <w:tblPrEx>
                <w:tblCellMar>
                  <w:top w:w="0" w:type="dxa"/>
                  <w:left w:w="108" w:type="dxa"/>
                  <w:bottom w:w="0" w:type="dxa"/>
                  <w:right w:w="108" w:type="dxa"/>
                </w:tblCellMar>
              </w:tblPrEx>
              <w:trPr>
                <w:trHeight w:val="444" w:hRule="atLeast"/>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6D30BEDF">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下浮系数（%）</w:t>
                  </w:r>
                </w:p>
              </w:tc>
              <w:tc>
                <w:tcPr>
                  <w:tcW w:w="864" w:type="dxa"/>
                  <w:tcBorders>
                    <w:top w:val="single" w:color="000000" w:sz="4" w:space="0"/>
                    <w:left w:val="nil"/>
                    <w:bottom w:val="single" w:color="000000" w:sz="4" w:space="0"/>
                    <w:right w:val="single" w:color="000000" w:sz="4" w:space="0"/>
                  </w:tcBorders>
                  <w:noWrap w:val="0"/>
                  <w:vAlign w:val="center"/>
                </w:tcPr>
                <w:p w14:paraId="78CEE0B9">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strike w:val="0"/>
                      <w:dstrike w:val="0"/>
                      <w:color w:val="auto"/>
                      <w:kern w:val="0"/>
                      <w:sz w:val="24"/>
                      <w:szCs w:val="24"/>
                      <w:highlight w:val="none"/>
                      <w:lang w:val="en-US" w:eastAsia="zh-CN"/>
                    </w:rPr>
                    <w:t>1.0</w:t>
                  </w:r>
                </w:p>
              </w:tc>
              <w:tc>
                <w:tcPr>
                  <w:tcW w:w="903" w:type="dxa"/>
                  <w:tcBorders>
                    <w:top w:val="single" w:color="000000" w:sz="4" w:space="0"/>
                    <w:left w:val="nil"/>
                    <w:bottom w:val="single" w:color="000000" w:sz="4" w:space="0"/>
                    <w:right w:val="single" w:color="000000" w:sz="4" w:space="0"/>
                  </w:tcBorders>
                  <w:noWrap w:val="0"/>
                  <w:vAlign w:val="center"/>
                </w:tcPr>
                <w:p w14:paraId="062C053A">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.1</w:t>
                  </w:r>
                </w:p>
              </w:tc>
              <w:tc>
                <w:tcPr>
                  <w:tcW w:w="940" w:type="dxa"/>
                  <w:tcBorders>
                    <w:top w:val="single" w:color="000000" w:sz="4" w:space="0"/>
                    <w:left w:val="nil"/>
                    <w:bottom w:val="single" w:color="000000" w:sz="4" w:space="0"/>
                    <w:right w:val="single" w:color="000000" w:sz="4" w:space="0"/>
                  </w:tcBorders>
                  <w:noWrap w:val="0"/>
                  <w:vAlign w:val="center"/>
                </w:tcPr>
                <w:p w14:paraId="7200BD26">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.2</w:t>
                  </w:r>
                </w:p>
              </w:tc>
              <w:tc>
                <w:tcPr>
                  <w:tcW w:w="923" w:type="dxa"/>
                  <w:tcBorders>
                    <w:top w:val="single" w:color="000000" w:sz="4" w:space="0"/>
                    <w:left w:val="nil"/>
                    <w:bottom w:val="single" w:color="000000" w:sz="4" w:space="0"/>
                    <w:right w:val="single" w:color="000000" w:sz="4" w:space="0"/>
                  </w:tcBorders>
                  <w:noWrap w:val="0"/>
                  <w:vAlign w:val="center"/>
                </w:tcPr>
                <w:p w14:paraId="158BD01A">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.3</w:t>
                  </w:r>
                </w:p>
              </w:tc>
              <w:tc>
                <w:tcPr>
                  <w:tcW w:w="959" w:type="dxa"/>
                  <w:tcBorders>
                    <w:top w:val="single" w:color="000000" w:sz="4" w:space="0"/>
                    <w:left w:val="nil"/>
                    <w:bottom w:val="single" w:color="000000" w:sz="4" w:space="0"/>
                    <w:right w:val="single" w:color="000000" w:sz="4" w:space="0"/>
                  </w:tcBorders>
                  <w:noWrap w:val="0"/>
                  <w:vAlign w:val="center"/>
                </w:tcPr>
                <w:p w14:paraId="15C11008">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.4</w:t>
                  </w:r>
                </w:p>
              </w:tc>
              <w:tc>
                <w:tcPr>
                  <w:tcW w:w="902" w:type="dxa"/>
                  <w:tcBorders>
                    <w:top w:val="single" w:color="000000" w:sz="4" w:space="0"/>
                    <w:left w:val="nil"/>
                    <w:bottom w:val="single" w:color="000000" w:sz="4" w:space="0"/>
                    <w:right w:val="single" w:color="000000" w:sz="4" w:space="0"/>
                  </w:tcBorders>
                  <w:noWrap w:val="0"/>
                  <w:vAlign w:val="center"/>
                </w:tcPr>
                <w:p w14:paraId="605516F7">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.5</w:t>
                  </w:r>
                </w:p>
              </w:tc>
              <w:tc>
                <w:tcPr>
                  <w:tcW w:w="891" w:type="dxa"/>
                  <w:tcBorders>
                    <w:top w:val="single" w:color="000000" w:sz="4" w:space="0"/>
                    <w:left w:val="nil"/>
                    <w:bottom w:val="single" w:color="000000" w:sz="4" w:space="0"/>
                    <w:right w:val="single" w:color="000000" w:sz="4" w:space="0"/>
                  </w:tcBorders>
                  <w:noWrap w:val="0"/>
                  <w:vAlign w:val="center"/>
                </w:tcPr>
                <w:p w14:paraId="79B2C8C4">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.6</w:t>
                  </w:r>
                </w:p>
              </w:tc>
            </w:tr>
            <w:tr w14:paraId="26255DD3">
              <w:tblPrEx>
                <w:tblCellMar>
                  <w:top w:w="0" w:type="dxa"/>
                  <w:left w:w="108" w:type="dxa"/>
                  <w:bottom w:w="0" w:type="dxa"/>
                  <w:right w:w="108" w:type="dxa"/>
                </w:tblCellMar>
              </w:tblPrEx>
              <w:trPr>
                <w:trHeight w:val="434" w:hRule="atLeast"/>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0477977D">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号球</w:t>
                  </w:r>
                </w:p>
              </w:tc>
              <w:tc>
                <w:tcPr>
                  <w:tcW w:w="864" w:type="dxa"/>
                  <w:tcBorders>
                    <w:top w:val="single" w:color="000000" w:sz="4" w:space="0"/>
                    <w:left w:val="nil"/>
                    <w:bottom w:val="single" w:color="000000" w:sz="4" w:space="0"/>
                    <w:right w:val="single" w:color="000000" w:sz="4" w:space="0"/>
                  </w:tcBorders>
                  <w:noWrap w:val="0"/>
                  <w:vAlign w:val="center"/>
                </w:tcPr>
                <w:p w14:paraId="411B12D7">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8</w:t>
                  </w:r>
                </w:p>
              </w:tc>
              <w:tc>
                <w:tcPr>
                  <w:tcW w:w="903" w:type="dxa"/>
                  <w:tcBorders>
                    <w:top w:val="single" w:color="000000" w:sz="4" w:space="0"/>
                    <w:left w:val="nil"/>
                    <w:bottom w:val="single" w:color="000000" w:sz="4" w:space="0"/>
                    <w:right w:val="single" w:color="000000" w:sz="4" w:space="0"/>
                  </w:tcBorders>
                  <w:noWrap w:val="0"/>
                  <w:vAlign w:val="center"/>
                </w:tcPr>
                <w:p w14:paraId="362AD6A9">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9</w:t>
                  </w:r>
                </w:p>
              </w:tc>
              <w:tc>
                <w:tcPr>
                  <w:tcW w:w="940" w:type="dxa"/>
                  <w:tcBorders>
                    <w:top w:val="single" w:color="000000" w:sz="4" w:space="0"/>
                    <w:left w:val="nil"/>
                    <w:bottom w:val="single" w:color="000000" w:sz="4" w:space="0"/>
                    <w:right w:val="single" w:color="000000" w:sz="4" w:space="0"/>
                  </w:tcBorders>
                  <w:noWrap w:val="0"/>
                  <w:vAlign w:val="center"/>
                </w:tcPr>
                <w:p w14:paraId="6AA0381E">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10</w:t>
                  </w:r>
                </w:p>
              </w:tc>
              <w:tc>
                <w:tcPr>
                  <w:tcW w:w="923" w:type="dxa"/>
                  <w:tcBorders>
                    <w:top w:val="single" w:color="000000" w:sz="4" w:space="0"/>
                    <w:left w:val="nil"/>
                    <w:bottom w:val="single" w:color="000000" w:sz="4" w:space="0"/>
                    <w:right w:val="single" w:color="000000" w:sz="4" w:space="0"/>
                  </w:tcBorders>
                  <w:noWrap w:val="0"/>
                  <w:vAlign w:val="center"/>
                </w:tcPr>
                <w:p w14:paraId="469E39D0">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11</w:t>
                  </w:r>
                </w:p>
              </w:tc>
              <w:tc>
                <w:tcPr>
                  <w:tcW w:w="959" w:type="dxa"/>
                  <w:tcBorders>
                    <w:top w:val="single" w:color="000000" w:sz="4" w:space="0"/>
                    <w:left w:val="nil"/>
                    <w:bottom w:val="single" w:color="000000" w:sz="4" w:space="0"/>
                    <w:right w:val="single" w:color="000000" w:sz="4" w:space="0"/>
                  </w:tcBorders>
                  <w:noWrap w:val="0"/>
                  <w:vAlign w:val="center"/>
                </w:tcPr>
                <w:p w14:paraId="3999E710">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12</w:t>
                  </w:r>
                </w:p>
              </w:tc>
              <w:tc>
                <w:tcPr>
                  <w:tcW w:w="902" w:type="dxa"/>
                  <w:tcBorders>
                    <w:top w:val="single" w:color="000000" w:sz="4" w:space="0"/>
                    <w:left w:val="nil"/>
                    <w:bottom w:val="single" w:color="000000" w:sz="4" w:space="0"/>
                    <w:right w:val="single" w:color="000000" w:sz="4" w:space="0"/>
                  </w:tcBorders>
                  <w:noWrap w:val="0"/>
                  <w:vAlign w:val="center"/>
                </w:tcPr>
                <w:p w14:paraId="157D2E42">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13</w:t>
                  </w:r>
                </w:p>
              </w:tc>
              <w:tc>
                <w:tcPr>
                  <w:tcW w:w="891" w:type="dxa"/>
                  <w:tcBorders>
                    <w:top w:val="single" w:color="000000" w:sz="4" w:space="0"/>
                    <w:left w:val="nil"/>
                    <w:bottom w:val="single" w:color="000000" w:sz="4" w:space="0"/>
                    <w:right w:val="single" w:color="000000" w:sz="4" w:space="0"/>
                  </w:tcBorders>
                  <w:noWrap w:val="0"/>
                  <w:vAlign w:val="center"/>
                </w:tcPr>
                <w:p w14:paraId="42267E55">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14</w:t>
                  </w:r>
                </w:p>
              </w:tc>
            </w:tr>
            <w:tr w14:paraId="2E817961">
              <w:tblPrEx>
                <w:tblCellMar>
                  <w:top w:w="0" w:type="dxa"/>
                  <w:left w:w="108" w:type="dxa"/>
                  <w:bottom w:w="0" w:type="dxa"/>
                  <w:right w:w="108" w:type="dxa"/>
                </w:tblCellMar>
              </w:tblPrEx>
              <w:trPr>
                <w:trHeight w:val="427" w:hRule="atLeast"/>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2180EB3E">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下浮系数（%）</w:t>
                  </w:r>
                </w:p>
              </w:tc>
              <w:tc>
                <w:tcPr>
                  <w:tcW w:w="864" w:type="dxa"/>
                  <w:tcBorders>
                    <w:top w:val="single" w:color="000000" w:sz="4" w:space="0"/>
                    <w:left w:val="nil"/>
                    <w:bottom w:val="single" w:color="000000" w:sz="4" w:space="0"/>
                    <w:right w:val="single" w:color="000000" w:sz="4" w:space="0"/>
                  </w:tcBorders>
                  <w:noWrap w:val="0"/>
                  <w:vAlign w:val="center"/>
                </w:tcPr>
                <w:p w14:paraId="5EAF6B89">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.7</w:t>
                  </w:r>
                </w:p>
              </w:tc>
              <w:tc>
                <w:tcPr>
                  <w:tcW w:w="903" w:type="dxa"/>
                  <w:tcBorders>
                    <w:top w:val="single" w:color="000000" w:sz="4" w:space="0"/>
                    <w:left w:val="nil"/>
                    <w:bottom w:val="single" w:color="000000" w:sz="4" w:space="0"/>
                    <w:right w:val="single" w:color="000000" w:sz="4" w:space="0"/>
                  </w:tcBorders>
                  <w:noWrap w:val="0"/>
                  <w:vAlign w:val="center"/>
                </w:tcPr>
                <w:p w14:paraId="10C9EC90">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.8</w:t>
                  </w:r>
                </w:p>
              </w:tc>
              <w:tc>
                <w:tcPr>
                  <w:tcW w:w="940" w:type="dxa"/>
                  <w:tcBorders>
                    <w:top w:val="single" w:color="000000" w:sz="4" w:space="0"/>
                    <w:left w:val="nil"/>
                    <w:bottom w:val="single" w:color="000000" w:sz="4" w:space="0"/>
                    <w:right w:val="single" w:color="000000" w:sz="4" w:space="0"/>
                  </w:tcBorders>
                  <w:noWrap w:val="0"/>
                  <w:vAlign w:val="center"/>
                </w:tcPr>
                <w:p w14:paraId="6A4F6538">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.9</w:t>
                  </w:r>
                </w:p>
              </w:tc>
              <w:tc>
                <w:tcPr>
                  <w:tcW w:w="923" w:type="dxa"/>
                  <w:tcBorders>
                    <w:top w:val="single" w:color="000000" w:sz="4" w:space="0"/>
                    <w:left w:val="nil"/>
                    <w:bottom w:val="single" w:color="000000" w:sz="4" w:space="0"/>
                    <w:right w:val="single" w:color="000000" w:sz="4" w:space="0"/>
                  </w:tcBorders>
                  <w:noWrap w:val="0"/>
                  <w:vAlign w:val="center"/>
                </w:tcPr>
                <w:p w14:paraId="7C1BBC98">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.0</w:t>
                  </w:r>
                </w:p>
              </w:tc>
              <w:tc>
                <w:tcPr>
                  <w:tcW w:w="959" w:type="dxa"/>
                  <w:tcBorders>
                    <w:top w:val="single" w:color="000000" w:sz="4" w:space="0"/>
                    <w:left w:val="nil"/>
                    <w:bottom w:val="single" w:color="000000" w:sz="4" w:space="0"/>
                    <w:right w:val="single" w:color="000000" w:sz="4" w:space="0"/>
                  </w:tcBorders>
                  <w:noWrap w:val="0"/>
                  <w:vAlign w:val="center"/>
                </w:tcPr>
                <w:p w14:paraId="43C6B1BF">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.1</w:t>
                  </w:r>
                </w:p>
              </w:tc>
              <w:tc>
                <w:tcPr>
                  <w:tcW w:w="902" w:type="dxa"/>
                  <w:tcBorders>
                    <w:top w:val="single" w:color="000000" w:sz="4" w:space="0"/>
                    <w:left w:val="nil"/>
                    <w:bottom w:val="single" w:color="000000" w:sz="4" w:space="0"/>
                    <w:right w:val="single" w:color="000000" w:sz="4" w:space="0"/>
                  </w:tcBorders>
                  <w:noWrap w:val="0"/>
                  <w:vAlign w:val="center"/>
                </w:tcPr>
                <w:p w14:paraId="04DBAB5A">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.2</w:t>
                  </w:r>
                </w:p>
              </w:tc>
              <w:tc>
                <w:tcPr>
                  <w:tcW w:w="891" w:type="dxa"/>
                  <w:tcBorders>
                    <w:top w:val="single" w:color="000000" w:sz="4" w:space="0"/>
                    <w:left w:val="nil"/>
                    <w:bottom w:val="single" w:color="000000" w:sz="4" w:space="0"/>
                    <w:right w:val="single" w:color="000000" w:sz="4" w:space="0"/>
                  </w:tcBorders>
                  <w:noWrap w:val="0"/>
                  <w:vAlign w:val="center"/>
                </w:tcPr>
                <w:p w14:paraId="60C51126">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.3</w:t>
                  </w:r>
                </w:p>
              </w:tc>
            </w:tr>
            <w:tr w14:paraId="091689B9">
              <w:tblPrEx>
                <w:tblCellMar>
                  <w:top w:w="0" w:type="dxa"/>
                  <w:left w:w="108" w:type="dxa"/>
                  <w:bottom w:w="0" w:type="dxa"/>
                  <w:right w:w="108" w:type="dxa"/>
                </w:tblCellMar>
              </w:tblPrEx>
              <w:trPr>
                <w:trHeight w:val="397" w:hRule="atLeast"/>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6AA750E0">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号球</w:t>
                  </w:r>
                </w:p>
              </w:tc>
              <w:tc>
                <w:tcPr>
                  <w:tcW w:w="864" w:type="dxa"/>
                  <w:tcBorders>
                    <w:top w:val="single" w:color="000000" w:sz="4" w:space="0"/>
                    <w:left w:val="nil"/>
                    <w:bottom w:val="single" w:color="000000" w:sz="4" w:space="0"/>
                    <w:right w:val="single" w:color="000000" w:sz="4" w:space="0"/>
                  </w:tcBorders>
                  <w:noWrap w:val="0"/>
                  <w:vAlign w:val="center"/>
                </w:tcPr>
                <w:p w14:paraId="47CEEE63">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15</w:t>
                  </w:r>
                </w:p>
              </w:tc>
              <w:tc>
                <w:tcPr>
                  <w:tcW w:w="903" w:type="dxa"/>
                  <w:tcBorders>
                    <w:top w:val="single" w:color="000000" w:sz="4" w:space="0"/>
                    <w:left w:val="nil"/>
                    <w:bottom w:val="single" w:color="000000" w:sz="4" w:space="0"/>
                    <w:right w:val="single" w:color="000000" w:sz="4" w:space="0"/>
                  </w:tcBorders>
                  <w:noWrap w:val="0"/>
                  <w:vAlign w:val="center"/>
                </w:tcPr>
                <w:p w14:paraId="55F63C3E">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16</w:t>
                  </w:r>
                </w:p>
              </w:tc>
              <w:tc>
                <w:tcPr>
                  <w:tcW w:w="940" w:type="dxa"/>
                  <w:tcBorders>
                    <w:top w:val="single" w:color="000000" w:sz="4" w:space="0"/>
                    <w:left w:val="nil"/>
                    <w:bottom w:val="single" w:color="000000" w:sz="4" w:space="0"/>
                    <w:right w:val="single" w:color="000000" w:sz="4" w:space="0"/>
                  </w:tcBorders>
                  <w:noWrap w:val="0"/>
                  <w:vAlign w:val="center"/>
                </w:tcPr>
                <w:p w14:paraId="1529B45B">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17</w:t>
                  </w:r>
                </w:p>
              </w:tc>
              <w:tc>
                <w:tcPr>
                  <w:tcW w:w="923" w:type="dxa"/>
                  <w:tcBorders>
                    <w:top w:val="single" w:color="000000" w:sz="4" w:space="0"/>
                    <w:left w:val="nil"/>
                    <w:bottom w:val="single" w:color="000000" w:sz="4" w:space="0"/>
                    <w:right w:val="single" w:color="000000" w:sz="4" w:space="0"/>
                  </w:tcBorders>
                  <w:noWrap w:val="0"/>
                  <w:vAlign w:val="center"/>
                </w:tcPr>
                <w:p w14:paraId="0CAC4E59">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18</w:t>
                  </w:r>
                </w:p>
              </w:tc>
              <w:tc>
                <w:tcPr>
                  <w:tcW w:w="959" w:type="dxa"/>
                  <w:tcBorders>
                    <w:top w:val="single" w:color="000000" w:sz="4" w:space="0"/>
                    <w:left w:val="nil"/>
                    <w:bottom w:val="single" w:color="000000" w:sz="4" w:space="0"/>
                    <w:right w:val="single" w:color="000000" w:sz="4" w:space="0"/>
                  </w:tcBorders>
                  <w:noWrap w:val="0"/>
                  <w:vAlign w:val="center"/>
                </w:tcPr>
                <w:p w14:paraId="77B6388F">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19</w:t>
                  </w:r>
                </w:p>
              </w:tc>
              <w:tc>
                <w:tcPr>
                  <w:tcW w:w="902" w:type="dxa"/>
                  <w:tcBorders>
                    <w:top w:val="single" w:color="000000" w:sz="4" w:space="0"/>
                    <w:left w:val="nil"/>
                    <w:bottom w:val="single" w:color="000000" w:sz="4" w:space="0"/>
                    <w:right w:val="single" w:color="000000" w:sz="4" w:space="0"/>
                  </w:tcBorders>
                  <w:noWrap w:val="0"/>
                  <w:vAlign w:val="center"/>
                </w:tcPr>
                <w:p w14:paraId="48802F28">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20</w:t>
                  </w:r>
                </w:p>
              </w:tc>
              <w:tc>
                <w:tcPr>
                  <w:tcW w:w="891" w:type="dxa"/>
                  <w:tcBorders>
                    <w:top w:val="single" w:color="000000" w:sz="4" w:space="0"/>
                    <w:left w:val="nil"/>
                    <w:bottom w:val="single" w:color="000000" w:sz="4" w:space="0"/>
                    <w:right w:val="single" w:color="000000" w:sz="4" w:space="0"/>
                  </w:tcBorders>
                  <w:noWrap w:val="0"/>
                  <w:vAlign w:val="center"/>
                </w:tcPr>
                <w:p w14:paraId="19C2AA50">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21</w:t>
                  </w:r>
                </w:p>
              </w:tc>
            </w:tr>
            <w:tr w14:paraId="677624A0">
              <w:tblPrEx>
                <w:tblCellMar>
                  <w:top w:w="0" w:type="dxa"/>
                  <w:left w:w="108" w:type="dxa"/>
                  <w:bottom w:w="0" w:type="dxa"/>
                  <w:right w:w="108" w:type="dxa"/>
                </w:tblCellMar>
              </w:tblPrEx>
              <w:trPr>
                <w:trHeight w:val="508" w:hRule="atLeast"/>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22849241">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下浮系数（%）</w:t>
                  </w:r>
                </w:p>
              </w:tc>
              <w:tc>
                <w:tcPr>
                  <w:tcW w:w="864" w:type="dxa"/>
                  <w:tcBorders>
                    <w:top w:val="single" w:color="000000" w:sz="4" w:space="0"/>
                    <w:left w:val="nil"/>
                    <w:bottom w:val="single" w:color="000000" w:sz="4" w:space="0"/>
                    <w:right w:val="single" w:color="000000" w:sz="4" w:space="0"/>
                  </w:tcBorders>
                  <w:noWrap w:val="0"/>
                  <w:vAlign w:val="center"/>
                </w:tcPr>
                <w:p w14:paraId="65E8C41E">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.4</w:t>
                  </w:r>
                </w:p>
              </w:tc>
              <w:tc>
                <w:tcPr>
                  <w:tcW w:w="903" w:type="dxa"/>
                  <w:tcBorders>
                    <w:top w:val="single" w:color="000000" w:sz="4" w:space="0"/>
                    <w:left w:val="nil"/>
                    <w:bottom w:val="single" w:color="000000" w:sz="4" w:space="0"/>
                    <w:right w:val="single" w:color="000000" w:sz="4" w:space="0"/>
                  </w:tcBorders>
                  <w:noWrap w:val="0"/>
                  <w:vAlign w:val="center"/>
                </w:tcPr>
                <w:p w14:paraId="6FBF7FEA">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.5</w:t>
                  </w:r>
                </w:p>
              </w:tc>
              <w:tc>
                <w:tcPr>
                  <w:tcW w:w="940" w:type="dxa"/>
                  <w:tcBorders>
                    <w:top w:val="single" w:color="000000" w:sz="4" w:space="0"/>
                    <w:left w:val="nil"/>
                    <w:bottom w:val="single" w:color="000000" w:sz="4" w:space="0"/>
                    <w:right w:val="single" w:color="000000" w:sz="4" w:space="0"/>
                  </w:tcBorders>
                  <w:noWrap w:val="0"/>
                  <w:vAlign w:val="center"/>
                </w:tcPr>
                <w:p w14:paraId="68CA754C">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.6</w:t>
                  </w:r>
                </w:p>
              </w:tc>
              <w:tc>
                <w:tcPr>
                  <w:tcW w:w="923" w:type="dxa"/>
                  <w:tcBorders>
                    <w:top w:val="single" w:color="000000" w:sz="4" w:space="0"/>
                    <w:left w:val="nil"/>
                    <w:bottom w:val="single" w:color="000000" w:sz="4" w:space="0"/>
                    <w:right w:val="single" w:color="000000" w:sz="4" w:space="0"/>
                  </w:tcBorders>
                  <w:noWrap w:val="0"/>
                  <w:vAlign w:val="center"/>
                </w:tcPr>
                <w:p w14:paraId="1719C1B7">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.7</w:t>
                  </w:r>
                </w:p>
              </w:tc>
              <w:tc>
                <w:tcPr>
                  <w:tcW w:w="959" w:type="dxa"/>
                  <w:tcBorders>
                    <w:top w:val="single" w:color="000000" w:sz="4" w:space="0"/>
                    <w:left w:val="nil"/>
                    <w:bottom w:val="single" w:color="000000" w:sz="4" w:space="0"/>
                    <w:right w:val="single" w:color="000000" w:sz="4" w:space="0"/>
                  </w:tcBorders>
                  <w:noWrap w:val="0"/>
                  <w:vAlign w:val="center"/>
                </w:tcPr>
                <w:p w14:paraId="45BECA33">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.8</w:t>
                  </w:r>
                </w:p>
              </w:tc>
              <w:tc>
                <w:tcPr>
                  <w:tcW w:w="902" w:type="dxa"/>
                  <w:tcBorders>
                    <w:top w:val="single" w:color="000000" w:sz="4" w:space="0"/>
                    <w:left w:val="nil"/>
                    <w:bottom w:val="single" w:color="000000" w:sz="4" w:space="0"/>
                    <w:right w:val="single" w:color="000000" w:sz="4" w:space="0"/>
                  </w:tcBorders>
                  <w:noWrap w:val="0"/>
                  <w:vAlign w:val="center"/>
                </w:tcPr>
                <w:p w14:paraId="45766390">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.9</w:t>
                  </w:r>
                </w:p>
              </w:tc>
              <w:tc>
                <w:tcPr>
                  <w:tcW w:w="891" w:type="dxa"/>
                  <w:tcBorders>
                    <w:top w:val="single" w:color="000000" w:sz="4" w:space="0"/>
                    <w:left w:val="nil"/>
                    <w:bottom w:val="single" w:color="000000" w:sz="4" w:space="0"/>
                    <w:right w:val="single" w:color="000000" w:sz="4" w:space="0"/>
                  </w:tcBorders>
                  <w:noWrap w:val="0"/>
                  <w:vAlign w:val="center"/>
                </w:tcPr>
                <w:p w14:paraId="45F0AE22">
                  <w:pPr>
                    <w:keepNext w:val="0"/>
                    <w:keepLines w:val="0"/>
                    <w:pageBreakBefore w:val="0"/>
                    <w:widowControl w:val="0"/>
                    <w:shd w:val="clear" w:color="auto" w:fill="auto"/>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3</w:t>
                  </w:r>
                  <w:r>
                    <w:rPr>
                      <w:rFonts w:hint="eastAsia" w:ascii="宋体" w:hAnsi="宋体" w:eastAsia="宋体" w:cs="宋体"/>
                      <w:strike w:val="0"/>
                      <w:dstrike w:val="0"/>
                      <w:color w:val="auto"/>
                      <w:kern w:val="0"/>
                      <w:sz w:val="24"/>
                      <w:szCs w:val="24"/>
                      <w:highlight w:val="none"/>
                    </w:rPr>
                    <w:t>.0</w:t>
                  </w:r>
                </w:p>
              </w:tc>
            </w:tr>
          </w:tbl>
          <w:p w14:paraId="019032A5">
            <w:pPr>
              <w:pStyle w:val="61"/>
              <w:wordWrap w:val="0"/>
              <w:snapToGrid w:val="0"/>
              <w:spacing w:after="0" w:line="440" w:lineRule="exact"/>
              <w:jc w:val="both"/>
              <w:rPr>
                <w:rFonts w:hint="eastAsia" w:ascii="黑体" w:hAnsi="黑体" w:eastAsia="黑体"/>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（2）评标基准价D＝最高投标限价×（1－n）</w:t>
            </w:r>
          </w:p>
        </w:tc>
      </w:tr>
      <w:tr w14:paraId="3E7E485A">
        <w:tblPrEx>
          <w:tblCellMar>
            <w:top w:w="0" w:type="dxa"/>
            <w:left w:w="108" w:type="dxa"/>
            <w:bottom w:w="0" w:type="dxa"/>
            <w:right w:w="108" w:type="dxa"/>
          </w:tblCellMar>
        </w:tblPrEx>
        <w:trPr>
          <w:trHeight w:val="90"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189B60DA">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aps w:val="0"/>
                <w:smallCaps w:val="0"/>
                <w:strike w:val="0"/>
                <w:dstrike w:val="0"/>
                <w:snapToGrid w:val="0"/>
                <w:color w:val="auto"/>
                <w:spacing w:val="0"/>
                <w:kern w:val="0"/>
                <w:sz w:val="24"/>
                <w:szCs w:val="24"/>
                <w:highlight w:val="none"/>
                <w:lang w:eastAsia="zh-CN"/>
              </w:rPr>
            </w:pPr>
            <w:r>
              <w:rPr>
                <w:rFonts w:hint="eastAsia" w:ascii="宋体" w:hAnsi="宋体" w:eastAsia="宋体" w:cs="宋体"/>
                <w:caps w:val="0"/>
                <w:smallCaps w:val="0"/>
                <w:strike w:val="0"/>
                <w:dstrike w:val="0"/>
                <w:snapToGrid w:val="0"/>
                <w:color w:val="auto"/>
                <w:spacing w:val="0"/>
                <w:kern w:val="0"/>
                <w:sz w:val="24"/>
                <w:szCs w:val="24"/>
                <w:highlight w:val="none"/>
                <w:lang w:eastAsia="zh-CN"/>
              </w:rPr>
              <w:t>投标报价得分</w:t>
            </w:r>
          </w:p>
          <w:p w14:paraId="5B781007">
            <w:pPr>
              <w:pStyle w:val="38"/>
              <w:adjustRightInd w:val="0"/>
              <w:snapToGrid w:val="0"/>
              <w:spacing w:line="360" w:lineRule="auto"/>
              <w:jc w:val="center"/>
              <w:rPr>
                <w:rFonts w:hint="eastAsia" w:eastAsia="宋体"/>
                <w:color w:val="auto"/>
                <w:kern w:val="0"/>
                <w:sz w:val="24"/>
                <w:szCs w:val="24"/>
                <w:highlight w:val="none"/>
              </w:rPr>
            </w:pPr>
            <w:r>
              <w:rPr>
                <w:rFonts w:hint="eastAsia" w:ascii="宋体" w:hAnsi="宋体" w:eastAsia="宋体" w:cs="宋体"/>
                <w:caps w:val="0"/>
                <w:smallCaps w:val="0"/>
                <w:strike w:val="0"/>
                <w:dstrike w:val="0"/>
                <w:snapToGrid w:val="0"/>
                <w:color w:val="auto"/>
                <w:spacing w:val="0"/>
                <w:kern w:val="0"/>
                <w:sz w:val="24"/>
                <w:szCs w:val="24"/>
                <w:highlight w:val="none"/>
                <w:lang w:val="en-US" w:eastAsia="zh-CN"/>
              </w:rPr>
              <w:t>M</w:t>
            </w:r>
            <w:r>
              <w:rPr>
                <w:rFonts w:hint="eastAsia" w:ascii="宋体" w:hAnsi="宋体" w:eastAsia="宋体" w:cs="宋体"/>
                <w:caps w:val="0"/>
                <w:smallCaps w:val="0"/>
                <w:strike w:val="0"/>
                <w:dstrike w:val="0"/>
                <w:snapToGrid w:val="0"/>
                <w:color w:val="auto"/>
                <w:spacing w:val="0"/>
                <w:kern w:val="0"/>
                <w:sz w:val="24"/>
                <w:szCs w:val="24"/>
                <w:highlight w:val="none"/>
                <w:vertAlign w:val="subscript"/>
                <w:lang w:val="en-US" w:eastAsia="zh-CN"/>
              </w:rPr>
              <w:t>3</w:t>
            </w:r>
          </w:p>
        </w:tc>
        <w:tc>
          <w:tcPr>
            <w:tcW w:w="8755" w:type="dxa"/>
            <w:gridSpan w:val="2"/>
            <w:tcBorders>
              <w:top w:val="single" w:color="000000" w:sz="4" w:space="0"/>
              <w:left w:val="single" w:color="000000" w:sz="4" w:space="0"/>
              <w:bottom w:val="single" w:color="000000" w:sz="4" w:space="0"/>
              <w:right w:val="single" w:color="000000" w:sz="4" w:space="0"/>
            </w:tcBorders>
            <w:noWrap w:val="0"/>
            <w:vAlign w:val="center"/>
          </w:tcPr>
          <w:p w14:paraId="4887E7ED">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aps w:val="0"/>
                <w:smallCaps w:val="0"/>
                <w:strike w:val="0"/>
                <w:dstrike w:val="0"/>
                <w:snapToGrid w:val="0"/>
                <w:color w:val="auto"/>
                <w:spacing w:val="0"/>
                <w:kern w:val="0"/>
                <w:sz w:val="24"/>
                <w:szCs w:val="24"/>
                <w:highlight w:val="none"/>
                <w:lang w:eastAsia="zh-CN"/>
              </w:rPr>
            </w:pPr>
            <w:r>
              <w:rPr>
                <w:rFonts w:hint="eastAsia" w:ascii="宋体" w:hAnsi="宋体" w:eastAsia="宋体" w:cs="宋体"/>
                <w:caps w:val="0"/>
                <w:smallCaps w:val="0"/>
                <w:strike w:val="0"/>
                <w:dstrike w:val="0"/>
                <w:snapToGrid w:val="0"/>
                <w:color w:val="auto"/>
                <w:spacing w:val="0"/>
                <w:kern w:val="0"/>
                <w:sz w:val="24"/>
                <w:szCs w:val="24"/>
                <w:highlight w:val="none"/>
                <w:lang w:eastAsia="zh-CN"/>
              </w:rPr>
              <w:t>采用内插法计算某投标人的投标报价得分</w:t>
            </w:r>
            <w:r>
              <w:rPr>
                <w:rFonts w:hint="eastAsia" w:ascii="宋体" w:hAnsi="宋体" w:eastAsia="宋体" w:cs="宋体"/>
                <w:caps w:val="0"/>
                <w:smallCaps w:val="0"/>
                <w:strike w:val="0"/>
                <w:dstrike w:val="0"/>
                <w:snapToGrid w:val="0"/>
                <w:color w:val="auto"/>
                <w:spacing w:val="0"/>
                <w:kern w:val="0"/>
                <w:sz w:val="24"/>
                <w:szCs w:val="24"/>
                <w:highlight w:val="none"/>
                <w:lang w:val="en-US" w:eastAsia="zh-CN"/>
              </w:rPr>
              <w:t>M3</w:t>
            </w:r>
            <w:r>
              <w:rPr>
                <w:rFonts w:hint="eastAsia" w:ascii="宋体" w:hAnsi="宋体" w:eastAsia="宋体" w:cs="宋体"/>
                <w:caps w:val="0"/>
                <w:smallCaps w:val="0"/>
                <w:strike w:val="0"/>
                <w:dstrike w:val="0"/>
                <w:snapToGrid w:val="0"/>
                <w:color w:val="auto"/>
                <w:spacing w:val="0"/>
                <w:kern w:val="0"/>
                <w:sz w:val="24"/>
                <w:szCs w:val="24"/>
                <w:highlight w:val="none"/>
                <w:lang w:eastAsia="zh-CN"/>
              </w:rPr>
              <w:t>，即当投标人的投标总价等于评标基准价时得满分，每高于评标基准价一个百分点扣</w:t>
            </w:r>
            <w:r>
              <w:rPr>
                <w:rFonts w:hint="eastAsia" w:ascii="宋体" w:hAnsi="宋体" w:eastAsia="宋体" w:cs="宋体"/>
                <w:caps w:val="0"/>
                <w:smallCaps w:val="0"/>
                <w:strike w:val="0"/>
                <w:dstrike w:val="0"/>
                <w:snapToGrid w:val="0"/>
                <w:color w:val="auto"/>
                <w:spacing w:val="0"/>
                <w:kern w:val="0"/>
                <w:sz w:val="24"/>
                <w:szCs w:val="24"/>
                <w:highlight w:val="none"/>
                <w:lang w:val="en-US" w:eastAsia="zh-CN"/>
              </w:rPr>
              <w:t>0.5</w:t>
            </w:r>
            <w:r>
              <w:rPr>
                <w:rFonts w:hint="eastAsia" w:ascii="宋体" w:hAnsi="宋体" w:eastAsia="宋体" w:cs="宋体"/>
                <w:caps w:val="0"/>
                <w:smallCaps w:val="0"/>
                <w:strike w:val="0"/>
                <w:dstrike w:val="0"/>
                <w:snapToGrid w:val="0"/>
                <w:color w:val="auto"/>
                <w:spacing w:val="0"/>
                <w:kern w:val="0"/>
                <w:sz w:val="24"/>
                <w:szCs w:val="24"/>
                <w:highlight w:val="none"/>
                <w:lang w:eastAsia="zh-CN"/>
              </w:rPr>
              <w:t>分,每低于评标基准价一个百分点扣</w:t>
            </w:r>
            <w:r>
              <w:rPr>
                <w:rFonts w:hint="eastAsia" w:ascii="宋体" w:hAnsi="宋体" w:eastAsia="宋体" w:cs="宋体"/>
                <w:caps w:val="0"/>
                <w:smallCaps w:val="0"/>
                <w:strike w:val="0"/>
                <w:dstrike w:val="0"/>
                <w:snapToGrid w:val="0"/>
                <w:color w:val="auto"/>
                <w:spacing w:val="0"/>
                <w:kern w:val="0"/>
                <w:sz w:val="24"/>
                <w:szCs w:val="24"/>
                <w:highlight w:val="none"/>
                <w:lang w:val="en-US" w:eastAsia="zh-CN"/>
              </w:rPr>
              <w:t>0.3</w:t>
            </w:r>
            <w:r>
              <w:rPr>
                <w:rFonts w:hint="eastAsia" w:ascii="宋体" w:hAnsi="宋体" w:eastAsia="宋体" w:cs="宋体"/>
                <w:caps w:val="0"/>
                <w:smallCaps w:val="0"/>
                <w:strike w:val="0"/>
                <w:dstrike w:val="0"/>
                <w:snapToGrid w:val="0"/>
                <w:color w:val="auto"/>
                <w:spacing w:val="0"/>
                <w:kern w:val="0"/>
                <w:sz w:val="24"/>
                <w:szCs w:val="24"/>
                <w:highlight w:val="none"/>
                <w:lang w:eastAsia="zh-CN"/>
              </w:rPr>
              <w:t>分，扣完为止。公式如下：</w:t>
            </w:r>
          </w:p>
          <w:p w14:paraId="147FE502">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eastAsia" w:ascii="宋体" w:hAnsi="宋体" w:eastAsia="宋体" w:cs="宋体"/>
                <w:caps w:val="0"/>
                <w:smallCaps w:val="0"/>
                <w:strike w:val="0"/>
                <w:dstrike w:val="0"/>
                <w:snapToGrid w:val="0"/>
                <w:color w:val="auto"/>
                <w:spacing w:val="0"/>
                <w:kern w:val="0"/>
                <w:sz w:val="24"/>
                <w:szCs w:val="24"/>
                <w:highlight w:val="none"/>
                <w:lang w:eastAsia="zh-CN"/>
              </w:rPr>
            </w:pPr>
            <w:r>
              <w:rPr>
                <w:rFonts w:hint="eastAsia" w:ascii="宋体" w:hAnsi="宋体" w:eastAsia="宋体" w:cs="宋体"/>
                <w:caps w:val="0"/>
                <w:smallCaps w:val="0"/>
                <w:strike w:val="0"/>
                <w:dstrike w:val="0"/>
                <w:snapToGrid w:val="0"/>
                <w:color w:val="auto"/>
                <w:spacing w:val="0"/>
                <w:kern w:val="0"/>
                <w:sz w:val="24"/>
                <w:szCs w:val="24"/>
                <w:highlight w:val="none"/>
                <w:lang w:val="en-US" w:eastAsia="zh-CN"/>
              </w:rPr>
              <w:t>M3</w:t>
            </w:r>
            <w:r>
              <w:rPr>
                <w:rFonts w:hint="eastAsia" w:ascii="宋体" w:hAnsi="宋体" w:eastAsia="宋体" w:cs="宋体"/>
                <w:caps w:val="0"/>
                <w:smallCaps w:val="0"/>
                <w:strike w:val="0"/>
                <w:dstrike w:val="0"/>
                <w:snapToGrid w:val="0"/>
                <w:color w:val="auto"/>
                <w:spacing w:val="0"/>
                <w:kern w:val="0"/>
                <w:sz w:val="24"/>
                <w:szCs w:val="24"/>
                <w:highlight w:val="none"/>
                <w:lang w:eastAsia="zh-CN"/>
              </w:rPr>
              <w:t>＝投标报价满分－（|Di－D|÷D）×100×E</w:t>
            </w:r>
          </w:p>
          <w:p w14:paraId="4C5E225D">
            <w:pPr>
              <w:pStyle w:val="38"/>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auto"/>
              <w:outlineLvl w:val="9"/>
              <w:rPr>
                <w:rFonts w:hint="eastAsia" w:ascii="Times New Roman"/>
                <w:color w:val="auto"/>
                <w:kern w:val="0"/>
                <w:sz w:val="24"/>
                <w:szCs w:val="24"/>
                <w:highlight w:val="none"/>
              </w:rPr>
            </w:pPr>
            <w:r>
              <w:rPr>
                <w:rFonts w:hint="eastAsia" w:ascii="宋体" w:hAnsi="宋体" w:eastAsia="宋体" w:cs="宋体"/>
                <w:caps w:val="0"/>
                <w:smallCaps w:val="0"/>
                <w:strike w:val="0"/>
                <w:dstrike w:val="0"/>
                <w:snapToGrid w:val="0"/>
                <w:color w:val="auto"/>
                <w:spacing w:val="0"/>
                <w:kern w:val="0"/>
                <w:sz w:val="24"/>
                <w:szCs w:val="24"/>
                <w:highlight w:val="none"/>
                <w:lang w:eastAsia="zh-CN"/>
              </w:rPr>
              <w:t>式中：D为评标基准价，Di为某投标人的投标总价；E为扣分因子。当Di＞D时，E＝</w:t>
            </w:r>
            <w:r>
              <w:rPr>
                <w:rFonts w:hint="eastAsia" w:ascii="宋体" w:hAnsi="宋体" w:eastAsia="宋体" w:cs="宋体"/>
                <w:caps w:val="0"/>
                <w:smallCaps w:val="0"/>
                <w:strike w:val="0"/>
                <w:dstrike w:val="0"/>
                <w:snapToGrid w:val="0"/>
                <w:color w:val="auto"/>
                <w:spacing w:val="0"/>
                <w:kern w:val="0"/>
                <w:sz w:val="24"/>
                <w:szCs w:val="24"/>
                <w:highlight w:val="none"/>
                <w:lang w:val="en-US" w:eastAsia="zh-CN"/>
              </w:rPr>
              <w:t>0.5</w:t>
            </w:r>
            <w:r>
              <w:rPr>
                <w:rFonts w:hint="eastAsia" w:ascii="宋体" w:hAnsi="宋体" w:eastAsia="宋体" w:cs="宋体"/>
                <w:caps w:val="0"/>
                <w:smallCaps w:val="0"/>
                <w:strike w:val="0"/>
                <w:dstrike w:val="0"/>
                <w:snapToGrid w:val="0"/>
                <w:color w:val="auto"/>
                <w:spacing w:val="0"/>
                <w:kern w:val="0"/>
                <w:sz w:val="24"/>
                <w:szCs w:val="24"/>
                <w:highlight w:val="none"/>
                <w:lang w:eastAsia="zh-CN"/>
              </w:rPr>
              <w:t>；当Di＜D时，E＝</w:t>
            </w:r>
            <w:r>
              <w:rPr>
                <w:rFonts w:hint="eastAsia" w:ascii="宋体" w:hAnsi="宋体" w:eastAsia="宋体" w:cs="宋体"/>
                <w:caps w:val="0"/>
                <w:smallCaps w:val="0"/>
                <w:strike w:val="0"/>
                <w:dstrike w:val="0"/>
                <w:snapToGrid w:val="0"/>
                <w:color w:val="auto"/>
                <w:spacing w:val="0"/>
                <w:kern w:val="0"/>
                <w:sz w:val="24"/>
                <w:szCs w:val="24"/>
                <w:highlight w:val="none"/>
                <w:lang w:val="en-US" w:eastAsia="zh-CN"/>
              </w:rPr>
              <w:t>0.3</w:t>
            </w:r>
            <w:r>
              <w:rPr>
                <w:rFonts w:hint="eastAsia" w:ascii="宋体" w:hAnsi="宋体" w:eastAsia="宋体" w:cs="宋体"/>
                <w:caps w:val="0"/>
                <w:smallCaps w:val="0"/>
                <w:strike w:val="0"/>
                <w:dstrike w:val="0"/>
                <w:snapToGrid w:val="0"/>
                <w:color w:val="auto"/>
                <w:spacing w:val="0"/>
                <w:kern w:val="0"/>
                <w:sz w:val="24"/>
                <w:szCs w:val="24"/>
                <w:highlight w:val="none"/>
                <w:lang w:eastAsia="zh-CN"/>
              </w:rPr>
              <w:t>。</w:t>
            </w:r>
          </w:p>
        </w:tc>
      </w:tr>
      <w:tr w14:paraId="77F93DF2">
        <w:tblPrEx>
          <w:tblCellMar>
            <w:top w:w="0" w:type="dxa"/>
            <w:left w:w="108" w:type="dxa"/>
            <w:bottom w:w="0" w:type="dxa"/>
            <w:right w:w="108" w:type="dxa"/>
          </w:tblCellMar>
        </w:tblPrEx>
        <w:trPr>
          <w:trHeight w:val="831" w:hRule="atLeast"/>
          <w:jc w:val="center"/>
        </w:trPr>
        <w:tc>
          <w:tcPr>
            <w:tcW w:w="1404" w:type="dxa"/>
            <w:tcBorders>
              <w:top w:val="single" w:color="000000" w:sz="4" w:space="0"/>
              <w:left w:val="single" w:color="000000" w:sz="4" w:space="0"/>
              <w:bottom w:val="single" w:color="000000" w:sz="4" w:space="0"/>
              <w:right w:val="single" w:color="000000" w:sz="4" w:space="0"/>
            </w:tcBorders>
            <w:noWrap w:val="0"/>
            <w:vAlign w:val="center"/>
          </w:tcPr>
          <w:p w14:paraId="208CB8A0">
            <w:pPr>
              <w:wordWrap w:val="0"/>
              <w:snapToGrid w:val="0"/>
              <w:spacing w:line="400" w:lineRule="exact"/>
              <w:jc w:val="center"/>
              <w:rPr>
                <w:rFonts w:hint="eastAsia"/>
                <w:color w:val="auto"/>
                <w:kern w:val="0"/>
                <w:sz w:val="24"/>
                <w:szCs w:val="24"/>
                <w:highlight w:val="none"/>
              </w:rPr>
            </w:pPr>
            <w:r>
              <w:rPr>
                <w:rFonts w:hint="eastAsia" w:hAnsi="宋体" w:cs="宋体"/>
                <w:b/>
                <w:bCs/>
                <w:color w:val="auto"/>
                <w:sz w:val="24"/>
                <w:szCs w:val="24"/>
                <w:highlight w:val="none"/>
              </w:rPr>
              <w:t>总计100分</w:t>
            </w:r>
          </w:p>
        </w:tc>
        <w:tc>
          <w:tcPr>
            <w:tcW w:w="8755" w:type="dxa"/>
            <w:gridSpan w:val="2"/>
            <w:tcBorders>
              <w:top w:val="single" w:color="000000" w:sz="4" w:space="0"/>
              <w:left w:val="single" w:color="000000" w:sz="4" w:space="0"/>
              <w:bottom w:val="single" w:color="000000" w:sz="4" w:space="0"/>
              <w:right w:val="single" w:color="000000" w:sz="4" w:space="0"/>
            </w:tcBorders>
            <w:noWrap w:val="0"/>
            <w:vAlign w:val="center"/>
          </w:tcPr>
          <w:p w14:paraId="7BC316B2">
            <w:pPr>
              <w:wordWrap w:val="0"/>
              <w:snapToGrid w:val="0"/>
              <w:spacing w:line="400" w:lineRule="exact"/>
              <w:ind w:firstLine="482" w:firstLineChars="200"/>
              <w:jc w:val="left"/>
              <w:rPr>
                <w:rFonts w:hint="eastAsia" w:ascii="Times New Roman"/>
                <w:color w:val="auto"/>
                <w:kern w:val="0"/>
                <w:sz w:val="24"/>
                <w:szCs w:val="24"/>
                <w:highlight w:val="none"/>
              </w:rPr>
            </w:pPr>
            <w:r>
              <w:rPr>
                <w:rFonts w:hint="eastAsia" w:ascii="Times New Roman"/>
                <w:b/>
                <w:bCs/>
                <w:color w:val="auto"/>
                <w:kern w:val="0"/>
                <w:sz w:val="24"/>
                <w:szCs w:val="24"/>
                <w:highlight w:val="none"/>
              </w:rPr>
              <w:t>商务部分（</w:t>
            </w:r>
            <w:r>
              <w:rPr>
                <w:rFonts w:hint="eastAsia" w:ascii="Times New Roman"/>
                <w:b/>
                <w:bCs/>
                <w:color w:val="auto"/>
                <w:kern w:val="0"/>
                <w:sz w:val="24"/>
                <w:szCs w:val="24"/>
                <w:highlight w:val="none"/>
                <w:lang w:val="en-US" w:eastAsia="zh-CN"/>
              </w:rPr>
              <w:t>60</w:t>
            </w:r>
            <w:r>
              <w:rPr>
                <w:rFonts w:hint="eastAsia" w:ascii="Times New Roman"/>
                <w:b/>
                <w:bCs/>
                <w:color w:val="auto"/>
                <w:kern w:val="0"/>
                <w:sz w:val="24"/>
                <w:szCs w:val="24"/>
                <w:highlight w:val="none"/>
              </w:rPr>
              <w:t>分）＋技术部分（</w:t>
            </w:r>
            <w:r>
              <w:rPr>
                <w:rFonts w:hint="eastAsia" w:ascii="Times New Roman"/>
                <w:b/>
                <w:bCs/>
                <w:color w:val="auto"/>
                <w:kern w:val="0"/>
                <w:sz w:val="24"/>
                <w:szCs w:val="24"/>
                <w:highlight w:val="none"/>
                <w:lang w:val="en-US" w:eastAsia="zh-CN"/>
              </w:rPr>
              <w:t>20</w:t>
            </w:r>
            <w:r>
              <w:rPr>
                <w:rFonts w:hint="eastAsia" w:ascii="Times New Roman"/>
                <w:b/>
                <w:bCs/>
                <w:color w:val="auto"/>
                <w:kern w:val="0"/>
                <w:sz w:val="24"/>
                <w:szCs w:val="24"/>
                <w:highlight w:val="none"/>
              </w:rPr>
              <w:t>分）＋投标报价部分（</w:t>
            </w:r>
            <w:r>
              <w:rPr>
                <w:rFonts w:hint="eastAsia" w:ascii="Times New Roman"/>
                <w:b/>
                <w:bCs/>
                <w:color w:val="auto"/>
                <w:kern w:val="0"/>
                <w:sz w:val="24"/>
                <w:szCs w:val="24"/>
                <w:highlight w:val="none"/>
                <w:lang w:val="en-US" w:eastAsia="zh-CN"/>
              </w:rPr>
              <w:t>20</w:t>
            </w:r>
            <w:r>
              <w:rPr>
                <w:rFonts w:hint="eastAsia" w:ascii="Times New Roman"/>
                <w:b/>
                <w:bCs/>
                <w:color w:val="auto"/>
                <w:kern w:val="0"/>
                <w:sz w:val="24"/>
                <w:szCs w:val="24"/>
                <w:highlight w:val="none"/>
              </w:rPr>
              <w:t>分）</w:t>
            </w:r>
          </w:p>
        </w:tc>
      </w:tr>
    </w:tbl>
    <w:p w14:paraId="47C0D31E">
      <w:pPr>
        <w:widowControl w:val="0"/>
        <w:shd w:val="clear" w:color="auto" w:fill="auto"/>
        <w:adjustRightInd w:val="0"/>
        <w:spacing w:line="360" w:lineRule="atLeast"/>
        <w:jc w:val="left"/>
        <w:textAlignment w:val="baseline"/>
        <w:rPr>
          <w:rFonts w:ascii="宋体" w:hAnsi="Times New Roman" w:eastAsia="宋体" w:cs="Times New Roman"/>
          <w:color w:val="auto"/>
          <w:kern w:val="0"/>
          <w:sz w:val="24"/>
          <w:highlight w:val="none"/>
          <w:lang w:val="en-US" w:eastAsia="zh-CN" w:bidi="ar-SA"/>
        </w:rPr>
      </w:pPr>
    </w:p>
    <w:p w14:paraId="6AD3E3EE">
      <w:pPr>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snapToGrid w:val="0"/>
          <w:color w:val="auto"/>
          <w:kern w:val="0"/>
          <w:sz w:val="24"/>
          <w:szCs w:val="16"/>
          <w:highlight w:val="none"/>
        </w:rPr>
      </w:pPr>
      <w:r>
        <w:rPr>
          <w:rFonts w:hint="eastAsia" w:ascii="宋体" w:hAnsi="宋体" w:eastAsia="宋体" w:cs="宋体"/>
          <w:b w:val="0"/>
          <w:bCs w:val="0"/>
          <w:snapToGrid w:val="0"/>
          <w:color w:val="auto"/>
          <w:kern w:val="0"/>
          <w:sz w:val="24"/>
          <w:szCs w:val="16"/>
          <w:highlight w:val="none"/>
        </w:rPr>
        <w:t>注：1.评分如出现小数点，则保留小数点后两位，第三位四舍五入。</w:t>
      </w:r>
    </w:p>
    <w:p w14:paraId="01BCB984">
      <w:pPr>
        <w:shd w:val="clear" w:color="auto" w:fill="auto"/>
        <w:wordWrap w:val="0"/>
        <w:adjustRightInd w:val="0"/>
        <w:snapToGrid w:val="0"/>
        <w:spacing w:line="440" w:lineRule="exact"/>
        <w:jc w:val="both"/>
        <w:rPr>
          <w:rFonts w:hint="eastAsia" w:ascii="Times New Roman"/>
          <w:b/>
          <w:bCs/>
          <w:snapToGrid w:val="0"/>
          <w:color w:val="auto"/>
          <w:kern w:val="0"/>
          <w:sz w:val="30"/>
          <w:highlight w:val="none"/>
        </w:rPr>
      </w:pPr>
      <w:r>
        <w:rPr>
          <w:rFonts w:hint="eastAsia" w:ascii="Times New Roman"/>
          <w:b/>
          <w:bCs/>
          <w:snapToGrid w:val="0"/>
          <w:color w:val="auto"/>
          <w:kern w:val="0"/>
          <w:sz w:val="30"/>
          <w:highlight w:val="none"/>
        </w:rPr>
        <w:br w:type="page"/>
      </w:r>
    </w:p>
    <w:p w14:paraId="2AEDDB4A">
      <w:pPr>
        <w:shd w:val="clear" w:color="auto" w:fill="auto"/>
        <w:wordWrap w:val="0"/>
        <w:adjustRightInd w:val="0"/>
        <w:snapToGrid w:val="0"/>
        <w:spacing w:line="440" w:lineRule="exact"/>
        <w:jc w:val="center"/>
        <w:rPr>
          <w:rFonts w:hint="eastAsia" w:ascii="Times New Roman" w:hAnsi="Times New Roman" w:eastAsia="宋体" w:cs="Times New Roman"/>
          <w:b/>
          <w:bCs/>
          <w:snapToGrid w:val="0"/>
          <w:color w:val="auto"/>
          <w:kern w:val="0"/>
          <w:sz w:val="36"/>
          <w:szCs w:val="36"/>
          <w:highlight w:val="none"/>
        </w:rPr>
      </w:pPr>
      <w:r>
        <w:rPr>
          <w:rFonts w:hint="eastAsia" w:ascii="Times New Roman" w:hAnsi="Times New Roman" w:eastAsia="宋体" w:cs="Times New Roman"/>
          <w:b/>
          <w:bCs/>
          <w:snapToGrid w:val="0"/>
          <w:color w:val="auto"/>
          <w:kern w:val="0"/>
          <w:sz w:val="36"/>
          <w:szCs w:val="36"/>
          <w:highlight w:val="none"/>
        </w:rPr>
        <w:t>表2 项目监理机构其他人员需求表</w:t>
      </w:r>
    </w:p>
    <w:p w14:paraId="3B34D97A">
      <w:pPr>
        <w:pStyle w:val="29"/>
        <w:shd w:val="clear" w:color="auto" w:fill="auto"/>
        <w:rPr>
          <w:color w:val="auto"/>
          <w:highlight w:val="none"/>
        </w:rPr>
      </w:pPr>
    </w:p>
    <w:tbl>
      <w:tblPr>
        <w:tblStyle w:val="24"/>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445"/>
        <w:gridCol w:w="804"/>
        <w:gridCol w:w="5619"/>
      </w:tblGrid>
      <w:tr w14:paraId="62A6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exact"/>
        </w:trPr>
        <w:tc>
          <w:tcPr>
            <w:tcW w:w="9095" w:type="dxa"/>
            <w:gridSpan w:val="4"/>
            <w:noWrap w:val="0"/>
            <w:vAlign w:val="center"/>
          </w:tcPr>
          <w:p w14:paraId="6B5E2370">
            <w:pPr>
              <w:pStyle w:val="43"/>
              <w:wordWrap w:val="0"/>
              <w:adjustRightInd w:val="0"/>
              <w:snapToGrid w:val="0"/>
              <w:spacing w:line="360" w:lineRule="exact"/>
              <w:jc w:val="left"/>
              <w:rPr>
                <w:rFonts w:hint="eastAsia" w:ascii="黑体" w:hAnsi="黑体" w:eastAsia="黑体"/>
                <w:snapToGrid w:val="0"/>
                <w:color w:val="auto"/>
                <w:kern w:val="0"/>
                <w:sz w:val="24"/>
                <w:highlight w:val="none"/>
              </w:rPr>
            </w:pPr>
            <w:r>
              <w:rPr>
                <w:rFonts w:hint="eastAsia" w:ascii="黑体" w:hAnsi="黑体" w:eastAsia="黑体"/>
                <w:snapToGrid w:val="0"/>
                <w:color w:val="auto"/>
                <w:kern w:val="0"/>
                <w:sz w:val="24"/>
                <w:highlight w:val="none"/>
              </w:rPr>
              <w:t>监理人员：共</w:t>
            </w:r>
            <w:r>
              <w:rPr>
                <w:rFonts w:hint="eastAsia" w:ascii="黑体" w:hAnsi="黑体" w:eastAsia="黑体"/>
                <w:snapToGrid w:val="0"/>
                <w:color w:val="auto"/>
                <w:kern w:val="0"/>
                <w:sz w:val="24"/>
                <w:highlight w:val="none"/>
                <w:u w:val="single"/>
              </w:rPr>
              <w:t xml:space="preserve"> </w:t>
            </w:r>
            <w:r>
              <w:rPr>
                <w:rFonts w:hint="eastAsia" w:ascii="黑体" w:hAnsi="黑体" w:eastAsia="黑体"/>
                <w:snapToGrid w:val="0"/>
                <w:color w:val="auto"/>
                <w:kern w:val="0"/>
                <w:sz w:val="24"/>
                <w:highlight w:val="none"/>
                <w:u w:val="single"/>
                <w:lang w:val="en-US" w:eastAsia="zh-CN"/>
              </w:rPr>
              <w:t>4</w:t>
            </w:r>
            <w:r>
              <w:rPr>
                <w:rFonts w:hint="eastAsia" w:ascii="黑体" w:hAnsi="黑体" w:eastAsia="黑体"/>
                <w:snapToGrid w:val="0"/>
                <w:color w:val="auto"/>
                <w:kern w:val="0"/>
                <w:sz w:val="24"/>
                <w:highlight w:val="none"/>
              </w:rPr>
              <w:t>人</w:t>
            </w:r>
          </w:p>
        </w:tc>
      </w:tr>
      <w:tr w14:paraId="05D6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1227" w:type="dxa"/>
            <w:noWrap w:val="0"/>
            <w:vAlign w:val="center"/>
          </w:tcPr>
          <w:p w14:paraId="6118C4D5">
            <w:pPr>
              <w:pStyle w:val="43"/>
              <w:wordWrap w:val="0"/>
              <w:adjustRightInd w:val="0"/>
              <w:snapToGrid w:val="0"/>
              <w:spacing w:line="300" w:lineRule="exact"/>
              <w:jc w:val="center"/>
              <w:rPr>
                <w:rFonts w:hint="eastAsia" w:ascii="黑体" w:hAnsi="黑体" w:eastAsia="黑体"/>
                <w:snapToGrid w:val="0"/>
                <w:color w:val="auto"/>
                <w:kern w:val="0"/>
                <w:sz w:val="24"/>
                <w:highlight w:val="none"/>
              </w:rPr>
            </w:pPr>
            <w:r>
              <w:rPr>
                <w:rFonts w:hint="eastAsia" w:ascii="黑体" w:hAnsi="黑体" w:eastAsia="黑体"/>
                <w:snapToGrid w:val="0"/>
                <w:color w:val="auto"/>
                <w:kern w:val="0"/>
                <w:sz w:val="24"/>
                <w:highlight w:val="none"/>
              </w:rPr>
              <w:t>职务</w:t>
            </w:r>
          </w:p>
        </w:tc>
        <w:tc>
          <w:tcPr>
            <w:tcW w:w="1445" w:type="dxa"/>
            <w:noWrap w:val="0"/>
            <w:vAlign w:val="center"/>
          </w:tcPr>
          <w:p w14:paraId="7091E858">
            <w:pPr>
              <w:pStyle w:val="43"/>
              <w:wordWrap w:val="0"/>
              <w:adjustRightInd w:val="0"/>
              <w:snapToGrid w:val="0"/>
              <w:spacing w:line="300" w:lineRule="exact"/>
              <w:jc w:val="center"/>
              <w:rPr>
                <w:rFonts w:hint="eastAsia" w:ascii="黑体" w:hAnsi="黑体" w:eastAsia="黑体"/>
                <w:snapToGrid w:val="0"/>
                <w:color w:val="auto"/>
                <w:kern w:val="0"/>
                <w:sz w:val="24"/>
                <w:highlight w:val="none"/>
              </w:rPr>
            </w:pPr>
            <w:r>
              <w:rPr>
                <w:rFonts w:hint="eastAsia" w:ascii="黑体" w:hAnsi="黑体" w:eastAsia="黑体"/>
                <w:snapToGrid w:val="0"/>
                <w:color w:val="auto"/>
                <w:kern w:val="0"/>
                <w:sz w:val="24"/>
                <w:highlight w:val="none"/>
              </w:rPr>
              <w:t>专业要求</w:t>
            </w:r>
          </w:p>
        </w:tc>
        <w:tc>
          <w:tcPr>
            <w:tcW w:w="804" w:type="dxa"/>
            <w:noWrap w:val="0"/>
            <w:vAlign w:val="center"/>
          </w:tcPr>
          <w:p w14:paraId="6AB91346">
            <w:pPr>
              <w:pStyle w:val="43"/>
              <w:wordWrap w:val="0"/>
              <w:adjustRightInd w:val="0"/>
              <w:snapToGrid w:val="0"/>
              <w:spacing w:line="300" w:lineRule="exact"/>
              <w:jc w:val="center"/>
              <w:rPr>
                <w:rFonts w:hint="eastAsia" w:ascii="黑体" w:hAnsi="黑体" w:eastAsia="黑体"/>
                <w:snapToGrid w:val="0"/>
                <w:color w:val="auto"/>
                <w:kern w:val="0"/>
                <w:sz w:val="24"/>
                <w:highlight w:val="none"/>
              </w:rPr>
            </w:pPr>
            <w:r>
              <w:rPr>
                <w:rFonts w:hint="eastAsia" w:ascii="黑体" w:hAnsi="黑体" w:eastAsia="黑体"/>
                <w:snapToGrid w:val="0"/>
                <w:color w:val="auto"/>
                <w:kern w:val="0"/>
                <w:sz w:val="24"/>
                <w:highlight w:val="none"/>
              </w:rPr>
              <w:t>数量</w:t>
            </w:r>
          </w:p>
          <w:p w14:paraId="34A18F26">
            <w:pPr>
              <w:pStyle w:val="43"/>
              <w:wordWrap w:val="0"/>
              <w:adjustRightInd w:val="0"/>
              <w:snapToGrid w:val="0"/>
              <w:spacing w:line="300" w:lineRule="exact"/>
              <w:jc w:val="center"/>
              <w:rPr>
                <w:rFonts w:hint="eastAsia" w:ascii="黑体" w:hAnsi="黑体" w:eastAsia="黑体"/>
                <w:snapToGrid w:val="0"/>
                <w:color w:val="auto"/>
                <w:kern w:val="0"/>
                <w:sz w:val="24"/>
                <w:highlight w:val="none"/>
              </w:rPr>
            </w:pPr>
            <w:r>
              <w:rPr>
                <w:rFonts w:hint="eastAsia" w:ascii="黑体" w:hAnsi="黑体" w:eastAsia="黑体"/>
                <w:snapToGrid w:val="0"/>
                <w:color w:val="auto"/>
                <w:kern w:val="0"/>
                <w:sz w:val="24"/>
                <w:highlight w:val="none"/>
              </w:rPr>
              <w:t>要求</w:t>
            </w:r>
          </w:p>
        </w:tc>
        <w:tc>
          <w:tcPr>
            <w:tcW w:w="5619" w:type="dxa"/>
            <w:noWrap w:val="0"/>
            <w:vAlign w:val="center"/>
          </w:tcPr>
          <w:p w14:paraId="344042ED">
            <w:pPr>
              <w:pStyle w:val="43"/>
              <w:wordWrap w:val="0"/>
              <w:adjustRightInd w:val="0"/>
              <w:snapToGrid w:val="0"/>
              <w:spacing w:line="300" w:lineRule="exact"/>
              <w:jc w:val="center"/>
              <w:rPr>
                <w:rFonts w:hint="eastAsia" w:ascii="黑体" w:hAnsi="黑体" w:eastAsia="黑体"/>
                <w:snapToGrid w:val="0"/>
                <w:color w:val="auto"/>
                <w:kern w:val="0"/>
                <w:sz w:val="24"/>
                <w:highlight w:val="none"/>
              </w:rPr>
            </w:pPr>
            <w:r>
              <w:rPr>
                <w:rFonts w:hint="eastAsia" w:ascii="黑体" w:hAnsi="黑体" w:eastAsia="黑体"/>
                <w:snapToGrid w:val="0"/>
                <w:color w:val="auto"/>
                <w:kern w:val="0"/>
                <w:sz w:val="24"/>
                <w:highlight w:val="none"/>
              </w:rPr>
              <w:t>持证要求</w:t>
            </w:r>
          </w:p>
        </w:tc>
      </w:tr>
      <w:tr w14:paraId="4E17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8" w:hRule="atLeast"/>
        </w:trPr>
        <w:tc>
          <w:tcPr>
            <w:tcW w:w="1227" w:type="dxa"/>
            <w:noWrap w:val="0"/>
            <w:vAlign w:val="center"/>
          </w:tcPr>
          <w:p w14:paraId="0F9809FD">
            <w:pPr>
              <w:pStyle w:val="43"/>
              <w:wordWrap w:val="0"/>
              <w:adjustRightInd w:val="0"/>
              <w:snapToGrid w:val="0"/>
              <w:spacing w:line="360" w:lineRule="exact"/>
              <w:jc w:val="center"/>
              <w:rPr>
                <w:rFonts w:hint="eastAsia"/>
                <w:snapToGrid w:val="0"/>
                <w:color w:val="auto"/>
                <w:kern w:val="0"/>
                <w:sz w:val="24"/>
                <w:highlight w:val="none"/>
              </w:rPr>
            </w:pPr>
            <w:r>
              <w:rPr>
                <w:rFonts w:hint="eastAsia"/>
                <w:snapToGrid w:val="0"/>
                <w:color w:val="auto"/>
                <w:kern w:val="0"/>
                <w:sz w:val="24"/>
                <w:highlight w:val="none"/>
              </w:rPr>
              <w:t>专业监理工程师</w:t>
            </w:r>
          </w:p>
        </w:tc>
        <w:tc>
          <w:tcPr>
            <w:tcW w:w="1445" w:type="dxa"/>
            <w:noWrap w:val="0"/>
            <w:vAlign w:val="center"/>
          </w:tcPr>
          <w:p w14:paraId="5A96F59B">
            <w:pPr>
              <w:pStyle w:val="57"/>
              <w:spacing w:line="380" w:lineRule="exact"/>
              <w:jc w:val="center"/>
              <w:rPr>
                <w:rFonts w:hint="eastAsia" w:hAnsi="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市政公用</w:t>
            </w:r>
          </w:p>
          <w:p w14:paraId="4951A42B">
            <w:pPr>
              <w:pStyle w:val="57"/>
              <w:spacing w:line="380" w:lineRule="exact"/>
              <w:jc w:val="center"/>
              <w:rPr>
                <w:rFonts w:hint="eastAsia" w:ascii="宋体" w:hAnsi="宋体" w:eastAsia="宋体" w:cs="Times New Roman"/>
                <w:snapToGrid w:val="0"/>
                <w:color w:val="auto"/>
                <w:kern w:val="0"/>
                <w:sz w:val="24"/>
                <w:szCs w:val="24"/>
                <w:highlight w:val="none"/>
                <w:lang w:val="en-US" w:eastAsia="zh-CN" w:bidi="ar-SA"/>
              </w:rPr>
            </w:pPr>
            <w:r>
              <w:rPr>
                <w:rFonts w:hint="eastAsia" w:hAnsi="宋体" w:cs="宋体"/>
                <w:snapToGrid w:val="0"/>
                <w:color w:val="auto"/>
                <w:kern w:val="0"/>
                <w:szCs w:val="24"/>
                <w:highlight w:val="none"/>
                <w:lang w:val="en-US" w:eastAsia="zh-CN"/>
              </w:rPr>
              <w:t>工程</w:t>
            </w:r>
          </w:p>
        </w:tc>
        <w:tc>
          <w:tcPr>
            <w:tcW w:w="804" w:type="dxa"/>
            <w:noWrap w:val="0"/>
            <w:vAlign w:val="center"/>
          </w:tcPr>
          <w:p w14:paraId="235D830F">
            <w:pPr>
              <w:pStyle w:val="43"/>
              <w:adjustRightInd w:val="0"/>
              <w:snapToGrid w:val="0"/>
              <w:spacing w:line="360" w:lineRule="exact"/>
              <w:jc w:val="center"/>
              <w:rPr>
                <w:rFonts w:hint="default" w:ascii="宋体" w:hAnsi="宋体" w:eastAsia="宋体" w:cs="Times New Roman"/>
                <w:snapToGrid w:val="0"/>
                <w:color w:val="auto"/>
                <w:kern w:val="0"/>
                <w:sz w:val="24"/>
                <w:szCs w:val="24"/>
                <w:highlight w:val="none"/>
                <w:lang w:val="en-US" w:eastAsia="zh-CN" w:bidi="ar-SA"/>
              </w:rPr>
            </w:pPr>
            <w:r>
              <w:rPr>
                <w:rFonts w:hint="eastAsia" w:ascii="宋体" w:hAnsi="宋体" w:cs="Times New Roman"/>
                <w:snapToGrid w:val="0"/>
                <w:color w:val="auto"/>
                <w:kern w:val="0"/>
                <w:sz w:val="24"/>
                <w:szCs w:val="24"/>
                <w:highlight w:val="none"/>
                <w:lang w:val="en-US" w:eastAsia="zh-CN" w:bidi="ar-SA"/>
              </w:rPr>
              <w:t>3</w:t>
            </w:r>
          </w:p>
        </w:tc>
        <w:tc>
          <w:tcPr>
            <w:tcW w:w="5619" w:type="dxa"/>
            <w:noWrap w:val="0"/>
            <w:vAlign w:val="center"/>
          </w:tcPr>
          <w:p w14:paraId="2306A5CD">
            <w:pPr>
              <w:pStyle w:val="43"/>
              <w:wordWrap w:val="0"/>
              <w:adjustRightInd w:val="0"/>
              <w:snapToGrid w:val="0"/>
              <w:spacing w:line="360" w:lineRule="exact"/>
              <w:rPr>
                <w:rFonts w:hint="eastAsia"/>
                <w:snapToGrid w:val="0"/>
                <w:color w:val="auto"/>
                <w:kern w:val="0"/>
                <w:sz w:val="24"/>
                <w:highlight w:val="none"/>
              </w:rPr>
            </w:pPr>
            <w:r>
              <w:rPr>
                <w:rFonts w:hint="eastAsia"/>
                <w:snapToGrid w:val="0"/>
                <w:color w:val="auto"/>
                <w:kern w:val="0"/>
                <w:sz w:val="24"/>
                <w:highlight w:val="none"/>
              </w:rPr>
              <w:t>符合以下3种情形之一均可：</w:t>
            </w:r>
          </w:p>
          <w:p w14:paraId="0AC743AF">
            <w:pPr>
              <w:pStyle w:val="43"/>
              <w:wordWrap w:val="0"/>
              <w:adjustRightInd w:val="0"/>
              <w:snapToGrid w:val="0"/>
              <w:spacing w:line="360" w:lineRule="exact"/>
              <w:rPr>
                <w:rFonts w:hint="eastAsia"/>
                <w:snapToGrid w:val="0"/>
                <w:color w:val="auto"/>
                <w:kern w:val="0"/>
                <w:sz w:val="24"/>
                <w:highlight w:val="none"/>
              </w:rPr>
            </w:pPr>
            <w:r>
              <w:rPr>
                <w:rFonts w:hint="eastAsia"/>
                <w:snapToGrid w:val="0"/>
                <w:color w:val="auto"/>
                <w:kern w:val="0"/>
                <w:sz w:val="24"/>
                <w:highlight w:val="none"/>
              </w:rPr>
              <w:t>1．具备注册监理工程师执业资格，持有效的注册证书；</w:t>
            </w:r>
          </w:p>
          <w:p w14:paraId="213AF9EF">
            <w:pPr>
              <w:pStyle w:val="43"/>
              <w:wordWrap w:val="0"/>
              <w:adjustRightInd w:val="0"/>
              <w:snapToGrid w:val="0"/>
              <w:spacing w:line="360" w:lineRule="exact"/>
              <w:rPr>
                <w:rFonts w:hint="eastAsia"/>
                <w:snapToGrid w:val="0"/>
                <w:color w:val="auto"/>
                <w:kern w:val="0"/>
                <w:sz w:val="24"/>
                <w:highlight w:val="none"/>
              </w:rPr>
            </w:pPr>
            <w:r>
              <w:rPr>
                <w:rFonts w:hint="eastAsia"/>
                <w:snapToGrid w:val="0"/>
                <w:color w:val="auto"/>
                <w:kern w:val="0"/>
                <w:sz w:val="24"/>
                <w:highlight w:val="none"/>
              </w:rPr>
              <w:t>2．具备工程类注册执业资格，并经监理业务培训。持有效的注册证书、省级建设行政主管部门或其授权的组织（机构）颁发的岗位证书；</w:t>
            </w:r>
          </w:p>
          <w:p w14:paraId="6C98FE86">
            <w:pPr>
              <w:pStyle w:val="43"/>
              <w:wordWrap w:val="0"/>
              <w:adjustRightInd w:val="0"/>
              <w:snapToGrid w:val="0"/>
              <w:spacing w:line="360" w:lineRule="exact"/>
              <w:rPr>
                <w:rFonts w:hint="eastAsia"/>
                <w:snapToGrid w:val="0"/>
                <w:color w:val="auto"/>
                <w:kern w:val="0"/>
                <w:sz w:val="24"/>
                <w:highlight w:val="none"/>
              </w:rPr>
            </w:pPr>
            <w:r>
              <w:rPr>
                <w:rFonts w:hint="eastAsia"/>
                <w:snapToGrid w:val="0"/>
                <w:color w:val="auto"/>
                <w:kern w:val="0"/>
                <w:sz w:val="24"/>
                <w:highlight w:val="none"/>
              </w:rPr>
              <w:t>3．具备中级及以上专业技术职称，并经监理业务培训。持有效的职称证书、省级建设行政主管部门或其授权的组织（机构）颁发的岗位证书。</w:t>
            </w:r>
          </w:p>
          <w:p w14:paraId="54F46DE2">
            <w:pPr>
              <w:pStyle w:val="43"/>
              <w:wordWrap w:val="0"/>
              <w:adjustRightInd w:val="0"/>
              <w:snapToGrid w:val="0"/>
              <w:spacing w:line="360" w:lineRule="exact"/>
              <w:rPr>
                <w:rFonts w:hint="eastAsia"/>
                <w:snapToGrid w:val="0"/>
                <w:color w:val="auto"/>
                <w:kern w:val="0"/>
                <w:sz w:val="24"/>
                <w:highlight w:val="none"/>
              </w:rPr>
            </w:pPr>
            <w:r>
              <w:rPr>
                <w:rFonts w:hint="eastAsia"/>
                <w:snapToGrid w:val="0"/>
                <w:color w:val="auto"/>
                <w:kern w:val="0"/>
                <w:sz w:val="24"/>
                <w:highlight w:val="none"/>
              </w:rPr>
              <w:t>注：专业类别以注册执业证书或专业监理工程师证书或职称证书或毕业证所列明的专业为准。</w:t>
            </w:r>
          </w:p>
        </w:tc>
      </w:tr>
      <w:tr w14:paraId="0935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exact"/>
        </w:trPr>
        <w:tc>
          <w:tcPr>
            <w:tcW w:w="1227" w:type="dxa"/>
            <w:noWrap w:val="0"/>
            <w:vAlign w:val="center"/>
          </w:tcPr>
          <w:p w14:paraId="0EC5F3CD">
            <w:pPr>
              <w:pStyle w:val="43"/>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监理员</w:t>
            </w:r>
          </w:p>
        </w:tc>
        <w:tc>
          <w:tcPr>
            <w:tcW w:w="1445" w:type="dxa"/>
            <w:noWrap w:val="0"/>
            <w:vAlign w:val="center"/>
          </w:tcPr>
          <w:p w14:paraId="6997F021">
            <w:pPr>
              <w:pStyle w:val="43"/>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监理员岗位证书</w:t>
            </w:r>
          </w:p>
        </w:tc>
        <w:tc>
          <w:tcPr>
            <w:tcW w:w="804" w:type="dxa"/>
            <w:noWrap w:val="0"/>
            <w:vAlign w:val="center"/>
          </w:tcPr>
          <w:p w14:paraId="568BFC0C">
            <w:pPr>
              <w:pStyle w:val="43"/>
              <w:wordWrap w:val="0"/>
              <w:adjustRightInd w:val="0"/>
              <w:snapToGrid w:val="0"/>
              <w:spacing w:line="360" w:lineRule="exact"/>
              <w:jc w:val="center"/>
              <w:rPr>
                <w:rFonts w:hint="eastAsia"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1</w:t>
            </w:r>
          </w:p>
        </w:tc>
        <w:tc>
          <w:tcPr>
            <w:tcW w:w="5619" w:type="dxa"/>
            <w:noWrap w:val="0"/>
            <w:vAlign w:val="center"/>
          </w:tcPr>
          <w:p w14:paraId="50152C33">
            <w:pPr>
              <w:pStyle w:val="43"/>
              <w:wordWrap w:val="0"/>
              <w:adjustRightInd w:val="0"/>
              <w:snapToGrid w:val="0"/>
              <w:spacing w:line="360" w:lineRule="exact"/>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经监理业务培训，持有效的省级建设行政主管部门或其授权的组织（机构）颁发的</w:t>
            </w:r>
            <w:r>
              <w:rPr>
                <w:rFonts w:hint="eastAsia" w:ascii="宋体" w:hAnsi="宋体"/>
                <w:snapToGrid w:val="0"/>
                <w:color w:val="auto"/>
                <w:kern w:val="0"/>
                <w:sz w:val="24"/>
                <w:highlight w:val="none"/>
              </w:rPr>
              <w:t>监理员岗位证书</w:t>
            </w:r>
            <w:r>
              <w:rPr>
                <w:rFonts w:hint="eastAsia" w:ascii="宋体" w:hAnsi="宋体"/>
                <w:snapToGrid w:val="0"/>
                <w:color w:val="auto"/>
                <w:kern w:val="0"/>
                <w:sz w:val="24"/>
                <w:highlight w:val="none"/>
                <w:lang w:val="en-US" w:eastAsia="zh-CN"/>
              </w:rPr>
              <w:t>或专业监理工程师岗位证书</w:t>
            </w:r>
            <w:r>
              <w:rPr>
                <w:rFonts w:hint="eastAsia" w:ascii="宋体" w:hAnsi="宋体" w:cs="宋体"/>
                <w:snapToGrid w:val="0"/>
                <w:color w:val="auto"/>
                <w:kern w:val="0"/>
                <w:sz w:val="24"/>
                <w:highlight w:val="none"/>
              </w:rPr>
              <w:t>。</w:t>
            </w:r>
          </w:p>
        </w:tc>
      </w:tr>
    </w:tbl>
    <w:p w14:paraId="3E4D29F4">
      <w:pPr>
        <w:shd w:val="clear" w:color="auto" w:fill="auto"/>
        <w:ind w:left="-240" w:leftChars="-100" w:firstLine="239" w:firstLineChars="109"/>
        <w:rPr>
          <w:rFonts w:hint="eastAsia" w:ascii="Times New Roman" w:cs="黑体"/>
          <w:color w:val="auto"/>
          <w:sz w:val="22"/>
          <w:szCs w:val="22"/>
          <w:highlight w:val="none"/>
        </w:rPr>
      </w:pPr>
    </w:p>
    <w:p w14:paraId="06C10983">
      <w:pPr>
        <w:shd w:val="clear" w:color="auto" w:fill="auto"/>
        <w:ind w:left="-240" w:leftChars="-100" w:firstLine="239" w:firstLineChars="109"/>
        <w:rPr>
          <w:rFonts w:hint="eastAsia" w:ascii="Times New Roman" w:cs="黑体"/>
          <w:color w:val="auto"/>
          <w:sz w:val="22"/>
          <w:szCs w:val="22"/>
          <w:highlight w:val="none"/>
        </w:rPr>
      </w:pPr>
      <w:r>
        <w:rPr>
          <w:rFonts w:hint="eastAsia" w:ascii="Times New Roman" w:cs="黑体"/>
          <w:color w:val="auto"/>
          <w:sz w:val="22"/>
          <w:szCs w:val="22"/>
          <w:highlight w:val="none"/>
        </w:rPr>
        <w:t>注：拟委派的监理机构其他人员不作为形式评审、资格评审、响应性评审的审查内容，只作为综合评分的评审依据。</w:t>
      </w:r>
    </w:p>
    <w:p w14:paraId="5A4ADFB1">
      <w:pPr>
        <w:shd w:val="clear" w:color="auto" w:fill="auto"/>
        <w:rPr>
          <w:rFonts w:hint="eastAsia" w:hAnsi="宋体" w:cs="宋体"/>
          <w:color w:val="auto"/>
          <w:sz w:val="30"/>
          <w:highlight w:val="none"/>
        </w:rPr>
      </w:pPr>
    </w:p>
    <w:p w14:paraId="4B1244BB">
      <w:pPr>
        <w:shd w:val="clear" w:color="auto" w:fill="auto"/>
        <w:rPr>
          <w:rFonts w:hint="eastAsia" w:hAnsi="宋体" w:cs="宋体"/>
          <w:color w:val="auto"/>
          <w:sz w:val="30"/>
          <w:highlight w:val="none"/>
        </w:rPr>
      </w:pPr>
    </w:p>
    <w:p w14:paraId="454A54B3">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color w:val="auto"/>
          <w:sz w:val="30"/>
          <w:highlight w:val="none"/>
        </w:rPr>
        <w:br w:type="page"/>
      </w:r>
      <w:r>
        <w:rPr>
          <w:rFonts w:hint="eastAsia" w:hAnsi="宋体" w:cs="宋体"/>
          <w:b/>
          <w:bCs/>
          <w:snapToGrid w:val="0"/>
          <w:color w:val="auto"/>
          <w:kern w:val="0"/>
          <w:highlight w:val="none"/>
        </w:rPr>
        <w:t xml:space="preserve">15.5.2 </w:t>
      </w:r>
      <w:r>
        <w:rPr>
          <w:rFonts w:hint="eastAsia" w:hAnsi="宋体" w:cs="宋体"/>
          <w:snapToGrid w:val="0"/>
          <w:color w:val="auto"/>
          <w:kern w:val="0"/>
          <w:highlight w:val="none"/>
        </w:rPr>
        <w:t>否决投标说明</w:t>
      </w:r>
    </w:p>
    <w:p w14:paraId="07EB5ADA">
      <w:pPr>
        <w:shd w:val="clear" w:color="auto" w:fill="auto"/>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详细评审阶段否决投标的全部条件，在本章第四节“否决投标条件”第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条中集中列示。投标人有其中所列任何一种情形的，由评标委员会否决其投标。经详细评审后，若所有投标均被否决，招标人应当依法重新招标。</w:t>
      </w:r>
    </w:p>
    <w:p w14:paraId="0FE1B33C">
      <w:pPr>
        <w:shd w:val="clear" w:color="auto" w:fill="auto"/>
        <w:wordWrap w:val="0"/>
        <w:adjustRightInd w:val="0"/>
        <w:snapToGrid w:val="0"/>
        <w:spacing w:line="440" w:lineRule="exact"/>
        <w:ind w:firstLine="482" w:firstLineChars="200"/>
        <w:rPr>
          <w:rFonts w:hint="eastAsia" w:hAnsi="宋体" w:cs="宋体"/>
          <w:b/>
          <w:bCs/>
          <w:snapToGrid w:val="0"/>
          <w:color w:val="auto"/>
          <w:kern w:val="0"/>
          <w:highlight w:val="none"/>
        </w:rPr>
      </w:pPr>
      <w:r>
        <w:rPr>
          <w:rFonts w:hint="eastAsia" w:hAnsi="宋体" w:cs="宋体"/>
          <w:b/>
          <w:bCs/>
          <w:snapToGrid w:val="0"/>
          <w:color w:val="auto"/>
          <w:kern w:val="0"/>
          <w:highlight w:val="none"/>
        </w:rPr>
        <w:t>注：投标人在详细评审阶段根据评分方法提供的佐证材料，其合法性、有效性和准确性不符合要求的，有关评分因素的评分按相应评分标准处理，但不否决投标。</w:t>
      </w:r>
    </w:p>
    <w:p w14:paraId="7662531C">
      <w:pPr>
        <w:shd w:val="clear" w:color="auto" w:fill="auto"/>
        <w:wordWrap w:val="0"/>
        <w:adjustRightInd w:val="0"/>
        <w:snapToGrid w:val="0"/>
        <w:spacing w:line="440" w:lineRule="exact"/>
        <w:ind w:firstLine="482" w:firstLineChars="200"/>
        <w:rPr>
          <w:rFonts w:hint="eastAsia" w:hAnsi="宋体" w:cs="宋体"/>
          <w:b/>
          <w:snapToGrid w:val="0"/>
          <w:color w:val="auto"/>
          <w:kern w:val="0"/>
          <w:highlight w:val="none"/>
        </w:rPr>
      </w:pPr>
    </w:p>
    <w:p w14:paraId="6E286819">
      <w:pPr>
        <w:shd w:val="clear" w:color="auto" w:fill="auto"/>
        <w:wordWrap w:val="0"/>
        <w:adjustRightInd w:val="0"/>
        <w:snapToGrid w:val="0"/>
        <w:spacing w:line="440" w:lineRule="exact"/>
        <w:ind w:firstLine="482" w:firstLineChars="200"/>
        <w:outlineLvl w:val="2"/>
        <w:rPr>
          <w:rFonts w:hint="eastAsia" w:hAnsi="宋体" w:cs="宋体"/>
          <w:b/>
          <w:snapToGrid w:val="0"/>
          <w:color w:val="auto"/>
          <w:kern w:val="0"/>
          <w:highlight w:val="none"/>
        </w:rPr>
      </w:pPr>
      <w:bookmarkStart w:id="248" w:name="_Toc1392"/>
      <w:bookmarkStart w:id="249" w:name="_Toc5306"/>
      <w:bookmarkStart w:id="250" w:name="_Toc8670"/>
      <w:bookmarkStart w:id="251" w:name="_Toc13843"/>
      <w:bookmarkStart w:id="252" w:name="_Toc14248"/>
      <w:bookmarkStart w:id="253" w:name="_Toc3115"/>
      <w:bookmarkStart w:id="254" w:name="_Toc338"/>
      <w:bookmarkStart w:id="255" w:name="_Toc286"/>
      <w:bookmarkStart w:id="256" w:name="_Toc19462"/>
      <w:bookmarkStart w:id="257" w:name="_Toc7085"/>
      <w:r>
        <w:rPr>
          <w:rFonts w:hint="eastAsia" w:hAnsi="宋体" w:cs="宋体"/>
          <w:b/>
          <w:snapToGrid w:val="0"/>
          <w:color w:val="auto"/>
          <w:kern w:val="0"/>
          <w:highlight w:val="none"/>
        </w:rPr>
        <w:t>16．推荐中标候选人</w:t>
      </w:r>
      <w:bookmarkEnd w:id="248"/>
      <w:bookmarkEnd w:id="249"/>
      <w:bookmarkEnd w:id="250"/>
      <w:bookmarkEnd w:id="251"/>
      <w:bookmarkEnd w:id="252"/>
      <w:bookmarkEnd w:id="253"/>
      <w:bookmarkEnd w:id="254"/>
      <w:bookmarkEnd w:id="255"/>
      <w:bookmarkEnd w:id="256"/>
      <w:bookmarkEnd w:id="257"/>
    </w:p>
    <w:p w14:paraId="507964EA">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16.1</w:t>
      </w:r>
      <w:r>
        <w:rPr>
          <w:rFonts w:hint="eastAsia" w:hAnsi="宋体" w:cs="宋体"/>
          <w:snapToGrid w:val="0"/>
          <w:color w:val="auto"/>
          <w:kern w:val="0"/>
          <w:highlight w:val="none"/>
        </w:rPr>
        <w:t xml:space="preserve"> 确定排名</w:t>
      </w:r>
    </w:p>
    <w:p w14:paraId="0C55CCE4">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5851A0E7">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16.2</w:t>
      </w:r>
      <w:r>
        <w:rPr>
          <w:rFonts w:hint="eastAsia" w:hAnsi="宋体" w:cs="宋体"/>
          <w:snapToGrid w:val="0"/>
          <w:color w:val="auto"/>
          <w:kern w:val="0"/>
          <w:highlight w:val="none"/>
        </w:rPr>
        <w:t xml:space="preserve"> 推荐方法</w:t>
      </w:r>
    </w:p>
    <w:p w14:paraId="457D111B">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（1）有效投标人数量达到或超过3个的，评标委员会将前三名投标人作为中标候选人向招标人推荐，并标明排列顺序。</w:t>
      </w:r>
    </w:p>
    <w:p w14:paraId="0B1E7CDB">
      <w:pPr>
        <w:shd w:val="clear" w:color="auto" w:fill="auto"/>
        <w:wordWrap w:val="0"/>
        <w:adjustRightInd w:val="0"/>
        <w:snapToGrid w:val="0"/>
        <w:spacing w:line="440" w:lineRule="exact"/>
        <w:ind w:firstLine="480" w:firstLineChars="200"/>
        <w:rPr>
          <w:rFonts w:hint="eastAsia" w:hAnsi="宋体" w:cs="宋体"/>
          <w:i/>
          <w:iCs/>
          <w:snapToGrid w:val="0"/>
          <w:color w:val="auto"/>
          <w:kern w:val="0"/>
          <w:highlight w:val="none"/>
        </w:rPr>
      </w:pPr>
      <w:r>
        <w:rPr>
          <w:rFonts w:hint="eastAsia" w:hAnsi="宋体" w:cs="宋体"/>
          <w:snapToGrid w:val="0"/>
          <w:color w:val="auto"/>
          <w:kern w:val="0"/>
          <w:highlight w:val="none"/>
        </w:rPr>
        <w:t>（2）</w:t>
      </w:r>
      <w:r>
        <w:rPr>
          <w:rFonts w:hint="eastAsia" w:hAnsi="宋体" w:cs="宋体"/>
          <w:b w:val="0"/>
          <w:bCs w:val="0"/>
          <w:snapToGrid w:val="0"/>
          <w:color w:val="auto"/>
          <w:kern w:val="0"/>
          <w:highlight w:val="none"/>
        </w:rPr>
        <w:t>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544CB4D8">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16.3</w:t>
      </w:r>
      <w:r>
        <w:rPr>
          <w:rFonts w:hint="eastAsia" w:hAnsi="宋体" w:cs="宋体"/>
          <w:snapToGrid w:val="0"/>
          <w:color w:val="auto"/>
          <w:kern w:val="0"/>
          <w:highlight w:val="none"/>
        </w:rPr>
        <w:t xml:space="preserve"> 评标委员会完成评标后，应向招标人提交由全体评标委员会成员签字的评标报告和中标候选人名单。</w:t>
      </w:r>
    </w:p>
    <w:p w14:paraId="19A5C525">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p>
    <w:p w14:paraId="0D238D89">
      <w:pPr>
        <w:shd w:val="clear" w:color="auto" w:fill="auto"/>
        <w:wordWrap w:val="0"/>
        <w:adjustRightInd w:val="0"/>
        <w:snapToGrid w:val="0"/>
        <w:spacing w:line="440" w:lineRule="exact"/>
        <w:ind w:firstLine="482" w:firstLineChars="200"/>
        <w:outlineLvl w:val="2"/>
        <w:rPr>
          <w:rFonts w:hint="eastAsia" w:hAnsi="宋体" w:cs="宋体"/>
          <w:snapToGrid w:val="0"/>
          <w:color w:val="auto"/>
          <w:kern w:val="0"/>
          <w:highlight w:val="none"/>
        </w:rPr>
      </w:pPr>
      <w:bookmarkStart w:id="258" w:name="_Toc3318"/>
      <w:bookmarkStart w:id="259" w:name="_Toc14955"/>
      <w:bookmarkStart w:id="260" w:name="_Toc15400"/>
      <w:bookmarkStart w:id="261" w:name="_Toc13727"/>
      <w:bookmarkStart w:id="262" w:name="_Toc5634"/>
      <w:bookmarkStart w:id="263" w:name="_Toc1471"/>
      <w:bookmarkStart w:id="264" w:name="_Toc26760"/>
      <w:bookmarkStart w:id="265" w:name="_Toc2181"/>
      <w:bookmarkStart w:id="266" w:name="_Toc9762"/>
      <w:bookmarkStart w:id="267" w:name="_Toc24833"/>
      <w:r>
        <w:rPr>
          <w:rFonts w:hint="eastAsia" w:hAnsi="宋体" w:cs="宋体"/>
          <w:b/>
          <w:snapToGrid w:val="0"/>
          <w:color w:val="auto"/>
          <w:kern w:val="0"/>
          <w:highlight w:val="none"/>
        </w:rPr>
        <w:t>17．中标候选人公示</w:t>
      </w:r>
      <w:bookmarkEnd w:id="258"/>
      <w:bookmarkEnd w:id="259"/>
      <w:bookmarkEnd w:id="260"/>
      <w:bookmarkEnd w:id="261"/>
      <w:bookmarkEnd w:id="262"/>
      <w:bookmarkEnd w:id="263"/>
      <w:bookmarkEnd w:id="264"/>
      <w:bookmarkEnd w:id="265"/>
      <w:bookmarkEnd w:id="266"/>
      <w:bookmarkEnd w:id="267"/>
    </w:p>
    <w:p w14:paraId="5EC1C197">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17.</w:t>
      </w:r>
      <w:r>
        <w:rPr>
          <w:rFonts w:hint="eastAsia" w:hAnsi="宋体" w:cs="宋体"/>
          <w:b/>
          <w:bCs/>
          <w:snapToGrid w:val="0"/>
          <w:color w:val="auto"/>
          <w:kern w:val="0"/>
          <w:highlight w:val="none"/>
          <w:lang w:val="en-US" w:eastAsia="zh-CN"/>
        </w:rPr>
        <w:t>1</w:t>
      </w:r>
      <w:r>
        <w:rPr>
          <w:rFonts w:hint="eastAsia" w:hAnsi="宋体" w:cs="宋体"/>
          <w:snapToGrid w:val="0"/>
          <w:color w:val="auto"/>
          <w:kern w:val="0"/>
          <w:highlight w:val="none"/>
        </w:rPr>
        <w:t xml:space="preserve"> 招标人自收到评标委员会提交的书面评标报告和中标候选人名单之日起3日内，将评标结果（即中标候选人名单）、中标候选人投标文件（指商务标书分册）、评标过程（评标专家姓名用代码标记）一并在广东省招标投标监管网（http://zbtb.gd.gov.cn）进行公示，公示期不得少于3天。</w:t>
      </w:r>
    </w:p>
    <w:p w14:paraId="2B9CA94D">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17.</w:t>
      </w:r>
      <w:r>
        <w:rPr>
          <w:rFonts w:hint="eastAsia" w:hAnsi="宋体" w:cs="宋体"/>
          <w:b/>
          <w:bCs/>
          <w:snapToGrid w:val="0"/>
          <w:color w:val="auto"/>
          <w:kern w:val="0"/>
          <w:highlight w:val="none"/>
          <w:lang w:val="en-US" w:eastAsia="zh-CN"/>
        </w:rPr>
        <w:t>2</w:t>
      </w:r>
      <w:r>
        <w:rPr>
          <w:rFonts w:hint="eastAsia" w:hAnsi="宋体" w:cs="宋体"/>
          <w:snapToGrid w:val="0"/>
          <w:color w:val="auto"/>
          <w:kern w:val="0"/>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w:t>
      </w:r>
      <w:r>
        <w:rPr>
          <w:rFonts w:hint="eastAsia" w:hAnsi="宋体" w:cs="宋体"/>
          <w:snapToGrid w:val="0"/>
          <w:color w:val="auto"/>
          <w:kern w:val="0"/>
          <w:szCs w:val="24"/>
          <w:highlight w:val="none"/>
        </w:rPr>
        <w:t>《韶关市工程建设项目招标投标活动异议和投诉处理办法》（韶</w:t>
      </w:r>
      <w:r>
        <w:rPr>
          <w:rFonts w:hint="eastAsia" w:hAnsi="宋体" w:cs="宋体"/>
          <w:snapToGrid w:val="0"/>
          <w:color w:val="auto"/>
          <w:kern w:val="0"/>
          <w:szCs w:val="24"/>
          <w:highlight w:val="none"/>
          <w:lang w:val="en-US" w:eastAsia="zh-CN"/>
        </w:rPr>
        <w:t>发改</w:t>
      </w:r>
      <w:r>
        <w:rPr>
          <w:rFonts w:hint="eastAsia" w:hAnsi="宋体" w:cs="宋体"/>
          <w:snapToGrid w:val="0"/>
          <w:color w:val="auto"/>
          <w:kern w:val="0"/>
          <w:szCs w:val="24"/>
          <w:highlight w:val="none"/>
        </w:rPr>
        <w:t>〔202</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rPr>
        <w:t>〕</w:t>
      </w:r>
      <w:r>
        <w:rPr>
          <w:rFonts w:hint="eastAsia" w:hAnsi="宋体" w:cs="宋体"/>
          <w:snapToGrid w:val="0"/>
          <w:color w:val="auto"/>
          <w:kern w:val="0"/>
          <w:szCs w:val="24"/>
          <w:highlight w:val="none"/>
          <w:lang w:val="en-US" w:eastAsia="zh-CN"/>
        </w:rPr>
        <w:t>44</w:t>
      </w:r>
      <w:r>
        <w:rPr>
          <w:rFonts w:hint="eastAsia" w:hAnsi="宋体" w:cs="宋体"/>
          <w:snapToGrid w:val="0"/>
          <w:color w:val="auto"/>
          <w:kern w:val="0"/>
          <w:szCs w:val="24"/>
          <w:highlight w:val="none"/>
        </w:rPr>
        <w:t>号）</w:t>
      </w:r>
      <w:r>
        <w:rPr>
          <w:rFonts w:hint="eastAsia" w:hAnsi="宋体" w:cs="宋体"/>
          <w:snapToGrid w:val="0"/>
          <w:color w:val="auto"/>
          <w:kern w:val="0"/>
          <w:highlight w:val="none"/>
        </w:rPr>
        <w:t>执行。</w:t>
      </w:r>
    </w:p>
    <w:p w14:paraId="6E6743D6">
      <w:pPr>
        <w:shd w:val="clear" w:color="auto" w:fill="auto"/>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highlight w:val="none"/>
        </w:rPr>
        <w:t>17.</w:t>
      </w:r>
      <w:r>
        <w:rPr>
          <w:rFonts w:hint="eastAsia" w:hAnsi="宋体" w:cs="宋体"/>
          <w:b/>
          <w:bCs/>
          <w:snapToGrid w:val="0"/>
          <w:color w:val="auto"/>
          <w:kern w:val="0"/>
          <w:highlight w:val="none"/>
          <w:lang w:val="en-US" w:eastAsia="zh-CN"/>
        </w:rPr>
        <w:t>3</w:t>
      </w:r>
      <w:r>
        <w:rPr>
          <w:rFonts w:hint="eastAsia" w:hAnsi="宋体" w:cs="宋体"/>
          <w:snapToGrid w:val="0"/>
          <w:color w:val="auto"/>
          <w:kern w:val="0"/>
          <w:highlight w:val="none"/>
        </w:rPr>
        <w:t>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0D19BDCD">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59298BE8">
      <w:pPr>
        <w:shd w:val="clear" w:color="auto" w:fill="auto"/>
        <w:wordWrap w:val="0"/>
        <w:adjustRightInd w:val="0"/>
        <w:snapToGrid w:val="0"/>
        <w:spacing w:line="440" w:lineRule="exact"/>
        <w:outlineLvl w:val="1"/>
        <w:rPr>
          <w:rFonts w:hint="eastAsia" w:hAnsi="宋体" w:cs="宋体"/>
          <w:snapToGrid w:val="0"/>
          <w:color w:val="auto"/>
          <w:kern w:val="0"/>
          <w:highlight w:val="none"/>
        </w:rPr>
      </w:pPr>
      <w:bookmarkStart w:id="268" w:name="_Toc17249"/>
      <w:bookmarkStart w:id="269" w:name="_Toc32043"/>
      <w:bookmarkStart w:id="270" w:name="_Toc2045"/>
      <w:bookmarkStart w:id="271" w:name="_Toc32311"/>
      <w:bookmarkStart w:id="272" w:name="_Toc21901"/>
      <w:bookmarkStart w:id="273" w:name="_Toc11463"/>
      <w:bookmarkStart w:id="274" w:name="_Toc30086"/>
      <w:bookmarkStart w:id="275" w:name="_Toc9979"/>
      <w:bookmarkStart w:id="276" w:name="_Toc21370"/>
      <w:bookmarkStart w:id="277" w:name="_Toc29477"/>
      <w:r>
        <w:rPr>
          <w:rFonts w:hint="eastAsia" w:hAnsi="宋体" w:cs="宋体"/>
          <w:b/>
          <w:bCs/>
          <w:snapToGrid w:val="0"/>
          <w:color w:val="auto"/>
          <w:kern w:val="0"/>
          <w:highlight w:val="none"/>
        </w:rPr>
        <w:t>第四节 否决投标条件</w:t>
      </w:r>
      <w:bookmarkEnd w:id="268"/>
      <w:bookmarkEnd w:id="269"/>
      <w:bookmarkEnd w:id="270"/>
      <w:bookmarkEnd w:id="271"/>
      <w:bookmarkEnd w:id="272"/>
      <w:bookmarkEnd w:id="273"/>
      <w:bookmarkEnd w:id="274"/>
      <w:bookmarkEnd w:id="275"/>
      <w:bookmarkEnd w:id="276"/>
      <w:bookmarkEnd w:id="277"/>
    </w:p>
    <w:p w14:paraId="1A68E576">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highlight w:val="none"/>
        </w:rPr>
        <w:t>投标人未有列入本节情形的，评标时一律不得否决其投标。</w:t>
      </w:r>
      <w:r>
        <w:rPr>
          <w:rFonts w:hint="eastAsia" w:hAnsi="宋体" w:cs="宋体"/>
          <w:snapToGrid w:val="0"/>
          <w:color w:val="auto"/>
          <w:kern w:val="0"/>
          <w:highlight w:val="none"/>
        </w:rPr>
        <w:t>本节所称“规定”均指招标文件的规定。</w:t>
      </w:r>
    </w:p>
    <w:p w14:paraId="202F4ABF">
      <w:pPr>
        <w:shd w:val="clear" w:color="auto" w:fill="auto"/>
        <w:wordWrap w:val="0"/>
        <w:adjustRightInd w:val="0"/>
        <w:snapToGrid w:val="0"/>
        <w:spacing w:line="440" w:lineRule="exact"/>
        <w:ind w:firstLine="480"/>
        <w:outlineLvl w:val="2"/>
        <w:rPr>
          <w:rFonts w:hint="eastAsia" w:hAnsi="宋体" w:cs="宋体"/>
          <w:snapToGrid w:val="0"/>
          <w:color w:val="auto"/>
          <w:kern w:val="0"/>
          <w:highlight w:val="none"/>
        </w:rPr>
      </w:pPr>
      <w:bookmarkStart w:id="278" w:name="_Toc32629"/>
      <w:bookmarkStart w:id="279" w:name="_Toc1612"/>
      <w:bookmarkStart w:id="280" w:name="_Toc30404"/>
      <w:bookmarkStart w:id="281" w:name="_Toc26916"/>
      <w:bookmarkStart w:id="282" w:name="_Toc5419"/>
      <w:bookmarkStart w:id="283" w:name="_Toc29575"/>
      <w:bookmarkStart w:id="284" w:name="_Toc29216"/>
      <w:bookmarkStart w:id="285" w:name="_Toc10295"/>
      <w:bookmarkStart w:id="286" w:name="_Toc26846"/>
      <w:bookmarkStart w:id="287" w:name="_Toc5725"/>
      <w:r>
        <w:rPr>
          <w:rFonts w:hint="eastAsia" w:hAnsi="宋体" w:cs="宋体"/>
          <w:b/>
          <w:bCs/>
          <w:snapToGrid w:val="0"/>
          <w:color w:val="auto"/>
          <w:kern w:val="0"/>
          <w:highlight w:val="none"/>
        </w:rPr>
        <w:t>1．资格评审环节</w:t>
      </w:r>
      <w:bookmarkEnd w:id="278"/>
      <w:bookmarkEnd w:id="279"/>
      <w:bookmarkEnd w:id="280"/>
      <w:bookmarkEnd w:id="281"/>
      <w:bookmarkEnd w:id="282"/>
      <w:bookmarkEnd w:id="283"/>
      <w:bookmarkEnd w:id="284"/>
      <w:bookmarkEnd w:id="285"/>
      <w:bookmarkEnd w:id="286"/>
      <w:bookmarkEnd w:id="287"/>
    </w:p>
    <w:p w14:paraId="36E51FEC">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投标人有下列情形之一的，评标委员会应否决其投标。被否决的投标，不进入形式评审环节。</w:t>
      </w:r>
    </w:p>
    <w:p w14:paraId="5E9A9BFF">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（1）有本章第三节第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条“禁止投标条款”规定的任何一种情形；</w:t>
      </w:r>
    </w:p>
    <w:p w14:paraId="283089C7">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（2）投标人资质不符合</w:t>
      </w:r>
      <w:r>
        <w:rPr>
          <w:rFonts w:hint="eastAsia" w:hAnsi="宋体" w:cs="宋体"/>
          <w:snapToGrid w:val="0"/>
          <w:color w:val="auto"/>
          <w:kern w:val="0"/>
          <w:szCs w:val="18"/>
          <w:highlight w:val="none"/>
        </w:rPr>
        <w:t>规定的；</w:t>
      </w:r>
    </w:p>
    <w:p w14:paraId="00C94D60">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1C33B875">
      <w:pPr>
        <w:shd w:val="clear" w:color="auto" w:fill="auto"/>
        <w:wordWrap w:val="0"/>
        <w:adjustRightInd w:val="0"/>
        <w:snapToGrid w:val="0"/>
        <w:spacing w:line="440" w:lineRule="exact"/>
        <w:ind w:firstLine="480"/>
        <w:rPr>
          <w:rFonts w:hint="eastAsia" w:hAnsi="宋体" w:cs="宋体"/>
          <w:b w:val="0"/>
          <w:bCs w:val="0"/>
          <w:snapToGrid w:val="0"/>
          <w:color w:val="auto"/>
          <w:kern w:val="0"/>
          <w:highlight w:val="none"/>
        </w:rPr>
      </w:pPr>
      <w:r>
        <w:rPr>
          <w:rFonts w:hint="eastAsia" w:hAnsi="宋体" w:cs="宋体"/>
          <w:b w:val="0"/>
          <w:bCs w:val="0"/>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047C7D4A">
      <w:pPr>
        <w:shd w:val="clear" w:color="auto" w:fill="auto"/>
        <w:wordWrap w:val="0"/>
        <w:adjustRightInd w:val="0"/>
        <w:snapToGrid w:val="0"/>
        <w:spacing w:line="440" w:lineRule="exact"/>
        <w:ind w:firstLine="482" w:firstLineChars="200"/>
        <w:rPr>
          <w:rFonts w:hint="eastAsia" w:hAnsi="宋体" w:cs="宋体"/>
          <w:b/>
          <w:bCs/>
          <w:snapToGrid w:val="0"/>
          <w:color w:val="auto"/>
          <w:kern w:val="0"/>
          <w:highlight w:val="none"/>
        </w:rPr>
      </w:pPr>
      <w:r>
        <w:rPr>
          <w:rFonts w:hint="eastAsia" w:hAnsi="宋体" w:cs="宋体"/>
          <w:b/>
          <w:bCs/>
          <w:snapToGrid w:val="0"/>
          <w:color w:val="auto"/>
          <w:kern w:val="0"/>
          <w:highlight w:val="none"/>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不得否决其投标。</w:t>
      </w:r>
    </w:p>
    <w:p w14:paraId="778538B5">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（4）投标文件中拟委派的总监理工程师与《开标一览表》不一致的；拟委派的总监理工程师的条件不符合规定的；</w:t>
      </w:r>
      <w:r>
        <w:rPr>
          <w:rFonts w:hint="eastAsia" w:ascii="Times New Roman"/>
          <w:snapToGrid w:val="0"/>
          <w:color w:val="auto"/>
          <w:kern w:val="0"/>
          <w:szCs w:val="22"/>
          <w:highlight w:val="none"/>
        </w:rPr>
        <w:t>擅自修改、遗漏《总监理工程师任职声明》实质性内容的；</w:t>
      </w:r>
      <w:r>
        <w:rPr>
          <w:rFonts w:hint="eastAsia" w:hAnsi="宋体" w:cs="宋体"/>
          <w:snapToGrid w:val="0"/>
          <w:color w:val="auto"/>
          <w:kern w:val="0"/>
          <w:highlight w:val="none"/>
        </w:rPr>
        <w:t>拟委派的总监理工程师现阶段有担任其他在施建设工程项目总监理工程师职务，但《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p>
    <w:p w14:paraId="2B6A8EEA">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（5）拟委派的总监理工程师的注册证书不是住房和城乡建设主管部门颁发的，或注册单位与投标人不一致的，或不在有效期内的；</w:t>
      </w:r>
    </w:p>
    <w:p w14:paraId="4D35A7C2">
      <w:pPr>
        <w:shd w:val="clear" w:color="auto" w:fill="auto"/>
        <w:wordWrap w:val="0"/>
        <w:adjustRightInd w:val="0"/>
        <w:snapToGrid w:val="0"/>
        <w:spacing w:line="440" w:lineRule="exact"/>
        <w:ind w:firstLine="480"/>
        <w:rPr>
          <w:rFonts w:hint="eastAsia" w:hAnsi="宋体" w:cs="宋体"/>
          <w:b/>
          <w:bCs/>
          <w:snapToGrid w:val="0"/>
          <w:color w:val="auto"/>
          <w:kern w:val="0"/>
          <w:highlight w:val="none"/>
        </w:rPr>
      </w:pPr>
      <w:r>
        <w:rPr>
          <w:rFonts w:hint="eastAsia" w:hAnsi="宋体" w:cs="宋体"/>
          <w:b/>
          <w:bCs/>
          <w:snapToGrid w:val="0"/>
          <w:color w:val="auto"/>
          <w:kern w:val="0"/>
          <w:highlight w:val="none"/>
        </w:rPr>
        <w:t>注：投标人已经工商变更，但其员工执业资格注册证书的注册单位名称未完成变更的，不得否决其投标。</w:t>
      </w:r>
    </w:p>
    <w:p w14:paraId="48DF2F74">
      <w:pPr>
        <w:shd w:val="clear" w:color="auto" w:fill="auto"/>
        <w:wordWrap w:val="0"/>
        <w:adjustRightInd w:val="0"/>
        <w:snapToGrid w:val="0"/>
        <w:spacing w:line="440" w:lineRule="exact"/>
        <w:ind w:firstLine="480"/>
        <w:rPr>
          <w:rFonts w:hint="eastAsia" w:hAnsi="宋体" w:cs="宋体"/>
          <w:snapToGrid w:val="0"/>
          <w:color w:val="auto"/>
          <w:kern w:val="0"/>
          <w:szCs w:val="18"/>
          <w:highlight w:val="none"/>
        </w:rPr>
      </w:pPr>
      <w:r>
        <w:rPr>
          <w:rFonts w:hint="eastAsia" w:hAnsi="宋体" w:cs="宋体"/>
          <w:snapToGrid w:val="0"/>
          <w:color w:val="auto"/>
          <w:kern w:val="0"/>
          <w:highlight w:val="none"/>
        </w:rPr>
        <w:t>（6）招标文件规定不接受联合体投标，但以联合体投标的；</w:t>
      </w:r>
    </w:p>
    <w:p w14:paraId="0424C2F1">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（7）投标人为外省企业，但未提供“进粤企业和人员诚信信息登记平台”企业信息情况的。</w:t>
      </w:r>
    </w:p>
    <w:p w14:paraId="7B212226">
      <w:pPr>
        <w:shd w:val="clear" w:color="auto" w:fill="auto"/>
        <w:wordWrap w:val="0"/>
        <w:adjustRightInd w:val="0"/>
        <w:snapToGrid w:val="0"/>
        <w:spacing w:line="440" w:lineRule="exact"/>
        <w:ind w:firstLine="480"/>
        <w:rPr>
          <w:rFonts w:hint="eastAsia" w:hAnsi="宋体" w:cs="宋体"/>
          <w:snapToGrid w:val="0"/>
          <w:color w:val="auto"/>
          <w:kern w:val="0"/>
          <w:highlight w:val="none"/>
        </w:rPr>
      </w:pPr>
    </w:p>
    <w:p w14:paraId="4FEC5286">
      <w:pPr>
        <w:shd w:val="clear" w:color="auto" w:fill="auto"/>
        <w:wordWrap w:val="0"/>
        <w:adjustRightInd w:val="0"/>
        <w:snapToGrid w:val="0"/>
        <w:spacing w:line="440" w:lineRule="exact"/>
        <w:ind w:firstLine="480"/>
        <w:outlineLvl w:val="2"/>
        <w:rPr>
          <w:rFonts w:hint="eastAsia" w:hAnsi="宋体" w:cs="宋体"/>
          <w:snapToGrid w:val="0"/>
          <w:color w:val="auto"/>
          <w:kern w:val="0"/>
          <w:highlight w:val="none"/>
        </w:rPr>
      </w:pPr>
      <w:bookmarkStart w:id="288" w:name="_Toc26678"/>
      <w:bookmarkStart w:id="289" w:name="_Toc629"/>
      <w:bookmarkStart w:id="290" w:name="_Toc19550"/>
      <w:bookmarkStart w:id="291" w:name="_Toc25976"/>
      <w:bookmarkStart w:id="292" w:name="_Toc29817"/>
      <w:bookmarkStart w:id="293" w:name="_Toc27998"/>
      <w:bookmarkStart w:id="294" w:name="_Toc18817"/>
      <w:bookmarkStart w:id="295" w:name="_Toc23556"/>
      <w:bookmarkStart w:id="296" w:name="_Toc7175"/>
      <w:bookmarkStart w:id="297" w:name="_Toc27039"/>
      <w:r>
        <w:rPr>
          <w:rFonts w:hint="eastAsia" w:hAnsi="宋体" w:cs="宋体"/>
          <w:b/>
          <w:bCs/>
          <w:snapToGrid w:val="0"/>
          <w:color w:val="auto"/>
          <w:kern w:val="0"/>
          <w:highlight w:val="none"/>
        </w:rPr>
        <w:t>2．形式评审环节</w:t>
      </w:r>
      <w:bookmarkEnd w:id="288"/>
      <w:bookmarkEnd w:id="289"/>
      <w:bookmarkEnd w:id="290"/>
      <w:bookmarkEnd w:id="291"/>
      <w:bookmarkEnd w:id="292"/>
      <w:bookmarkEnd w:id="293"/>
      <w:bookmarkEnd w:id="294"/>
      <w:bookmarkEnd w:id="295"/>
      <w:bookmarkEnd w:id="296"/>
      <w:bookmarkEnd w:id="297"/>
    </w:p>
    <w:p w14:paraId="7A6AAD82">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投标人有下列情形之一的，评标委员会应否决其投标。被否决的投标，不进入响应性评审环节。</w:t>
      </w:r>
    </w:p>
    <w:p w14:paraId="76BAA64C">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（8）投标文件的分册组成不符合规定的；</w:t>
      </w:r>
    </w:p>
    <w:p w14:paraId="27ECFB3B">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（9）本章第三节第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”的组成内容（包括该组成内容的所附资料）中，任何一项有缺漏的；</w:t>
      </w:r>
    </w:p>
    <w:p w14:paraId="3AF1FEA7">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（10）关键字迹模糊、无法辨认，</w:t>
      </w:r>
      <w:r>
        <w:rPr>
          <w:rFonts w:hint="eastAsia" w:hAnsi="宋体" w:cs="宋体"/>
          <w:b/>
          <w:bCs/>
          <w:snapToGrid w:val="0"/>
          <w:color w:val="auto"/>
          <w:kern w:val="0"/>
          <w:highlight w:val="none"/>
        </w:rPr>
        <w:t>且该种过错将导致评标委员会无法作出投标文件是否响应招标文件实质性要求的</w:t>
      </w:r>
      <w:r>
        <w:rPr>
          <w:rFonts w:hint="eastAsia" w:hAnsi="宋体" w:cs="宋体"/>
          <w:snapToGrid w:val="0"/>
          <w:color w:val="auto"/>
          <w:kern w:val="0"/>
          <w:highlight w:val="none"/>
        </w:rPr>
        <w:t>；出现手工涂改、行间插字或删除，但未加盖单位章或由投标人的法定代表人或其委托代理人签字确认的；</w:t>
      </w:r>
    </w:p>
    <w:p w14:paraId="320DFC90">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（11）投标文件未按规定签字、盖章的；</w:t>
      </w:r>
    </w:p>
    <w:p w14:paraId="0E6BD934">
      <w:pPr>
        <w:shd w:val="clear" w:color="auto" w:fill="auto"/>
        <w:wordWrap w:val="0"/>
        <w:adjustRightInd w:val="0"/>
        <w:snapToGrid w:val="0"/>
        <w:spacing w:line="440" w:lineRule="exact"/>
        <w:ind w:firstLine="480"/>
        <w:outlineLvl w:val="2"/>
        <w:rPr>
          <w:rFonts w:hint="eastAsia" w:hAnsi="宋体" w:cs="宋体"/>
          <w:b/>
          <w:bCs/>
          <w:snapToGrid w:val="0"/>
          <w:color w:val="auto"/>
          <w:kern w:val="0"/>
          <w:highlight w:val="none"/>
        </w:rPr>
      </w:pPr>
      <w:bookmarkStart w:id="298" w:name="_Toc2266"/>
      <w:bookmarkStart w:id="299" w:name="_Toc15146"/>
      <w:bookmarkStart w:id="300" w:name="_Toc5389"/>
      <w:bookmarkStart w:id="301" w:name="_Toc15131"/>
      <w:bookmarkStart w:id="302" w:name="_Toc2157"/>
      <w:bookmarkStart w:id="303" w:name="_Toc6320"/>
      <w:bookmarkStart w:id="304" w:name="_Toc12483"/>
      <w:bookmarkStart w:id="305" w:name="_Toc13541"/>
      <w:bookmarkStart w:id="306" w:name="_Toc10256"/>
      <w:bookmarkStart w:id="307" w:name="_Toc18248"/>
      <w:r>
        <w:rPr>
          <w:rFonts w:hint="eastAsia" w:hAnsi="宋体" w:cs="宋体"/>
          <w:b/>
          <w:bCs/>
          <w:snapToGrid w:val="0"/>
          <w:color w:val="auto"/>
          <w:kern w:val="0"/>
          <w:highlight w:val="none"/>
        </w:rPr>
        <w:t>3．响应性评审环节</w:t>
      </w:r>
      <w:bookmarkEnd w:id="298"/>
      <w:bookmarkEnd w:id="299"/>
      <w:bookmarkEnd w:id="300"/>
      <w:bookmarkEnd w:id="301"/>
      <w:bookmarkEnd w:id="302"/>
      <w:bookmarkEnd w:id="303"/>
      <w:bookmarkEnd w:id="304"/>
      <w:bookmarkEnd w:id="305"/>
      <w:bookmarkEnd w:id="306"/>
      <w:bookmarkEnd w:id="307"/>
    </w:p>
    <w:p w14:paraId="66D945EF">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投标人有下列情形之一的，评标委员会应否决其投标。被否决的投标，不进入详细评审阶段。</w:t>
      </w:r>
    </w:p>
    <w:p w14:paraId="71118981">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（12）投标有效期、服务期限不符合规定的；擅自修改、遗漏《投标函》《各项承诺一览表》实质性内容的；</w:t>
      </w:r>
    </w:p>
    <w:p w14:paraId="0508665F">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（13）出现两个或两个以上投标总价的（同一个投标总价大、小写不一致的除外）；投标总价超出最高投标限价的；</w:t>
      </w:r>
    </w:p>
    <w:p w14:paraId="5115A59F">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highlight w:val="none"/>
        </w:rPr>
        <w:t>且该种过错将导致“三控制”目标无法实现的</w:t>
      </w:r>
      <w:r>
        <w:rPr>
          <w:rFonts w:hint="eastAsia" w:hAnsi="宋体" w:cs="宋体"/>
          <w:snapToGrid w:val="0"/>
          <w:color w:val="auto"/>
          <w:kern w:val="0"/>
          <w:highlight w:val="none"/>
        </w:rPr>
        <w:t>。</w:t>
      </w:r>
    </w:p>
    <w:p w14:paraId="5D6FEC1E">
      <w:pPr>
        <w:shd w:val="clear" w:color="auto" w:fill="auto"/>
        <w:wordWrap w:val="0"/>
        <w:adjustRightInd w:val="0"/>
        <w:snapToGrid w:val="0"/>
        <w:spacing w:line="440" w:lineRule="exact"/>
        <w:ind w:firstLine="480"/>
        <w:outlineLvl w:val="2"/>
        <w:rPr>
          <w:rFonts w:hint="eastAsia" w:hAnsi="宋体" w:cs="宋体"/>
          <w:b/>
          <w:bCs/>
          <w:snapToGrid w:val="0"/>
          <w:color w:val="auto"/>
          <w:kern w:val="0"/>
          <w:highlight w:val="none"/>
        </w:rPr>
      </w:pPr>
      <w:bookmarkStart w:id="308" w:name="_Toc8804"/>
      <w:bookmarkStart w:id="309" w:name="_Toc24207"/>
      <w:bookmarkStart w:id="310" w:name="_Toc14330"/>
      <w:bookmarkStart w:id="311" w:name="_Toc4460"/>
      <w:bookmarkStart w:id="312" w:name="_Toc29576"/>
      <w:bookmarkStart w:id="313" w:name="_Toc32705"/>
      <w:bookmarkStart w:id="314" w:name="_Toc2561"/>
      <w:bookmarkStart w:id="315" w:name="_Toc25582"/>
      <w:bookmarkStart w:id="316" w:name="_Toc3133"/>
      <w:bookmarkStart w:id="317" w:name="_Toc13293"/>
      <w:r>
        <w:rPr>
          <w:rFonts w:hint="eastAsia" w:hAnsi="宋体" w:cs="宋体"/>
          <w:b/>
          <w:bCs/>
          <w:snapToGrid w:val="0"/>
          <w:color w:val="auto"/>
          <w:kern w:val="0"/>
          <w:highlight w:val="none"/>
        </w:rPr>
        <w:t>4．其他</w:t>
      </w:r>
      <w:bookmarkEnd w:id="308"/>
      <w:bookmarkEnd w:id="309"/>
      <w:bookmarkEnd w:id="310"/>
      <w:bookmarkEnd w:id="311"/>
      <w:bookmarkEnd w:id="312"/>
      <w:bookmarkEnd w:id="313"/>
      <w:bookmarkEnd w:id="314"/>
      <w:bookmarkEnd w:id="315"/>
      <w:bookmarkEnd w:id="316"/>
      <w:bookmarkEnd w:id="317"/>
    </w:p>
    <w:p w14:paraId="793762E0">
      <w:pPr>
        <w:shd w:val="clear" w:color="auto" w:fill="auto"/>
        <w:wordWrap w:val="0"/>
        <w:adjustRightInd w:val="0"/>
        <w:snapToGrid w:val="0"/>
        <w:spacing w:line="440" w:lineRule="exact"/>
        <w:ind w:firstLine="480"/>
        <w:rPr>
          <w:rFonts w:hint="eastAsia" w:hAnsi="宋体" w:cs="宋体"/>
          <w:snapToGrid w:val="0"/>
          <w:color w:val="auto"/>
          <w:kern w:val="0"/>
          <w:szCs w:val="22"/>
          <w:highlight w:val="none"/>
        </w:rPr>
      </w:pPr>
      <w:r>
        <w:rPr>
          <w:rFonts w:hint="eastAsia" w:hAnsi="宋体" w:cs="宋体"/>
          <w:snapToGrid w:val="0"/>
          <w:color w:val="auto"/>
          <w:kern w:val="0"/>
          <w:highlight w:val="none"/>
        </w:rPr>
        <w:t>在任何评标环节（或阶段），投标人有下列情形之一的，评标委员会应否决其投标。</w:t>
      </w:r>
      <w:r>
        <w:rPr>
          <w:rFonts w:hint="eastAsia" w:hAnsi="宋体" w:cs="宋体"/>
          <w:snapToGrid w:val="0"/>
          <w:color w:val="auto"/>
          <w:kern w:val="0"/>
          <w:szCs w:val="22"/>
          <w:highlight w:val="none"/>
        </w:rPr>
        <w:t>被否决的投标，不进入下一环节（或阶段）。</w:t>
      </w:r>
    </w:p>
    <w:p w14:paraId="68393B86">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（15）不按评标委员会要求澄清、说明或补正的；</w:t>
      </w:r>
    </w:p>
    <w:p w14:paraId="7F7E70EC">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（16）有下列情形之一，被评标委员会认定属于串通投标的：</w:t>
      </w:r>
    </w:p>
    <w:p w14:paraId="1CA28F5F">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①不同投标人的投标文件两处以上（含两处）错、漏一致；</w:t>
      </w:r>
    </w:p>
    <w:p w14:paraId="0F346808">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②不同投标人的投标各项报价存在异常一致或者呈规律性变化；</w:t>
      </w:r>
    </w:p>
    <w:p w14:paraId="3D62F04A">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③不同投标人的投标文件由同一单位或者同一个人编制；</w:t>
      </w:r>
    </w:p>
    <w:p w14:paraId="619B9A92">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④不同投标人的投标文件中投标资料（包括电子资料）相互混装或项目班子成员出现同一人；</w:t>
      </w:r>
    </w:p>
    <w:p w14:paraId="51761536">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⑤不同投标人的投标文件由同一电脑编制；</w:t>
      </w:r>
    </w:p>
    <w:p w14:paraId="41FA6D96">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⑥不同投标人的投标保证由同一企业或同一账户资金缴纳；</w:t>
      </w:r>
    </w:p>
    <w:p w14:paraId="06D521F3">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bookmarkEnd w:id="247"/>
    <w:p w14:paraId="49AFF608">
      <w:pPr>
        <w:shd w:val="clear" w:color="auto" w:fill="auto"/>
        <w:wordWrap w:val="0"/>
        <w:adjustRightInd w:val="0"/>
        <w:snapToGrid w:val="0"/>
        <w:spacing w:line="440" w:lineRule="exact"/>
        <w:ind w:firstLine="480"/>
        <w:rPr>
          <w:rFonts w:hint="eastAsia" w:hAnsi="宋体" w:cs="宋体"/>
          <w:snapToGrid w:val="0"/>
          <w:color w:val="auto"/>
          <w:kern w:val="0"/>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06371461">
      <w:pPr>
        <w:shd w:val="clear" w:color="auto" w:fill="auto"/>
        <w:wordWrap w:val="0"/>
        <w:adjustRightInd w:val="0"/>
        <w:snapToGrid w:val="0"/>
        <w:spacing w:line="440" w:lineRule="exact"/>
        <w:jc w:val="center"/>
        <w:outlineLvl w:val="0"/>
        <w:rPr>
          <w:rFonts w:hint="eastAsia" w:hAnsi="宋体" w:cs="宋体"/>
          <w:b/>
          <w:snapToGrid w:val="0"/>
          <w:color w:val="auto"/>
          <w:kern w:val="0"/>
          <w:highlight w:val="none"/>
        </w:rPr>
      </w:pPr>
      <w:bookmarkStart w:id="318" w:name="_Hlt112206772"/>
      <w:bookmarkEnd w:id="318"/>
      <w:bookmarkStart w:id="319" w:name="_Hlt69669771"/>
      <w:bookmarkEnd w:id="319"/>
      <w:bookmarkStart w:id="320" w:name="_Hlt87952408"/>
      <w:bookmarkEnd w:id="320"/>
      <w:bookmarkStart w:id="321" w:name="_Hlt70150994"/>
      <w:bookmarkEnd w:id="321"/>
      <w:bookmarkStart w:id="322" w:name="_Toc16530"/>
      <w:bookmarkStart w:id="323" w:name="_Hlt69698741"/>
      <w:bookmarkStart w:id="324" w:name="_Hlt69698769"/>
      <w:bookmarkStart w:id="325" w:name="_Toc11069"/>
      <w:bookmarkStart w:id="326" w:name="_Toc28161"/>
      <w:bookmarkStart w:id="327" w:name="_Toc28847"/>
      <w:bookmarkStart w:id="328" w:name="_Toc13342"/>
      <w:bookmarkStart w:id="329" w:name="_Hlt69698722"/>
      <w:bookmarkStart w:id="330" w:name="_Toc20848"/>
      <w:bookmarkStart w:id="331" w:name="_Toc12363"/>
      <w:bookmarkStart w:id="332" w:name="_Toc12800"/>
      <w:bookmarkStart w:id="333" w:name="_Toc20600"/>
      <w:bookmarkStart w:id="334" w:name="_Toc20451"/>
      <w:bookmarkStart w:id="335" w:name="_Toc15398"/>
      <w:r>
        <w:rPr>
          <w:rFonts w:hint="eastAsia" w:hAnsi="宋体" w:cs="宋体"/>
          <w:b/>
          <w:snapToGrid w:val="0"/>
          <w:color w:val="auto"/>
          <w:kern w:val="0"/>
          <w:highlight w:val="none"/>
        </w:rPr>
        <w:t>第</w:t>
      </w:r>
      <w:bookmarkStart w:id="336" w:name="_Hlt69669171"/>
      <w:bookmarkEnd w:id="336"/>
      <w:r>
        <w:rPr>
          <w:rFonts w:hint="eastAsia" w:hAnsi="宋体" w:cs="宋体"/>
          <w:b/>
          <w:snapToGrid w:val="0"/>
          <w:color w:val="auto"/>
          <w:kern w:val="0"/>
          <w:highlight w:val="none"/>
        </w:rPr>
        <w:t>二章</w:t>
      </w:r>
      <w:bookmarkStart w:id="337" w:name="_Hlt87793839"/>
      <w:bookmarkEnd w:id="337"/>
      <w:r>
        <w:rPr>
          <w:rFonts w:hint="eastAsia" w:hAnsi="宋体" w:cs="宋体"/>
          <w:b/>
          <w:snapToGrid w:val="0"/>
          <w:color w:val="auto"/>
          <w:kern w:val="0"/>
          <w:highlight w:val="none"/>
        </w:rPr>
        <w:t xml:space="preserve"> 中标人须知</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1FF9BA04">
      <w:pPr>
        <w:shd w:val="clear" w:color="auto" w:fill="auto"/>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snapToGrid w:val="0"/>
          <w:color w:val="auto"/>
          <w:kern w:val="0"/>
          <w:highlight w:val="none"/>
        </w:rPr>
        <w:t>1．中标通知书</w:t>
      </w:r>
    </w:p>
    <w:p w14:paraId="4C816B2E">
      <w:pPr>
        <w:shd w:val="clear" w:color="auto" w:fill="auto"/>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snapToGrid w:val="0"/>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694EFCC8">
      <w:pPr>
        <w:shd w:val="clear" w:color="auto" w:fill="auto"/>
        <w:wordWrap w:val="0"/>
        <w:adjustRightInd w:val="0"/>
        <w:snapToGrid w:val="0"/>
        <w:spacing w:line="440" w:lineRule="exact"/>
        <w:ind w:firstLine="562"/>
        <w:rPr>
          <w:rFonts w:hint="eastAsia" w:ascii="Times New Roman"/>
          <w:snapToGrid w:val="0"/>
          <w:color w:val="auto"/>
          <w:kern w:val="0"/>
          <w:highlight w:val="none"/>
        </w:rPr>
      </w:pPr>
    </w:p>
    <w:p w14:paraId="27251E4F">
      <w:pPr>
        <w:shd w:val="clear" w:color="auto" w:fill="auto"/>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bCs/>
          <w:snapToGrid w:val="0"/>
          <w:color w:val="auto"/>
          <w:kern w:val="0"/>
          <w:highlight w:val="none"/>
        </w:rPr>
        <w:t>2．中标结果公示</w:t>
      </w:r>
    </w:p>
    <w:p w14:paraId="14FADA01">
      <w:pPr>
        <w:shd w:val="clear" w:color="auto" w:fill="auto"/>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snapToGrid w:val="0"/>
          <w:color w:val="auto"/>
          <w:kern w:val="0"/>
          <w:highlight w:val="none"/>
        </w:rPr>
        <w:t>中标通知书发出后15日内，招标人应将中标结果在广东省招标投标监管网（http://zbtb.gd.gov.cn）及全国公共资源交易平台（广东省·韶关市）（https://ygp.gdzwfw.gov.cn/ggzy-portal/#/440200/index）进行公示。</w:t>
      </w:r>
    </w:p>
    <w:p w14:paraId="79EF6EDC">
      <w:pPr>
        <w:shd w:val="clear" w:color="auto" w:fill="auto"/>
        <w:wordWrap w:val="0"/>
        <w:adjustRightInd w:val="0"/>
        <w:snapToGrid w:val="0"/>
        <w:spacing w:line="440" w:lineRule="exact"/>
        <w:ind w:firstLine="562"/>
        <w:rPr>
          <w:rFonts w:hint="eastAsia" w:ascii="Times New Roman"/>
          <w:snapToGrid w:val="0"/>
          <w:color w:val="auto"/>
          <w:kern w:val="0"/>
          <w:highlight w:val="none"/>
        </w:rPr>
      </w:pPr>
    </w:p>
    <w:p w14:paraId="035EDB7A">
      <w:pPr>
        <w:shd w:val="clear" w:color="auto" w:fill="auto"/>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bCs/>
          <w:snapToGrid w:val="0"/>
          <w:color w:val="auto"/>
          <w:kern w:val="0"/>
          <w:highlight w:val="none"/>
        </w:rPr>
        <w:t>3．履约保证</w:t>
      </w:r>
    </w:p>
    <w:p w14:paraId="70A0E765">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3.1 中标人须在领取中标通知书之日起</w:t>
      </w:r>
      <w:r>
        <w:rPr>
          <w:rFonts w:hint="eastAsia" w:ascii="Times New Roman"/>
          <w:snapToGrid w:val="0"/>
          <w:color w:val="auto"/>
          <w:kern w:val="0"/>
          <w:highlight w:val="none"/>
          <w:u w:val="single"/>
        </w:rPr>
        <w:t>10</w:t>
      </w:r>
      <w:r>
        <w:rPr>
          <w:rFonts w:hint="eastAsia" w:ascii="Times New Roman"/>
          <w:snapToGrid w:val="0"/>
          <w:color w:val="auto"/>
          <w:kern w:val="0"/>
          <w:highlight w:val="none"/>
        </w:rPr>
        <w:t>个工作日内、签订合同前提交金额为中标</w:t>
      </w:r>
      <w:r>
        <w:rPr>
          <w:rFonts w:hint="eastAsia" w:ascii="Times New Roman"/>
          <w:snapToGrid w:val="0"/>
          <w:color w:val="auto"/>
          <w:kern w:val="0"/>
          <w:highlight w:val="none"/>
          <w:u w:val="single"/>
        </w:rPr>
        <w:t xml:space="preserve">价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的履约保证。</w:t>
      </w:r>
    </w:p>
    <w:p w14:paraId="7CC1875B">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3.2 履约保证的形式包括履约保证金、履约保证担保、履约保证保险三种，由中标人自主选择。</w:t>
      </w:r>
    </w:p>
    <w:p w14:paraId="7A0FB0AD">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采用履约保证金的，中标人在招标人发起收缴履约保证后，即可在建设工程交易系统申请缴纳履约保证金，获取本次中标履约保证金缴纳账号。中标人必须于履约保证金到账截止时间（以建设工程交易系统提示为准）前，从其基本账户将履约保证金转账到指定的缴纳账号。逾期到账的、从非投标人基本账户转出的，视其放弃中标，并由招标人通报建设行政管理部门。</w:t>
      </w:r>
    </w:p>
    <w:p w14:paraId="07561217">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采用履约保证担保的，中标人应提交有效的银行电子保函，银行电子保函的有效期应当自合同生效之日起至项目通过竣工验收之日后28天止。中标人必须在履约保证担保截止时间（以建设工程交易系统提示为准）前，使用工程建设交易系统完成网上办理电子保函。</w:t>
      </w:r>
    </w:p>
    <w:p w14:paraId="3F2D987D">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采用履约保证保险的，中标人须在履约保证保险投保截止时间（以建设工程交易系统提示为准）前，使用建设工程交易系统完成网上投保。中标人可在系统选择保险机构、录入投保信息、支付保费、下载电子保单，电子保单的有效期应当自合同生效之日起至项目通过竣工验收之日后28天止的有效期不得短于投标有效期。</w:t>
      </w:r>
    </w:p>
    <w:p w14:paraId="485FC14E">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3.3 中标人在工程建设交易系统约定的时间内未提交履约保证的，视其放弃中标，并由招标人通报建设行政管理部门。</w:t>
      </w:r>
    </w:p>
    <w:p w14:paraId="35549F4A">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3.4 在工程实施过程中，如果承包人（即招标阶段的中标人，下同）由于自身的资金、技术、质量、非不可抗力等原因给发包人（即招标阶段的招标人，下同）造成经济损失，发包人有权扣划相应金额的履约保证。</w:t>
      </w:r>
    </w:p>
    <w:p w14:paraId="2BAC8275">
      <w:pPr>
        <w:shd w:val="clear" w:color="auto" w:fill="auto"/>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3.5 项目通过竣工验收之日后28天内，由发包人工程建设交易系统内进行履约保证金退回操作，将履约保证（履约保证金不计利息）原路退还给承包人。</w:t>
      </w:r>
    </w:p>
    <w:p w14:paraId="32CDFA36">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p>
    <w:p w14:paraId="22214413">
      <w:p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4．合同订立</w:t>
      </w:r>
    </w:p>
    <w:p w14:paraId="23AC3E77">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4.1</w:t>
      </w:r>
      <w:r>
        <w:rPr>
          <w:rFonts w:hint="eastAsia" w:ascii="Times New Roman"/>
          <w:snapToGrid w:val="0"/>
          <w:color w:val="auto"/>
          <w:kern w:val="0"/>
          <w:highlight w:val="none"/>
        </w:rPr>
        <w:t xml:space="preserve"> 招标人应当自中标通知书发出之日起</w:t>
      </w:r>
      <w:r>
        <w:rPr>
          <w:rFonts w:hint="eastAsia" w:ascii="Times New Roman"/>
          <w:snapToGrid w:val="0"/>
          <w:color w:val="auto"/>
          <w:kern w:val="0"/>
          <w:highlight w:val="none"/>
          <w:u w:val="single"/>
        </w:rPr>
        <w:t xml:space="preserve"> 30 </w:t>
      </w:r>
      <w:r>
        <w:rPr>
          <w:rFonts w:hint="eastAsia" w:ascii="Times New Roman"/>
          <w:snapToGrid w:val="0"/>
          <w:color w:val="auto"/>
          <w:kern w:val="0"/>
          <w:highlight w:val="none"/>
        </w:rPr>
        <w:t>日内，按照招标文件、中标人的投标文件与中标人订立书面合同。</w:t>
      </w:r>
    </w:p>
    <w:p w14:paraId="1A621AED">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4.2</w:t>
      </w:r>
      <w:r>
        <w:rPr>
          <w:rFonts w:hint="eastAsia" w:ascii="Times New Roman"/>
          <w:snapToGrid w:val="0"/>
          <w:color w:val="auto"/>
          <w:kern w:val="0"/>
          <w:highlight w:val="none"/>
        </w:rPr>
        <w:t xml:space="preserve"> 合同的标的、质量、履行期限条款和合同的价款、风险分担等主要条款，应当与招标文件、中标人的投标文件的内容一致。中标人在签订合同时不得向招标人提出附加条件。</w:t>
      </w:r>
    </w:p>
    <w:p w14:paraId="6004CCD2">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4.3</w:t>
      </w:r>
      <w:r>
        <w:rPr>
          <w:rFonts w:hint="eastAsia" w:ascii="Times New Roman"/>
          <w:snapToGrid w:val="0"/>
          <w:color w:val="auto"/>
          <w:kern w:val="0"/>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7876DEE6">
      <w:pPr>
        <w:shd w:val="clear" w:color="auto" w:fill="auto"/>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4.4</w:t>
      </w:r>
      <w:r>
        <w:rPr>
          <w:rFonts w:hint="eastAsia" w:ascii="Times New Roman"/>
          <w:snapToGrid w:val="0"/>
          <w:color w:val="auto"/>
          <w:kern w:val="0"/>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38585684">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p>
    <w:p w14:paraId="387B7735">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5．放弃中标的处理</w:t>
      </w:r>
    </w:p>
    <w:p w14:paraId="57CBB030">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5.1</w:t>
      </w:r>
      <w:r>
        <w:rPr>
          <w:rFonts w:hint="eastAsia" w:ascii="Times New Roman"/>
          <w:snapToGrid w:val="0"/>
          <w:color w:val="auto"/>
          <w:kern w:val="0"/>
          <w:highlight w:val="none"/>
        </w:rPr>
        <w:t xml:space="preserve"> 中标人</w:t>
      </w:r>
      <w:r>
        <w:rPr>
          <w:snapToGrid w:val="0"/>
          <w:color w:val="auto"/>
          <w:highlight w:val="none"/>
        </w:rPr>
        <w:t>无正当理由</w:t>
      </w:r>
      <w:r>
        <w:rPr>
          <w:rFonts w:hint="eastAsia"/>
          <w:snapToGrid w:val="0"/>
          <w:color w:val="auto"/>
          <w:highlight w:val="none"/>
        </w:rPr>
        <w:t>放弃中标的，</w:t>
      </w:r>
      <w:r>
        <w:rPr>
          <w:rFonts w:hint="eastAsia" w:ascii="Times New Roman"/>
          <w:snapToGrid w:val="0"/>
          <w:color w:val="auto"/>
          <w:kern w:val="0"/>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Times New Roman"/>
          <w:bCs/>
          <w:snapToGrid w:val="0"/>
          <w:color w:val="auto"/>
          <w:kern w:val="0"/>
          <w:highlight w:val="none"/>
        </w:rPr>
        <w:t>因此种情况造成招标人重新招标的</w:t>
      </w:r>
      <w:r>
        <w:rPr>
          <w:rFonts w:hint="eastAsia" w:ascii="Times New Roman"/>
          <w:snapToGrid w:val="0"/>
          <w:color w:val="auto"/>
          <w:kern w:val="0"/>
          <w:highlight w:val="none"/>
        </w:rPr>
        <w:t>，招标人可不接受该弃标人再次投标。同时，招标人应将该弃标人的失信行为向行政监督部门报告。</w:t>
      </w:r>
    </w:p>
    <w:p w14:paraId="1A390D5A">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5.2</w:t>
      </w:r>
      <w:r>
        <w:rPr>
          <w:rFonts w:hint="eastAsia" w:ascii="Times New Roman"/>
          <w:snapToGrid w:val="0"/>
          <w:color w:val="auto"/>
          <w:kern w:val="0"/>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298551E2">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6．分包</w:t>
      </w:r>
    </w:p>
    <w:p w14:paraId="5D83D9DA">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合同范围内的监理服务严禁分包，一经发现，委托人有权解除合同，由此引起的一切经济损失和法律责任由监理人自行承担。</w:t>
      </w:r>
    </w:p>
    <w:p w14:paraId="3EBF00DC">
      <w:pPr>
        <w:shd w:val="clear" w:color="auto" w:fill="auto"/>
        <w:wordWrap w:val="0"/>
        <w:adjustRightInd w:val="0"/>
        <w:snapToGrid w:val="0"/>
        <w:spacing w:line="440" w:lineRule="exact"/>
        <w:ind w:firstLine="480" w:firstLineChars="200"/>
        <w:rPr>
          <w:rFonts w:ascii="Times New Roman"/>
          <w:snapToGrid w:val="0"/>
          <w:color w:val="auto"/>
          <w:kern w:val="0"/>
          <w:highlight w:val="none"/>
        </w:rPr>
      </w:pPr>
    </w:p>
    <w:p w14:paraId="59B3EE7B">
      <w:p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lang w:val="en-US" w:eastAsia="zh-CN"/>
        </w:rPr>
        <w:t>7</w:t>
      </w:r>
      <w:r>
        <w:rPr>
          <w:rFonts w:hint="eastAsia" w:ascii="Times New Roman"/>
          <w:b/>
          <w:bCs/>
          <w:snapToGrid w:val="0"/>
          <w:color w:val="auto"/>
          <w:kern w:val="0"/>
          <w:highlight w:val="none"/>
        </w:rPr>
        <w:t>．监理服务期限</w:t>
      </w:r>
    </w:p>
    <w:p w14:paraId="21DE5460">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7</w:t>
      </w:r>
      <w:r>
        <w:rPr>
          <w:rFonts w:hint="eastAsia" w:ascii="Times New Roman"/>
          <w:b/>
          <w:bCs/>
          <w:snapToGrid w:val="0"/>
          <w:color w:val="auto"/>
          <w:kern w:val="0"/>
          <w:highlight w:val="none"/>
        </w:rPr>
        <w:t>.1</w:t>
      </w:r>
      <w:r>
        <w:rPr>
          <w:rFonts w:hint="eastAsia" w:ascii="Times New Roman"/>
          <w:snapToGrid w:val="0"/>
          <w:color w:val="auto"/>
          <w:kern w:val="0"/>
          <w:highlight w:val="none"/>
        </w:rPr>
        <w:t xml:space="preserve"> 本工程监理服务期限为：监理服务期从监理合同签订之日起计，至本工程缺陷责任保修期结束且本工程结算金额经政府主管部门审定且双方的责任义务履行完毕时止。</w:t>
      </w:r>
    </w:p>
    <w:p w14:paraId="02CCF424">
      <w:pPr>
        <w:shd w:val="clear" w:color="auto" w:fill="auto"/>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7</w:t>
      </w:r>
      <w:r>
        <w:rPr>
          <w:rFonts w:hint="eastAsia" w:ascii="Times New Roman"/>
          <w:b/>
          <w:bCs/>
          <w:snapToGrid w:val="0"/>
          <w:color w:val="auto"/>
          <w:kern w:val="0"/>
          <w:highlight w:val="none"/>
        </w:rPr>
        <w:t>.2</w:t>
      </w:r>
      <w:r>
        <w:rPr>
          <w:rFonts w:hint="eastAsia" w:ascii="Times New Roman"/>
          <w:snapToGrid w:val="0"/>
          <w:color w:val="auto"/>
          <w:kern w:val="0"/>
          <w:highlight w:val="none"/>
        </w:rPr>
        <w:t xml:space="preserve"> 当满足专用合同条款约定的开始监理条件时，招标</w:t>
      </w:r>
      <w:r>
        <w:rPr>
          <w:rFonts w:ascii="Times New Roman"/>
          <w:snapToGrid w:val="0"/>
          <w:color w:val="auto"/>
          <w:kern w:val="0"/>
          <w:highlight w:val="none"/>
        </w:rPr>
        <w:t>人</w:t>
      </w:r>
      <w:r>
        <w:rPr>
          <w:rFonts w:hint="eastAsia" w:ascii="Times New Roman"/>
          <w:snapToGrid w:val="0"/>
          <w:color w:val="auto"/>
          <w:kern w:val="0"/>
          <w:highlight w:val="none"/>
        </w:rPr>
        <w:t>应提前7天向中标人发出开始监理通知。监理服务期限自开始监理通知中载明的开始监理日期起计算。</w:t>
      </w:r>
    </w:p>
    <w:p w14:paraId="1A949E21">
      <w:pPr>
        <w:shd w:val="clear" w:color="auto" w:fill="auto"/>
        <w:wordWrap w:val="0"/>
        <w:adjustRightInd w:val="0"/>
        <w:snapToGrid w:val="0"/>
        <w:spacing w:line="440" w:lineRule="exact"/>
        <w:ind w:firstLine="560"/>
        <w:rPr>
          <w:rFonts w:hint="eastAsia" w:ascii="Times New Roman"/>
          <w:snapToGrid w:val="0"/>
          <w:color w:val="auto"/>
          <w:kern w:val="0"/>
          <w:highlight w:val="none"/>
        </w:rPr>
      </w:pPr>
    </w:p>
    <w:p w14:paraId="1AD97ECE">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hint="eastAsia" w:ascii="Times New Roman"/>
          <w:b/>
          <w:bCs/>
          <w:snapToGrid w:val="0"/>
          <w:color w:val="auto"/>
          <w:kern w:val="0"/>
          <w:highlight w:val="none"/>
        </w:rPr>
        <w:t>．项目监理机构</w:t>
      </w:r>
    </w:p>
    <w:p w14:paraId="5B0294FD">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hint="eastAsia" w:ascii="Times New Roman"/>
          <w:b/>
          <w:bCs/>
          <w:snapToGrid w:val="0"/>
          <w:color w:val="auto"/>
          <w:kern w:val="0"/>
          <w:highlight w:val="none"/>
        </w:rPr>
        <w:t>.1</w:t>
      </w:r>
      <w:r>
        <w:rPr>
          <w:rFonts w:hint="eastAsia" w:ascii="Times New Roman"/>
          <w:snapToGrid w:val="0"/>
          <w:color w:val="auto"/>
          <w:kern w:val="0"/>
          <w:highlight w:val="none"/>
        </w:rPr>
        <w:t xml:space="preserve"> 监理人派驻项目监理机构的人员必须为其投标文件确定的人员，否则委托人有权解除合同。</w:t>
      </w:r>
    </w:p>
    <w:p w14:paraId="6A24A798">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hint="eastAsia" w:ascii="Times New Roman"/>
          <w:b/>
          <w:bCs/>
          <w:snapToGrid w:val="0"/>
          <w:color w:val="auto"/>
          <w:kern w:val="0"/>
          <w:highlight w:val="none"/>
        </w:rPr>
        <w:t>.2</w:t>
      </w:r>
      <w:r>
        <w:rPr>
          <w:rFonts w:hint="eastAsia" w:ascii="Times New Roman"/>
          <w:snapToGrid w:val="0"/>
          <w:color w:val="auto"/>
          <w:kern w:val="0"/>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416A23C">
      <w:pPr>
        <w:shd w:val="clear" w:color="auto" w:fill="auto"/>
        <w:wordWrap w:val="0"/>
        <w:adjustRightInd w:val="0"/>
        <w:snapToGrid w:val="0"/>
        <w:spacing w:line="440" w:lineRule="exact"/>
        <w:ind w:firstLine="482" w:firstLineChars="200"/>
        <w:rPr>
          <w:rFonts w:hint="eastAsia" w:ascii="Times New Roman"/>
          <w:b/>
          <w:snapToGrid w:val="0"/>
          <w:color w:val="auto"/>
          <w:kern w:val="0"/>
          <w:highlight w:val="none"/>
        </w:rPr>
      </w:pPr>
    </w:p>
    <w:p w14:paraId="0B568FC2">
      <w:pPr>
        <w:shd w:val="clear" w:color="auto" w:fill="auto"/>
        <w:wordWrap w:val="0"/>
        <w:adjustRightInd w:val="0"/>
        <w:snapToGrid w:val="0"/>
        <w:spacing w:line="440" w:lineRule="exact"/>
        <w:ind w:firstLine="482" w:firstLineChars="200"/>
        <w:rPr>
          <w:rFonts w:hint="eastAsia" w:ascii="Times New Roman"/>
          <w:strike/>
          <w:snapToGrid w:val="0"/>
          <w:color w:val="auto"/>
          <w:kern w:val="0"/>
          <w:highlight w:val="none"/>
        </w:rPr>
      </w:pPr>
      <w:r>
        <w:rPr>
          <w:rFonts w:hint="eastAsia" w:ascii="Times New Roman"/>
          <w:b/>
          <w:snapToGrid w:val="0"/>
          <w:color w:val="auto"/>
          <w:kern w:val="0"/>
          <w:highlight w:val="none"/>
          <w:lang w:val="en-US" w:eastAsia="zh-CN"/>
        </w:rPr>
        <w:t>9</w:t>
      </w:r>
      <w:r>
        <w:rPr>
          <w:rFonts w:hint="eastAsia" w:ascii="Times New Roman"/>
          <w:b/>
          <w:snapToGrid w:val="0"/>
          <w:color w:val="auto"/>
          <w:kern w:val="0"/>
          <w:highlight w:val="none"/>
        </w:rPr>
        <w:t>．安全防护</w:t>
      </w:r>
    </w:p>
    <w:p w14:paraId="3082EC83">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监理人应按照安全监理有关规定，采取严格、科学的安全防护措施，确保监理人员人身安全，承担由于自身安全防护措施不力所造成的安全事故责任和发生的费用。</w:t>
      </w:r>
    </w:p>
    <w:p w14:paraId="359D8E3C">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p>
    <w:p w14:paraId="08BB32F9">
      <w:pPr>
        <w:shd w:val="clear" w:color="auto" w:fill="auto"/>
        <w:wordWrap w:val="0"/>
        <w:adjustRightInd w:val="0"/>
        <w:snapToGrid w:val="0"/>
        <w:spacing w:line="440" w:lineRule="exact"/>
        <w:ind w:firstLine="482" w:firstLineChars="200"/>
        <w:rPr>
          <w:rFonts w:hint="eastAsia" w:ascii="Times New Roman"/>
          <w:strike/>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0</w:t>
      </w:r>
      <w:r>
        <w:rPr>
          <w:rFonts w:hint="eastAsia" w:ascii="Times New Roman"/>
          <w:b/>
          <w:snapToGrid w:val="0"/>
          <w:color w:val="auto"/>
          <w:kern w:val="0"/>
          <w:highlight w:val="none"/>
        </w:rPr>
        <w:t>．接受监督</w:t>
      </w:r>
    </w:p>
    <w:p w14:paraId="1F33D784">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监理人应严格按照法律、法规以及</w:t>
      </w:r>
      <w:r>
        <w:rPr>
          <w:rFonts w:hint="eastAsia" w:ascii="Times New Roman"/>
          <w:bCs/>
          <w:snapToGrid w:val="0"/>
          <w:color w:val="auto"/>
          <w:kern w:val="0"/>
          <w:highlight w:val="none"/>
        </w:rPr>
        <w:t>《建设工程监理规范》（GB/T 50319—2013）有关规定实施监理，同时须</w:t>
      </w:r>
      <w:r>
        <w:rPr>
          <w:rFonts w:hint="eastAsia" w:ascii="Times New Roman"/>
          <w:snapToGrid w:val="0"/>
          <w:color w:val="auto"/>
          <w:kern w:val="0"/>
          <w:highlight w:val="none"/>
        </w:rPr>
        <w:t>服从委托人以及建设行政主管部门对监理工作全方位的监督，及时将监理大纲、监理规划、监理实施细则等监理文件报委托人审查备案。</w:t>
      </w:r>
    </w:p>
    <w:p w14:paraId="021F36BD">
      <w:pPr>
        <w:shd w:val="clear" w:color="auto" w:fill="auto"/>
        <w:wordWrap w:val="0"/>
        <w:adjustRightInd w:val="0"/>
        <w:snapToGrid w:val="0"/>
        <w:spacing w:line="440" w:lineRule="exact"/>
        <w:ind w:firstLine="560"/>
        <w:rPr>
          <w:rFonts w:hint="eastAsia" w:ascii="Times New Roman"/>
          <w:bCs/>
          <w:snapToGrid w:val="0"/>
          <w:color w:val="auto"/>
          <w:kern w:val="0"/>
          <w:highlight w:val="none"/>
        </w:rPr>
      </w:pPr>
    </w:p>
    <w:p w14:paraId="2113427B">
      <w:pPr>
        <w:shd w:val="clear" w:color="auto" w:fill="auto"/>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1</w:t>
      </w:r>
      <w:r>
        <w:rPr>
          <w:rFonts w:hint="eastAsia" w:ascii="Times New Roman"/>
          <w:b/>
          <w:snapToGrid w:val="0"/>
          <w:color w:val="auto"/>
          <w:kern w:val="0"/>
          <w:highlight w:val="none"/>
        </w:rPr>
        <w:t>．监理档案移交</w:t>
      </w:r>
    </w:p>
    <w:p w14:paraId="0923F8E0">
      <w:pPr>
        <w:shd w:val="clear" w:color="auto" w:fill="auto"/>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Cs/>
          <w:snapToGrid w:val="0"/>
          <w:color w:val="auto"/>
          <w:kern w:val="0"/>
          <w:highlight w:val="none"/>
        </w:rPr>
        <w:t>工程竣工验收后，监理人应向委托人提交一式</w:t>
      </w:r>
      <w:r>
        <w:rPr>
          <w:rFonts w:hint="eastAsia" w:ascii="Times New Roman"/>
          <w:bCs/>
          <w:snapToGrid w:val="0"/>
          <w:color w:val="auto"/>
          <w:kern w:val="0"/>
          <w:highlight w:val="none"/>
          <w:u w:val="single"/>
        </w:rPr>
        <w:t xml:space="preserve"> 八 </w:t>
      </w:r>
      <w:r>
        <w:rPr>
          <w:rFonts w:hint="eastAsia" w:ascii="Times New Roman"/>
          <w:bCs/>
          <w:snapToGrid w:val="0"/>
          <w:color w:val="auto"/>
          <w:kern w:val="0"/>
          <w:highlight w:val="none"/>
        </w:rPr>
        <w:t>份符合《建设工程监理规范》（GB/T 50319—2013）</w:t>
      </w:r>
      <w:r>
        <w:rPr>
          <w:rFonts w:hint="eastAsia" w:ascii="Times New Roman"/>
          <w:bCs/>
          <w:snapToGrid w:val="0"/>
          <w:color w:val="auto"/>
          <w:kern w:val="0"/>
          <w:highlight w:val="none"/>
          <w:lang w:val="en-US" w:eastAsia="zh-CN"/>
        </w:rPr>
        <w:t>以及</w:t>
      </w:r>
      <w:r>
        <w:rPr>
          <w:rFonts w:hint="eastAsia" w:ascii="Times New Roman"/>
          <w:bCs/>
          <w:snapToGrid w:val="0"/>
          <w:color w:val="auto"/>
          <w:kern w:val="0"/>
          <w:highlight w:val="none"/>
        </w:rPr>
        <w:t>《韶关市城市建设档案管理办法》要求的监理档案。</w:t>
      </w:r>
    </w:p>
    <w:p w14:paraId="66BECC02">
      <w:pPr>
        <w:shd w:val="clear" w:color="auto" w:fill="auto"/>
        <w:wordWrap w:val="0"/>
        <w:adjustRightInd w:val="0"/>
        <w:snapToGrid w:val="0"/>
        <w:spacing w:line="440" w:lineRule="exact"/>
        <w:ind w:firstLine="560"/>
        <w:rPr>
          <w:rFonts w:hint="eastAsia" w:ascii="Times New Roman"/>
          <w:bCs/>
          <w:snapToGrid w:val="0"/>
          <w:color w:val="auto"/>
          <w:kern w:val="0"/>
          <w:highlight w:val="none"/>
        </w:rPr>
      </w:pPr>
    </w:p>
    <w:p w14:paraId="65F2A007">
      <w:pPr>
        <w:shd w:val="clear" w:color="auto" w:fill="auto"/>
        <w:wordWrap w:val="0"/>
        <w:adjustRightInd w:val="0"/>
        <w:snapToGrid w:val="0"/>
        <w:spacing w:line="440" w:lineRule="exact"/>
        <w:ind w:firstLine="560"/>
        <w:rPr>
          <w:rFonts w:hint="eastAsia" w:ascii="Times New Roman"/>
          <w:strike/>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2</w:t>
      </w:r>
      <w:r>
        <w:rPr>
          <w:rFonts w:hint="eastAsia" w:ascii="Times New Roman"/>
          <w:b/>
          <w:snapToGrid w:val="0"/>
          <w:color w:val="auto"/>
          <w:kern w:val="0"/>
          <w:highlight w:val="none"/>
        </w:rPr>
        <w:t>．不良行为处理</w:t>
      </w:r>
    </w:p>
    <w:p w14:paraId="481FC2AB">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监理人及其有关人员有下列行为之一的，委托人应及时报请建设行政主管部门查处。除按照有关法律、法规进行处罚外，不良行为将计入企业及有关个人诚信档案，并在韶关市住房和城乡建设管理局网站（http://zgj.sg.gov.cn）公布。</w:t>
      </w:r>
    </w:p>
    <w:p w14:paraId="7E5008AB">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（1）转让监理业务的；</w:t>
      </w:r>
    </w:p>
    <w:p w14:paraId="53192B35">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（2）非原参加投标中标的总监理工程师负责组织监理或在实施过程中擅自更换总监理工程师的、项目监理机构的其他监理人员与中标文件确定的人员不相符的；</w:t>
      </w:r>
    </w:p>
    <w:p w14:paraId="4FB84135">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（3）与建设单位、施工单位串通，签认虚假工程量或工程造价的；</w:t>
      </w:r>
    </w:p>
    <w:p w14:paraId="2A5B0ED3">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（4）现场监理不到位的；</w:t>
      </w:r>
    </w:p>
    <w:p w14:paraId="613EAB83">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（5）非本人资格证书注册单位从事监理工作的；</w:t>
      </w:r>
    </w:p>
    <w:p w14:paraId="41C2160F">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（6）总监理工程师承担超过三项工程监理任务的；</w:t>
      </w:r>
    </w:p>
    <w:p w14:paraId="5F33F5F9">
      <w:pPr>
        <w:pStyle w:val="54"/>
        <w:shd w:val="clear" w:color="auto" w:fill="auto"/>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（7）违反有关法律、法规、规章规定的其它行为。</w:t>
      </w:r>
    </w:p>
    <w:p w14:paraId="5A8C49B9">
      <w:pPr>
        <w:pStyle w:val="47"/>
        <w:numPr>
          <w:ilvl w:val="0"/>
          <w:numId w:val="0"/>
        </w:numPr>
        <w:shd w:val="clear" w:color="auto" w:fill="auto"/>
        <w:wordWrap w:val="0"/>
        <w:adjustRightInd w:val="0"/>
        <w:snapToGrid w:val="0"/>
        <w:spacing w:line="440" w:lineRule="exact"/>
        <w:rPr>
          <w:rFonts w:hint="eastAsia" w:ascii="Times New Roman"/>
          <w:b/>
          <w:bCs/>
          <w:snapToGrid w:val="0"/>
          <w:color w:val="auto"/>
          <w:kern w:val="0"/>
          <w:highlight w:val="none"/>
          <w:lang w:val="en-US" w:eastAsia="zh-CN"/>
        </w:rPr>
      </w:pPr>
    </w:p>
    <w:p w14:paraId="499C9924">
      <w:pPr>
        <w:pStyle w:val="47"/>
        <w:numPr>
          <w:ilvl w:val="0"/>
          <w:numId w:val="0"/>
        </w:num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lang w:val="en-US" w:eastAsia="zh-CN"/>
        </w:rPr>
        <w:t>14.</w:t>
      </w:r>
      <w:r>
        <w:rPr>
          <w:rFonts w:hint="eastAsia" w:ascii="Times New Roman"/>
          <w:b/>
          <w:bCs/>
          <w:snapToGrid w:val="0"/>
          <w:color w:val="auto"/>
          <w:kern w:val="0"/>
          <w:highlight w:val="none"/>
        </w:rPr>
        <w:t>其他事项</w:t>
      </w:r>
    </w:p>
    <w:p w14:paraId="33C1081C">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bookmarkStart w:id="338" w:name="_Toc16389"/>
      <w:bookmarkStart w:id="339" w:name="_Toc23491"/>
      <w:bookmarkStart w:id="340" w:name="_Hlt69698713"/>
      <w:bookmarkStart w:id="341" w:name="_Hlt69698765"/>
      <w:bookmarkStart w:id="342" w:name="_Toc26868"/>
      <w:bookmarkStart w:id="343" w:name="_Toc12639"/>
      <w:bookmarkStart w:id="344" w:name="_Toc16510"/>
      <w:bookmarkStart w:id="345" w:name="_Toc6731"/>
      <w:bookmarkStart w:id="346" w:name="_Toc16162"/>
      <w:bookmarkStart w:id="347" w:name="_Toc28684"/>
      <w:bookmarkStart w:id="348" w:name="_Toc19507"/>
      <w:bookmarkStart w:id="349" w:name="_Toc7302"/>
      <w:bookmarkStart w:id="350" w:name="_Toc24108"/>
      <w:bookmarkStart w:id="351" w:name="_Hlt69698776"/>
      <w:bookmarkStart w:id="352" w:name="_Toc28918"/>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 xml:space="preserve">.1 </w:t>
      </w:r>
      <w:r>
        <w:rPr>
          <w:rFonts w:hint="eastAsia" w:ascii="Times New Roman" w:hAnsi="Times New Roman" w:eastAsia="宋体" w:cs="Times New Roman"/>
          <w:b w:val="0"/>
          <w:bCs w:val="0"/>
          <w:snapToGrid w:val="0"/>
          <w:color w:val="auto"/>
          <w:kern w:val="0"/>
          <w:sz w:val="24"/>
          <w:szCs w:val="24"/>
          <w:highlight w:val="none"/>
          <w:lang w:val="en-US" w:eastAsia="zh-CN" w:bidi="ar-SA"/>
        </w:rPr>
        <w:t>若由于监理单位的过错或失职，对委托人造成损失的，监理人必须依法承担赔偿责任。</w:t>
      </w:r>
    </w:p>
    <w:p w14:paraId="5FB83C27">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 xml:space="preserve">.2 </w:t>
      </w:r>
      <w:r>
        <w:rPr>
          <w:rFonts w:hint="eastAsia" w:ascii="Times New Roman" w:hAnsi="Times New Roman" w:eastAsia="宋体" w:cs="Times New Roman"/>
          <w:b w:val="0"/>
          <w:bCs w:val="0"/>
          <w:snapToGrid w:val="0"/>
          <w:color w:val="auto"/>
          <w:kern w:val="0"/>
          <w:sz w:val="24"/>
          <w:szCs w:val="24"/>
          <w:highlight w:val="none"/>
          <w:lang w:val="en-US" w:eastAsia="zh-CN" w:bidi="ar-SA"/>
        </w:rPr>
        <w:t>本工程质量必须达到合格标准。若因监理人原因，工程在竣工验收或分部工程验收时没有达到此标准，监理人按监理合同价款（指监理结算价款）的10％向委托人缴纳质量违约金。</w:t>
      </w:r>
    </w:p>
    <w:p w14:paraId="185EF3AA">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 xml:space="preserve">.3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监理人必须按投标</w:t>
      </w:r>
      <w:r>
        <w:rPr>
          <w:rFonts w:hint="eastAsia" w:ascii="Times New Roman" w:cs="Times New Roman"/>
          <w:b w:val="0"/>
          <w:bCs w:val="0"/>
          <w:snapToGrid w:val="0"/>
          <w:color w:val="auto"/>
          <w:kern w:val="0"/>
          <w:sz w:val="24"/>
          <w:szCs w:val="24"/>
          <w:highlight w:val="none"/>
          <w:lang w:val="en-US" w:eastAsia="zh-CN" w:bidi="ar-SA"/>
        </w:rPr>
        <w:t>文件</w:t>
      </w:r>
      <w:r>
        <w:rPr>
          <w:rFonts w:hint="eastAsia" w:ascii="Times New Roman" w:hAnsi="Times New Roman" w:eastAsia="宋体" w:cs="Times New Roman"/>
          <w:b w:val="0"/>
          <w:bCs w:val="0"/>
          <w:snapToGrid w:val="0"/>
          <w:color w:val="auto"/>
          <w:kern w:val="0"/>
          <w:sz w:val="24"/>
          <w:szCs w:val="24"/>
          <w:highlight w:val="none"/>
          <w:lang w:val="en-US" w:eastAsia="zh-CN" w:bidi="ar-SA"/>
        </w:rPr>
        <w:t>中的服务承诺条款履行合同。</w:t>
      </w:r>
    </w:p>
    <w:p w14:paraId="6A191A75">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监理人在监理期间应严格遵守国家、省、市有关防火、爆破和监理安全以及文明监理、深夜监理、环卫城管等规定，建立规章制度和防护措施。否则，由此造成的经济和法律责任，均由监理人负责。</w:t>
      </w:r>
    </w:p>
    <w:p w14:paraId="04D02167">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5</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监理人应按安全监理的要求，采取严格科学的安全措施，确保监理安全和第三者的安全，承担由于自身安全措施不力所造成的事故责任和发生的费用。</w:t>
      </w:r>
    </w:p>
    <w:p w14:paraId="79DCB8BE">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6</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49DF758">
      <w:pPr>
        <w:shd w:val="clear" w:color="auto" w:fill="auto"/>
        <w:adjustRightInd w:val="0"/>
        <w:snapToGrid w:val="0"/>
        <w:spacing w:line="440" w:lineRule="exact"/>
        <w:ind w:firstLine="482" w:firstLineChars="200"/>
        <w:rPr>
          <w:rFonts w:hint="eastAsia" w:ascii="Times New Roman" w:hAnsi="Times New Roman" w:eastAsia="宋体" w:cs="Times New Roman"/>
          <w:b w:val="0"/>
          <w:bCs w:val="0"/>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7</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监理人须服从委托人及政府工程质量监督部门对监理工程全方位的监督，监理资料应及时报送委托人审查备案。</w:t>
      </w:r>
    </w:p>
    <w:p w14:paraId="6D663987">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8</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监理人在施工过程中若发生现场签证时，按委托人签证管理办法执行。</w:t>
      </w:r>
    </w:p>
    <w:p w14:paraId="7E1BE9DC">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9</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10EBE220">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w:t>
      </w:r>
      <w:r>
        <w:rPr>
          <w:rFonts w:hint="eastAsia" w:ascii="Times New Roman" w:cs="Times New Roman"/>
          <w:b/>
          <w:bCs/>
          <w:snapToGrid w:val="0"/>
          <w:color w:val="auto"/>
          <w:kern w:val="0"/>
          <w:sz w:val="24"/>
          <w:szCs w:val="24"/>
          <w:highlight w:val="none"/>
          <w:lang w:val="en-US" w:eastAsia="zh-CN" w:bidi="ar-SA"/>
        </w:rPr>
        <w:t>10</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监理人若在韶关市无固定服务场所和固定专业负责人的，则在合同签订后尽快完成驻韶固定办公场所办理和安排固定项目负责人及其他相关监理人员驻韶办公。</w:t>
      </w:r>
    </w:p>
    <w:p w14:paraId="56E49CCF">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1</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Times New Roman" w:hAnsi="Times New Roman" w:eastAsia="宋体" w:cs="Times New Roman"/>
          <w:b w:val="0"/>
          <w:bCs w:val="0"/>
          <w:snapToGrid w:val="0"/>
          <w:color w:val="auto"/>
          <w:kern w:val="0"/>
          <w:sz w:val="24"/>
          <w:szCs w:val="24"/>
          <w:highlight w:val="none"/>
          <w:lang w:val="en-US" w:eastAsia="zh-CN" w:bidi="ar-SA"/>
        </w:rPr>
        <w:t>监理人拟派驻现场的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w:t>
      </w:r>
    </w:p>
    <w:p w14:paraId="12E28154">
      <w:pPr>
        <w:shd w:val="clear" w:color="auto" w:fill="auto"/>
        <w:adjustRightInd w:val="0"/>
        <w:snapToGrid w:val="0"/>
        <w:spacing w:line="440" w:lineRule="exact"/>
        <w:ind w:firstLine="482" w:firstLineChars="200"/>
        <w:rPr>
          <w:rFonts w:hint="eastAsia" w:ascii="Times New Roman" w:hAnsi="Times New Roman" w:eastAsia="宋体" w:cs="Times New Roman"/>
          <w:b/>
          <w:bCs/>
          <w:snapToGrid w:val="0"/>
          <w:color w:val="auto"/>
          <w:kern w:val="0"/>
          <w:sz w:val="24"/>
          <w:szCs w:val="24"/>
          <w:highlight w:val="none"/>
          <w:lang w:val="en-US" w:eastAsia="zh-CN" w:bidi="ar-SA"/>
        </w:rPr>
      </w:pP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4</w:t>
      </w:r>
      <w:r>
        <w:rPr>
          <w:rFonts w:hint="eastAsia" w:ascii="Times New Roman" w:hAnsi="Times New Roman" w:eastAsia="宋体" w:cs="Times New Roman"/>
          <w:b/>
          <w:bCs/>
          <w:snapToGrid w:val="0"/>
          <w:color w:val="auto"/>
          <w:kern w:val="0"/>
          <w:sz w:val="24"/>
          <w:szCs w:val="24"/>
          <w:highlight w:val="none"/>
          <w:lang w:val="en-US" w:eastAsia="zh-CN" w:bidi="ar-SA"/>
        </w:rPr>
        <w:t>.1</w:t>
      </w:r>
      <w:r>
        <w:rPr>
          <w:rFonts w:hint="eastAsia" w:ascii="Times New Roman" w:cs="Times New Roman"/>
          <w:b/>
          <w:bCs/>
          <w:snapToGrid w:val="0"/>
          <w:color w:val="auto"/>
          <w:kern w:val="0"/>
          <w:sz w:val="24"/>
          <w:szCs w:val="24"/>
          <w:highlight w:val="none"/>
          <w:lang w:val="en-US" w:eastAsia="zh-CN" w:bidi="ar-SA"/>
        </w:rPr>
        <w:t>2</w:t>
      </w:r>
      <w:r>
        <w:rPr>
          <w:rFonts w:hint="eastAsia" w:ascii="Times New Roman" w:hAnsi="Times New Roman" w:eastAsia="宋体" w:cs="Times New Roman"/>
          <w:b w:val="0"/>
          <w:bCs w:val="0"/>
          <w:snapToGrid w:val="0"/>
          <w:color w:val="auto"/>
          <w:kern w:val="0"/>
          <w:sz w:val="24"/>
          <w:szCs w:val="24"/>
          <w:highlight w:val="none"/>
          <w:lang w:val="en-US" w:eastAsia="zh-CN" w:bidi="ar-SA"/>
        </w:rPr>
        <w:t>监理单位应在开工前向业主方提交派驻现场监理人员名单。</w:t>
      </w:r>
    </w:p>
    <w:p w14:paraId="02114FBC">
      <w:pPr>
        <w:shd w:val="clear" w:color="auto" w:fill="auto"/>
        <w:rPr>
          <w:rFonts w:hint="eastAsia"/>
          <w:color w:val="auto"/>
          <w:highlight w:val="none"/>
        </w:rPr>
      </w:pPr>
    </w:p>
    <w:p w14:paraId="48A1B3A3">
      <w:pPr>
        <w:pStyle w:val="2"/>
        <w:shd w:val="clear" w:color="auto" w:fill="auto"/>
        <w:tabs>
          <w:tab w:val="left" w:pos="885"/>
        </w:tabs>
        <w:wordWrap w:val="0"/>
        <w:autoSpaceDE/>
        <w:autoSpaceDN/>
        <w:snapToGrid w:val="0"/>
        <w:spacing w:line="440" w:lineRule="exact"/>
        <w:ind w:left="885" w:hanging="885"/>
        <w:jc w:val="center"/>
        <w:rPr>
          <w:rFonts w:hint="eastAsia" w:hAnsi="宋体" w:cs="宋体"/>
          <w:b/>
          <w:snapToGrid w:val="0"/>
          <w:color w:val="auto"/>
          <w:highlight w:val="none"/>
        </w:rPr>
      </w:pPr>
      <w:bookmarkStart w:id="353" w:name="_Toc15860"/>
      <w:r>
        <w:rPr>
          <w:rFonts w:hint="eastAsia" w:ascii="Times New Roman" w:hAnsi="Times New Roman" w:eastAsia="宋体" w:cs="Times New Roman"/>
          <w:b/>
          <w:snapToGrid w:val="0"/>
          <w:color w:val="auto"/>
          <w:highlight w:val="none"/>
          <w:lang w:val="en-US" w:eastAsia="zh-CN"/>
        </w:rPr>
        <w:br w:type="page"/>
      </w:r>
      <w:bookmarkEnd w:id="353"/>
      <w:bookmarkStart w:id="354" w:name="_Toc4502"/>
      <w:r>
        <w:rPr>
          <w:rFonts w:hint="eastAsia" w:ascii="宋体" w:hAnsi="宋体" w:eastAsia="宋体" w:cs="宋体"/>
          <w:b/>
          <w:snapToGrid w:val="0"/>
          <w:color w:val="auto"/>
          <w:sz w:val="24"/>
          <w:highlight w:val="none"/>
        </w:rPr>
        <w:t>第三章</w:t>
      </w:r>
      <w:bookmarkStart w:id="355" w:name="_Hlt87793831"/>
      <w:bookmarkEnd w:id="355"/>
      <w:r>
        <w:rPr>
          <w:rFonts w:hint="eastAsia" w:ascii="宋体" w:hAnsi="宋体" w:eastAsia="宋体" w:cs="宋体"/>
          <w:b/>
          <w:snapToGrid w:val="0"/>
          <w:color w:val="auto"/>
          <w:sz w:val="24"/>
          <w:highlight w:val="none"/>
        </w:rPr>
        <w:t xml:space="preserve"> 拟签订合同的主要条款</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4"/>
      <w:bookmarkStart w:id="356" w:name="_Toc2688"/>
      <w:bookmarkStart w:id="357" w:name="_Toc322793288"/>
      <w:bookmarkStart w:id="358" w:name="_Toc326916629"/>
    </w:p>
    <w:bookmarkEnd w:id="356"/>
    <w:bookmarkEnd w:id="357"/>
    <w:bookmarkEnd w:id="358"/>
    <w:p w14:paraId="50337BA8">
      <w:p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p>
    <w:p w14:paraId="38D2EE51">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1．现场办公条件</w:t>
      </w:r>
    </w:p>
    <w:p w14:paraId="10ADA6C0">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1.1</w:t>
      </w:r>
      <w:r>
        <w:rPr>
          <w:rFonts w:hint="eastAsia" w:ascii="Times New Roman"/>
          <w:snapToGrid w:val="0"/>
          <w:color w:val="auto"/>
          <w:kern w:val="0"/>
          <w:highlight w:val="none"/>
        </w:rPr>
        <w:t xml:space="preserve"> 监理人的办公、休息场所不得与承包人混用。所需场所、水电网络接入由委托人征求监理人意见后，与承包人协调明确，但费用（若有）由监理人支付。监理人所需场所的数量及其面积应与工程规模、特点相匹配，并应满足监理工作正常运作的需要。</w:t>
      </w:r>
    </w:p>
    <w:p w14:paraId="156D9594">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1.2</w:t>
      </w:r>
      <w:r>
        <w:rPr>
          <w:rFonts w:hint="eastAsia" w:ascii="Times New Roman"/>
          <w:snapToGrid w:val="0"/>
          <w:color w:val="auto"/>
          <w:kern w:val="0"/>
          <w:highlight w:val="none"/>
        </w:rPr>
        <w:t xml:space="preserve"> 监理人应按照工程需要，自行配备以下的设施、设备：</w:t>
      </w:r>
    </w:p>
    <w:p w14:paraId="1D171614">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（1）办公桌椅、文件柜、床铺被褥、供冷采暖设施等办公和生活设施；</w:t>
      </w:r>
    </w:p>
    <w:p w14:paraId="4135D3C5">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（2）电脑、投影、打印机、复印机、传真机等办公设备及其耗材；</w:t>
      </w:r>
    </w:p>
    <w:p w14:paraId="3235927F">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（3）拍摄、录音、录像等取证器材；</w:t>
      </w:r>
    </w:p>
    <w:p w14:paraId="14780E87">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（4）信息化管理软件或系统；</w:t>
      </w:r>
    </w:p>
    <w:p w14:paraId="06C5A0B4">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（5）通信和交通工具；</w:t>
      </w:r>
    </w:p>
    <w:p w14:paraId="574CBC9F">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（6）本工程必备的规范标准、图集等书籍手册；</w:t>
      </w:r>
    </w:p>
    <w:p w14:paraId="72BE2BFA">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（7）安全帽、安全鞋、安全手套、安全服装、手电筒等安全防护用具；</w:t>
      </w:r>
    </w:p>
    <w:p w14:paraId="697B8696">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（8）</w:t>
      </w:r>
      <w:r>
        <w:rPr>
          <w:rFonts w:hint="eastAsia" w:ascii="Times New Roman"/>
          <w:snapToGrid w:val="0"/>
          <w:color w:val="auto"/>
          <w:kern w:val="0"/>
          <w:highlight w:val="none"/>
          <w:u w:val="single"/>
          <w:lang w:val="en-US" w:eastAsia="zh-CN"/>
        </w:rPr>
        <w:t xml:space="preserve">打卡 / </w:t>
      </w:r>
      <w:r>
        <w:rPr>
          <w:rFonts w:hint="eastAsia" w:ascii="Times New Roman"/>
          <w:snapToGrid w:val="0"/>
          <w:color w:val="auto"/>
          <w:kern w:val="0"/>
          <w:highlight w:val="none"/>
          <w:u w:val="single"/>
        </w:rPr>
        <w:t>指纹识别</w:t>
      </w:r>
      <w:r>
        <w:rPr>
          <w:rFonts w:hint="eastAsia" w:ascii="Times New Roman"/>
          <w:snapToGrid w:val="0"/>
          <w:color w:val="auto"/>
          <w:kern w:val="0"/>
          <w:highlight w:val="none"/>
          <w:u w:val="single"/>
          <w:lang w:val="en-US" w:eastAsia="zh-CN"/>
        </w:rPr>
        <w:t xml:space="preserve"> / </w:t>
      </w:r>
      <w:r>
        <w:rPr>
          <w:rFonts w:hint="eastAsia" w:ascii="Times New Roman"/>
          <w:snapToGrid w:val="0"/>
          <w:color w:val="auto"/>
          <w:kern w:val="0"/>
          <w:highlight w:val="none"/>
          <w:u w:val="single"/>
        </w:rPr>
        <w:t xml:space="preserve">人脸识别 </w:t>
      </w:r>
      <w:r>
        <w:rPr>
          <w:rFonts w:hint="eastAsia" w:ascii="Times New Roman"/>
          <w:snapToGrid w:val="0"/>
          <w:color w:val="auto"/>
          <w:kern w:val="0"/>
          <w:highlight w:val="none"/>
        </w:rPr>
        <w:t>考勤设备考勤设备；</w:t>
      </w:r>
    </w:p>
    <w:p w14:paraId="5F8B25B8">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w:t>
      </w:r>
      <w:r>
        <w:rPr>
          <w:rFonts w:hint="eastAsia" w:ascii="Times New Roman"/>
          <w:snapToGrid w:val="0"/>
          <w:color w:val="auto"/>
          <w:kern w:val="0"/>
          <w:highlight w:val="none"/>
          <w:lang w:val="en-US" w:eastAsia="zh-CN"/>
        </w:rPr>
        <w:t>9</w:t>
      </w:r>
      <w:r>
        <w:rPr>
          <w:rFonts w:hint="eastAsia" w:ascii="Times New Roman"/>
          <w:snapToGrid w:val="0"/>
          <w:color w:val="auto"/>
          <w:kern w:val="0"/>
          <w:highlight w:val="none"/>
        </w:rPr>
        <w:t>）配备满足用于监理现场抽检所用的试验设备和仪器；</w:t>
      </w:r>
    </w:p>
    <w:p w14:paraId="54F2665A">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10</w:t>
      </w:r>
      <w:r>
        <w:rPr>
          <w:rFonts w:hint="eastAsia" w:ascii="Times New Roman"/>
          <w:snapToGrid w:val="0"/>
          <w:color w:val="auto"/>
          <w:kern w:val="0"/>
          <w:highlight w:val="none"/>
          <w:lang w:eastAsia="zh-CN"/>
        </w:rPr>
        <w:t>）</w:t>
      </w:r>
      <w:r>
        <w:rPr>
          <w:rFonts w:hint="eastAsia" w:ascii="Times New Roman"/>
          <w:snapToGrid w:val="0"/>
          <w:color w:val="auto"/>
          <w:kern w:val="0"/>
          <w:highlight w:val="none"/>
        </w:rPr>
        <w:t>其他与监理工作有关的设备与用品。</w:t>
      </w:r>
    </w:p>
    <w:p w14:paraId="4A27A2FA">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p>
    <w:p w14:paraId="221EF7B5">
      <w:p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2．酬金</w:t>
      </w:r>
    </w:p>
    <w:p w14:paraId="4B6930F1">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2.1</w:t>
      </w:r>
      <w:r>
        <w:rPr>
          <w:rFonts w:hint="eastAsia" w:ascii="Times New Roman"/>
          <w:snapToGrid w:val="0"/>
          <w:color w:val="auto"/>
          <w:kern w:val="0"/>
          <w:highlight w:val="none"/>
        </w:rPr>
        <w:t xml:space="preserve"> “酬金”指监理人履行本合同义务，委托人按照本合同约定（包括按照合同约定进行的变更和调整）给付监理人的金额。</w:t>
      </w:r>
    </w:p>
    <w:p w14:paraId="3EDF9C62">
      <w:pPr>
        <w:keepNext w:val="0"/>
        <w:keepLines w:val="0"/>
        <w:widowControl w:val="0"/>
        <w:suppressLineNumbers w:val="0"/>
        <w:shd w:val="clear" w:color="auto" w:fill="auto"/>
        <w:wordWrap w:val="0"/>
        <w:adjustRightInd w:val="0"/>
        <w:snapToGrid w:val="0"/>
        <w:spacing w:before="0" w:beforeAutospacing="0" w:after="0" w:afterAutospacing="0" w:line="440" w:lineRule="exact"/>
        <w:ind w:left="0" w:right="0" w:firstLine="482" w:firstLineChars="200"/>
        <w:jc w:val="both"/>
        <w:rPr>
          <w:rFonts w:hint="eastAsia" w:ascii="宋体" w:hAnsi="宋体" w:eastAsia="宋体" w:cs="宋体"/>
          <w:color w:val="auto"/>
          <w:highlight w:val="none"/>
        </w:rPr>
      </w:pPr>
      <w:r>
        <w:rPr>
          <w:rFonts w:hint="eastAsia" w:ascii="Times New Roman"/>
          <w:b/>
          <w:bCs/>
          <w:snapToGrid w:val="0"/>
          <w:color w:val="auto"/>
          <w:kern w:val="0"/>
          <w:highlight w:val="none"/>
        </w:rPr>
        <w:t>2.2</w:t>
      </w:r>
      <w:r>
        <w:rPr>
          <w:rFonts w:hint="eastAsia" w:ascii="Times New Roman"/>
          <w:snapToGrid w:val="0"/>
          <w:color w:val="auto"/>
          <w:kern w:val="0"/>
          <w:highlight w:val="none"/>
        </w:rPr>
        <w:t xml:space="preserve"> 酬金结算原则：</w:t>
      </w:r>
      <w:r>
        <w:rPr>
          <w:rFonts w:hint="eastAsia" w:ascii="宋体" w:hAnsi="宋体" w:eastAsia="宋体" w:cs="宋体"/>
          <w:snapToGrid w:val="0"/>
          <w:color w:val="auto"/>
          <w:kern w:val="0"/>
          <w:sz w:val="24"/>
          <w:szCs w:val="20"/>
          <w:highlight w:val="none"/>
          <w:u w:val="single"/>
          <w:lang w:val="en-US" w:eastAsia="zh-CN"/>
        </w:rPr>
        <w:t>监理服务费结算价在项目的合同价范围内按实结算，即：监理服务费结算以施工结算价为基数乘以监理人中标取费费率计算的结算价进行结算，其中施工最终结算价以</w:t>
      </w:r>
      <w:r>
        <w:rPr>
          <w:rFonts w:hint="eastAsia" w:hAnsi="宋体" w:cs="宋体"/>
          <w:snapToGrid w:val="0"/>
          <w:color w:val="auto"/>
          <w:kern w:val="0"/>
          <w:sz w:val="24"/>
          <w:szCs w:val="20"/>
          <w:highlight w:val="none"/>
          <w:u w:val="single"/>
          <w:lang w:val="en-US" w:eastAsia="zh-CN"/>
        </w:rPr>
        <w:t>韶关市武江区财政局投资评审中心</w:t>
      </w:r>
      <w:r>
        <w:rPr>
          <w:rFonts w:hint="eastAsia" w:ascii="宋体" w:hAnsi="宋体" w:eastAsia="宋体" w:cs="宋体"/>
          <w:snapToGrid w:val="0"/>
          <w:color w:val="auto"/>
          <w:kern w:val="0"/>
          <w:sz w:val="24"/>
          <w:szCs w:val="20"/>
          <w:highlight w:val="none"/>
          <w:u w:val="single"/>
          <w:lang w:val="en-US" w:eastAsia="zh-CN"/>
        </w:rPr>
        <w:t>审定为准，且最终监理服务费结算价不得超过合同价，即中标价</w:t>
      </w:r>
      <w:r>
        <w:rPr>
          <w:rFonts w:hint="eastAsia" w:ascii="宋体" w:hAnsi="宋体" w:eastAsia="宋体" w:cs="宋体"/>
          <w:snapToGrid w:val="0"/>
          <w:color w:val="auto"/>
          <w:kern w:val="0"/>
          <w:sz w:val="24"/>
          <w:szCs w:val="20"/>
          <w:highlight w:val="none"/>
          <w:lang w:val="en-US" w:eastAsia="zh-CN"/>
        </w:rPr>
        <w:t>。</w:t>
      </w:r>
    </w:p>
    <w:p w14:paraId="18E4721E">
      <w:pPr>
        <w:pStyle w:val="33"/>
        <w:shd w:val="clear" w:color="auto" w:fill="auto"/>
        <w:jc w:val="left"/>
        <w:rPr>
          <w:rFonts w:hint="eastAsia"/>
          <w:color w:val="auto"/>
          <w:highlight w:val="none"/>
        </w:rPr>
      </w:pPr>
    </w:p>
    <w:p w14:paraId="440740A4">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3．酬金发票</w:t>
      </w:r>
    </w:p>
    <w:p w14:paraId="0552F385">
      <w:pPr>
        <w:shd w:val="clear" w:color="auto" w:fill="auto"/>
        <w:wordWrap w:val="0"/>
        <w:adjustRightInd w:val="0"/>
        <w:snapToGrid w:val="0"/>
        <w:spacing w:line="440" w:lineRule="exact"/>
        <w:ind w:firstLine="480" w:firstLineChars="200"/>
        <w:rPr>
          <w:rFonts w:hint="eastAsia" w:ascii="Times New Roman"/>
          <w:b w:val="0"/>
          <w:bCs w:val="0"/>
          <w:snapToGrid w:val="0"/>
          <w:color w:val="auto"/>
          <w:kern w:val="0"/>
          <w:highlight w:val="none"/>
        </w:rPr>
      </w:pPr>
      <w:r>
        <w:rPr>
          <w:rFonts w:hint="eastAsia" w:ascii="Times New Roman"/>
          <w:b w:val="0"/>
          <w:bCs w:val="0"/>
          <w:snapToGrid w:val="0"/>
          <w:color w:val="auto"/>
          <w:kern w:val="0"/>
          <w:highlight w:val="none"/>
        </w:rPr>
        <w:t>委托人每次支付酬金前，监理人均应提供有效的增值税</w:t>
      </w:r>
      <w:r>
        <w:rPr>
          <w:rFonts w:hint="eastAsia" w:ascii="Times New Roman"/>
          <w:b w:val="0"/>
          <w:bCs w:val="0"/>
          <w:snapToGrid w:val="0"/>
          <w:color w:val="auto"/>
          <w:kern w:val="0"/>
          <w:highlight w:val="none"/>
          <w:u w:val="single"/>
          <w:lang w:val="en-US" w:eastAsia="zh-CN"/>
        </w:rPr>
        <w:t xml:space="preserve"> </w:t>
      </w:r>
      <w:r>
        <w:rPr>
          <w:rFonts w:hint="eastAsia" w:ascii="Times New Roman"/>
          <w:snapToGrid w:val="0"/>
          <w:color w:val="auto"/>
          <w:kern w:val="0"/>
          <w:highlight w:val="none"/>
          <w:u w:val="single"/>
          <w:lang w:val="en-US" w:eastAsia="zh-CN"/>
        </w:rPr>
        <w:t>普通/专用</w:t>
      </w:r>
      <w:r>
        <w:rPr>
          <w:rFonts w:hint="eastAsia" w:ascii="Times New Roman"/>
          <w:snapToGrid w:val="0"/>
          <w:color w:val="auto"/>
          <w:kern w:val="0"/>
          <w:highlight w:val="none"/>
          <w:u w:val="single"/>
        </w:rPr>
        <w:t xml:space="preserve"> </w:t>
      </w:r>
      <w:r>
        <w:rPr>
          <w:rFonts w:hint="eastAsia" w:ascii="Times New Roman"/>
          <w:b w:val="0"/>
          <w:bCs w:val="0"/>
          <w:snapToGrid w:val="0"/>
          <w:color w:val="auto"/>
          <w:kern w:val="0"/>
          <w:highlight w:val="none"/>
        </w:rPr>
        <w:t xml:space="preserve">发票。如果监理人无法提供符合要求的酬金发票，由此造成的相应损失由监理人承担。 </w:t>
      </w:r>
    </w:p>
    <w:p w14:paraId="245E58CA">
      <w:pPr>
        <w:shd w:val="clear" w:color="auto" w:fill="auto"/>
        <w:wordWrap w:val="0"/>
        <w:adjustRightInd w:val="0"/>
        <w:snapToGrid w:val="0"/>
        <w:spacing w:line="440" w:lineRule="exact"/>
        <w:ind w:firstLine="560"/>
        <w:rPr>
          <w:rFonts w:hint="eastAsia" w:ascii="Times New Roman"/>
          <w:snapToGrid w:val="0"/>
          <w:color w:val="auto"/>
          <w:kern w:val="0"/>
          <w:highlight w:val="none"/>
        </w:rPr>
      </w:pPr>
    </w:p>
    <w:p w14:paraId="30ADD6D7">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4．违约责任</w:t>
      </w:r>
    </w:p>
    <w:p w14:paraId="04AE3B09">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4.1</w:t>
      </w:r>
      <w:r>
        <w:rPr>
          <w:rFonts w:hint="eastAsia" w:ascii="Times New Roman"/>
          <w:snapToGrid w:val="0"/>
          <w:color w:val="auto"/>
          <w:kern w:val="0"/>
          <w:highlight w:val="none"/>
        </w:rPr>
        <w:t xml:space="preserve"> 监理人的违约责任</w:t>
      </w:r>
    </w:p>
    <w:p w14:paraId="51BD8CD6">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监理人未履行本合同义务的，应承担相应的责任。</w:t>
      </w:r>
    </w:p>
    <w:p w14:paraId="78723766">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4.1.1</w:t>
      </w:r>
      <w:r>
        <w:rPr>
          <w:rFonts w:hint="eastAsia" w:ascii="Times New Roman"/>
          <w:snapToGrid w:val="0"/>
          <w:color w:val="auto"/>
          <w:kern w:val="0"/>
          <w:highlight w:val="none"/>
        </w:rPr>
        <w:t xml:space="preserve"> 因监理人违反本合同约定给委托人造成损失的，监理人应当赔偿委托人损失。</w:t>
      </w:r>
    </w:p>
    <w:p w14:paraId="50122261">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监理人赔偿金额按下列方法确定：</w:t>
      </w:r>
      <w:r>
        <w:rPr>
          <w:rFonts w:hint="eastAsia" w:ascii="Times New Roman"/>
          <w:snapToGrid w:val="0"/>
          <w:color w:val="auto"/>
          <w:kern w:val="0"/>
          <w:highlight w:val="none"/>
          <w:u w:val="single"/>
        </w:rPr>
        <w:t>按本章第8条执行</w:t>
      </w:r>
      <w:r>
        <w:rPr>
          <w:rFonts w:hint="eastAsia" w:ascii="Times New Roman"/>
          <w:snapToGrid w:val="0"/>
          <w:color w:val="auto"/>
          <w:kern w:val="0"/>
          <w:highlight w:val="none"/>
        </w:rPr>
        <w:t>。</w:t>
      </w:r>
    </w:p>
    <w:p w14:paraId="6BF8499F">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监理人承担部分赔偿责任的，其承担赔偿金额由双方协商确定。</w:t>
      </w:r>
    </w:p>
    <w:p w14:paraId="3EE32203">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4.1.2</w:t>
      </w:r>
      <w:r>
        <w:rPr>
          <w:rFonts w:hint="eastAsia" w:ascii="Times New Roman"/>
          <w:snapToGrid w:val="0"/>
          <w:color w:val="auto"/>
          <w:kern w:val="0"/>
          <w:highlight w:val="none"/>
        </w:rPr>
        <w:t xml:space="preserve"> 监理人向委托人的索赔不成立时，监理人应赔偿委托人由此发生的费用。</w:t>
      </w:r>
    </w:p>
    <w:p w14:paraId="3E4C319E">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4.2</w:t>
      </w:r>
      <w:r>
        <w:rPr>
          <w:rFonts w:hint="eastAsia" w:ascii="Times New Roman"/>
          <w:snapToGrid w:val="0"/>
          <w:color w:val="auto"/>
          <w:kern w:val="0"/>
          <w:highlight w:val="none"/>
        </w:rPr>
        <w:t xml:space="preserve"> 委托人的违约责任</w:t>
      </w:r>
    </w:p>
    <w:p w14:paraId="1BD5DC3E">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委托人未履行本合同义务的，应承担相应的责任。</w:t>
      </w:r>
    </w:p>
    <w:p w14:paraId="6945D884">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4.2.1</w:t>
      </w:r>
      <w:r>
        <w:rPr>
          <w:rFonts w:hint="eastAsia" w:ascii="Times New Roman"/>
          <w:snapToGrid w:val="0"/>
          <w:color w:val="auto"/>
          <w:kern w:val="0"/>
          <w:highlight w:val="none"/>
        </w:rPr>
        <w:t xml:space="preserve"> 委托人违反本合同约定造成监理人损失的，委托人应予以赔偿。</w:t>
      </w:r>
    </w:p>
    <w:p w14:paraId="17C026C7">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4.2.2</w:t>
      </w:r>
      <w:r>
        <w:rPr>
          <w:rFonts w:hint="eastAsia" w:ascii="Times New Roman"/>
          <w:snapToGrid w:val="0"/>
          <w:color w:val="auto"/>
          <w:kern w:val="0"/>
          <w:highlight w:val="none"/>
        </w:rPr>
        <w:t xml:space="preserve"> 委托人向监理人的索赔不成立时，应赔偿监理人由此引起的费用。</w:t>
      </w:r>
    </w:p>
    <w:p w14:paraId="0CCA63F7">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4.3</w:t>
      </w:r>
      <w:r>
        <w:rPr>
          <w:rFonts w:hint="eastAsia" w:ascii="Times New Roman"/>
          <w:snapToGrid w:val="0"/>
          <w:color w:val="auto"/>
          <w:kern w:val="0"/>
          <w:highlight w:val="none"/>
        </w:rPr>
        <w:t xml:space="preserve"> 除外责任</w:t>
      </w:r>
    </w:p>
    <w:p w14:paraId="0EB28D01">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因非监理人的原因，且监理人无过错，发生工程质量事故、安全事故、工期延误等造成的损失，监理人不承担赔偿责任。</w:t>
      </w:r>
    </w:p>
    <w:p w14:paraId="1846A1DE">
      <w:pPr>
        <w:shd w:val="clear" w:color="auto" w:fill="auto"/>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因不可抗力导致本合同全部或部分不能履行时，双方各自承担其因此而造成的损失、损害。</w:t>
      </w:r>
    </w:p>
    <w:p w14:paraId="0F3B76B2">
      <w:pPr>
        <w:shd w:val="clear" w:color="auto" w:fill="auto"/>
        <w:wordWrap w:val="0"/>
        <w:adjustRightInd w:val="0"/>
        <w:snapToGrid w:val="0"/>
        <w:spacing w:line="440" w:lineRule="exact"/>
        <w:ind w:firstLine="560"/>
        <w:rPr>
          <w:rFonts w:hint="eastAsia" w:ascii="Times New Roman"/>
          <w:snapToGrid w:val="0"/>
          <w:color w:val="auto"/>
          <w:kern w:val="0"/>
          <w:highlight w:val="none"/>
        </w:rPr>
      </w:pPr>
    </w:p>
    <w:p w14:paraId="07DF1C90">
      <w:pPr>
        <w:shd w:val="clear" w:color="auto" w:fill="auto"/>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5．支付</w:t>
      </w:r>
    </w:p>
    <w:p w14:paraId="5D2FF58B">
      <w:pPr>
        <w:shd w:val="clear" w:color="auto" w:fill="auto"/>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snapToGrid w:val="0"/>
          <w:color w:val="auto"/>
          <w:kern w:val="0"/>
          <w:sz w:val="24"/>
          <w:szCs w:val="24"/>
          <w:highlight w:val="none"/>
        </w:rPr>
        <w:t xml:space="preserve"> 支付货币</w:t>
      </w:r>
    </w:p>
    <w:p w14:paraId="2C61A3A4">
      <w:pPr>
        <w:shd w:val="clear" w:color="auto" w:fill="auto"/>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酬金均以人民币支付。</w:t>
      </w:r>
    </w:p>
    <w:p w14:paraId="08A22CC5">
      <w:pPr>
        <w:shd w:val="clear" w:color="auto" w:fill="auto"/>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5.2</w:t>
      </w:r>
      <w:r>
        <w:rPr>
          <w:rFonts w:hint="eastAsia" w:ascii="宋体" w:hAnsi="宋体" w:eastAsia="宋体" w:cs="宋体"/>
          <w:snapToGrid w:val="0"/>
          <w:color w:val="auto"/>
          <w:kern w:val="0"/>
          <w:sz w:val="24"/>
          <w:szCs w:val="24"/>
          <w:highlight w:val="none"/>
        </w:rPr>
        <w:t xml:space="preserve"> 支付申请</w:t>
      </w:r>
    </w:p>
    <w:p w14:paraId="558012A0">
      <w:pPr>
        <w:shd w:val="clear" w:color="auto" w:fill="auto"/>
        <w:wordWrap w:val="0"/>
        <w:adjustRightInd w:val="0"/>
        <w:snapToGrid w:val="0"/>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监理人应在本合同约定的每次应付款时间的7天前，向委托人提交支付申请书。支付</w:t>
      </w:r>
      <w:r>
        <w:rPr>
          <w:rFonts w:hint="eastAsia" w:ascii="宋体" w:hAnsi="宋体" w:eastAsia="宋体" w:cs="宋体"/>
          <w:b w:val="0"/>
          <w:bCs w:val="0"/>
          <w:snapToGrid w:val="0"/>
          <w:color w:val="auto"/>
          <w:kern w:val="0"/>
          <w:sz w:val="24"/>
          <w:szCs w:val="24"/>
          <w:highlight w:val="none"/>
        </w:rPr>
        <w:t>申请书应当说明当期应付款总额，并列出当期应支付的款项及其金额。</w:t>
      </w:r>
    </w:p>
    <w:p w14:paraId="14B97BB6">
      <w:pPr>
        <w:shd w:val="clear" w:color="auto" w:fill="auto"/>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5.3</w:t>
      </w:r>
      <w:r>
        <w:rPr>
          <w:rFonts w:hint="eastAsia" w:ascii="宋体" w:hAnsi="宋体" w:eastAsia="宋体" w:cs="宋体"/>
          <w:b w:val="0"/>
          <w:bCs w:val="0"/>
          <w:snapToGrid w:val="0"/>
          <w:color w:val="auto"/>
          <w:kern w:val="0"/>
          <w:sz w:val="24"/>
          <w:szCs w:val="24"/>
          <w:highlight w:val="none"/>
        </w:rPr>
        <w:t xml:space="preserve"> 本工程</w:t>
      </w:r>
      <w:r>
        <w:rPr>
          <w:rFonts w:hint="eastAsia" w:ascii="宋体" w:hAnsi="宋体" w:eastAsia="宋体" w:cs="宋体"/>
          <w:b w:val="0"/>
          <w:bCs w:val="0"/>
          <w:snapToGrid w:val="0"/>
          <w:color w:val="auto"/>
          <w:kern w:val="0"/>
          <w:sz w:val="24"/>
          <w:szCs w:val="24"/>
          <w:highlight w:val="none"/>
          <w:u w:val="single"/>
        </w:rPr>
        <w:t xml:space="preserve"> 支付 </w:t>
      </w:r>
      <w:r>
        <w:rPr>
          <w:rFonts w:hint="eastAsia" w:ascii="宋体" w:hAnsi="宋体" w:eastAsia="宋体" w:cs="宋体"/>
          <w:b w:val="0"/>
          <w:bCs w:val="0"/>
          <w:snapToGrid w:val="0"/>
          <w:color w:val="auto"/>
          <w:kern w:val="0"/>
          <w:sz w:val="24"/>
          <w:szCs w:val="24"/>
          <w:highlight w:val="none"/>
          <w:lang w:eastAsia="zh-CN"/>
        </w:rPr>
        <w:t>监理</w:t>
      </w:r>
      <w:r>
        <w:rPr>
          <w:rFonts w:hint="eastAsia" w:ascii="宋体" w:hAnsi="宋体" w:eastAsia="宋体" w:cs="宋体"/>
          <w:b w:val="0"/>
          <w:bCs w:val="0"/>
          <w:snapToGrid w:val="0"/>
          <w:color w:val="auto"/>
          <w:kern w:val="0"/>
          <w:sz w:val="24"/>
          <w:szCs w:val="24"/>
          <w:highlight w:val="none"/>
        </w:rPr>
        <w:t>预付款。</w:t>
      </w:r>
    </w:p>
    <w:p w14:paraId="679A92AA">
      <w:pPr>
        <w:shd w:val="clear" w:color="auto" w:fill="auto"/>
        <w:wordWrap w:val="0"/>
        <w:adjustRightInd w:val="0"/>
        <w:snapToGrid w:val="0"/>
        <w:spacing w:line="36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Cs w:val="24"/>
          <w:highlight w:val="none"/>
          <w:lang w:val="en-US" w:eastAsia="zh-CN"/>
        </w:rPr>
        <w:t>5.4</w:t>
      </w:r>
      <w:r>
        <w:rPr>
          <w:rFonts w:hint="eastAsia" w:ascii="宋体" w:hAnsi="宋体" w:eastAsia="宋体" w:cs="宋体"/>
          <w:snapToGrid w:val="0"/>
          <w:color w:val="auto"/>
          <w:kern w:val="0"/>
          <w:szCs w:val="24"/>
          <w:highlight w:val="none"/>
        </w:rPr>
        <w:t xml:space="preserve"> </w:t>
      </w:r>
      <w:r>
        <w:rPr>
          <w:rFonts w:hint="eastAsia" w:ascii="宋体" w:hAnsi="宋体" w:eastAsia="宋体" w:cs="宋体"/>
          <w:snapToGrid w:val="0"/>
          <w:color w:val="auto"/>
          <w:kern w:val="0"/>
          <w:highlight w:val="none"/>
          <w:lang w:eastAsia="zh-CN"/>
        </w:rPr>
        <w:t>监理</w:t>
      </w:r>
      <w:r>
        <w:rPr>
          <w:rFonts w:hint="eastAsia" w:ascii="宋体" w:hAnsi="宋体" w:eastAsia="宋体" w:cs="宋体"/>
          <w:snapToGrid w:val="0"/>
          <w:color w:val="auto"/>
          <w:kern w:val="0"/>
          <w:highlight w:val="none"/>
        </w:rPr>
        <w:t>预付款必须专用于合同工程，并按以下原则支付和抵扣：</w:t>
      </w:r>
    </w:p>
    <w:p w14:paraId="6CA65D06">
      <w:pPr>
        <w:shd w:val="clear" w:color="auto" w:fill="auto"/>
        <w:wordWrap w:val="0"/>
        <w:adjustRightInd w:val="0"/>
        <w:snapToGrid w:val="0"/>
        <w:spacing w:line="36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Cs w:val="24"/>
          <w:highlight w:val="none"/>
          <w:lang w:val="en-US" w:eastAsia="zh-CN"/>
        </w:rPr>
        <w:t>5.4.1</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lang w:eastAsia="zh-CN"/>
        </w:rPr>
        <w:t>监理</w:t>
      </w:r>
      <w:r>
        <w:rPr>
          <w:rFonts w:hint="eastAsia" w:ascii="宋体" w:hAnsi="宋体" w:eastAsia="宋体" w:cs="宋体"/>
          <w:snapToGrid w:val="0"/>
          <w:color w:val="auto"/>
          <w:kern w:val="0"/>
          <w:highlight w:val="none"/>
        </w:rPr>
        <w:t>预付款支付比例为：按</w:t>
      </w:r>
      <w:r>
        <w:rPr>
          <w:rFonts w:hint="eastAsia" w:ascii="宋体" w:hAnsi="宋体" w:eastAsia="宋体" w:cs="宋体"/>
          <w:snapToGrid w:val="0"/>
          <w:color w:val="auto"/>
          <w:kern w:val="0"/>
          <w:highlight w:val="none"/>
          <w:lang w:eastAsia="zh-CN"/>
        </w:rPr>
        <w:t>监理</w:t>
      </w:r>
      <w:r>
        <w:rPr>
          <w:rFonts w:hint="eastAsia" w:ascii="宋体" w:hAnsi="宋体" w:eastAsia="宋体" w:cs="宋体"/>
          <w:snapToGrid w:val="0"/>
          <w:color w:val="auto"/>
          <w:kern w:val="0"/>
          <w:highlight w:val="none"/>
        </w:rPr>
        <w:t>合同价的</w:t>
      </w:r>
      <w:r>
        <w:rPr>
          <w:rFonts w:hint="eastAsia" w:ascii="宋体" w:hAnsi="宋体" w:eastAsia="宋体" w:cs="宋体"/>
          <w:snapToGrid w:val="0"/>
          <w:color w:val="auto"/>
          <w:kern w:val="0"/>
          <w:highlight w:val="none"/>
          <w:u w:val="single"/>
        </w:rPr>
        <w:t xml:space="preserve"> 30% </w:t>
      </w:r>
      <w:r>
        <w:rPr>
          <w:rFonts w:hint="eastAsia" w:ascii="宋体" w:hAnsi="宋体" w:eastAsia="宋体" w:cs="宋体"/>
          <w:snapToGrid w:val="0"/>
          <w:color w:val="auto"/>
          <w:kern w:val="0"/>
          <w:highlight w:val="none"/>
        </w:rPr>
        <w:t>支付。</w:t>
      </w:r>
    </w:p>
    <w:p w14:paraId="7F5D120E">
      <w:pPr>
        <w:shd w:val="clear" w:color="auto" w:fill="auto"/>
        <w:wordWrap w:val="0"/>
        <w:adjustRightInd w:val="0"/>
        <w:snapToGrid w:val="0"/>
        <w:spacing w:line="36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Cs w:val="24"/>
          <w:highlight w:val="none"/>
          <w:lang w:val="en-US" w:eastAsia="zh-CN"/>
        </w:rPr>
        <w:t xml:space="preserve">5.4.2 </w:t>
      </w:r>
      <w:r>
        <w:rPr>
          <w:rFonts w:hint="eastAsia" w:ascii="宋体" w:hAnsi="宋体" w:eastAsia="宋体" w:cs="宋体"/>
          <w:snapToGrid w:val="0"/>
          <w:color w:val="auto"/>
          <w:kern w:val="0"/>
          <w:highlight w:val="none"/>
        </w:rPr>
        <w:t>本招标项目</w:t>
      </w:r>
      <w:r>
        <w:rPr>
          <w:rFonts w:hint="eastAsia" w:ascii="宋体" w:hAnsi="宋体" w:eastAsia="宋体" w:cs="宋体"/>
          <w:snapToGrid w:val="0"/>
          <w:color w:val="auto"/>
          <w:kern w:val="0"/>
          <w:highlight w:val="none"/>
          <w:u w:val="single"/>
        </w:rPr>
        <w:t xml:space="preserve"> 要求 </w:t>
      </w:r>
      <w:r>
        <w:rPr>
          <w:rFonts w:hint="eastAsia" w:ascii="宋体" w:hAnsi="宋体" w:eastAsia="宋体" w:cs="宋体"/>
          <w:snapToGrid w:val="0"/>
          <w:color w:val="auto"/>
          <w:kern w:val="0"/>
          <w:highlight w:val="none"/>
          <w:lang w:eastAsia="zh-CN"/>
        </w:rPr>
        <w:t>监理人</w:t>
      </w:r>
      <w:r>
        <w:rPr>
          <w:rFonts w:hint="eastAsia" w:ascii="宋体" w:hAnsi="宋体" w:eastAsia="宋体" w:cs="宋体"/>
          <w:snapToGrid w:val="0"/>
          <w:color w:val="auto"/>
          <w:kern w:val="0"/>
          <w:highlight w:val="none"/>
        </w:rPr>
        <w:t>提供与预付款等额的预付款保函。</w:t>
      </w:r>
    </w:p>
    <w:p w14:paraId="723CFE88">
      <w:pPr>
        <w:shd w:val="clear" w:color="auto" w:fill="auto"/>
        <w:wordWrap w:val="0"/>
        <w:adjustRightInd w:val="0"/>
        <w:snapToGrid w:val="0"/>
        <w:spacing w:line="360" w:lineRule="auto"/>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szCs w:val="24"/>
          <w:highlight w:val="none"/>
          <w:lang w:val="en-US" w:eastAsia="zh-CN"/>
        </w:rPr>
        <w:t xml:space="preserve">5.4.3 </w:t>
      </w:r>
      <w:r>
        <w:rPr>
          <w:rFonts w:hint="eastAsia" w:ascii="宋体" w:hAnsi="宋体" w:eastAsia="宋体" w:cs="宋体"/>
          <w:snapToGrid w:val="0"/>
          <w:color w:val="auto"/>
          <w:kern w:val="0"/>
          <w:highlight w:val="none"/>
          <w:lang w:eastAsia="zh-CN"/>
        </w:rPr>
        <w:t>监理人</w:t>
      </w:r>
      <w:r>
        <w:rPr>
          <w:rFonts w:hint="eastAsia" w:ascii="宋体" w:hAnsi="宋体" w:eastAsia="宋体" w:cs="宋体"/>
          <w:snapToGrid w:val="0"/>
          <w:color w:val="auto"/>
          <w:kern w:val="0"/>
          <w:highlight w:val="none"/>
        </w:rPr>
        <w:t>应在签订合同后，在具备施工条件的前提下，向发包人提交预付款支付申请。发包人应在收到支付申请的7天内进行核实后向</w:t>
      </w:r>
      <w:r>
        <w:rPr>
          <w:rFonts w:hint="eastAsia" w:ascii="宋体" w:hAnsi="宋体" w:eastAsia="宋体" w:cs="宋体"/>
          <w:snapToGrid w:val="0"/>
          <w:color w:val="auto"/>
          <w:kern w:val="0"/>
          <w:highlight w:val="none"/>
          <w:lang w:eastAsia="zh-CN"/>
        </w:rPr>
        <w:t>监理人</w:t>
      </w:r>
      <w:r>
        <w:rPr>
          <w:rFonts w:hint="eastAsia" w:ascii="宋体" w:hAnsi="宋体" w:eastAsia="宋体" w:cs="宋体"/>
          <w:snapToGrid w:val="0"/>
          <w:color w:val="auto"/>
          <w:kern w:val="0"/>
          <w:highlight w:val="none"/>
        </w:rPr>
        <w:t>发出预付款支付证书，并在签发支付证书后的7天内向</w:t>
      </w:r>
      <w:r>
        <w:rPr>
          <w:rFonts w:hint="eastAsia" w:ascii="宋体" w:hAnsi="宋体" w:eastAsia="宋体" w:cs="宋体"/>
          <w:snapToGrid w:val="0"/>
          <w:color w:val="auto"/>
          <w:kern w:val="0"/>
          <w:highlight w:val="none"/>
          <w:lang w:eastAsia="zh-CN"/>
        </w:rPr>
        <w:t>监理人</w:t>
      </w:r>
      <w:r>
        <w:rPr>
          <w:rFonts w:hint="eastAsia" w:ascii="宋体" w:hAnsi="宋体" w:eastAsia="宋体" w:cs="宋体"/>
          <w:snapToGrid w:val="0"/>
          <w:color w:val="auto"/>
          <w:kern w:val="0"/>
          <w:highlight w:val="none"/>
        </w:rPr>
        <w:t>支付预付款。凡未签订合同或不具备施工条件的工程，发包人不得预付</w:t>
      </w:r>
      <w:r>
        <w:rPr>
          <w:rFonts w:hint="eastAsia" w:ascii="宋体" w:hAnsi="宋体" w:eastAsia="宋体" w:cs="宋体"/>
          <w:snapToGrid w:val="0"/>
          <w:color w:val="auto"/>
          <w:kern w:val="0"/>
          <w:highlight w:val="none"/>
          <w:lang w:eastAsia="zh-CN"/>
        </w:rPr>
        <w:t>监理</w:t>
      </w:r>
      <w:r>
        <w:rPr>
          <w:rFonts w:hint="eastAsia" w:ascii="宋体" w:hAnsi="宋体" w:eastAsia="宋体" w:cs="宋体"/>
          <w:snapToGrid w:val="0"/>
          <w:color w:val="auto"/>
          <w:kern w:val="0"/>
          <w:highlight w:val="none"/>
        </w:rPr>
        <w:t>款。</w:t>
      </w:r>
    </w:p>
    <w:p w14:paraId="3B7AEDF5">
      <w:pPr>
        <w:shd w:val="clear" w:color="auto" w:fill="auto"/>
        <w:wordWrap w:val="0"/>
        <w:adjustRightInd w:val="0"/>
        <w:snapToGrid w:val="0"/>
        <w:ind w:firstLine="482" w:firstLineChars="200"/>
        <w:rPr>
          <w:rFonts w:hint="eastAsia" w:ascii="宋体" w:hAnsi="宋体" w:eastAsia="宋体" w:cs="宋体"/>
          <w:color w:val="auto"/>
          <w:highlight w:val="none"/>
        </w:rPr>
      </w:pPr>
      <w:r>
        <w:rPr>
          <w:rFonts w:hint="eastAsia" w:ascii="宋体" w:hAnsi="宋体" w:eastAsia="宋体" w:cs="宋体"/>
          <w:b/>
          <w:bCs/>
          <w:snapToGrid w:val="0"/>
          <w:color w:val="auto"/>
          <w:kern w:val="0"/>
          <w:szCs w:val="24"/>
          <w:highlight w:val="none"/>
          <w:lang w:val="en-US" w:eastAsia="zh-CN"/>
        </w:rPr>
        <w:t xml:space="preserve">5.4.4 </w:t>
      </w:r>
      <w:r>
        <w:rPr>
          <w:rFonts w:hint="eastAsia" w:ascii="宋体" w:hAnsi="宋体" w:eastAsia="宋体" w:cs="宋体"/>
          <w:snapToGrid w:val="0"/>
          <w:color w:val="auto"/>
          <w:kern w:val="0"/>
          <w:highlight w:val="none"/>
        </w:rPr>
        <w:t>预付款应从每支付期应支付给</w:t>
      </w:r>
      <w:r>
        <w:rPr>
          <w:rFonts w:hint="eastAsia" w:ascii="宋体" w:hAnsi="宋体" w:eastAsia="宋体" w:cs="宋体"/>
          <w:snapToGrid w:val="0"/>
          <w:color w:val="auto"/>
          <w:kern w:val="0"/>
          <w:highlight w:val="none"/>
          <w:lang w:eastAsia="zh-CN"/>
        </w:rPr>
        <w:t>监理人</w:t>
      </w:r>
      <w:r>
        <w:rPr>
          <w:rFonts w:hint="eastAsia" w:ascii="宋体" w:hAnsi="宋体" w:eastAsia="宋体" w:cs="宋体"/>
          <w:snapToGrid w:val="0"/>
          <w:color w:val="auto"/>
          <w:kern w:val="0"/>
          <w:highlight w:val="none"/>
        </w:rPr>
        <w:t>的</w:t>
      </w:r>
      <w:r>
        <w:rPr>
          <w:rFonts w:hint="eastAsia" w:ascii="宋体" w:hAnsi="宋体" w:eastAsia="宋体" w:cs="宋体"/>
          <w:snapToGrid w:val="0"/>
          <w:color w:val="auto"/>
          <w:kern w:val="0"/>
          <w:highlight w:val="none"/>
          <w:lang w:eastAsia="zh-CN"/>
        </w:rPr>
        <w:t>监理</w:t>
      </w:r>
      <w:r>
        <w:rPr>
          <w:rFonts w:hint="eastAsia" w:ascii="宋体" w:hAnsi="宋体" w:eastAsia="宋体" w:cs="宋体"/>
          <w:snapToGrid w:val="0"/>
          <w:color w:val="auto"/>
          <w:kern w:val="0"/>
          <w:highlight w:val="none"/>
        </w:rPr>
        <w:t>进度款中扣回，直到扣回的金额达到合同约定的预付款金额为止。</w:t>
      </w:r>
    </w:p>
    <w:p w14:paraId="3927E0EA">
      <w:pPr>
        <w:widowControl w:val="0"/>
        <w:shd w:val="clear" w:color="auto" w:fill="auto"/>
        <w:adjustRightInd w:val="0"/>
        <w:spacing w:line="360" w:lineRule="atLeast"/>
        <w:ind w:firstLine="482" w:firstLineChars="200"/>
        <w:jc w:val="left"/>
        <w:textAlignment w:val="baseline"/>
        <w:rPr>
          <w:rFonts w:hint="eastAsia" w:ascii="宋体" w:hAnsi="宋体" w:eastAsia="宋体" w:cs="宋体"/>
          <w:snapToGrid w:val="0"/>
          <w:color w:val="auto"/>
          <w:kern w:val="0"/>
          <w:sz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5.5</w:t>
      </w:r>
      <w:r>
        <w:rPr>
          <w:rFonts w:hint="eastAsia" w:ascii="宋体" w:hAnsi="宋体" w:eastAsia="宋体" w:cs="宋体"/>
          <w:snapToGrid w:val="0"/>
          <w:color w:val="auto"/>
          <w:kern w:val="0"/>
          <w:sz w:val="24"/>
          <w:szCs w:val="24"/>
          <w:highlight w:val="none"/>
          <w:lang w:val="en-US" w:eastAsia="zh-CN" w:bidi="ar-SA"/>
        </w:rPr>
        <w:t xml:space="preserve"> 施工过程中按月申报监理进度款</w:t>
      </w:r>
      <w:r>
        <w:rPr>
          <w:rFonts w:hint="eastAsia" w:ascii="宋体" w:hAnsi="宋体" w:eastAsia="宋体" w:cs="宋体"/>
          <w:snapToGrid w:val="0"/>
          <w:color w:val="auto"/>
          <w:kern w:val="0"/>
          <w:sz w:val="24"/>
          <w:highlight w:val="none"/>
          <w:lang w:val="en-US" w:eastAsia="zh-CN" w:bidi="ar-SA"/>
        </w:rPr>
        <w:t>；具体分期支付方式如下：</w:t>
      </w:r>
    </w:p>
    <w:p w14:paraId="18B87D71">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月</w:t>
      </w:r>
      <w:r>
        <w:rPr>
          <w:rFonts w:hint="eastAsia" w:ascii="宋体" w:hAnsi="宋体" w:eastAsia="宋体" w:cs="宋体"/>
          <w:snapToGrid w:val="0"/>
          <w:color w:val="auto"/>
          <w:kern w:val="0"/>
          <w:highlight w:val="none"/>
        </w:rPr>
        <w:t>度监理服务费=经</w:t>
      </w:r>
      <w:r>
        <w:rPr>
          <w:rFonts w:hint="eastAsia" w:ascii="宋体" w:hAnsi="宋体" w:eastAsia="宋体" w:cs="宋体"/>
          <w:snapToGrid w:val="0"/>
          <w:color w:val="auto"/>
          <w:kern w:val="0"/>
          <w:highlight w:val="none"/>
          <w:lang w:val="en-US" w:eastAsia="zh-CN"/>
        </w:rPr>
        <w:t>全过程造价</w:t>
      </w:r>
      <w:r>
        <w:rPr>
          <w:rFonts w:hint="eastAsia" w:ascii="宋体" w:hAnsi="宋体" w:eastAsia="宋体" w:cs="宋体"/>
          <w:snapToGrid w:val="0"/>
          <w:color w:val="auto"/>
          <w:kern w:val="0"/>
          <w:highlight w:val="none"/>
        </w:rPr>
        <w:t>审核的</w:t>
      </w:r>
      <w:r>
        <w:rPr>
          <w:rFonts w:hint="eastAsia" w:ascii="宋体" w:hAnsi="宋体" w:eastAsia="宋体" w:cs="宋体"/>
          <w:snapToGrid w:val="0"/>
          <w:color w:val="auto"/>
          <w:kern w:val="0"/>
          <w:highlight w:val="none"/>
          <w:lang w:val="en-US" w:eastAsia="zh-CN"/>
        </w:rPr>
        <w:t>月</w:t>
      </w:r>
      <w:r>
        <w:rPr>
          <w:rFonts w:hint="eastAsia" w:ascii="宋体" w:hAnsi="宋体" w:eastAsia="宋体" w:cs="宋体"/>
          <w:snapToGrid w:val="0"/>
          <w:color w:val="auto"/>
          <w:kern w:val="0"/>
          <w:highlight w:val="none"/>
        </w:rPr>
        <w:t>度实际所有专业施工完成投资额×</w:t>
      </w:r>
      <w:r>
        <w:rPr>
          <w:rFonts w:hint="eastAsia" w:ascii="宋体" w:hAnsi="宋体" w:eastAsia="宋体" w:cs="宋体"/>
          <w:snapToGrid w:val="0"/>
          <w:color w:val="auto"/>
          <w:kern w:val="0"/>
          <w:highlight w:val="none"/>
          <w:lang w:val="en-US" w:eastAsia="zh-CN"/>
        </w:rPr>
        <w:t>90</w:t>
      </w:r>
      <w:r>
        <w:rPr>
          <w:rFonts w:hint="eastAsia" w:ascii="宋体" w:hAnsi="宋体" w:eastAsia="宋体" w:cs="宋体"/>
          <w:snapToGrid w:val="0"/>
          <w:color w:val="auto"/>
          <w:kern w:val="0"/>
          <w:highlight w:val="none"/>
        </w:rPr>
        <w:t>%×监理人取费费率。</w:t>
      </w:r>
    </w:p>
    <w:p w14:paraId="429E1564">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lang w:val="en-US" w:eastAsia="zh-CN"/>
        </w:rPr>
        <w:t>5.6</w:t>
      </w:r>
      <w:r>
        <w:rPr>
          <w:rFonts w:hint="eastAsia" w:ascii="宋体" w:hAnsi="宋体" w:eastAsia="宋体" w:cs="宋体"/>
          <w:snapToGrid w:val="0"/>
          <w:color w:val="auto"/>
          <w:kern w:val="0"/>
          <w:highlight w:val="none"/>
        </w:rPr>
        <w:t>竣工验收合格备案后，经武江区财政局投资评审中心结算定案后支付至监理结算价的97%；</w:t>
      </w:r>
    </w:p>
    <w:p w14:paraId="05551677">
      <w:pPr>
        <w:widowControl w:val="0"/>
        <w:shd w:val="clear" w:color="auto" w:fill="auto"/>
        <w:adjustRightInd w:val="0"/>
        <w:spacing w:line="360" w:lineRule="auto"/>
        <w:ind w:firstLine="482" w:firstLineChars="200"/>
        <w:jc w:val="left"/>
        <w:textAlignment w:val="baseline"/>
        <w:rPr>
          <w:rFonts w:ascii="宋体" w:hAnsi="Times New Roman" w:eastAsia="宋体" w:cs="Times New Roman"/>
          <w:color w:val="auto"/>
          <w:kern w:val="0"/>
          <w:sz w:val="24"/>
          <w:highlight w:val="none"/>
          <w:lang w:val="en-US" w:eastAsia="zh-CN" w:bidi="ar-SA"/>
        </w:rPr>
      </w:pPr>
      <w:r>
        <w:rPr>
          <w:rFonts w:hint="eastAsia" w:ascii="宋体" w:hAnsi="宋体" w:eastAsia="宋体" w:cs="宋体"/>
          <w:b/>
          <w:bCs/>
          <w:snapToGrid w:val="0"/>
          <w:color w:val="auto"/>
          <w:kern w:val="0"/>
          <w:sz w:val="24"/>
          <w:highlight w:val="none"/>
          <w:lang w:val="en-US" w:eastAsia="zh-CN" w:bidi="ar-SA"/>
        </w:rPr>
        <w:t>5.7</w:t>
      </w:r>
      <w:r>
        <w:rPr>
          <w:rFonts w:hint="eastAsia" w:ascii="Times New Roman" w:hAnsi="Times New Roman" w:eastAsia="宋体" w:cs="Times New Roman"/>
          <w:bCs/>
          <w:snapToGrid w:val="0"/>
          <w:color w:val="auto"/>
          <w:kern w:val="0"/>
          <w:sz w:val="24"/>
          <w:highlight w:val="none"/>
          <w:lang w:val="en-US" w:eastAsia="zh-CN" w:bidi="ar-SA"/>
        </w:rPr>
        <w:t xml:space="preserve">剩余 </w:t>
      </w:r>
      <w:r>
        <w:rPr>
          <w:rFonts w:hint="eastAsia" w:ascii="Times New Roman" w:hAnsi="Times New Roman" w:eastAsia="宋体" w:cs="Times New Roman"/>
          <w:bCs/>
          <w:snapToGrid w:val="0"/>
          <w:color w:val="auto"/>
          <w:kern w:val="0"/>
          <w:sz w:val="24"/>
          <w:highlight w:val="none"/>
          <w:u w:val="single"/>
          <w:lang w:val="en-US" w:eastAsia="zh-CN" w:bidi="ar-SA"/>
        </w:rPr>
        <w:t>3 %</w:t>
      </w:r>
      <w:r>
        <w:rPr>
          <w:rFonts w:hint="eastAsia" w:ascii="Times New Roman" w:hAnsi="Times New Roman" w:eastAsia="宋体" w:cs="Times New Roman"/>
          <w:bCs/>
          <w:snapToGrid w:val="0"/>
          <w:color w:val="auto"/>
          <w:kern w:val="0"/>
          <w:sz w:val="24"/>
          <w:highlight w:val="none"/>
          <w:lang w:val="en-US" w:eastAsia="zh-CN" w:bidi="ar-SA"/>
        </w:rPr>
        <w:t xml:space="preserve"> 转为工程质量保证金，承包人提交了等额质量保证担保或质量保证保险的，于次月一次性结清合同价格。本招标项目缺陷责任期为</w:t>
      </w:r>
      <w:r>
        <w:rPr>
          <w:rFonts w:hint="eastAsia" w:ascii="Times New Roman" w:hAnsi="Times New Roman" w:eastAsia="宋体" w:cs="Times New Roman"/>
          <w:bCs/>
          <w:snapToGrid w:val="0"/>
          <w:color w:val="auto"/>
          <w:kern w:val="0"/>
          <w:sz w:val="24"/>
          <w:highlight w:val="none"/>
          <w:u w:val="single"/>
          <w:lang w:val="en-US" w:eastAsia="zh-CN" w:bidi="ar-SA"/>
        </w:rPr>
        <w:t xml:space="preserve"> 1 </w:t>
      </w:r>
      <w:r>
        <w:rPr>
          <w:rFonts w:hint="eastAsia" w:ascii="Times New Roman" w:hAnsi="Times New Roman" w:eastAsia="宋体" w:cs="Times New Roman"/>
          <w:bCs/>
          <w:snapToGrid w:val="0"/>
          <w:color w:val="auto"/>
          <w:kern w:val="0"/>
          <w:sz w:val="24"/>
          <w:highlight w:val="none"/>
          <w:lang w:val="en-US" w:eastAsia="zh-CN" w:bidi="ar-SA"/>
        </w:rPr>
        <w:t>年（自通过竣工验收之日起计）。</w:t>
      </w:r>
      <w:r>
        <w:rPr>
          <w:rFonts w:hint="eastAsia" w:ascii="Times New Roman" w:hAnsi="Times New Roman" w:eastAsia="宋体" w:cs="Times New Roman"/>
          <w:snapToGrid w:val="0"/>
          <w:color w:val="auto"/>
          <w:kern w:val="0"/>
          <w:sz w:val="24"/>
          <w:highlight w:val="none"/>
          <w:lang w:val="en-US" w:eastAsia="zh-CN" w:bidi="ar-SA"/>
        </w:rPr>
        <w:t>缺陷责任期到期后，承包人向发包人申请退还质量保证。</w:t>
      </w:r>
    </w:p>
    <w:p w14:paraId="42D8D40E">
      <w:pPr>
        <w:shd w:val="clear" w:color="auto" w:fill="auto"/>
        <w:wordWrap w:val="0"/>
        <w:adjustRightInd w:val="0"/>
        <w:snapToGrid w:val="0"/>
        <w:spacing w:line="440" w:lineRule="exact"/>
        <w:ind w:firstLine="480" w:firstLineChars="200"/>
        <w:rPr>
          <w:rFonts w:hint="eastAsia" w:ascii="Times New Roman" w:eastAsia="宋体"/>
          <w:snapToGrid w:val="0"/>
          <w:color w:val="auto"/>
          <w:kern w:val="0"/>
          <w:highlight w:val="none"/>
        </w:rPr>
      </w:pPr>
    </w:p>
    <w:p w14:paraId="03D6E38B">
      <w:p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6．合同生效、变更、暂停、解除与终止</w:t>
      </w:r>
    </w:p>
    <w:p w14:paraId="0162CA72">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6.1</w:t>
      </w:r>
      <w:r>
        <w:rPr>
          <w:rFonts w:hint="eastAsia" w:ascii="Times New Roman"/>
          <w:snapToGrid w:val="0"/>
          <w:color w:val="auto"/>
          <w:kern w:val="0"/>
          <w:highlight w:val="none"/>
        </w:rPr>
        <w:t xml:space="preserve"> 生效</w:t>
      </w:r>
    </w:p>
    <w:p w14:paraId="3643977F">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委托人和监理人的法定代表人或其授权代理人在协议书上签字并盖单位章后本合同生效。</w:t>
      </w:r>
    </w:p>
    <w:p w14:paraId="4ABCC324">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6.2</w:t>
      </w:r>
      <w:r>
        <w:rPr>
          <w:rFonts w:hint="eastAsia" w:ascii="Times New Roman"/>
          <w:snapToGrid w:val="0"/>
          <w:color w:val="auto"/>
          <w:kern w:val="0"/>
          <w:highlight w:val="none"/>
        </w:rPr>
        <w:t xml:space="preserve"> 变更</w:t>
      </w:r>
    </w:p>
    <w:p w14:paraId="32985A0B">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6.2.1</w:t>
      </w:r>
      <w:r>
        <w:rPr>
          <w:rFonts w:hint="eastAsia" w:ascii="Times New Roman"/>
          <w:snapToGrid w:val="0"/>
          <w:color w:val="auto"/>
          <w:kern w:val="0"/>
          <w:highlight w:val="none"/>
        </w:rPr>
        <w:t xml:space="preserve"> 任何一方提出变更请求时，双方经协商一致后可进行变更。</w:t>
      </w:r>
    </w:p>
    <w:p w14:paraId="36EDD280">
      <w:pPr>
        <w:shd w:val="clear" w:color="auto" w:fill="auto"/>
        <w:wordWrap w:val="0"/>
        <w:adjustRightInd w:val="0"/>
        <w:snapToGrid w:val="0"/>
        <w:spacing w:line="440" w:lineRule="exact"/>
        <w:ind w:firstLine="482" w:firstLineChars="200"/>
        <w:rPr>
          <w:rFonts w:hint="eastAsia" w:ascii="Times New Roman"/>
          <w:b w:val="0"/>
          <w:bCs w:val="0"/>
          <w:snapToGrid w:val="0"/>
          <w:color w:val="auto"/>
          <w:kern w:val="0"/>
          <w:highlight w:val="none"/>
        </w:rPr>
      </w:pPr>
      <w:r>
        <w:rPr>
          <w:rFonts w:hint="eastAsia" w:ascii="Times New Roman"/>
          <w:b/>
          <w:bCs/>
          <w:snapToGrid w:val="0"/>
          <w:color w:val="auto"/>
          <w:kern w:val="0"/>
          <w:highlight w:val="none"/>
        </w:rPr>
        <w:t>6.2.2</w:t>
      </w:r>
      <w:r>
        <w:rPr>
          <w:rFonts w:hint="eastAsia" w:ascii="Times New Roman"/>
          <w:b w:val="0"/>
          <w:bCs w:val="0"/>
          <w:snapToGrid w:val="0"/>
          <w:color w:val="auto"/>
          <w:kern w:val="0"/>
          <w:highlight w:val="none"/>
        </w:rPr>
        <w:t>除不可抗力外，因非监理人原因导致监理人履行合同期限延长、内容增加时，监理人应当将此情况与可能产生的影响及时通知委托人。增加的监理工作时间、工作内容应视为附加工作。</w:t>
      </w:r>
    </w:p>
    <w:p w14:paraId="1B7A6317">
      <w:pPr>
        <w:shd w:val="clear" w:color="auto" w:fill="auto"/>
        <w:wordWrap w:val="0"/>
        <w:adjustRightInd w:val="0"/>
        <w:snapToGrid w:val="0"/>
        <w:spacing w:line="440" w:lineRule="exact"/>
        <w:ind w:firstLine="480" w:firstLineChars="200"/>
        <w:rPr>
          <w:rFonts w:hint="eastAsia" w:ascii="Times New Roman" w:eastAsia="宋体"/>
          <w:snapToGrid w:val="0"/>
          <w:color w:val="auto"/>
          <w:kern w:val="0"/>
          <w:highlight w:val="none"/>
          <w:lang w:val="en-US" w:eastAsia="zh-CN"/>
        </w:rPr>
      </w:pPr>
      <w:r>
        <w:rPr>
          <w:rFonts w:hint="eastAsia" w:ascii="Times New Roman"/>
          <w:b w:val="0"/>
          <w:bCs w:val="0"/>
          <w:snapToGrid w:val="0"/>
          <w:color w:val="auto"/>
          <w:kern w:val="0"/>
          <w:highlight w:val="none"/>
        </w:rPr>
        <w:t>发生以上情形的附加工作酬金的确定方法为：项目建设期间，即使出现缓建或停建事件导致监理工期延长，不另增加监理服务费。</w:t>
      </w:r>
    </w:p>
    <w:p w14:paraId="16BF7BF0">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6.2.3</w:t>
      </w:r>
      <w:r>
        <w:rPr>
          <w:rFonts w:hint="eastAsia" w:ascii="Times New Roman"/>
          <w:snapToGrid w:val="0"/>
          <w:color w:val="auto"/>
          <w:kern w:val="0"/>
          <w:highlight w:val="none"/>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255E46CE">
      <w:pPr>
        <w:shd w:val="clear" w:color="auto" w:fill="auto"/>
        <w:wordWrap w:val="0"/>
        <w:adjustRightInd w:val="0"/>
        <w:snapToGrid w:val="0"/>
        <w:spacing w:line="440" w:lineRule="exact"/>
        <w:ind w:firstLine="480" w:firstLineChars="200"/>
        <w:rPr>
          <w:rFonts w:hint="eastAsia"/>
          <w:color w:val="auto"/>
          <w:highlight w:val="none"/>
        </w:rPr>
      </w:pPr>
      <w:r>
        <w:rPr>
          <w:rFonts w:hint="eastAsia" w:ascii="宋体" w:hAnsi="宋体" w:eastAsia="宋体" w:cs="宋体"/>
          <w:snapToGrid w:val="0"/>
          <w:color w:val="auto"/>
          <w:kern w:val="0"/>
          <w:highlight w:val="none"/>
        </w:rPr>
        <w:t>发生以上情形的附加工作酬金的确定方法为：</w:t>
      </w:r>
      <w:r>
        <w:rPr>
          <w:rFonts w:hint="eastAsia" w:ascii="宋体" w:hAnsi="宋体" w:eastAsia="宋体" w:cs="宋体"/>
          <w:snapToGrid w:val="0"/>
          <w:color w:val="auto"/>
          <w:kern w:val="0"/>
          <w:highlight w:val="none"/>
          <w:u w:val="single"/>
        </w:rPr>
        <w:t>项目建设期间，即使出现缓建或停建事件导致监理工期延长，不另增加监理服务费</w:t>
      </w:r>
      <w:r>
        <w:rPr>
          <w:rFonts w:hint="eastAsia" w:ascii="宋体" w:hAnsi="宋体" w:eastAsia="宋体" w:cs="宋体"/>
          <w:snapToGrid w:val="0"/>
          <w:color w:val="auto"/>
          <w:kern w:val="0"/>
          <w:highlight w:val="none"/>
        </w:rPr>
        <w:t>。</w:t>
      </w:r>
    </w:p>
    <w:p w14:paraId="29E5BF90">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6.2.4</w:t>
      </w:r>
      <w:r>
        <w:rPr>
          <w:rFonts w:hint="eastAsia" w:ascii="Times New Roman"/>
          <w:snapToGrid w:val="0"/>
          <w:color w:val="auto"/>
          <w:kern w:val="0"/>
          <w:highlight w:val="none"/>
        </w:rPr>
        <w:t xml:space="preserve"> 合同签订后，遇有与工程相关的法律法规、标准颁布或修订的，双方应遵照执行。由此引起监理与相关服务的范围、时间、酬金变化的，双方应通过协商进行相应调整。</w:t>
      </w:r>
    </w:p>
    <w:p w14:paraId="006F9021">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6.2.</w:t>
      </w:r>
      <w:r>
        <w:rPr>
          <w:rFonts w:hint="eastAsia" w:ascii="Times New Roman"/>
          <w:b/>
          <w:bCs/>
          <w:snapToGrid w:val="0"/>
          <w:color w:val="auto"/>
          <w:kern w:val="0"/>
          <w:highlight w:val="none"/>
          <w:lang w:val="en-US" w:eastAsia="zh-CN"/>
        </w:rPr>
        <w:t>5</w:t>
      </w:r>
      <w:r>
        <w:rPr>
          <w:rFonts w:hint="eastAsia" w:ascii="Times New Roman"/>
          <w:snapToGrid w:val="0"/>
          <w:color w:val="auto"/>
          <w:kern w:val="0"/>
          <w:highlight w:val="none"/>
        </w:rPr>
        <w:t xml:space="preserve"> 因工程规模、监理范围的变化导致监理人的正常工作量减少时，按减少工作量的比例从协议书约定的正常工作酬金中扣减相同比例的酬金。</w:t>
      </w:r>
    </w:p>
    <w:p w14:paraId="6C33824B">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6.3</w:t>
      </w:r>
      <w:r>
        <w:rPr>
          <w:rFonts w:hint="eastAsia" w:ascii="Times New Roman"/>
          <w:snapToGrid w:val="0"/>
          <w:color w:val="auto"/>
          <w:kern w:val="0"/>
          <w:highlight w:val="none"/>
        </w:rPr>
        <w:t xml:space="preserve"> 暂停与解除</w:t>
      </w:r>
    </w:p>
    <w:p w14:paraId="2347EE67">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除双方协商一致可以解除本合同外，当一方无正当理由未履行本合同约定的义务时，另一方可以根据本合同约定暂停履行本合同直至解除本合同。</w:t>
      </w:r>
    </w:p>
    <w:p w14:paraId="1B924A44">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6.3.1</w:t>
      </w:r>
      <w:r>
        <w:rPr>
          <w:rFonts w:hint="eastAsia" w:ascii="Times New Roman"/>
          <w:snapToGrid w:val="0"/>
          <w:color w:val="auto"/>
          <w:kern w:val="0"/>
          <w:highlight w:val="none"/>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4713DCCE">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因解除本合同或解除监理人的部分义务导致监理人遭受的损失，除依法可以免除责任的情况外，应由委托人予以补偿，补偿金额由双方协商确定。解除本合同的协议必须采取书面形式，协议未达成之前，本合同仍然有效。</w:t>
      </w:r>
    </w:p>
    <w:p w14:paraId="400551B5">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6.3.2</w:t>
      </w:r>
      <w:r>
        <w:rPr>
          <w:rFonts w:hint="eastAsia" w:ascii="Times New Roman"/>
          <w:snapToGrid w:val="0"/>
          <w:color w:val="auto"/>
          <w:kern w:val="0"/>
          <w:highlight w:val="none"/>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487A30D">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6.3.3</w:t>
      </w:r>
      <w:r>
        <w:rPr>
          <w:rFonts w:hint="eastAsia" w:ascii="Times New Roman"/>
          <w:snapToGrid w:val="0"/>
          <w:color w:val="auto"/>
          <w:kern w:val="0"/>
          <w:highlight w:val="none"/>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ascii="Times New Roman"/>
          <w:b/>
          <w:bCs/>
          <w:snapToGrid w:val="0"/>
          <w:color w:val="auto"/>
          <w:kern w:val="0"/>
          <w:highlight w:val="none"/>
        </w:rPr>
        <w:t>4.1</w:t>
      </w:r>
      <w:r>
        <w:rPr>
          <w:rFonts w:hint="eastAsia" w:ascii="Times New Roman"/>
          <w:snapToGrid w:val="0"/>
          <w:color w:val="auto"/>
          <w:kern w:val="0"/>
          <w:highlight w:val="none"/>
        </w:rPr>
        <w:t>条约定的责任。</w:t>
      </w:r>
    </w:p>
    <w:p w14:paraId="0ABC16AF">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6.3.</w:t>
      </w:r>
      <w:r>
        <w:rPr>
          <w:rFonts w:hint="eastAsia" w:ascii="Times New Roman"/>
          <w:b/>
          <w:bCs/>
          <w:snapToGrid w:val="0"/>
          <w:color w:val="auto"/>
          <w:kern w:val="0"/>
          <w:highlight w:val="none"/>
          <w:lang w:val="en-US" w:eastAsia="zh-CN"/>
        </w:rPr>
        <w:t>4</w:t>
      </w:r>
      <w:r>
        <w:rPr>
          <w:rFonts w:hint="eastAsia" w:ascii="Times New Roman"/>
          <w:snapToGrid w:val="0"/>
          <w:color w:val="auto"/>
          <w:kern w:val="0"/>
          <w:highlight w:val="none"/>
        </w:rPr>
        <w:t xml:space="preserve"> 因不可抗力致使本合同部分或全部不能履行时，一方应立即通知另一方，可暂停或解除本合同。</w:t>
      </w:r>
    </w:p>
    <w:p w14:paraId="7E7B865E">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6.3.</w:t>
      </w:r>
      <w:r>
        <w:rPr>
          <w:rFonts w:hint="eastAsia" w:ascii="Times New Roman"/>
          <w:b/>
          <w:bCs/>
          <w:snapToGrid w:val="0"/>
          <w:color w:val="auto"/>
          <w:kern w:val="0"/>
          <w:highlight w:val="none"/>
          <w:lang w:val="en-US" w:eastAsia="zh-CN"/>
        </w:rPr>
        <w:t>5</w:t>
      </w:r>
      <w:r>
        <w:rPr>
          <w:rFonts w:hint="eastAsia" w:ascii="Times New Roman"/>
          <w:snapToGrid w:val="0"/>
          <w:color w:val="auto"/>
          <w:kern w:val="0"/>
          <w:highlight w:val="none"/>
        </w:rPr>
        <w:t xml:space="preserve"> 本合同解除后，本合同约定的有关结算、清理、争议解决方式的条件仍然有效。</w:t>
      </w:r>
    </w:p>
    <w:p w14:paraId="72D4ABB4">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6.4</w:t>
      </w:r>
      <w:r>
        <w:rPr>
          <w:rFonts w:hint="eastAsia" w:ascii="Times New Roman"/>
          <w:snapToGrid w:val="0"/>
          <w:color w:val="auto"/>
          <w:kern w:val="0"/>
          <w:highlight w:val="none"/>
        </w:rPr>
        <w:t xml:space="preserve"> 终止</w:t>
      </w:r>
    </w:p>
    <w:p w14:paraId="4BAF069E">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以下条件全部满足时，本合同即告终止：</w:t>
      </w:r>
    </w:p>
    <w:p w14:paraId="6FD7964B">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（1）监理人完成本合同约定的全部工作；</w:t>
      </w:r>
    </w:p>
    <w:p w14:paraId="7A609412">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（2）委托人与监理人结清并支付全部酬金。</w:t>
      </w:r>
    </w:p>
    <w:p w14:paraId="086D9C43">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p>
    <w:p w14:paraId="7FB9EE2A">
      <w:pPr>
        <w:shd w:val="clear" w:color="auto" w:fill="auto"/>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7．争议解决</w:t>
      </w:r>
    </w:p>
    <w:p w14:paraId="011EBC95">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7.1</w:t>
      </w:r>
      <w:r>
        <w:rPr>
          <w:rFonts w:hint="eastAsia" w:ascii="Times New Roman"/>
          <w:snapToGrid w:val="0"/>
          <w:color w:val="auto"/>
          <w:kern w:val="0"/>
          <w:highlight w:val="none"/>
        </w:rPr>
        <w:t xml:space="preserve"> 协商</w:t>
      </w:r>
    </w:p>
    <w:p w14:paraId="334CE21C">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双方应本着诚信原则协商解决彼此间的争议。</w:t>
      </w:r>
    </w:p>
    <w:p w14:paraId="39B44697">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7.2</w:t>
      </w:r>
      <w:r>
        <w:rPr>
          <w:rFonts w:hint="eastAsia" w:ascii="Times New Roman"/>
          <w:snapToGrid w:val="0"/>
          <w:color w:val="auto"/>
          <w:kern w:val="0"/>
          <w:highlight w:val="none"/>
        </w:rPr>
        <w:t xml:space="preserve"> 调解</w:t>
      </w:r>
    </w:p>
    <w:p w14:paraId="5ED301BC">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如果双方不能在14天内或双方商定的其他时间内解决本合同争议，可以将其提交给</w:t>
      </w:r>
      <w:r>
        <w:rPr>
          <w:rFonts w:hint="eastAsia" w:ascii="Times New Roman"/>
          <w:snapToGrid w:val="0"/>
          <w:color w:val="auto"/>
          <w:kern w:val="0"/>
          <w:highlight w:val="none"/>
          <w:u w:val="single"/>
        </w:rPr>
        <w:t xml:space="preserve"> 合同备案部门或事后达成协议的调解人 </w:t>
      </w:r>
      <w:r>
        <w:rPr>
          <w:rFonts w:hint="eastAsia" w:ascii="Times New Roman"/>
          <w:snapToGrid w:val="0"/>
          <w:color w:val="auto"/>
          <w:kern w:val="0"/>
          <w:highlight w:val="none"/>
        </w:rPr>
        <w:t>进行调解。</w:t>
      </w:r>
    </w:p>
    <w:p w14:paraId="51C967F3">
      <w:pPr>
        <w:shd w:val="clear" w:color="auto" w:fill="auto"/>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7.3</w:t>
      </w:r>
      <w:r>
        <w:rPr>
          <w:rFonts w:hint="eastAsia" w:ascii="Times New Roman"/>
          <w:snapToGrid w:val="0"/>
          <w:color w:val="auto"/>
          <w:kern w:val="0"/>
          <w:highlight w:val="none"/>
        </w:rPr>
        <w:t xml:space="preserve"> 仲裁或诉讼</w:t>
      </w:r>
    </w:p>
    <w:p w14:paraId="768756C2">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双方均有权不经调解直接向专用条件约定的仲裁机构申请仲裁或向有管辖权的人民法院提起诉讼。</w:t>
      </w:r>
    </w:p>
    <w:p w14:paraId="3668B3E1">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本合同争议的最终解决方式为下列第</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2</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种方式：</w:t>
      </w:r>
    </w:p>
    <w:p w14:paraId="36AB9091">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（1）提请</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项目所在地</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仲裁委员会进行仲裁。</w:t>
      </w:r>
    </w:p>
    <w:p w14:paraId="45037883">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（2）向</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项目所在地</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人民法院提起诉讼。</w:t>
      </w:r>
    </w:p>
    <w:p w14:paraId="4A818A91">
      <w:pPr>
        <w:shd w:val="clear" w:color="auto" w:fill="auto"/>
        <w:wordWrap w:val="0"/>
        <w:adjustRightInd w:val="0"/>
        <w:snapToGrid w:val="0"/>
        <w:spacing w:line="440" w:lineRule="exact"/>
        <w:ind w:firstLine="480" w:firstLineChars="200"/>
        <w:rPr>
          <w:rFonts w:hint="eastAsia" w:ascii="Times New Roman"/>
          <w:snapToGrid w:val="0"/>
          <w:color w:val="auto"/>
          <w:kern w:val="0"/>
          <w:highlight w:val="none"/>
        </w:rPr>
      </w:pPr>
    </w:p>
    <w:p w14:paraId="2162708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8．监理</w:t>
      </w:r>
      <w:r>
        <w:rPr>
          <w:rFonts w:hint="eastAsia" w:ascii="宋体" w:hAnsi="宋体" w:eastAsia="宋体" w:cs="宋体"/>
          <w:b/>
          <w:bCs/>
          <w:snapToGrid w:val="0"/>
          <w:color w:val="auto"/>
          <w:kern w:val="0"/>
          <w:sz w:val="24"/>
          <w:szCs w:val="24"/>
          <w:highlight w:val="none"/>
          <w:lang w:val="en-US" w:eastAsia="zh-CN"/>
        </w:rPr>
        <w:t>人</w:t>
      </w:r>
      <w:r>
        <w:rPr>
          <w:rFonts w:hint="eastAsia" w:ascii="宋体" w:hAnsi="宋体" w:eastAsia="宋体" w:cs="宋体"/>
          <w:b/>
          <w:bCs/>
          <w:snapToGrid w:val="0"/>
          <w:color w:val="auto"/>
          <w:kern w:val="0"/>
          <w:sz w:val="24"/>
          <w:szCs w:val="24"/>
          <w:highlight w:val="none"/>
        </w:rPr>
        <w:t>违约及违约责任条款</w:t>
      </w:r>
    </w:p>
    <w:p w14:paraId="61CDBC39">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 违约及违约责任</w:t>
      </w:r>
    </w:p>
    <w:p w14:paraId="43BAD85A">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8.1.</w:t>
      </w:r>
      <w:r>
        <w:rPr>
          <w:rFonts w:hint="eastAsia" w:hAnsi="宋体" w:cs="宋体"/>
          <w:b/>
          <w:bCs/>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通常情况下，监理人不能按合同履行其义务和职责，因工作过失或渎职而造成了工程的经济和工期损失，为监理人违约，监理人应当赔偿经济损失，并承担相关的行政、法律责任。在本监理合同中，双方约定将监理人违约范围适当扩大，增加两种视为监理人违约的情况，一是监理人未按约定履行其义务工作时，即使未造成损失，</w:t>
      </w:r>
      <w:r>
        <w:rPr>
          <w:rFonts w:hint="eastAsia" w:ascii="宋体" w:hAnsi="宋体" w:eastAsia="宋体" w:cs="宋体"/>
          <w:snapToGrid w:val="0"/>
          <w:color w:val="auto"/>
          <w:kern w:val="0"/>
          <w:sz w:val="24"/>
          <w:szCs w:val="24"/>
          <w:highlight w:val="none"/>
          <w:lang w:eastAsia="zh-CN"/>
        </w:rPr>
        <w:t>亦</w:t>
      </w:r>
      <w:r>
        <w:rPr>
          <w:rFonts w:hint="eastAsia" w:ascii="宋体" w:hAnsi="宋体" w:eastAsia="宋体" w:cs="宋体"/>
          <w:snapToGrid w:val="0"/>
          <w:color w:val="auto"/>
          <w:kern w:val="0"/>
          <w:sz w:val="24"/>
          <w:szCs w:val="24"/>
          <w:highlight w:val="none"/>
        </w:rPr>
        <w:t xml:space="preserve">视为监理人违约；二是监理目标未能达标，无论主要原因是什么，视为监理人违约。故本附件将监理人违约分为监理不良行为、监理过失、监理渎职及监理不达标四大情形造成的违约，这四种违约情形及违约责任的承担作如下规定： </w:t>
      </w:r>
    </w:p>
    <w:p w14:paraId="460DB041">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 xml:space="preserve"> 监理违约行为一览表</w:t>
      </w:r>
    </w:p>
    <w:p w14:paraId="4F3EACF3">
      <w:pPr>
        <w:pStyle w:val="33"/>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监理违约行为一览表</w:t>
      </w:r>
      <w:r>
        <w:rPr>
          <w:rFonts w:hint="eastAsia" w:ascii="宋体" w:hAnsi="宋体" w:eastAsia="宋体" w:cs="宋体"/>
          <w:color w:val="auto"/>
          <w:sz w:val="24"/>
          <w:szCs w:val="24"/>
          <w:highlight w:val="none"/>
        </w:rPr>
        <w:t xml:space="preserve"> </w:t>
      </w:r>
    </w:p>
    <w:p w14:paraId="16ACD6BD">
      <w:pPr>
        <w:pStyle w:val="33"/>
        <w:shd w:val="clear" w:color="auto" w:fill="auto"/>
        <w:rPr>
          <w:rFonts w:hint="eastAsia" w:ascii="宋体" w:hAnsi="宋体" w:eastAsia="宋体" w:cs="宋体"/>
          <w:color w:val="auto"/>
          <w:sz w:val="24"/>
          <w:szCs w:val="24"/>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4290"/>
        <w:gridCol w:w="2040"/>
        <w:gridCol w:w="1747"/>
      </w:tblGrid>
      <w:tr w14:paraId="474E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83" w:type="dxa"/>
          </w:tcPr>
          <w:p w14:paraId="37185791">
            <w:pPr>
              <w:pStyle w:val="33"/>
              <w:shd w:val="clear" w:color="auto" w:fill="auto"/>
              <w:rPr>
                <w:rFonts w:hint="eastAsia" w:ascii="宋体" w:hAnsi="宋体" w:eastAsia="宋体" w:cs="宋体"/>
                <w:b/>
                <w:bCs w:val="0"/>
                <w:color w:val="auto"/>
                <w:sz w:val="24"/>
                <w:szCs w:val="24"/>
                <w:highlight w:val="none"/>
                <w:vertAlign w:val="baseline"/>
                <w:lang w:eastAsia="zh-CN"/>
              </w:rPr>
            </w:pPr>
            <w:r>
              <w:rPr>
                <w:rFonts w:hint="eastAsia" w:ascii="宋体" w:hAnsi="宋体" w:eastAsia="宋体" w:cs="宋体"/>
                <w:b/>
                <w:bCs w:val="0"/>
                <w:color w:val="auto"/>
                <w:sz w:val="24"/>
                <w:szCs w:val="24"/>
                <w:highlight w:val="none"/>
                <w:vertAlign w:val="baseline"/>
                <w:lang w:eastAsia="zh-CN"/>
              </w:rPr>
              <w:t>序号</w:t>
            </w:r>
          </w:p>
        </w:tc>
        <w:tc>
          <w:tcPr>
            <w:tcW w:w="4290" w:type="dxa"/>
          </w:tcPr>
          <w:p w14:paraId="0E6839C9">
            <w:pPr>
              <w:pStyle w:val="33"/>
              <w:shd w:val="clear" w:color="auto" w:fill="auto"/>
              <w:rPr>
                <w:rFonts w:hint="eastAsia" w:ascii="宋体" w:hAnsi="宋体" w:eastAsia="宋体" w:cs="宋体"/>
                <w:b/>
                <w:bCs w:val="0"/>
                <w:color w:val="auto"/>
                <w:sz w:val="24"/>
                <w:szCs w:val="24"/>
                <w:highlight w:val="none"/>
                <w:vertAlign w:val="baseline"/>
                <w:lang w:eastAsia="zh-CN"/>
              </w:rPr>
            </w:pPr>
            <w:r>
              <w:rPr>
                <w:rFonts w:hint="eastAsia" w:ascii="宋体" w:hAnsi="宋体" w:eastAsia="宋体" w:cs="宋体"/>
                <w:b/>
                <w:bCs w:val="0"/>
                <w:color w:val="auto"/>
                <w:sz w:val="24"/>
                <w:szCs w:val="24"/>
                <w:highlight w:val="none"/>
                <w:vertAlign w:val="baseline"/>
                <w:lang w:eastAsia="zh-CN"/>
              </w:rPr>
              <w:t>违约行为</w:t>
            </w:r>
          </w:p>
        </w:tc>
        <w:tc>
          <w:tcPr>
            <w:tcW w:w="2040" w:type="dxa"/>
          </w:tcPr>
          <w:p w14:paraId="713AEB9C">
            <w:pPr>
              <w:pStyle w:val="33"/>
              <w:shd w:val="clear" w:color="auto" w:fill="auto"/>
              <w:rPr>
                <w:rFonts w:hint="eastAsia" w:ascii="宋体" w:hAnsi="宋体" w:eastAsia="宋体" w:cs="宋体"/>
                <w:b/>
                <w:bCs w:val="0"/>
                <w:color w:val="auto"/>
                <w:sz w:val="24"/>
                <w:szCs w:val="24"/>
                <w:highlight w:val="none"/>
                <w:vertAlign w:val="baseline"/>
                <w:lang w:eastAsia="zh-CN"/>
              </w:rPr>
            </w:pPr>
            <w:r>
              <w:rPr>
                <w:rFonts w:hint="eastAsia" w:ascii="宋体" w:hAnsi="宋体" w:eastAsia="宋体" w:cs="宋体"/>
                <w:b/>
                <w:bCs w:val="0"/>
                <w:color w:val="auto"/>
                <w:sz w:val="24"/>
                <w:szCs w:val="24"/>
                <w:highlight w:val="none"/>
                <w:vertAlign w:val="baseline"/>
                <w:lang w:eastAsia="zh-CN"/>
              </w:rPr>
              <w:t>违约金额</w:t>
            </w:r>
          </w:p>
        </w:tc>
        <w:tc>
          <w:tcPr>
            <w:tcW w:w="1747" w:type="dxa"/>
          </w:tcPr>
          <w:p w14:paraId="00E04A4D">
            <w:pPr>
              <w:pStyle w:val="33"/>
              <w:shd w:val="clear" w:color="auto" w:fill="auto"/>
              <w:rPr>
                <w:rFonts w:hint="eastAsia" w:ascii="宋体" w:hAnsi="宋体" w:eastAsia="宋体" w:cs="宋体"/>
                <w:b/>
                <w:bCs w:val="0"/>
                <w:color w:val="auto"/>
                <w:sz w:val="24"/>
                <w:szCs w:val="24"/>
                <w:highlight w:val="none"/>
                <w:vertAlign w:val="baseline"/>
                <w:lang w:eastAsia="zh-CN"/>
              </w:rPr>
            </w:pPr>
            <w:r>
              <w:rPr>
                <w:rFonts w:hint="eastAsia" w:ascii="宋体" w:hAnsi="宋体" w:eastAsia="宋体" w:cs="宋体"/>
                <w:b/>
                <w:bCs w:val="0"/>
                <w:color w:val="auto"/>
                <w:sz w:val="24"/>
                <w:szCs w:val="24"/>
                <w:highlight w:val="none"/>
                <w:vertAlign w:val="baseline"/>
                <w:lang w:eastAsia="zh-CN"/>
              </w:rPr>
              <w:t>备注</w:t>
            </w:r>
          </w:p>
        </w:tc>
      </w:tr>
      <w:tr w14:paraId="202D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3" w:type="dxa"/>
            <w:vAlign w:val="center"/>
          </w:tcPr>
          <w:p w14:paraId="1EACB8CD">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一</w:t>
            </w:r>
          </w:p>
        </w:tc>
        <w:tc>
          <w:tcPr>
            <w:tcW w:w="4290" w:type="dxa"/>
          </w:tcPr>
          <w:p w14:paraId="0D622AD1">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color w:val="auto"/>
                <w:sz w:val="24"/>
                <w:szCs w:val="24"/>
                <w:highlight w:val="none"/>
                <w:vertAlign w:val="baseline"/>
              </w:rPr>
            </w:pPr>
            <w:r>
              <w:rPr>
                <w:rFonts w:hint="eastAsia" w:ascii="宋体" w:hAnsi="宋体" w:eastAsia="宋体" w:cs="宋体"/>
                <w:b/>
                <w:bCs w:val="0"/>
                <w:color w:val="auto"/>
                <w:sz w:val="24"/>
                <w:szCs w:val="24"/>
                <w:highlight w:val="none"/>
                <w:vertAlign w:val="baseline"/>
              </w:rPr>
              <w:t>监理不良行为违约</w:t>
            </w:r>
          </w:p>
        </w:tc>
        <w:tc>
          <w:tcPr>
            <w:tcW w:w="2040" w:type="dxa"/>
            <w:vAlign w:val="center"/>
          </w:tcPr>
          <w:p w14:paraId="38EC931C">
            <w:pPr>
              <w:pStyle w:val="33"/>
              <w:shd w:val="clear" w:color="auto" w:fill="auto"/>
              <w:jc w:val="center"/>
              <w:rPr>
                <w:rFonts w:hint="eastAsia" w:ascii="宋体" w:hAnsi="宋体" w:eastAsia="宋体" w:cs="宋体"/>
                <w:b w:val="0"/>
                <w:bCs/>
                <w:color w:val="auto"/>
                <w:sz w:val="24"/>
                <w:szCs w:val="24"/>
                <w:highlight w:val="none"/>
                <w:vertAlign w:val="baseline"/>
              </w:rPr>
            </w:pPr>
          </w:p>
        </w:tc>
        <w:tc>
          <w:tcPr>
            <w:tcW w:w="1747" w:type="dxa"/>
          </w:tcPr>
          <w:p w14:paraId="3450C314">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153E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2FE5B519">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w:t>
            </w:r>
          </w:p>
        </w:tc>
        <w:tc>
          <w:tcPr>
            <w:tcW w:w="4290" w:type="dxa"/>
          </w:tcPr>
          <w:p w14:paraId="7F4AB885">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rPr>
              <w:t>本项目对总监实施考勤，考勤每月累计不少于20天</w:t>
            </w:r>
          </w:p>
        </w:tc>
        <w:tc>
          <w:tcPr>
            <w:tcW w:w="2040" w:type="dxa"/>
            <w:vAlign w:val="center"/>
          </w:tcPr>
          <w:p w14:paraId="2F6F185A">
            <w:pPr>
              <w:pStyle w:val="33"/>
              <w:shd w:val="clear" w:color="auto" w:fill="auto"/>
              <w:jc w:val="center"/>
              <w:rPr>
                <w:rFonts w:hint="eastAsia" w:ascii="宋体" w:hAnsi="宋体" w:eastAsia="宋体" w:cs="宋体"/>
                <w:b w:val="0"/>
                <w:bCs/>
                <w:color w:val="auto"/>
                <w:sz w:val="24"/>
                <w:szCs w:val="24"/>
                <w:highlight w:val="none"/>
                <w:u w:val="none"/>
                <w:vertAlign w:val="baseline"/>
              </w:rPr>
            </w:pPr>
            <w:r>
              <w:rPr>
                <w:rFonts w:hint="eastAsia" w:ascii="宋体" w:hAnsi="宋体" w:eastAsia="宋体" w:cs="宋体"/>
                <w:b w:val="0"/>
                <w:bCs/>
                <w:color w:val="auto"/>
                <w:sz w:val="24"/>
                <w:szCs w:val="24"/>
                <w:highlight w:val="none"/>
                <w:u w:val="none"/>
                <w:vertAlign w:val="baseline"/>
              </w:rPr>
              <w:t>¥</w:t>
            </w:r>
            <w:r>
              <w:rPr>
                <w:rFonts w:hint="eastAsia" w:ascii="宋体" w:hAnsi="宋体" w:eastAsia="宋体" w:cs="宋体"/>
                <w:b w:val="0"/>
                <w:bCs/>
                <w:color w:val="auto"/>
                <w:sz w:val="24"/>
                <w:szCs w:val="24"/>
                <w:highlight w:val="none"/>
                <w:u w:val="none"/>
                <w:vertAlign w:val="baseline"/>
                <w:lang w:val="en-US" w:eastAsia="zh-CN"/>
              </w:rPr>
              <w:t>1</w:t>
            </w:r>
            <w:r>
              <w:rPr>
                <w:rFonts w:hint="eastAsia" w:ascii="宋体" w:hAnsi="宋体" w:eastAsia="宋体" w:cs="宋体"/>
                <w:b w:val="0"/>
                <w:bCs/>
                <w:color w:val="auto"/>
                <w:sz w:val="24"/>
                <w:szCs w:val="24"/>
                <w:highlight w:val="none"/>
                <w:u w:val="none"/>
                <w:vertAlign w:val="baseline"/>
              </w:rPr>
              <w:t>000元/天</w:t>
            </w:r>
          </w:p>
        </w:tc>
        <w:tc>
          <w:tcPr>
            <w:tcW w:w="1747" w:type="dxa"/>
          </w:tcPr>
          <w:p w14:paraId="275DF81E">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76A0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AAB13F7">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w:t>
            </w:r>
          </w:p>
        </w:tc>
        <w:tc>
          <w:tcPr>
            <w:tcW w:w="4290" w:type="dxa"/>
          </w:tcPr>
          <w:p w14:paraId="70BD487D">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rPr>
              <w:t>本项目对驻场监理人员实施考勤，考勤每月累计不到位天数超过6天</w:t>
            </w:r>
          </w:p>
        </w:tc>
        <w:tc>
          <w:tcPr>
            <w:tcW w:w="2040" w:type="dxa"/>
            <w:vAlign w:val="center"/>
          </w:tcPr>
          <w:p w14:paraId="7970F637">
            <w:pPr>
              <w:pStyle w:val="33"/>
              <w:shd w:val="clear" w:color="auto" w:fill="auto"/>
              <w:jc w:val="center"/>
              <w:rPr>
                <w:rFonts w:hint="eastAsia" w:ascii="宋体" w:hAnsi="宋体" w:eastAsia="宋体" w:cs="宋体"/>
                <w:b w:val="0"/>
                <w:bCs/>
                <w:color w:val="auto"/>
                <w:sz w:val="24"/>
                <w:szCs w:val="24"/>
                <w:highlight w:val="none"/>
                <w:u w:val="none"/>
                <w:vertAlign w:val="baseline"/>
                <w:lang w:val="en-US" w:eastAsia="zh-CN"/>
              </w:rPr>
            </w:pP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rPr>
              <w:t>000元</w:t>
            </w:r>
            <w:r>
              <w:rPr>
                <w:rFonts w:hint="eastAsia" w:ascii="宋体" w:hAnsi="宋体" w:eastAsia="宋体" w:cs="宋体"/>
                <w:b w:val="0"/>
                <w:bCs/>
                <w:color w:val="auto"/>
                <w:sz w:val="24"/>
                <w:szCs w:val="24"/>
                <w:highlight w:val="none"/>
                <w:u w:val="none"/>
                <w:lang w:val="en-US" w:eastAsia="zh-CN"/>
              </w:rPr>
              <w:t>/天</w:t>
            </w:r>
          </w:p>
        </w:tc>
        <w:tc>
          <w:tcPr>
            <w:tcW w:w="1747" w:type="dxa"/>
          </w:tcPr>
          <w:p w14:paraId="73EF3DC4">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4C69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E6D3DB5">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w:t>
            </w:r>
          </w:p>
        </w:tc>
        <w:tc>
          <w:tcPr>
            <w:tcW w:w="4290" w:type="dxa"/>
          </w:tcPr>
          <w:p w14:paraId="200DD41E">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rPr>
              <w:t>其他监理人员必须按配备要求在现场驻场监理，离开项目现场必须经委托人书面同意，如委托人发现监理人员非正常离岗</w:t>
            </w:r>
          </w:p>
        </w:tc>
        <w:tc>
          <w:tcPr>
            <w:tcW w:w="2040" w:type="dxa"/>
            <w:vAlign w:val="center"/>
          </w:tcPr>
          <w:p w14:paraId="41B8EB2B">
            <w:pPr>
              <w:pStyle w:val="33"/>
              <w:shd w:val="clear" w:color="auto" w:fill="auto"/>
              <w:jc w:val="center"/>
              <w:rPr>
                <w:rFonts w:hint="eastAsia" w:ascii="宋体" w:hAnsi="宋体" w:eastAsia="宋体" w:cs="宋体"/>
                <w:b w:val="0"/>
                <w:bCs/>
                <w:color w:val="auto"/>
                <w:sz w:val="24"/>
                <w:szCs w:val="24"/>
                <w:highlight w:val="none"/>
                <w:u w:val="none"/>
                <w:vertAlign w:val="baseline"/>
              </w:rPr>
            </w:pP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rPr>
              <w:t>000元</w:t>
            </w:r>
            <w:r>
              <w:rPr>
                <w:rFonts w:hint="eastAsia" w:ascii="宋体" w:hAnsi="宋体" w:eastAsia="宋体" w:cs="宋体"/>
                <w:b w:val="0"/>
                <w:bCs/>
                <w:color w:val="auto"/>
                <w:sz w:val="24"/>
                <w:szCs w:val="24"/>
                <w:highlight w:val="none"/>
                <w:u w:val="none"/>
                <w:lang w:val="en-US" w:eastAsia="zh-CN"/>
              </w:rPr>
              <w:t>/次</w:t>
            </w:r>
          </w:p>
        </w:tc>
        <w:tc>
          <w:tcPr>
            <w:tcW w:w="1747" w:type="dxa"/>
          </w:tcPr>
          <w:p w14:paraId="0CFA9EDD">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0B26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417DE9B">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4</w:t>
            </w:r>
          </w:p>
        </w:tc>
        <w:tc>
          <w:tcPr>
            <w:tcW w:w="4290" w:type="dxa"/>
          </w:tcPr>
          <w:p w14:paraId="548085DC">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rPr>
              <w:t>同一问题未能按时整改，每重复一次</w:t>
            </w:r>
          </w:p>
        </w:tc>
        <w:tc>
          <w:tcPr>
            <w:tcW w:w="2040" w:type="dxa"/>
            <w:vAlign w:val="center"/>
          </w:tcPr>
          <w:p w14:paraId="33366D39">
            <w:pPr>
              <w:pStyle w:val="33"/>
              <w:shd w:val="clear" w:color="auto" w:fill="auto"/>
              <w:jc w:val="center"/>
              <w:rPr>
                <w:rFonts w:hint="eastAsia" w:ascii="宋体" w:hAnsi="宋体" w:eastAsia="宋体" w:cs="宋体"/>
                <w:b w:val="0"/>
                <w:bCs/>
                <w:color w:val="auto"/>
                <w:sz w:val="24"/>
                <w:szCs w:val="24"/>
                <w:highlight w:val="none"/>
                <w:u w:val="none"/>
                <w:vertAlign w:val="baseline"/>
              </w:rPr>
            </w:pP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highlight w:val="none"/>
                <w:u w:val="none"/>
                <w:lang w:val="en-US" w:eastAsia="zh-CN"/>
              </w:rPr>
              <w:t>3</w:t>
            </w:r>
            <w:r>
              <w:rPr>
                <w:rFonts w:hint="eastAsia" w:ascii="宋体" w:hAnsi="宋体" w:eastAsia="宋体" w:cs="宋体"/>
                <w:b w:val="0"/>
                <w:bCs/>
                <w:color w:val="auto"/>
                <w:sz w:val="24"/>
                <w:szCs w:val="24"/>
                <w:highlight w:val="none"/>
                <w:u w:val="none"/>
              </w:rPr>
              <w:t>000元</w:t>
            </w:r>
            <w:r>
              <w:rPr>
                <w:rFonts w:hint="eastAsia" w:ascii="宋体" w:hAnsi="宋体" w:eastAsia="宋体" w:cs="宋体"/>
                <w:b w:val="0"/>
                <w:bCs/>
                <w:color w:val="auto"/>
                <w:sz w:val="24"/>
                <w:szCs w:val="24"/>
                <w:highlight w:val="none"/>
                <w:u w:val="none"/>
                <w:lang w:val="en-US" w:eastAsia="zh-CN"/>
              </w:rPr>
              <w:t>/次</w:t>
            </w:r>
          </w:p>
        </w:tc>
        <w:tc>
          <w:tcPr>
            <w:tcW w:w="1747" w:type="dxa"/>
          </w:tcPr>
          <w:p w14:paraId="690D868C">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4940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F104EC6">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5</w:t>
            </w:r>
          </w:p>
        </w:tc>
        <w:tc>
          <w:tcPr>
            <w:tcW w:w="4290" w:type="dxa"/>
          </w:tcPr>
          <w:p w14:paraId="2C67393D">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必须充分考虑总监的履职能力和可行性，充分评估总监的身体健康状况及合同约定服务期限，监理人原则上不得更换总监，若监理人提出《广东省住房和城乡建设厅关于建设工程项目招标中标后监督检查的办法》（粤建市〔2009〕8号第九条所述除外情形之</w:t>
            </w:r>
            <w:r>
              <w:rPr>
                <w:rFonts w:hint="eastAsia" w:ascii="宋体" w:hAnsi="宋体" w:eastAsia="宋体" w:cs="宋体"/>
                <w:b w:val="0"/>
                <w:bCs/>
                <w:color w:val="auto"/>
                <w:sz w:val="24"/>
                <w:szCs w:val="24"/>
                <w:highlight w:val="none"/>
                <w:lang w:eastAsia="zh-CN"/>
              </w:rPr>
              <w:t>一</w:t>
            </w:r>
            <w:r>
              <w:rPr>
                <w:rFonts w:hint="eastAsia" w:ascii="宋体" w:hAnsi="宋体" w:eastAsia="宋体" w:cs="宋体"/>
                <w:b w:val="0"/>
                <w:bCs/>
                <w:color w:val="auto"/>
                <w:sz w:val="24"/>
                <w:szCs w:val="24"/>
                <w:highlight w:val="none"/>
              </w:rPr>
              <w:t>需变更更换总监的</w:t>
            </w:r>
          </w:p>
        </w:tc>
        <w:tc>
          <w:tcPr>
            <w:tcW w:w="2040" w:type="dxa"/>
            <w:vAlign w:val="center"/>
          </w:tcPr>
          <w:p w14:paraId="6FF48C63">
            <w:pPr>
              <w:pStyle w:val="33"/>
              <w:shd w:val="clear" w:color="auto" w:fill="auto"/>
              <w:jc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合同价的2%</w:t>
            </w:r>
          </w:p>
        </w:tc>
        <w:tc>
          <w:tcPr>
            <w:tcW w:w="1747" w:type="dxa"/>
          </w:tcPr>
          <w:p w14:paraId="41BB675C">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69A5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73458244">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二</w:t>
            </w:r>
          </w:p>
        </w:tc>
        <w:tc>
          <w:tcPr>
            <w:tcW w:w="4290" w:type="dxa"/>
          </w:tcPr>
          <w:p w14:paraId="5447B31E">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监理过失</w:t>
            </w:r>
            <w:r>
              <w:rPr>
                <w:rFonts w:hint="eastAsia" w:ascii="宋体" w:hAnsi="宋体" w:eastAsia="宋体" w:cs="宋体"/>
                <w:b/>
                <w:bCs w:val="0"/>
                <w:color w:val="auto"/>
                <w:sz w:val="24"/>
                <w:szCs w:val="24"/>
                <w:highlight w:val="none"/>
              </w:rPr>
              <w:t>事件违约</w:t>
            </w:r>
          </w:p>
        </w:tc>
        <w:tc>
          <w:tcPr>
            <w:tcW w:w="2040" w:type="dxa"/>
            <w:vAlign w:val="center"/>
          </w:tcPr>
          <w:p w14:paraId="627AB452">
            <w:pPr>
              <w:pStyle w:val="33"/>
              <w:shd w:val="clear" w:color="auto" w:fill="auto"/>
              <w:jc w:val="center"/>
              <w:rPr>
                <w:rFonts w:hint="eastAsia" w:ascii="宋体" w:hAnsi="宋体" w:eastAsia="宋体" w:cs="宋体"/>
                <w:b w:val="0"/>
                <w:bCs/>
                <w:color w:val="auto"/>
                <w:sz w:val="24"/>
                <w:szCs w:val="24"/>
                <w:highlight w:val="none"/>
                <w:u w:val="single"/>
                <w:lang w:val="en-US" w:eastAsia="zh-CN"/>
              </w:rPr>
            </w:pPr>
          </w:p>
        </w:tc>
        <w:tc>
          <w:tcPr>
            <w:tcW w:w="1747" w:type="dxa"/>
          </w:tcPr>
          <w:p w14:paraId="65AEBA5F">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64DD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436719B6">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w:t>
            </w:r>
          </w:p>
        </w:tc>
        <w:tc>
          <w:tcPr>
            <w:tcW w:w="4290" w:type="dxa"/>
          </w:tcPr>
          <w:p w14:paraId="3469F713">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①委托人发现施工中存在问题，而监理人未发现的；②监理人发现施工中存在的问题，但未督促发现勘察、设计、施工单位整改或整改不到位的（以监理人发出的整改通知和发现勘察、设计、施工单位回复及监理复查意见为准）；③监理人三次及以上发出整改通知发现勘察</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设计</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施工单位未能给予响应的，但监理人未能采取果断措施的</w:t>
            </w:r>
          </w:p>
        </w:tc>
        <w:tc>
          <w:tcPr>
            <w:tcW w:w="2040" w:type="dxa"/>
            <w:vAlign w:val="center"/>
          </w:tcPr>
          <w:p w14:paraId="66064330">
            <w:pPr>
              <w:pStyle w:val="33"/>
              <w:shd w:val="clear" w:color="auto" w:fill="auto"/>
              <w:jc w:val="center"/>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val="en-US" w:eastAsia="zh-CN"/>
              </w:rPr>
              <w:t>¥2000元/次</w:t>
            </w:r>
          </w:p>
        </w:tc>
        <w:tc>
          <w:tcPr>
            <w:tcW w:w="1747" w:type="dxa"/>
          </w:tcPr>
          <w:p w14:paraId="20984E07">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47F5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2DD6B54">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三</w:t>
            </w:r>
          </w:p>
        </w:tc>
        <w:tc>
          <w:tcPr>
            <w:tcW w:w="4290" w:type="dxa"/>
          </w:tcPr>
          <w:p w14:paraId="76EC1B17">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监理渎职事件违约</w:t>
            </w:r>
          </w:p>
        </w:tc>
        <w:tc>
          <w:tcPr>
            <w:tcW w:w="2040" w:type="dxa"/>
            <w:vAlign w:val="center"/>
          </w:tcPr>
          <w:p w14:paraId="22B1E59D">
            <w:pPr>
              <w:pStyle w:val="33"/>
              <w:shd w:val="clear" w:color="auto" w:fill="auto"/>
              <w:jc w:val="center"/>
              <w:rPr>
                <w:rFonts w:hint="eastAsia" w:ascii="宋体" w:hAnsi="宋体" w:eastAsia="宋体" w:cs="宋体"/>
                <w:b w:val="0"/>
                <w:bCs/>
                <w:color w:val="auto"/>
                <w:sz w:val="24"/>
                <w:szCs w:val="24"/>
                <w:highlight w:val="none"/>
                <w:u w:val="single"/>
                <w:lang w:val="en-US" w:eastAsia="zh-CN"/>
              </w:rPr>
            </w:pPr>
          </w:p>
        </w:tc>
        <w:tc>
          <w:tcPr>
            <w:tcW w:w="1747" w:type="dxa"/>
          </w:tcPr>
          <w:p w14:paraId="44C62506">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6651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983" w:type="dxa"/>
            <w:vAlign w:val="center"/>
          </w:tcPr>
          <w:p w14:paraId="7CB4041B">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w:t>
            </w:r>
          </w:p>
        </w:tc>
        <w:tc>
          <w:tcPr>
            <w:tcW w:w="4290" w:type="dxa"/>
          </w:tcPr>
          <w:p w14:paraId="2A80FEEC">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监理人必须加强对监理人员职业操守、廉政建设的培训和教育，本项目监理人员利用职业身份“吃、拿、卡、要”或有其他违反职业操守及廉政建设相关规定的，一经查实，监理人应立即清退该监理人员，并承担1次非常严重违约责任</w:t>
            </w:r>
          </w:p>
        </w:tc>
        <w:tc>
          <w:tcPr>
            <w:tcW w:w="2040" w:type="dxa"/>
            <w:vAlign w:val="center"/>
          </w:tcPr>
          <w:p w14:paraId="31A393D0">
            <w:pPr>
              <w:pStyle w:val="33"/>
              <w:shd w:val="clear" w:color="auto" w:fill="auto"/>
              <w:jc w:val="center"/>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rPr>
              <w:t>¥10000元</w:t>
            </w:r>
            <w:r>
              <w:rPr>
                <w:rFonts w:hint="eastAsia" w:ascii="宋体" w:hAnsi="宋体" w:eastAsia="宋体" w:cs="宋体"/>
                <w:b w:val="0"/>
                <w:bCs/>
                <w:color w:val="auto"/>
                <w:sz w:val="24"/>
                <w:szCs w:val="24"/>
                <w:highlight w:val="none"/>
                <w:u w:val="single"/>
                <w:lang w:val="en-US" w:eastAsia="zh-CN"/>
              </w:rPr>
              <w:t>/次</w:t>
            </w:r>
          </w:p>
        </w:tc>
        <w:tc>
          <w:tcPr>
            <w:tcW w:w="1747" w:type="dxa"/>
          </w:tcPr>
          <w:p w14:paraId="23E784CA">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433B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7D3FBF18">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w:t>
            </w:r>
          </w:p>
        </w:tc>
        <w:tc>
          <w:tcPr>
            <w:tcW w:w="4290" w:type="dxa"/>
          </w:tcPr>
          <w:p w14:paraId="7A0E81E4">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eastAsia="zh-CN"/>
              </w:rPr>
              <w:t>①</w:t>
            </w:r>
            <w:r>
              <w:rPr>
                <w:rFonts w:hint="eastAsia" w:ascii="宋体" w:hAnsi="宋体" w:eastAsia="宋体" w:cs="宋体"/>
                <w:b w:val="0"/>
                <w:bCs/>
                <w:color w:val="auto"/>
                <w:sz w:val="24"/>
                <w:szCs w:val="24"/>
                <w:highlight w:val="none"/>
              </w:rPr>
              <w:t>向委托人及承包人推销材料、设备，或以倾向性、排他性变相推销</w:t>
            </w:r>
            <w:r>
              <w:rPr>
                <w:rFonts w:hint="eastAsia" w:ascii="宋体" w:hAnsi="宋体" w:eastAsia="宋体" w:cs="宋体"/>
                <w:b w:val="0"/>
                <w:bCs/>
                <w:color w:val="auto"/>
                <w:sz w:val="24"/>
                <w:szCs w:val="24"/>
                <w:highlight w:val="none"/>
                <w:lang w:eastAsia="zh-CN"/>
              </w:rPr>
              <w:t>；②</w:t>
            </w:r>
            <w:r>
              <w:rPr>
                <w:rFonts w:hint="eastAsia" w:ascii="宋体" w:hAnsi="宋体" w:eastAsia="宋体" w:cs="宋体"/>
                <w:b w:val="0"/>
                <w:bCs/>
                <w:color w:val="auto"/>
                <w:sz w:val="24"/>
                <w:szCs w:val="24"/>
                <w:highlight w:val="none"/>
              </w:rPr>
              <w:t>与承包人串通，对不合格材料、产品、工程进行包庇及验收</w:t>
            </w:r>
            <w:r>
              <w:rPr>
                <w:rFonts w:hint="eastAsia" w:ascii="宋体" w:hAnsi="宋体" w:eastAsia="宋体" w:cs="宋体"/>
                <w:b w:val="0"/>
                <w:bCs/>
                <w:color w:val="auto"/>
                <w:sz w:val="24"/>
                <w:szCs w:val="24"/>
                <w:highlight w:val="none"/>
                <w:lang w:eastAsia="zh-CN"/>
              </w:rPr>
              <w:t>；③</w:t>
            </w:r>
            <w:r>
              <w:rPr>
                <w:rFonts w:hint="eastAsia" w:ascii="宋体" w:hAnsi="宋体" w:eastAsia="宋体" w:cs="宋体"/>
                <w:b w:val="0"/>
                <w:bCs/>
                <w:color w:val="auto"/>
                <w:sz w:val="24"/>
                <w:szCs w:val="24"/>
                <w:highlight w:val="none"/>
              </w:rPr>
              <w:t>与承包人串通，对材料用量、工程量进行虚假签认</w:t>
            </w:r>
            <w:r>
              <w:rPr>
                <w:rFonts w:hint="eastAsia" w:ascii="宋体" w:hAnsi="宋体" w:eastAsia="宋体" w:cs="宋体"/>
                <w:b w:val="0"/>
                <w:bCs/>
                <w:color w:val="auto"/>
                <w:sz w:val="24"/>
                <w:szCs w:val="24"/>
                <w:highlight w:val="none"/>
                <w:lang w:eastAsia="zh-CN"/>
              </w:rPr>
              <w:t>；④</w:t>
            </w:r>
            <w:r>
              <w:rPr>
                <w:rFonts w:hint="eastAsia" w:ascii="宋体" w:hAnsi="宋体" w:eastAsia="宋体" w:cs="宋体"/>
                <w:b w:val="0"/>
                <w:bCs/>
                <w:color w:val="auto"/>
                <w:sz w:val="24"/>
                <w:szCs w:val="24"/>
                <w:highlight w:val="none"/>
              </w:rPr>
              <w:t>与承包人串通，不合理提高施工难度及增加材料用量，以增大施工费用，获取不正当收益</w:t>
            </w:r>
            <w:r>
              <w:rPr>
                <w:rFonts w:hint="eastAsia" w:ascii="宋体" w:hAnsi="宋体" w:eastAsia="宋体" w:cs="宋体"/>
                <w:b w:val="0"/>
                <w:bCs/>
                <w:color w:val="auto"/>
                <w:sz w:val="24"/>
                <w:szCs w:val="24"/>
                <w:highlight w:val="none"/>
                <w:lang w:eastAsia="zh-CN"/>
              </w:rPr>
              <w:t>；⑤</w:t>
            </w:r>
            <w:r>
              <w:rPr>
                <w:rFonts w:hint="eastAsia" w:ascii="宋体" w:hAnsi="宋体" w:eastAsia="宋体" w:cs="宋体"/>
                <w:b w:val="0"/>
                <w:bCs/>
                <w:color w:val="auto"/>
                <w:sz w:val="24"/>
                <w:szCs w:val="24"/>
                <w:highlight w:val="none"/>
              </w:rPr>
              <w:t>接受承包人的请吃送礼或变相受礼</w:t>
            </w:r>
            <w:r>
              <w:rPr>
                <w:rFonts w:hint="eastAsia" w:ascii="宋体" w:hAnsi="宋体" w:eastAsia="宋体" w:cs="宋体"/>
                <w:b w:val="0"/>
                <w:bCs/>
                <w:color w:val="auto"/>
                <w:sz w:val="24"/>
                <w:szCs w:val="24"/>
                <w:highlight w:val="none"/>
                <w:lang w:eastAsia="zh-CN"/>
              </w:rPr>
              <w:t>；⑥</w:t>
            </w:r>
            <w:r>
              <w:rPr>
                <w:rFonts w:hint="eastAsia" w:ascii="宋体" w:hAnsi="宋体" w:eastAsia="宋体" w:cs="宋体"/>
                <w:b w:val="0"/>
                <w:bCs/>
                <w:color w:val="auto"/>
                <w:sz w:val="24"/>
                <w:szCs w:val="24"/>
                <w:highlight w:val="none"/>
              </w:rPr>
              <w:t>向承包人介绍分包或推销材料、设备等</w:t>
            </w:r>
            <w:r>
              <w:rPr>
                <w:rFonts w:hint="eastAsia" w:ascii="宋体" w:hAnsi="宋体" w:eastAsia="宋体" w:cs="宋体"/>
                <w:b w:val="0"/>
                <w:bCs/>
                <w:color w:val="auto"/>
                <w:sz w:val="24"/>
                <w:szCs w:val="24"/>
                <w:highlight w:val="none"/>
                <w:lang w:eastAsia="zh-CN"/>
              </w:rPr>
              <w:t>；⑦</w:t>
            </w:r>
            <w:r>
              <w:rPr>
                <w:rFonts w:hint="eastAsia" w:ascii="宋体" w:hAnsi="宋体" w:eastAsia="宋体" w:cs="宋体"/>
                <w:b w:val="0"/>
                <w:bCs/>
                <w:color w:val="auto"/>
                <w:sz w:val="24"/>
                <w:szCs w:val="24"/>
                <w:highlight w:val="none"/>
              </w:rPr>
              <w:t>故意刁难承包人以谋取私利，损害委托人的合法利益</w:t>
            </w:r>
            <w:r>
              <w:rPr>
                <w:rFonts w:hint="eastAsia" w:ascii="宋体" w:hAnsi="宋体" w:eastAsia="宋体" w:cs="宋体"/>
                <w:b w:val="0"/>
                <w:bCs/>
                <w:color w:val="auto"/>
                <w:sz w:val="24"/>
                <w:szCs w:val="24"/>
                <w:highlight w:val="none"/>
                <w:lang w:eastAsia="zh-CN"/>
              </w:rPr>
              <w:t>；⑧</w:t>
            </w:r>
            <w:r>
              <w:rPr>
                <w:rFonts w:hint="eastAsia" w:ascii="宋体" w:hAnsi="宋体" w:eastAsia="宋体" w:cs="宋体"/>
                <w:b w:val="0"/>
                <w:bCs/>
                <w:color w:val="auto"/>
                <w:sz w:val="24"/>
                <w:szCs w:val="24"/>
                <w:highlight w:val="none"/>
                <w:lang w:val="en-US" w:eastAsia="zh-CN"/>
              </w:rPr>
              <w:t>其他可鉴定为严重违约行为。</w:t>
            </w:r>
          </w:p>
        </w:tc>
        <w:tc>
          <w:tcPr>
            <w:tcW w:w="2040" w:type="dxa"/>
            <w:vAlign w:val="center"/>
          </w:tcPr>
          <w:p w14:paraId="38E02909">
            <w:pPr>
              <w:pStyle w:val="33"/>
              <w:shd w:val="clear" w:color="auto" w:fill="auto"/>
              <w:jc w:val="center"/>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rPr>
              <w:t>¥10000元</w:t>
            </w:r>
            <w:r>
              <w:rPr>
                <w:rFonts w:hint="eastAsia" w:ascii="宋体" w:hAnsi="宋体" w:eastAsia="宋体" w:cs="宋体"/>
                <w:b w:val="0"/>
                <w:bCs/>
                <w:color w:val="auto"/>
                <w:sz w:val="24"/>
                <w:szCs w:val="24"/>
                <w:highlight w:val="none"/>
                <w:u w:val="single"/>
                <w:lang w:val="en-US" w:eastAsia="zh-CN"/>
              </w:rPr>
              <w:t>/次</w:t>
            </w:r>
          </w:p>
        </w:tc>
        <w:tc>
          <w:tcPr>
            <w:tcW w:w="1747" w:type="dxa"/>
          </w:tcPr>
          <w:p w14:paraId="4CE54501">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4DD4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2FADB08A">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四</w:t>
            </w:r>
          </w:p>
        </w:tc>
        <w:tc>
          <w:tcPr>
            <w:tcW w:w="4290" w:type="dxa"/>
          </w:tcPr>
          <w:p w14:paraId="094F7C96">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监理不达标违约</w:t>
            </w:r>
          </w:p>
        </w:tc>
        <w:tc>
          <w:tcPr>
            <w:tcW w:w="2040" w:type="dxa"/>
            <w:vAlign w:val="center"/>
          </w:tcPr>
          <w:p w14:paraId="6E92D798">
            <w:pPr>
              <w:pStyle w:val="33"/>
              <w:shd w:val="clear" w:color="auto" w:fill="auto"/>
              <w:jc w:val="center"/>
              <w:rPr>
                <w:rFonts w:hint="eastAsia" w:ascii="宋体" w:hAnsi="宋体" w:eastAsia="宋体" w:cs="宋体"/>
                <w:b w:val="0"/>
                <w:bCs/>
                <w:color w:val="auto"/>
                <w:sz w:val="24"/>
                <w:szCs w:val="24"/>
                <w:highlight w:val="none"/>
                <w:u w:val="single"/>
              </w:rPr>
            </w:pPr>
          </w:p>
        </w:tc>
        <w:tc>
          <w:tcPr>
            <w:tcW w:w="1747" w:type="dxa"/>
          </w:tcPr>
          <w:p w14:paraId="4E52F4CC">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29F4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0AB2E0DD">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w:t>
            </w:r>
          </w:p>
        </w:tc>
        <w:tc>
          <w:tcPr>
            <w:tcW w:w="4290" w:type="dxa"/>
          </w:tcPr>
          <w:p w14:paraId="6FEC7386">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工程竣工验收质量未达到施工合同等级要求的</w:t>
            </w:r>
          </w:p>
        </w:tc>
        <w:tc>
          <w:tcPr>
            <w:tcW w:w="2040" w:type="dxa"/>
            <w:vAlign w:val="center"/>
          </w:tcPr>
          <w:p w14:paraId="62C8CB8B">
            <w:pPr>
              <w:pStyle w:val="33"/>
              <w:shd w:val="clear" w:color="auto" w:fill="auto"/>
              <w:jc w:val="center"/>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u w:val="single"/>
              </w:rPr>
              <w:t>5％</w:t>
            </w:r>
          </w:p>
        </w:tc>
        <w:tc>
          <w:tcPr>
            <w:tcW w:w="1747" w:type="dxa"/>
          </w:tcPr>
          <w:p w14:paraId="68544236">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0614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782C084F">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w:t>
            </w:r>
          </w:p>
        </w:tc>
        <w:tc>
          <w:tcPr>
            <w:tcW w:w="4290" w:type="dxa"/>
          </w:tcPr>
          <w:p w14:paraId="481B657A">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监理人未按要求配备用于监理现场抽检所用的试验设备和仪器的（如不具备条件的须委托有相应资质的单位进行现场检测），无条件在整改期内达到要求为止，</w:t>
            </w:r>
            <w:r>
              <w:rPr>
                <w:rFonts w:hint="eastAsia" w:ascii="宋体" w:hAnsi="宋体" w:eastAsia="宋体" w:cs="宋体"/>
                <w:b w:val="0"/>
                <w:bCs/>
                <w:color w:val="auto"/>
                <w:sz w:val="24"/>
                <w:szCs w:val="24"/>
                <w:highlight w:val="none"/>
                <w:lang w:eastAsia="zh-CN"/>
              </w:rPr>
              <w:t>未在整改期内</w:t>
            </w:r>
            <w:r>
              <w:rPr>
                <w:rFonts w:hint="eastAsia" w:ascii="宋体" w:hAnsi="宋体" w:eastAsia="宋体" w:cs="宋体"/>
                <w:b w:val="0"/>
                <w:bCs/>
                <w:color w:val="auto"/>
                <w:sz w:val="24"/>
                <w:szCs w:val="24"/>
                <w:highlight w:val="none"/>
              </w:rPr>
              <w:t>配备</w:t>
            </w:r>
          </w:p>
        </w:tc>
        <w:tc>
          <w:tcPr>
            <w:tcW w:w="2040" w:type="dxa"/>
            <w:vAlign w:val="center"/>
          </w:tcPr>
          <w:p w14:paraId="38168704">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¥2000元/天</w:t>
            </w:r>
          </w:p>
        </w:tc>
        <w:tc>
          <w:tcPr>
            <w:tcW w:w="1747" w:type="dxa"/>
          </w:tcPr>
          <w:p w14:paraId="039E23FD">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0C5E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3C42F5DD">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w:t>
            </w:r>
          </w:p>
        </w:tc>
        <w:tc>
          <w:tcPr>
            <w:tcW w:w="4290" w:type="dxa"/>
          </w:tcPr>
          <w:p w14:paraId="4FF76727">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工程未能按期竣工验收通过</w:t>
            </w:r>
          </w:p>
        </w:tc>
        <w:tc>
          <w:tcPr>
            <w:tcW w:w="2040" w:type="dxa"/>
            <w:vAlign w:val="center"/>
          </w:tcPr>
          <w:p w14:paraId="6BC49C6D">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u w:val="single"/>
                <w:lang w:val="en-US" w:eastAsia="zh-CN"/>
              </w:rPr>
              <w:t>2</w:t>
            </w:r>
            <w:r>
              <w:rPr>
                <w:rFonts w:hint="eastAsia" w:ascii="宋体" w:hAnsi="宋体" w:eastAsia="宋体" w:cs="宋体"/>
                <w:b w:val="0"/>
                <w:bCs/>
                <w:color w:val="auto"/>
                <w:sz w:val="24"/>
                <w:szCs w:val="24"/>
                <w:highlight w:val="none"/>
                <w:u w:val="single"/>
              </w:rPr>
              <w:t>％</w:t>
            </w:r>
          </w:p>
        </w:tc>
        <w:tc>
          <w:tcPr>
            <w:tcW w:w="1747" w:type="dxa"/>
          </w:tcPr>
          <w:p w14:paraId="59FD1623">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5860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37EBBD3">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4</w:t>
            </w:r>
          </w:p>
        </w:tc>
        <w:tc>
          <w:tcPr>
            <w:tcW w:w="4290" w:type="dxa"/>
          </w:tcPr>
          <w:p w14:paraId="550B7932">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引起变更造成投资规模增加</w:t>
            </w:r>
            <w:r>
              <w:rPr>
                <w:rFonts w:hint="eastAsia" w:ascii="宋体" w:hAnsi="宋体" w:eastAsia="宋体" w:cs="宋体"/>
                <w:b w:val="0"/>
                <w:bCs/>
                <w:color w:val="auto"/>
                <w:sz w:val="24"/>
                <w:szCs w:val="24"/>
                <w:highlight w:val="none"/>
                <w:lang w:val="en-US" w:eastAsia="zh-CN"/>
              </w:rPr>
              <w:t>10%以上的</w:t>
            </w:r>
          </w:p>
        </w:tc>
        <w:tc>
          <w:tcPr>
            <w:tcW w:w="2040" w:type="dxa"/>
            <w:vAlign w:val="center"/>
          </w:tcPr>
          <w:p w14:paraId="610B8D38">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合同价款的20%</w:t>
            </w:r>
          </w:p>
        </w:tc>
        <w:tc>
          <w:tcPr>
            <w:tcW w:w="1747" w:type="dxa"/>
          </w:tcPr>
          <w:p w14:paraId="40D3AF5B">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5F1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9C011BB">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5</w:t>
            </w:r>
          </w:p>
        </w:tc>
        <w:tc>
          <w:tcPr>
            <w:tcW w:w="4290" w:type="dxa"/>
          </w:tcPr>
          <w:p w14:paraId="6109711F">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引起变更造成投资规模增加</w:t>
            </w:r>
            <w:r>
              <w:rPr>
                <w:rFonts w:hint="eastAsia" w:ascii="宋体" w:hAnsi="宋体" w:eastAsia="宋体" w:cs="宋体"/>
                <w:b w:val="0"/>
                <w:bCs/>
                <w:color w:val="auto"/>
                <w:sz w:val="24"/>
                <w:szCs w:val="24"/>
                <w:highlight w:val="none"/>
                <w:lang w:val="en-US" w:eastAsia="zh-CN"/>
              </w:rPr>
              <w:t>15%以上的</w:t>
            </w:r>
          </w:p>
        </w:tc>
        <w:tc>
          <w:tcPr>
            <w:tcW w:w="2040" w:type="dxa"/>
            <w:vAlign w:val="center"/>
          </w:tcPr>
          <w:p w14:paraId="071FC07F">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0%</w:t>
            </w:r>
          </w:p>
        </w:tc>
        <w:tc>
          <w:tcPr>
            <w:tcW w:w="1747" w:type="dxa"/>
          </w:tcPr>
          <w:p w14:paraId="760A02D1">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4F94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32640D9C">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6</w:t>
            </w:r>
          </w:p>
        </w:tc>
        <w:tc>
          <w:tcPr>
            <w:tcW w:w="4290" w:type="dxa"/>
          </w:tcPr>
          <w:p w14:paraId="1B96D664">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引起变更造成投资规模增加</w:t>
            </w:r>
            <w:r>
              <w:rPr>
                <w:rFonts w:hint="eastAsia" w:ascii="宋体" w:hAnsi="宋体" w:eastAsia="宋体" w:cs="宋体"/>
                <w:b w:val="0"/>
                <w:bCs/>
                <w:color w:val="auto"/>
                <w:sz w:val="24"/>
                <w:szCs w:val="24"/>
                <w:highlight w:val="none"/>
                <w:lang w:val="en-US" w:eastAsia="zh-CN"/>
              </w:rPr>
              <w:t>20%以上的</w:t>
            </w:r>
          </w:p>
        </w:tc>
        <w:tc>
          <w:tcPr>
            <w:tcW w:w="2040" w:type="dxa"/>
            <w:vAlign w:val="center"/>
          </w:tcPr>
          <w:p w14:paraId="7FF0B207">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0%</w:t>
            </w:r>
          </w:p>
        </w:tc>
        <w:tc>
          <w:tcPr>
            <w:tcW w:w="1747" w:type="dxa"/>
          </w:tcPr>
          <w:p w14:paraId="3ED4E5B7">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01E3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EFC9129">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7</w:t>
            </w:r>
          </w:p>
        </w:tc>
        <w:tc>
          <w:tcPr>
            <w:tcW w:w="4290" w:type="dxa"/>
          </w:tcPr>
          <w:p w14:paraId="500E23CF">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被上级主管部门通报批评、被新闻媒体曝光的</w:t>
            </w:r>
          </w:p>
        </w:tc>
        <w:tc>
          <w:tcPr>
            <w:tcW w:w="2040" w:type="dxa"/>
            <w:vAlign w:val="center"/>
          </w:tcPr>
          <w:p w14:paraId="1C1AD9F3">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w:t>
            </w:r>
          </w:p>
        </w:tc>
        <w:tc>
          <w:tcPr>
            <w:tcW w:w="1747" w:type="dxa"/>
          </w:tcPr>
          <w:p w14:paraId="2FAA7206">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785F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F0BC4E8">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8</w:t>
            </w:r>
          </w:p>
        </w:tc>
        <w:tc>
          <w:tcPr>
            <w:tcW w:w="4290" w:type="dxa"/>
          </w:tcPr>
          <w:p w14:paraId="39C7D6B4">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发生安全事故隐瞒不报、谎报或者拖延报告期限的</w:t>
            </w:r>
          </w:p>
        </w:tc>
        <w:tc>
          <w:tcPr>
            <w:tcW w:w="2040" w:type="dxa"/>
            <w:vAlign w:val="center"/>
          </w:tcPr>
          <w:p w14:paraId="0611EAE7">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w:t>
            </w:r>
          </w:p>
        </w:tc>
        <w:tc>
          <w:tcPr>
            <w:tcW w:w="1747" w:type="dxa"/>
          </w:tcPr>
          <w:p w14:paraId="0D7B4697">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705E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31E7D021">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9</w:t>
            </w:r>
          </w:p>
        </w:tc>
        <w:tc>
          <w:tcPr>
            <w:tcW w:w="4290" w:type="dxa"/>
          </w:tcPr>
          <w:p w14:paraId="3A0F5F6A">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发生较大以上安全质量事故（按国家及合同有关规定界定）的</w:t>
            </w:r>
          </w:p>
        </w:tc>
        <w:tc>
          <w:tcPr>
            <w:tcW w:w="2040" w:type="dxa"/>
            <w:vAlign w:val="center"/>
          </w:tcPr>
          <w:p w14:paraId="0CEC98E7">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w:t>
            </w:r>
          </w:p>
        </w:tc>
        <w:tc>
          <w:tcPr>
            <w:tcW w:w="1747" w:type="dxa"/>
          </w:tcPr>
          <w:p w14:paraId="6CD755C2">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03C2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4B307CAC">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10</w:t>
            </w:r>
          </w:p>
        </w:tc>
        <w:tc>
          <w:tcPr>
            <w:tcW w:w="4290" w:type="dxa"/>
          </w:tcPr>
          <w:p w14:paraId="23EA6D60">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监理人应保证每</w:t>
            </w:r>
            <w:r>
              <w:rPr>
                <w:rFonts w:hint="eastAsia" w:ascii="宋体" w:hAnsi="宋体" w:eastAsia="宋体" w:cs="宋体"/>
                <w:b w:val="0"/>
                <w:bCs/>
                <w:color w:val="auto"/>
                <w:sz w:val="24"/>
                <w:szCs w:val="24"/>
                <w:highlight w:val="none"/>
                <w:lang w:eastAsia="zh-CN"/>
              </w:rPr>
              <w:t>期</w:t>
            </w:r>
            <w:r>
              <w:rPr>
                <w:rFonts w:hint="eastAsia" w:ascii="宋体" w:hAnsi="宋体" w:eastAsia="宋体" w:cs="宋体"/>
                <w:b w:val="0"/>
                <w:bCs/>
                <w:color w:val="auto"/>
                <w:sz w:val="24"/>
                <w:szCs w:val="24"/>
                <w:highlight w:val="none"/>
              </w:rPr>
              <w:t>进度计量（价）数据的</w:t>
            </w:r>
            <w:r>
              <w:rPr>
                <w:rFonts w:hint="eastAsia" w:ascii="宋体" w:hAnsi="宋体" w:eastAsia="宋体" w:cs="宋体"/>
                <w:b w:val="0"/>
                <w:bCs/>
                <w:color w:val="auto"/>
                <w:sz w:val="24"/>
                <w:szCs w:val="24"/>
                <w:highlight w:val="none"/>
                <w:lang w:eastAsia="zh-CN"/>
              </w:rPr>
              <w:t>真实性、</w:t>
            </w:r>
            <w:r>
              <w:rPr>
                <w:rFonts w:hint="eastAsia" w:ascii="宋体" w:hAnsi="宋体" w:eastAsia="宋体" w:cs="宋体"/>
                <w:b w:val="0"/>
                <w:bCs/>
                <w:color w:val="auto"/>
                <w:sz w:val="24"/>
                <w:szCs w:val="24"/>
                <w:highlight w:val="none"/>
              </w:rPr>
              <w:t>准确性，如发生计量（价）误差＞5%</w:t>
            </w:r>
            <w:r>
              <w:rPr>
                <w:rFonts w:hint="eastAsia" w:ascii="宋体" w:hAnsi="宋体" w:eastAsia="宋体" w:cs="宋体"/>
                <w:b w:val="0"/>
                <w:bCs/>
                <w:color w:val="auto"/>
                <w:sz w:val="24"/>
                <w:szCs w:val="24"/>
                <w:highlight w:val="none"/>
                <w:lang w:eastAsia="zh-CN"/>
              </w:rPr>
              <w:t>（以委托人聘请的第三方造价咨询公司审核计量（价）作为对比）</w:t>
            </w:r>
            <w:r>
              <w:rPr>
                <w:rFonts w:hint="eastAsia" w:ascii="宋体" w:hAnsi="宋体" w:eastAsia="宋体" w:cs="宋体"/>
                <w:b w:val="0"/>
                <w:bCs/>
                <w:color w:val="auto"/>
                <w:sz w:val="24"/>
                <w:szCs w:val="24"/>
                <w:highlight w:val="none"/>
              </w:rPr>
              <w:t>，则视为监理人违约一次，</w:t>
            </w:r>
          </w:p>
        </w:tc>
        <w:tc>
          <w:tcPr>
            <w:tcW w:w="2040" w:type="dxa"/>
            <w:vAlign w:val="center"/>
          </w:tcPr>
          <w:p w14:paraId="42BAACE5">
            <w:pPr>
              <w:pStyle w:val="33"/>
              <w:shd w:val="clear" w:color="auto" w:fill="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none"/>
              </w:rPr>
              <w:t>¥5000元/次</w:t>
            </w:r>
          </w:p>
        </w:tc>
        <w:tc>
          <w:tcPr>
            <w:tcW w:w="1747" w:type="dxa"/>
          </w:tcPr>
          <w:p w14:paraId="07E5D064">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4F72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FA55BCD">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11</w:t>
            </w:r>
          </w:p>
        </w:tc>
        <w:tc>
          <w:tcPr>
            <w:tcW w:w="4290" w:type="dxa"/>
          </w:tcPr>
          <w:p w14:paraId="45059BD0">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w:t>
            </w:r>
            <w:r>
              <w:rPr>
                <w:rFonts w:hint="eastAsia" w:ascii="宋体" w:hAnsi="宋体" w:eastAsia="宋体" w:cs="宋体"/>
                <w:b w:val="0"/>
                <w:bCs/>
                <w:color w:val="auto"/>
                <w:sz w:val="24"/>
                <w:szCs w:val="24"/>
                <w:highlight w:val="none"/>
              </w:rPr>
              <w:t>分项工期延误日数占该项总工期的</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%时</w:t>
            </w:r>
          </w:p>
        </w:tc>
        <w:tc>
          <w:tcPr>
            <w:tcW w:w="2040" w:type="dxa"/>
            <w:vAlign w:val="center"/>
          </w:tcPr>
          <w:p w14:paraId="61F4FD07">
            <w:pPr>
              <w:pStyle w:val="33"/>
              <w:shd w:val="clear" w:color="auto" w:fill="auto"/>
              <w:jc w:val="center"/>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合同价款的20%</w:t>
            </w:r>
          </w:p>
        </w:tc>
        <w:tc>
          <w:tcPr>
            <w:tcW w:w="1747" w:type="dxa"/>
          </w:tcPr>
          <w:p w14:paraId="5D5318B0">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1741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701EBA56">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12</w:t>
            </w:r>
          </w:p>
        </w:tc>
        <w:tc>
          <w:tcPr>
            <w:tcW w:w="4290" w:type="dxa"/>
          </w:tcPr>
          <w:p w14:paraId="3CB285CB">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w:t>
            </w:r>
            <w:r>
              <w:rPr>
                <w:rFonts w:hint="eastAsia" w:ascii="宋体" w:hAnsi="宋体" w:eastAsia="宋体" w:cs="宋体"/>
                <w:b w:val="0"/>
                <w:bCs/>
                <w:color w:val="auto"/>
                <w:sz w:val="24"/>
                <w:szCs w:val="24"/>
                <w:highlight w:val="none"/>
              </w:rPr>
              <w:t>分项工期延误日数占该项总工期的</w:t>
            </w:r>
            <w:r>
              <w:rPr>
                <w:rFonts w:hint="eastAsia" w:ascii="宋体" w:hAnsi="宋体" w:eastAsia="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rPr>
              <w:t>%时</w:t>
            </w:r>
          </w:p>
        </w:tc>
        <w:tc>
          <w:tcPr>
            <w:tcW w:w="2040" w:type="dxa"/>
            <w:vAlign w:val="center"/>
          </w:tcPr>
          <w:p w14:paraId="5D970F91">
            <w:pPr>
              <w:pStyle w:val="33"/>
              <w:shd w:val="clear" w:color="auto" w:fill="auto"/>
              <w:jc w:val="center"/>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0%</w:t>
            </w:r>
          </w:p>
        </w:tc>
        <w:tc>
          <w:tcPr>
            <w:tcW w:w="1747" w:type="dxa"/>
          </w:tcPr>
          <w:p w14:paraId="65BFC7BE">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131A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6CFDD31C">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13</w:t>
            </w:r>
          </w:p>
        </w:tc>
        <w:tc>
          <w:tcPr>
            <w:tcW w:w="4290" w:type="dxa"/>
          </w:tcPr>
          <w:p w14:paraId="508AD043">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w:t>
            </w:r>
            <w:r>
              <w:rPr>
                <w:rFonts w:hint="eastAsia" w:ascii="宋体" w:hAnsi="宋体" w:eastAsia="宋体" w:cs="宋体"/>
                <w:b w:val="0"/>
                <w:bCs/>
                <w:color w:val="auto"/>
                <w:sz w:val="24"/>
                <w:szCs w:val="24"/>
                <w:highlight w:val="none"/>
              </w:rPr>
              <w:t>分项工期延误日数占该项总工期的</w:t>
            </w:r>
            <w:r>
              <w:rPr>
                <w:rFonts w:hint="eastAsia" w:ascii="宋体" w:hAnsi="宋体" w:eastAsia="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rPr>
              <w:t>%时</w:t>
            </w:r>
          </w:p>
        </w:tc>
        <w:tc>
          <w:tcPr>
            <w:tcW w:w="2040" w:type="dxa"/>
            <w:vAlign w:val="center"/>
          </w:tcPr>
          <w:p w14:paraId="1D7B1AC7">
            <w:pPr>
              <w:pStyle w:val="33"/>
              <w:shd w:val="clear" w:color="auto" w:fill="auto"/>
              <w:jc w:val="center"/>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合同价款的</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0%</w:t>
            </w:r>
          </w:p>
        </w:tc>
        <w:tc>
          <w:tcPr>
            <w:tcW w:w="1747" w:type="dxa"/>
          </w:tcPr>
          <w:p w14:paraId="1507BE6F">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164D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310E9680">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14</w:t>
            </w:r>
          </w:p>
        </w:tc>
        <w:tc>
          <w:tcPr>
            <w:tcW w:w="4290" w:type="dxa"/>
          </w:tcPr>
          <w:p w14:paraId="249DDDAF">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因监理单位</w:t>
            </w:r>
            <w:r>
              <w:rPr>
                <w:rFonts w:hint="eastAsia" w:ascii="宋体" w:hAnsi="宋体" w:eastAsia="宋体" w:cs="宋体"/>
                <w:b w:val="0"/>
                <w:bCs/>
                <w:color w:val="auto"/>
                <w:sz w:val="24"/>
                <w:szCs w:val="24"/>
                <w:highlight w:val="none"/>
              </w:rPr>
              <w:t>责任</w:t>
            </w:r>
            <w:r>
              <w:rPr>
                <w:rFonts w:hint="eastAsia" w:ascii="宋体" w:hAnsi="宋体" w:eastAsia="宋体" w:cs="宋体"/>
                <w:b w:val="0"/>
                <w:bCs/>
                <w:color w:val="auto"/>
                <w:sz w:val="24"/>
                <w:szCs w:val="24"/>
                <w:highlight w:val="none"/>
                <w:lang w:eastAsia="zh-CN"/>
              </w:rPr>
              <w:t>引起</w:t>
            </w:r>
            <w:r>
              <w:rPr>
                <w:rFonts w:hint="eastAsia" w:ascii="宋体" w:hAnsi="宋体" w:eastAsia="宋体" w:cs="宋体"/>
                <w:b w:val="0"/>
                <w:bCs/>
                <w:color w:val="auto"/>
                <w:sz w:val="24"/>
                <w:szCs w:val="24"/>
                <w:highlight w:val="none"/>
              </w:rPr>
              <w:t>分项工期延误日数占该项总工期的50%时</w:t>
            </w:r>
          </w:p>
        </w:tc>
        <w:tc>
          <w:tcPr>
            <w:tcW w:w="2040" w:type="dxa"/>
            <w:vAlign w:val="center"/>
          </w:tcPr>
          <w:p w14:paraId="74345A94">
            <w:pPr>
              <w:pStyle w:val="33"/>
              <w:shd w:val="clear" w:color="auto" w:fill="auto"/>
              <w:jc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eastAsia="zh-CN"/>
              </w:rPr>
              <w:t>合同价款的</w:t>
            </w:r>
            <w:r>
              <w:rPr>
                <w:rFonts w:hint="eastAsia" w:ascii="宋体" w:hAnsi="宋体" w:eastAsia="宋体" w:cs="宋体"/>
                <w:b w:val="0"/>
                <w:bCs/>
                <w:color w:val="auto"/>
                <w:sz w:val="24"/>
                <w:szCs w:val="24"/>
                <w:highlight w:val="none"/>
                <w:u w:val="none"/>
                <w:lang w:val="en-US" w:eastAsia="zh-CN"/>
              </w:rPr>
              <w:t>1%/天，发包人有权解除合同</w:t>
            </w:r>
          </w:p>
        </w:tc>
        <w:tc>
          <w:tcPr>
            <w:tcW w:w="1747" w:type="dxa"/>
          </w:tcPr>
          <w:p w14:paraId="360EC69E">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5386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4D888591">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15</w:t>
            </w:r>
          </w:p>
        </w:tc>
        <w:tc>
          <w:tcPr>
            <w:tcW w:w="4290" w:type="dxa"/>
          </w:tcPr>
          <w:p w14:paraId="53A057B1">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因监理人责任导致工程竣工</w:t>
            </w:r>
            <w:r>
              <w:rPr>
                <w:rFonts w:hint="eastAsia" w:ascii="宋体" w:hAnsi="宋体" w:eastAsia="宋体" w:cs="宋体"/>
                <w:b w:val="0"/>
                <w:bCs/>
                <w:color w:val="auto"/>
                <w:sz w:val="24"/>
                <w:szCs w:val="24"/>
                <w:highlight w:val="none"/>
                <w:lang w:eastAsia="zh-CN"/>
              </w:rPr>
              <w:t>拖延</w:t>
            </w:r>
          </w:p>
        </w:tc>
        <w:tc>
          <w:tcPr>
            <w:tcW w:w="2040" w:type="dxa"/>
            <w:vAlign w:val="center"/>
          </w:tcPr>
          <w:p w14:paraId="2AA9951B">
            <w:pPr>
              <w:pStyle w:val="33"/>
              <w:shd w:val="clear" w:color="auto" w:fill="auto"/>
              <w:jc w:val="center"/>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eastAsia="zh-CN"/>
              </w:rPr>
              <w:t>合同价款的</w:t>
            </w:r>
            <w:r>
              <w:rPr>
                <w:rFonts w:hint="eastAsia" w:ascii="宋体" w:hAnsi="宋体" w:eastAsia="宋体" w:cs="宋体"/>
                <w:b w:val="0"/>
                <w:bCs/>
                <w:color w:val="auto"/>
                <w:sz w:val="24"/>
                <w:szCs w:val="24"/>
                <w:highlight w:val="none"/>
                <w:u w:val="none"/>
                <w:lang w:val="en-US" w:eastAsia="zh-CN"/>
              </w:rPr>
              <w:t>1%/天</w:t>
            </w:r>
          </w:p>
        </w:tc>
        <w:tc>
          <w:tcPr>
            <w:tcW w:w="1747" w:type="dxa"/>
          </w:tcPr>
          <w:p w14:paraId="7E4C828C">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3FE9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3DD61C6F">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16</w:t>
            </w:r>
          </w:p>
        </w:tc>
        <w:tc>
          <w:tcPr>
            <w:tcW w:w="4290" w:type="dxa"/>
          </w:tcPr>
          <w:p w14:paraId="76396194">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snapToGrid w:val="0"/>
                <w:color w:val="auto"/>
                <w:kern w:val="0"/>
                <w:sz w:val="24"/>
                <w:szCs w:val="24"/>
                <w:highlight w:val="none"/>
              </w:rPr>
              <w:t>监理</w:t>
            </w:r>
            <w:r>
              <w:rPr>
                <w:rFonts w:hint="eastAsia" w:ascii="宋体" w:hAnsi="宋体" w:eastAsia="宋体" w:cs="宋体"/>
                <w:b w:val="0"/>
                <w:bCs/>
                <w:snapToGrid w:val="0"/>
                <w:color w:val="auto"/>
                <w:kern w:val="0"/>
                <w:sz w:val="24"/>
                <w:szCs w:val="24"/>
                <w:highlight w:val="none"/>
                <w:lang w:eastAsia="zh-CN"/>
              </w:rPr>
              <w:t>人</w:t>
            </w:r>
            <w:r>
              <w:rPr>
                <w:rFonts w:hint="eastAsia" w:ascii="宋体" w:hAnsi="宋体" w:eastAsia="宋体" w:cs="宋体"/>
                <w:b w:val="0"/>
                <w:bCs/>
                <w:snapToGrid w:val="0"/>
                <w:color w:val="auto"/>
                <w:kern w:val="0"/>
                <w:sz w:val="24"/>
                <w:szCs w:val="24"/>
                <w:highlight w:val="none"/>
              </w:rPr>
              <w:t>应在每月28日前向委托人报审下月的监理人员名单及监理工作计划</w:t>
            </w:r>
            <w:r>
              <w:rPr>
                <w:rFonts w:hint="eastAsia" w:ascii="宋体" w:hAnsi="宋体" w:eastAsia="宋体" w:cs="宋体"/>
                <w:b w:val="0"/>
                <w:bCs/>
                <w:snapToGrid w:val="0"/>
                <w:color w:val="auto"/>
                <w:kern w:val="0"/>
                <w:sz w:val="24"/>
                <w:szCs w:val="24"/>
                <w:highlight w:val="none"/>
                <w:lang w:eastAsia="zh-CN"/>
              </w:rPr>
              <w:t>、月报（含下个月投资计划）</w:t>
            </w:r>
            <w:r>
              <w:rPr>
                <w:rFonts w:hint="eastAsia" w:ascii="宋体" w:hAnsi="宋体" w:eastAsia="宋体" w:cs="宋体"/>
                <w:b w:val="0"/>
                <w:bCs/>
                <w:snapToGrid w:val="0"/>
                <w:color w:val="auto"/>
                <w:kern w:val="0"/>
                <w:sz w:val="24"/>
                <w:szCs w:val="24"/>
                <w:highlight w:val="none"/>
              </w:rPr>
              <w:t>。如未按时提交，每推迟一天</w:t>
            </w:r>
          </w:p>
        </w:tc>
        <w:tc>
          <w:tcPr>
            <w:tcW w:w="2040" w:type="dxa"/>
            <w:vAlign w:val="center"/>
          </w:tcPr>
          <w:p w14:paraId="69377374">
            <w:pPr>
              <w:pStyle w:val="33"/>
              <w:shd w:val="clear" w:color="auto" w:fill="auto"/>
              <w:jc w:val="center"/>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snapToGrid w:val="0"/>
                <w:color w:val="auto"/>
                <w:kern w:val="0"/>
                <w:sz w:val="24"/>
                <w:szCs w:val="24"/>
                <w:highlight w:val="none"/>
                <w:u w:val="none"/>
              </w:rPr>
              <w:t>¥</w:t>
            </w:r>
            <w:r>
              <w:rPr>
                <w:rFonts w:hint="eastAsia" w:ascii="宋体" w:hAnsi="宋体" w:eastAsia="宋体" w:cs="宋体"/>
                <w:b w:val="0"/>
                <w:bCs/>
                <w:snapToGrid w:val="0"/>
                <w:color w:val="auto"/>
                <w:kern w:val="0"/>
                <w:sz w:val="24"/>
                <w:szCs w:val="24"/>
                <w:highlight w:val="none"/>
                <w:u w:val="none"/>
                <w:lang w:val="en-US" w:eastAsia="zh-CN"/>
              </w:rPr>
              <w:t>2</w:t>
            </w:r>
            <w:r>
              <w:rPr>
                <w:rFonts w:hint="eastAsia" w:ascii="宋体" w:hAnsi="宋体" w:eastAsia="宋体" w:cs="宋体"/>
                <w:b w:val="0"/>
                <w:bCs/>
                <w:snapToGrid w:val="0"/>
                <w:color w:val="auto"/>
                <w:kern w:val="0"/>
                <w:sz w:val="24"/>
                <w:szCs w:val="24"/>
                <w:highlight w:val="none"/>
                <w:u w:val="none"/>
              </w:rPr>
              <w:t>000元/天</w:t>
            </w:r>
          </w:p>
        </w:tc>
        <w:tc>
          <w:tcPr>
            <w:tcW w:w="1747" w:type="dxa"/>
          </w:tcPr>
          <w:p w14:paraId="391F743A">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5675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12F743D9">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17</w:t>
            </w:r>
          </w:p>
        </w:tc>
        <w:tc>
          <w:tcPr>
            <w:tcW w:w="4290" w:type="dxa"/>
          </w:tcPr>
          <w:p w14:paraId="2D3CCC47">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监理</w:t>
            </w:r>
            <w:r>
              <w:rPr>
                <w:rFonts w:hint="eastAsia" w:ascii="宋体" w:hAnsi="宋体" w:eastAsia="宋体" w:cs="宋体"/>
                <w:b w:val="0"/>
                <w:bCs/>
                <w:snapToGrid w:val="0"/>
                <w:color w:val="auto"/>
                <w:kern w:val="0"/>
                <w:sz w:val="24"/>
                <w:szCs w:val="24"/>
                <w:highlight w:val="none"/>
                <w:lang w:eastAsia="zh-CN"/>
              </w:rPr>
              <w:t>人</w:t>
            </w:r>
            <w:r>
              <w:rPr>
                <w:rFonts w:hint="eastAsia" w:ascii="宋体" w:hAnsi="宋体" w:eastAsia="宋体" w:cs="宋体"/>
                <w:b w:val="0"/>
                <w:bCs/>
                <w:snapToGrid w:val="0"/>
                <w:color w:val="auto"/>
                <w:kern w:val="0"/>
                <w:sz w:val="24"/>
                <w:szCs w:val="24"/>
                <w:highlight w:val="none"/>
              </w:rPr>
              <w:t>根据委托人与施工单位签订的施工合同所约定的工程进度关键节点进行考核，在考核节点后的5天内提交考核报告，报告每逾期一天</w:t>
            </w:r>
          </w:p>
        </w:tc>
        <w:tc>
          <w:tcPr>
            <w:tcW w:w="2040" w:type="dxa"/>
            <w:vAlign w:val="center"/>
          </w:tcPr>
          <w:p w14:paraId="51EF52E0">
            <w:pPr>
              <w:pStyle w:val="33"/>
              <w:shd w:val="clear" w:color="auto" w:fill="auto"/>
              <w:jc w:val="center"/>
              <w:rPr>
                <w:rFonts w:hint="eastAsia" w:ascii="宋体" w:hAnsi="宋体" w:eastAsia="宋体" w:cs="宋体"/>
                <w:b w:val="0"/>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none"/>
              </w:rPr>
              <w:t>¥1000元/天</w:t>
            </w:r>
          </w:p>
        </w:tc>
        <w:tc>
          <w:tcPr>
            <w:tcW w:w="1747" w:type="dxa"/>
          </w:tcPr>
          <w:p w14:paraId="0E523790">
            <w:pPr>
              <w:pStyle w:val="33"/>
              <w:shd w:val="clear" w:color="auto" w:fill="auto"/>
              <w:jc w:val="both"/>
              <w:rPr>
                <w:rFonts w:hint="eastAsia" w:ascii="宋体" w:hAnsi="宋体" w:eastAsia="宋体" w:cs="宋体"/>
                <w:b w:val="0"/>
                <w:bCs/>
                <w:color w:val="auto"/>
                <w:sz w:val="24"/>
                <w:szCs w:val="24"/>
                <w:highlight w:val="none"/>
                <w:vertAlign w:val="baseline"/>
              </w:rPr>
            </w:pPr>
          </w:p>
        </w:tc>
      </w:tr>
      <w:tr w14:paraId="51D6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Align w:val="center"/>
          </w:tcPr>
          <w:p w14:paraId="5581A74A">
            <w:pPr>
              <w:pStyle w:val="33"/>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18</w:t>
            </w:r>
          </w:p>
        </w:tc>
        <w:tc>
          <w:tcPr>
            <w:tcW w:w="4290" w:type="dxa"/>
          </w:tcPr>
          <w:p w14:paraId="497306DB">
            <w:pPr>
              <w:pStyle w:val="53"/>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val="0"/>
                <w:bCs/>
                <w:snapToGrid w:val="0"/>
                <w:color w:val="auto"/>
                <w:kern w:val="0"/>
                <w:sz w:val="24"/>
                <w:szCs w:val="24"/>
                <w:highlight w:val="none"/>
              </w:rPr>
            </w:pPr>
            <w:r>
              <w:rPr>
                <w:rFonts w:hint="eastAsia" w:ascii="宋体" w:hAnsi="宋体" w:eastAsia="宋体" w:cs="宋体"/>
                <w:b w:val="0"/>
                <w:bCs/>
                <w:snapToGrid w:val="0"/>
                <w:color w:val="auto"/>
                <w:kern w:val="0"/>
                <w:sz w:val="24"/>
                <w:szCs w:val="24"/>
                <w:highlight w:val="none"/>
              </w:rPr>
              <w:t>监理</w:t>
            </w:r>
            <w:r>
              <w:rPr>
                <w:rFonts w:hint="eastAsia" w:ascii="宋体" w:hAnsi="宋体" w:eastAsia="宋体" w:cs="宋体"/>
                <w:b w:val="0"/>
                <w:bCs/>
                <w:snapToGrid w:val="0"/>
                <w:color w:val="auto"/>
                <w:kern w:val="0"/>
                <w:sz w:val="24"/>
                <w:szCs w:val="24"/>
                <w:highlight w:val="none"/>
                <w:lang w:eastAsia="zh-CN"/>
              </w:rPr>
              <w:t>人</w:t>
            </w:r>
            <w:r>
              <w:rPr>
                <w:rFonts w:hint="eastAsia" w:ascii="宋体" w:hAnsi="宋体" w:eastAsia="宋体" w:cs="宋体"/>
                <w:b w:val="0"/>
                <w:bCs/>
                <w:snapToGrid w:val="0"/>
                <w:color w:val="auto"/>
                <w:kern w:val="0"/>
                <w:sz w:val="24"/>
                <w:szCs w:val="24"/>
                <w:highlight w:val="none"/>
              </w:rPr>
              <w:t>应根据招标文件及</w:t>
            </w:r>
            <w:r>
              <w:rPr>
                <w:rFonts w:hint="eastAsia" w:ascii="宋体" w:hAnsi="宋体" w:eastAsia="宋体" w:cs="宋体"/>
                <w:b w:val="0"/>
                <w:bCs/>
                <w:snapToGrid w:val="0"/>
                <w:color w:val="auto"/>
                <w:kern w:val="0"/>
                <w:sz w:val="24"/>
                <w:szCs w:val="24"/>
                <w:highlight w:val="none"/>
                <w:lang w:eastAsia="zh-CN"/>
              </w:rPr>
              <w:t>承包</w:t>
            </w:r>
            <w:r>
              <w:rPr>
                <w:rFonts w:hint="eastAsia" w:ascii="宋体" w:hAnsi="宋体" w:eastAsia="宋体" w:cs="宋体"/>
                <w:b w:val="0"/>
                <w:bCs/>
                <w:snapToGrid w:val="0"/>
                <w:color w:val="auto"/>
                <w:kern w:val="0"/>
                <w:sz w:val="24"/>
                <w:szCs w:val="24"/>
                <w:highlight w:val="none"/>
              </w:rPr>
              <w:t>合同对</w:t>
            </w:r>
            <w:r>
              <w:rPr>
                <w:rFonts w:hint="eastAsia" w:ascii="宋体" w:hAnsi="宋体" w:eastAsia="宋体" w:cs="宋体"/>
                <w:b w:val="0"/>
                <w:bCs/>
                <w:snapToGrid w:val="0"/>
                <w:color w:val="auto"/>
                <w:kern w:val="0"/>
                <w:sz w:val="24"/>
                <w:szCs w:val="24"/>
                <w:highlight w:val="none"/>
                <w:lang w:eastAsia="zh-CN"/>
              </w:rPr>
              <w:t>承包单位</w:t>
            </w:r>
            <w:r>
              <w:rPr>
                <w:rFonts w:hint="eastAsia" w:ascii="宋体" w:hAnsi="宋体" w:eastAsia="宋体" w:cs="宋体"/>
                <w:b w:val="0"/>
                <w:bCs/>
                <w:snapToGrid w:val="0"/>
                <w:color w:val="auto"/>
                <w:kern w:val="0"/>
                <w:sz w:val="24"/>
                <w:szCs w:val="24"/>
                <w:highlight w:val="none"/>
              </w:rPr>
              <w:t>履约情况（人员到位情况、进度节点控制、质量控制、造价控制、违约情况等）进行考核，对于出现进度、质量等不达标或其他违约的情况及时发出整改通知及相应违约处罚单，并于每月5日前将上月考核相关资料整理提交委托人备案，若监理未按相关要求执行视为监理违约</w:t>
            </w:r>
          </w:p>
        </w:tc>
        <w:tc>
          <w:tcPr>
            <w:tcW w:w="2040" w:type="dxa"/>
            <w:vAlign w:val="center"/>
          </w:tcPr>
          <w:p w14:paraId="6A668CC8">
            <w:pPr>
              <w:pStyle w:val="33"/>
              <w:shd w:val="clear" w:color="auto" w:fill="auto"/>
              <w:jc w:val="center"/>
              <w:rPr>
                <w:rFonts w:hint="eastAsia" w:ascii="宋体" w:hAnsi="宋体" w:eastAsia="宋体" w:cs="宋体"/>
                <w:b w:val="0"/>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none"/>
              </w:rPr>
              <w:t>¥1000元/天</w:t>
            </w:r>
          </w:p>
        </w:tc>
        <w:tc>
          <w:tcPr>
            <w:tcW w:w="1747" w:type="dxa"/>
          </w:tcPr>
          <w:p w14:paraId="6AD2631B">
            <w:pPr>
              <w:pStyle w:val="33"/>
              <w:shd w:val="clear" w:color="auto" w:fill="auto"/>
              <w:jc w:val="both"/>
              <w:rPr>
                <w:rFonts w:hint="eastAsia" w:ascii="宋体" w:hAnsi="宋体" w:eastAsia="宋体" w:cs="宋体"/>
                <w:b w:val="0"/>
                <w:bCs/>
                <w:color w:val="auto"/>
                <w:sz w:val="24"/>
                <w:szCs w:val="24"/>
                <w:highlight w:val="none"/>
                <w:vertAlign w:val="baseline"/>
              </w:rPr>
            </w:pPr>
          </w:p>
        </w:tc>
      </w:tr>
    </w:tbl>
    <w:p w14:paraId="43220E9B">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 xml:space="preserve"> 监理违约的处理程序</w:t>
      </w:r>
    </w:p>
    <w:p w14:paraId="57F83D6A">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8.1</w:t>
      </w:r>
      <w:r>
        <w:rPr>
          <w:rFonts w:hint="eastAsia" w:ascii="宋体" w:hAnsi="宋体" w:eastAsia="宋体" w:cs="宋体"/>
          <w:b/>
          <w:bCs/>
          <w:snapToGrid w:val="0"/>
          <w:color w:val="auto"/>
          <w:kern w:val="0"/>
          <w:sz w:val="24"/>
          <w:szCs w:val="24"/>
          <w:highlight w:val="none"/>
        </w:rPr>
        <w:t>.</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 xml:space="preserve">.1 </w:t>
      </w:r>
      <w:r>
        <w:rPr>
          <w:rFonts w:hint="eastAsia" w:ascii="宋体" w:hAnsi="宋体" w:eastAsia="宋体" w:cs="宋体"/>
          <w:b w:val="0"/>
          <w:bCs w:val="0"/>
          <w:snapToGrid w:val="0"/>
          <w:color w:val="auto"/>
          <w:kern w:val="0"/>
          <w:sz w:val="24"/>
          <w:szCs w:val="24"/>
          <w:highlight w:val="none"/>
        </w:rPr>
        <w:t>由委托人管理人员在“监理行为记录档案”中将监理人的具体违约情况记录，并将记录内容书面告知监理人。</w:t>
      </w:r>
    </w:p>
    <w:p w14:paraId="5B213057">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委托人不定期将有关监理人的违约情况以记录、通知、会议纪要等书面形式通知监理人，指明其未能履约的内容和委托人要求其承担违约责任的等级。</w:t>
      </w:r>
    </w:p>
    <w:p w14:paraId="77F9E02B">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监理人收到书面处理通知后，如有足够证据证明不应由其承担违约责任的，应在收到违约处理决定后3个工作日内以书面形式向委托人提出异议并附上有关证据，委托人在收到监理人的异议后15个工作日内审核完毕且作出书面决定并通知监理人。否则书面通知则作为处理决定。</w:t>
      </w:r>
    </w:p>
    <w:p w14:paraId="49D7B7BE">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委托人将进一步将监理人执行国家强制性规范、标准和履行合同、招投标文件义务的情况（包括但不限于由委托人组织的考核、考评通报、违约责任处理决定等）再报当地建设行政主管部门并在媒体上公开披露。</w:t>
      </w:r>
    </w:p>
    <w:p w14:paraId="639F98C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4E25C9DE">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hAnsi="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6</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7C83DC2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 工程质量、造价、进度控制及安全生产管理</w:t>
      </w:r>
    </w:p>
    <w:p w14:paraId="5FF87EEC">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8.2.1 工程质量控制：</w:t>
      </w:r>
    </w:p>
    <w:p w14:paraId="3E3DF55C">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 </w:t>
      </w:r>
      <w:r>
        <w:rPr>
          <w:rFonts w:hint="eastAsia" w:ascii="宋体" w:hAnsi="宋体" w:eastAsia="宋体" w:cs="宋体"/>
          <w:snapToGrid w:val="0"/>
          <w:color w:val="auto"/>
          <w:kern w:val="0"/>
          <w:sz w:val="24"/>
          <w:szCs w:val="24"/>
          <w:highlight w:val="none"/>
        </w:rPr>
        <w:t>工程开工前，项目监理机构应审查施工单位现场的质量管理组织机构、管理制度及专职管理人员和特种作业人员的资格。</w:t>
      </w:r>
    </w:p>
    <w:p w14:paraId="1300760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8.2.1.2 </w:t>
      </w:r>
      <w:r>
        <w:rPr>
          <w:rFonts w:hint="eastAsia" w:ascii="宋体" w:hAnsi="宋体" w:eastAsia="宋体" w:cs="宋体"/>
          <w:snapToGrid w:val="0"/>
          <w:color w:val="auto"/>
          <w:kern w:val="0"/>
          <w:sz w:val="24"/>
          <w:szCs w:val="24"/>
          <w:highlight w:val="none"/>
        </w:rPr>
        <w:t>总监理工程师应组织专业监理工程师审查施工单位报审的施工方案，符合要求后应予以签认。施工方案审查应包括下列基本内容：</w:t>
      </w:r>
    </w:p>
    <w:p w14:paraId="4D3CFF57">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（1）编审程序应符合相关规定。</w:t>
      </w:r>
    </w:p>
    <w:p w14:paraId="452940F9">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（2）工程质量保证措施应符合有关标准。</w:t>
      </w:r>
    </w:p>
    <w:p w14:paraId="186D8E0C">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8.2.1.3 </w:t>
      </w:r>
      <w:r>
        <w:rPr>
          <w:rFonts w:hint="eastAsia" w:ascii="宋体" w:hAnsi="宋体" w:eastAsia="宋体" w:cs="宋体"/>
          <w:snapToGrid w:val="0"/>
          <w:color w:val="auto"/>
          <w:kern w:val="0"/>
          <w:sz w:val="24"/>
          <w:szCs w:val="24"/>
          <w:highlight w:val="none"/>
        </w:rPr>
        <w:t>施工方案报审表应按相应规范的要求填写。</w:t>
      </w:r>
    </w:p>
    <w:p w14:paraId="0D1F834E">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8.2.1.4 </w:t>
      </w:r>
      <w:r>
        <w:rPr>
          <w:rFonts w:hint="eastAsia" w:ascii="宋体" w:hAnsi="宋体" w:eastAsia="宋体" w:cs="宋体"/>
          <w:snapToGrid w:val="0"/>
          <w:color w:val="auto"/>
          <w:kern w:val="0"/>
          <w:sz w:val="24"/>
          <w:szCs w:val="24"/>
          <w:highlight w:val="none"/>
        </w:rPr>
        <w:t>专业监理工程师应审查施工单位报送的新材料、新工艺、新技术、新设备的质量认证材料和相关验收标准的适用性，必要时，应要求施工单位组织专题论证，审查合格后报总监理工程师签认。</w:t>
      </w:r>
    </w:p>
    <w:p w14:paraId="76044BF2">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8.2.1.5 </w:t>
      </w:r>
      <w:r>
        <w:rPr>
          <w:rFonts w:hint="eastAsia" w:ascii="宋体" w:hAnsi="宋体" w:eastAsia="宋体" w:cs="宋体"/>
          <w:snapToGrid w:val="0"/>
          <w:color w:val="auto"/>
          <w:kern w:val="0"/>
          <w:sz w:val="24"/>
          <w:szCs w:val="24"/>
          <w:highlight w:val="none"/>
        </w:rPr>
        <w:t>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3B335577">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（1）施工单位测量人员的资格证书及测量设备检定证书。</w:t>
      </w:r>
    </w:p>
    <w:p w14:paraId="12648C89">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（2）施工平面控制网、高程控制网和临时水准点的测量成果及控制桩的保护措施。</w:t>
      </w:r>
    </w:p>
    <w:p w14:paraId="279ECB4E">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8.2.1.6 </w:t>
      </w:r>
      <w:r>
        <w:rPr>
          <w:rFonts w:hint="eastAsia" w:ascii="宋体" w:hAnsi="宋体" w:eastAsia="宋体" w:cs="宋体"/>
          <w:snapToGrid w:val="0"/>
          <w:color w:val="auto"/>
          <w:kern w:val="0"/>
          <w:sz w:val="24"/>
          <w:szCs w:val="24"/>
          <w:highlight w:val="none"/>
        </w:rPr>
        <w:t>施工控制测量成果报验表应按相应规范的要求填写。</w:t>
      </w:r>
    </w:p>
    <w:p w14:paraId="3E59086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8.2.1.7 </w:t>
      </w:r>
      <w:r>
        <w:rPr>
          <w:rFonts w:hint="eastAsia" w:ascii="宋体" w:hAnsi="宋体" w:eastAsia="宋体" w:cs="宋体"/>
          <w:snapToGrid w:val="0"/>
          <w:color w:val="auto"/>
          <w:kern w:val="0"/>
          <w:sz w:val="24"/>
          <w:szCs w:val="24"/>
          <w:highlight w:val="none"/>
        </w:rPr>
        <w:t>专业监理工程师应检查施工单位为工程提供服务的试验室。</w:t>
      </w:r>
    </w:p>
    <w:p w14:paraId="77A551B2">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试验室的检查应包括下列内容：</w:t>
      </w:r>
    </w:p>
    <w:p w14:paraId="1FF16346">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（1）试验室的资质等级及试验范围。</w:t>
      </w:r>
    </w:p>
    <w:p w14:paraId="11F06D59">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（2）法定计量部门对试验设备出具的计量检定证明。</w:t>
      </w:r>
    </w:p>
    <w:p w14:paraId="3FFCE4E2">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（3）试验室管理制度。</w:t>
      </w:r>
    </w:p>
    <w:p w14:paraId="40DBD722">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（4）试验人员资格证书。</w:t>
      </w:r>
    </w:p>
    <w:p w14:paraId="1D8EFE1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8.2.1.8 </w:t>
      </w:r>
      <w:r>
        <w:rPr>
          <w:rFonts w:hint="eastAsia" w:ascii="宋体" w:hAnsi="宋体" w:eastAsia="宋体" w:cs="宋体"/>
          <w:snapToGrid w:val="0"/>
          <w:color w:val="auto"/>
          <w:kern w:val="0"/>
          <w:sz w:val="24"/>
          <w:szCs w:val="24"/>
          <w:highlight w:val="none"/>
        </w:rPr>
        <w:t>施工单位的试验室报审表应按相应规范的要求填写。</w:t>
      </w:r>
    </w:p>
    <w:p w14:paraId="7A38E37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8.2.1.9 </w:t>
      </w:r>
      <w:r>
        <w:rPr>
          <w:rFonts w:hint="eastAsia" w:ascii="宋体" w:hAnsi="宋体" w:eastAsia="宋体" w:cs="宋体"/>
          <w:snapToGrid w:val="0"/>
          <w:color w:val="auto"/>
          <w:kern w:val="0"/>
          <w:sz w:val="24"/>
          <w:szCs w:val="24"/>
          <w:highlight w:val="none"/>
        </w:rPr>
        <w:t>项目监理机构应审查施工单位</w:t>
      </w:r>
      <w:r>
        <w:rPr>
          <w:rFonts w:hint="eastAsia" w:ascii="宋体" w:hAnsi="宋体" w:eastAsia="宋体" w:cs="宋体"/>
          <w:snapToGrid w:val="0"/>
          <w:color w:val="auto"/>
          <w:kern w:val="0"/>
          <w:sz w:val="24"/>
          <w:szCs w:val="24"/>
          <w:highlight w:val="none"/>
          <w:lang w:eastAsia="zh-CN"/>
        </w:rPr>
        <w:t>及发包人委托的第三方检测机构</w:t>
      </w:r>
      <w:r>
        <w:rPr>
          <w:rFonts w:hint="eastAsia" w:ascii="宋体" w:hAnsi="宋体" w:eastAsia="宋体" w:cs="宋体"/>
          <w:snapToGrid w:val="0"/>
          <w:color w:val="auto"/>
          <w:kern w:val="0"/>
          <w:sz w:val="24"/>
          <w:szCs w:val="24"/>
          <w:highlight w:val="none"/>
        </w:rPr>
        <w:t>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49A3E06A">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8.2.1.10 </w:t>
      </w:r>
      <w:r>
        <w:rPr>
          <w:rFonts w:hint="eastAsia" w:ascii="宋体" w:hAnsi="宋体" w:eastAsia="宋体" w:cs="宋体"/>
          <w:snapToGrid w:val="0"/>
          <w:color w:val="auto"/>
          <w:kern w:val="0"/>
          <w:sz w:val="24"/>
          <w:szCs w:val="24"/>
          <w:highlight w:val="none"/>
        </w:rPr>
        <w:t>专业监理工程师应审查施工单位定期提交影响工程质量的计量设备的检查和检定报告。</w:t>
      </w:r>
    </w:p>
    <w:p w14:paraId="0CD1BA05">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8.2.1.11 </w:t>
      </w:r>
      <w:r>
        <w:rPr>
          <w:rFonts w:hint="eastAsia" w:ascii="宋体" w:hAnsi="宋体" w:eastAsia="宋体" w:cs="宋体"/>
          <w:snapToGrid w:val="0"/>
          <w:color w:val="auto"/>
          <w:kern w:val="0"/>
          <w:sz w:val="24"/>
          <w:szCs w:val="24"/>
          <w:highlight w:val="none"/>
        </w:rPr>
        <w:t>项目监理机构应根据工程特点和施工单位报送的施工组织设计，确定旁站的关键部位、关键工序，安排监理人员进行旁站，并应及时记录旁站情况。旁站记录应按相应规范的要求填写。</w:t>
      </w:r>
    </w:p>
    <w:p w14:paraId="1BA08EAA">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8.2.1.12 </w:t>
      </w:r>
      <w:r>
        <w:rPr>
          <w:rFonts w:hint="eastAsia" w:ascii="宋体" w:hAnsi="宋体" w:eastAsia="宋体" w:cs="宋体"/>
          <w:snapToGrid w:val="0"/>
          <w:color w:val="auto"/>
          <w:kern w:val="0"/>
          <w:sz w:val="24"/>
          <w:szCs w:val="24"/>
          <w:highlight w:val="none"/>
        </w:rPr>
        <w:t>项目监理机构应安排监理人员对工程施工质量进行巡视。巡视应包括下列主要内容：</w:t>
      </w:r>
    </w:p>
    <w:p w14:paraId="018A75C4">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（1）施工单位是否按工程设计文件、工程建设标准和批准的施工组织设计、(专项)施工方案施工。</w:t>
      </w:r>
    </w:p>
    <w:p w14:paraId="1F5A9672">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（2）使用的工程材料、构配件和设备是否合格。</w:t>
      </w:r>
    </w:p>
    <w:p w14:paraId="3E5972F0">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（3）施工现场管理人员，特别是施工质量管理人员是否到位。</w:t>
      </w:r>
    </w:p>
    <w:p w14:paraId="42A8CF7B">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（4）特种作业人员是否持证上岗。</w:t>
      </w:r>
    </w:p>
    <w:p w14:paraId="1F0AE371">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8.2.1.13 </w:t>
      </w:r>
      <w:r>
        <w:rPr>
          <w:rFonts w:hint="eastAsia" w:ascii="宋体" w:hAnsi="宋体" w:eastAsia="宋体" w:cs="宋体"/>
          <w:snapToGrid w:val="0"/>
          <w:color w:val="auto"/>
          <w:kern w:val="0"/>
          <w:sz w:val="24"/>
          <w:szCs w:val="24"/>
          <w:highlight w:val="none"/>
        </w:rPr>
        <w:t>项目监理机构应根据工程特点、专业要求，以及建设工程监理合同约定，对施工质量进行平行检验。</w:t>
      </w:r>
    </w:p>
    <w:p w14:paraId="600DCB0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8.2.1.14 </w:t>
      </w:r>
      <w:r>
        <w:rPr>
          <w:rFonts w:hint="eastAsia" w:ascii="宋体" w:hAnsi="宋体" w:eastAsia="宋体" w:cs="宋体"/>
          <w:snapToGrid w:val="0"/>
          <w:color w:val="auto"/>
          <w:kern w:val="0"/>
          <w:sz w:val="24"/>
          <w:szCs w:val="24"/>
          <w:highlight w:val="none"/>
        </w:rPr>
        <w:t>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6CB0D5E7">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8.2.1.15 </w:t>
      </w:r>
      <w:r>
        <w:rPr>
          <w:rFonts w:hint="eastAsia" w:ascii="宋体" w:hAnsi="宋体" w:eastAsia="宋体" w:cs="宋体"/>
          <w:snapToGrid w:val="0"/>
          <w:color w:val="auto"/>
          <w:kern w:val="0"/>
          <w:sz w:val="24"/>
          <w:szCs w:val="24"/>
          <w:highlight w:val="none"/>
        </w:rPr>
        <w:t>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1C019304">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8.2.1.16 </w:t>
      </w:r>
      <w:r>
        <w:rPr>
          <w:rFonts w:hint="eastAsia" w:ascii="宋体" w:hAnsi="宋体" w:eastAsia="宋体" w:cs="宋体"/>
          <w:snapToGrid w:val="0"/>
          <w:color w:val="auto"/>
          <w:kern w:val="0"/>
          <w:sz w:val="24"/>
          <w:szCs w:val="24"/>
          <w:highlight w:val="none"/>
        </w:rPr>
        <w:t>对需要返工处理或加固补强的质量缺陷，项目监理机构应要求施工单位报送经设计等相关单位认可的处理方案，并应对质量缺陷的处理过程进行跟踪检查，同时应对处理结果进行验收。</w:t>
      </w:r>
    </w:p>
    <w:p w14:paraId="3D577906">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8.2.1.17 </w:t>
      </w:r>
      <w:r>
        <w:rPr>
          <w:rFonts w:hint="eastAsia" w:ascii="宋体" w:hAnsi="宋体" w:eastAsia="宋体" w:cs="宋体"/>
          <w:snapToGrid w:val="0"/>
          <w:color w:val="auto"/>
          <w:kern w:val="0"/>
          <w:sz w:val="24"/>
          <w:szCs w:val="24"/>
          <w:highlight w:val="none"/>
        </w:rPr>
        <w:t>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DAC40FF">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8.2.1.18 </w:t>
      </w:r>
      <w:r>
        <w:rPr>
          <w:rFonts w:hint="eastAsia" w:ascii="宋体" w:hAnsi="宋体" w:eastAsia="宋体" w:cs="宋体"/>
          <w:snapToGrid w:val="0"/>
          <w:color w:val="auto"/>
          <w:kern w:val="0"/>
          <w:sz w:val="24"/>
          <w:szCs w:val="24"/>
          <w:highlight w:val="none"/>
        </w:rPr>
        <w:t>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370CD84">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8.2.1.19 </w:t>
      </w:r>
      <w:r>
        <w:rPr>
          <w:rFonts w:hint="eastAsia" w:ascii="宋体" w:hAnsi="宋体" w:eastAsia="宋体" w:cs="宋体"/>
          <w:snapToGrid w:val="0"/>
          <w:color w:val="auto"/>
          <w:kern w:val="0"/>
          <w:sz w:val="24"/>
          <w:szCs w:val="24"/>
          <w:highlight w:val="none"/>
        </w:rPr>
        <w:t>工程竣工预验收合格后，项目监理机构应编写工程质量评估报告，并应经总监理工程师和工程监理单位技术负责人审核签字后报建设单位。</w:t>
      </w:r>
    </w:p>
    <w:p w14:paraId="3E4A545D">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8.2.1.20 </w:t>
      </w:r>
      <w:r>
        <w:rPr>
          <w:rFonts w:hint="eastAsia" w:ascii="宋体" w:hAnsi="宋体" w:eastAsia="宋体" w:cs="宋体"/>
          <w:snapToGrid w:val="0"/>
          <w:color w:val="auto"/>
          <w:kern w:val="0"/>
          <w:sz w:val="24"/>
          <w:szCs w:val="24"/>
          <w:highlight w:val="none"/>
        </w:rPr>
        <w:t>项目监理机构应参加由建设单位组织的竣工验收，对验收中提出的整改问题，应督促施工单位及时整改。工程质量符合要求的，总监理工程师应在工程竣工验收报告中签署意见。</w:t>
      </w:r>
    </w:p>
    <w:p w14:paraId="50E63CD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rPr>
        <w:t xml:space="preserve">8.2.1.21 </w:t>
      </w:r>
      <w:r>
        <w:rPr>
          <w:rFonts w:hint="eastAsia" w:ascii="宋体" w:hAnsi="宋体" w:eastAsia="宋体" w:cs="宋体"/>
          <w:snapToGrid w:val="0"/>
          <w:color w:val="auto"/>
          <w:kern w:val="0"/>
          <w:sz w:val="24"/>
          <w:szCs w:val="24"/>
          <w:highlight w:val="none"/>
        </w:rPr>
        <w:t>保修期满后，项目监理机构应参与保修期满质量复检，对复检中发现的问题提出整改意见并督促施工单位整改；整改合格后，总监理工程师在复检报告中签署意见。</w:t>
      </w:r>
    </w:p>
    <w:p w14:paraId="53B1BAD6">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8.2.2 工程造价控制：</w:t>
      </w:r>
    </w:p>
    <w:p w14:paraId="31FDD8B9">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8.2.2.1 </w:t>
      </w:r>
      <w:r>
        <w:rPr>
          <w:rFonts w:hint="eastAsia" w:ascii="宋体" w:hAnsi="宋体" w:eastAsia="宋体" w:cs="宋体"/>
          <w:snapToGrid w:val="0"/>
          <w:color w:val="auto"/>
          <w:kern w:val="0"/>
          <w:sz w:val="24"/>
          <w:szCs w:val="24"/>
          <w:highlight w:val="none"/>
        </w:rPr>
        <w:t>项目监理机构应按下列程序进行工程计量和付款签证：</w:t>
      </w:r>
    </w:p>
    <w:p w14:paraId="012DFDED">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（1）专业监理工程师对施工单位在工程款支付报审表中提交的工程量和支付金额进行复核，确定实际完成的工程量，提出到期应支付给施工单位的金额，并提出相应的支持性材料。</w:t>
      </w:r>
    </w:p>
    <w:p w14:paraId="277DB006">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（2）总监理工程师对专业监理工程师的审查意见进行审核，签认后报建设单位审批。</w:t>
      </w:r>
    </w:p>
    <w:p w14:paraId="10F7DE7B">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（3）总监理工程师根据建设单位的审批意见，向施工单位签发工程款支付证书。</w:t>
      </w:r>
    </w:p>
    <w:p w14:paraId="3E319B07">
      <w:pPr>
        <w:shd w:val="clear" w:color="auto" w:fill="auto"/>
        <w:wordWrap w:val="0"/>
        <w:adjustRightInd w:val="0"/>
        <w:snapToGrid w:val="0"/>
        <w:spacing w:line="44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工程款支付报审表及工程款支付证书应按相应规范的要求填写。</w:t>
      </w:r>
    </w:p>
    <w:p w14:paraId="48ED642C">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8.2.2.2 </w:t>
      </w:r>
      <w:r>
        <w:rPr>
          <w:rFonts w:hint="eastAsia" w:ascii="宋体" w:hAnsi="宋体" w:eastAsia="宋体" w:cs="宋体"/>
          <w:snapToGrid w:val="0"/>
          <w:color w:val="auto"/>
          <w:kern w:val="0"/>
          <w:sz w:val="24"/>
          <w:szCs w:val="24"/>
          <w:highlight w:val="none"/>
        </w:rPr>
        <w:t>项目监理机构应编制月完成工程量统计表，对实际完成量与计划完成量进行比较分析，发现偏差的，应提出调整建议，并应在监理月报中向建设单位报告。</w:t>
      </w:r>
    </w:p>
    <w:p w14:paraId="288615C1">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8.2.2.3</w:t>
      </w:r>
      <w:r>
        <w:rPr>
          <w:rFonts w:hint="eastAsia" w:ascii="宋体" w:hAnsi="宋体" w:eastAsia="宋体" w:cs="宋体"/>
          <w:b w:val="0"/>
          <w:bCs w:val="0"/>
          <w:snapToGrid w:val="0"/>
          <w:color w:val="auto"/>
          <w:kern w:val="0"/>
          <w:sz w:val="24"/>
          <w:szCs w:val="24"/>
          <w:highlight w:val="none"/>
        </w:rPr>
        <w:t>项目监理机构应按下列程序进行竣工结算款审核：</w:t>
      </w:r>
    </w:p>
    <w:p w14:paraId="127C0572">
      <w:pPr>
        <w:keepNext w:val="0"/>
        <w:keepLines w:val="0"/>
        <w:pageBreakBefore w:val="0"/>
        <w:widowControl w:val="0"/>
        <w:shd w:val="clear" w:color="auto" w:fill="auto"/>
        <w:kinsoku/>
        <w:overflowPunct/>
        <w:topLinePunct w:val="0"/>
        <w:autoSpaceDE/>
        <w:autoSpaceDN/>
        <w:bidi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（1）专业监理工程师审查施工单位提交的竣工结算款支付申请，提出审查意见。</w:t>
      </w:r>
    </w:p>
    <w:p w14:paraId="5688A0EE">
      <w:pPr>
        <w:keepNext w:val="0"/>
        <w:keepLines w:val="0"/>
        <w:pageBreakBefore w:val="0"/>
        <w:widowControl w:val="0"/>
        <w:shd w:val="clear" w:color="auto" w:fill="auto"/>
        <w:kinsoku/>
        <w:overflowPunct/>
        <w:topLinePunct w:val="0"/>
        <w:autoSpaceDE/>
        <w:autoSpaceDN/>
        <w:bidi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w:t>
      </w:r>
    </w:p>
    <w:p w14:paraId="6B256E28">
      <w:pPr>
        <w:keepNext w:val="0"/>
        <w:keepLines w:val="0"/>
        <w:pageBreakBefore w:val="0"/>
        <w:widowControl w:val="0"/>
        <w:shd w:val="clear" w:color="auto" w:fill="auto"/>
        <w:kinsoku/>
        <w:overflowPunct/>
        <w:topLinePunct w:val="0"/>
        <w:autoSpaceDE/>
        <w:autoSpaceDN/>
        <w:bidi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工程竣工结算款支付报审表及竣工结算款支付证书应按相应规范的要求填写。</w:t>
      </w:r>
    </w:p>
    <w:p w14:paraId="2C1CF86E">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8.2.3 工程进度控制：</w:t>
      </w:r>
    </w:p>
    <w:p w14:paraId="4A7B00DE">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8.2.3.1 </w:t>
      </w:r>
      <w:r>
        <w:rPr>
          <w:rFonts w:hint="eastAsia" w:ascii="宋体" w:hAnsi="宋体" w:eastAsia="宋体" w:cs="宋体"/>
          <w:snapToGrid w:val="0"/>
          <w:color w:val="auto"/>
          <w:kern w:val="0"/>
          <w:sz w:val="24"/>
          <w:szCs w:val="24"/>
          <w:highlight w:val="none"/>
        </w:rPr>
        <w:t>项目监理机构应审查施工单位报审的施工总进度计划和阶段性施工进度计划，提出审查意见，并应由总监理工程师审核后报建设单位。</w:t>
      </w:r>
    </w:p>
    <w:p w14:paraId="4577EF53">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施工进度计划审查应包括下列基本内容：</w:t>
      </w:r>
    </w:p>
    <w:p w14:paraId="7683F603">
      <w:pPr>
        <w:keepNext w:val="0"/>
        <w:keepLines w:val="0"/>
        <w:pageBreakBefore w:val="0"/>
        <w:widowControl w:val="0"/>
        <w:shd w:val="clear" w:color="auto" w:fill="auto"/>
        <w:kinsoku/>
        <w:wordWrap w:val="0"/>
        <w:overflowPunct/>
        <w:topLinePunct w:val="0"/>
        <w:autoSpaceDE/>
        <w:autoSpaceDN/>
        <w:bidi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（1）施工进度计划应符合施工合同中工期的约定。</w:t>
      </w:r>
    </w:p>
    <w:p w14:paraId="3C16FD9E">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（2）施工进度计划中主要工程项目无遗漏，应满足分批投入试运、分批动用的需要，阶段性施工进度计划应满足总进度控制目标的要求。</w:t>
      </w:r>
    </w:p>
    <w:p w14:paraId="69ABBF2C">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（3）施工顺序的安排应符合施工工艺要求。</w:t>
      </w:r>
    </w:p>
    <w:p w14:paraId="6F54A121">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（4）施工人员、工程材料、施工机械等资源供应计划应满足施工进度计划的需要。</w:t>
      </w:r>
    </w:p>
    <w:p w14:paraId="3A330B6A">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（5）施工进度计划应符合建设单位提供的资金、施工图纸、施工场地、物资等施工条件。</w:t>
      </w:r>
    </w:p>
    <w:p w14:paraId="3742CEB8">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施工进度计划报审表应按相应规范的要求填写。</w:t>
      </w:r>
    </w:p>
    <w:p w14:paraId="4D0FA17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8.2.3.2 </w:t>
      </w:r>
      <w:r>
        <w:rPr>
          <w:rFonts w:hint="eastAsia" w:ascii="宋体" w:hAnsi="宋体" w:eastAsia="宋体" w:cs="宋体"/>
          <w:snapToGrid w:val="0"/>
          <w:color w:val="auto"/>
          <w:kern w:val="0"/>
          <w:sz w:val="24"/>
          <w:szCs w:val="24"/>
          <w:highlight w:val="none"/>
        </w:rPr>
        <w:t>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4292597C">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8.2.3.3 </w:t>
      </w:r>
      <w:r>
        <w:rPr>
          <w:rFonts w:hint="eastAsia" w:ascii="宋体" w:hAnsi="宋体" w:eastAsia="宋体" w:cs="宋体"/>
          <w:snapToGrid w:val="0"/>
          <w:color w:val="auto"/>
          <w:kern w:val="0"/>
          <w:sz w:val="24"/>
          <w:szCs w:val="24"/>
          <w:highlight w:val="none"/>
        </w:rPr>
        <w:t>项目监理机构应比较分析工程施工实际进度与计划进度，预测实际进度对工程总工期的影响，并应在监理月报中向建设单位报告工程实际进展情况。</w:t>
      </w:r>
    </w:p>
    <w:p w14:paraId="0E39CFBC">
      <w:pPr>
        <w:shd w:val="clear" w:color="auto" w:fill="auto"/>
        <w:wordWrap w:val="0"/>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 工程安全生产管理：</w:t>
      </w:r>
    </w:p>
    <w:p w14:paraId="71D9A1B3">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8.2.4.1 </w:t>
      </w:r>
      <w:r>
        <w:rPr>
          <w:rFonts w:hint="eastAsia" w:ascii="宋体" w:hAnsi="宋体" w:eastAsia="宋体" w:cs="宋体"/>
          <w:snapToGrid w:val="0"/>
          <w:color w:val="auto"/>
          <w:kern w:val="0"/>
          <w:sz w:val="24"/>
          <w:szCs w:val="24"/>
          <w:highlight w:val="none"/>
        </w:rPr>
        <w:t>项目监理机构应根据法律法规、工程建设强制性标准，履行建设工程安全生产管理的监理职责，并应将安全生产管理的监理工作内容、方法和措施纳入监理规划及监理实施细则。</w:t>
      </w:r>
    </w:p>
    <w:p w14:paraId="18E65335">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8.2.4.2</w:t>
      </w:r>
      <w:r>
        <w:rPr>
          <w:rFonts w:hint="eastAsia" w:ascii="宋体" w:hAnsi="宋体" w:eastAsia="宋体" w:cs="宋体"/>
          <w:snapToGrid w:val="0"/>
          <w:color w:val="auto"/>
          <w:kern w:val="0"/>
          <w:sz w:val="24"/>
          <w:szCs w:val="24"/>
          <w:highlight w:val="none"/>
        </w:rPr>
        <w:t xml:space="preserve">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6D7D7FED">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8.2.4.3</w:t>
      </w:r>
      <w:r>
        <w:rPr>
          <w:rFonts w:hint="eastAsia" w:ascii="宋体" w:hAnsi="宋体" w:eastAsia="宋体" w:cs="宋体"/>
          <w:snapToGrid w:val="0"/>
          <w:color w:val="auto"/>
          <w:kern w:val="0"/>
          <w:sz w:val="24"/>
          <w:szCs w:val="24"/>
          <w:highlight w:val="none"/>
        </w:rPr>
        <w:t xml:space="preserve">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1BF0B5FF">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专项施工方案审查应包括下列基本内容：</w:t>
      </w:r>
    </w:p>
    <w:p w14:paraId="35554E60">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（1）编审程序应符合相关规定。</w:t>
      </w:r>
    </w:p>
    <w:p w14:paraId="798D08D3">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（2）安全技术措施应符合工程建设强制性标准。</w:t>
      </w:r>
    </w:p>
    <w:p w14:paraId="694192FC">
      <w:pPr>
        <w:shd w:val="clear" w:color="auto" w:fill="auto"/>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专项施工方案报审表应按相应规范的要求填写。</w:t>
      </w:r>
    </w:p>
    <w:p w14:paraId="147AA208">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8.2.4.4</w:t>
      </w:r>
      <w:r>
        <w:rPr>
          <w:rFonts w:hint="eastAsia" w:ascii="宋体" w:hAnsi="宋体" w:eastAsia="宋体" w:cs="宋体"/>
          <w:snapToGrid w:val="0"/>
          <w:color w:val="auto"/>
          <w:kern w:val="0"/>
          <w:sz w:val="24"/>
          <w:szCs w:val="24"/>
          <w:highlight w:val="none"/>
        </w:rPr>
        <w:t xml:space="preserve"> 项目监理机构应巡视检查危险性较大的分部分项工程专项施工方案实施情况。发现未按专项施工方案实施时，应签发监理通知单，要求施工单位按专项施工方案实施。</w:t>
      </w:r>
    </w:p>
    <w:p w14:paraId="6E7FA877">
      <w:pPr>
        <w:shd w:val="clear" w:color="auto" w:fill="auto"/>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8.2.4.5</w:t>
      </w:r>
      <w:r>
        <w:rPr>
          <w:rFonts w:hint="eastAsia" w:ascii="宋体" w:hAnsi="宋体" w:eastAsia="宋体" w:cs="宋体"/>
          <w:snapToGrid w:val="0"/>
          <w:color w:val="auto"/>
          <w:kern w:val="0"/>
          <w:sz w:val="24"/>
          <w:szCs w:val="24"/>
          <w:highlight w:val="none"/>
        </w:rPr>
        <w:t xml:space="preserve">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监理报告应按相应规范的要求填写。</w:t>
      </w:r>
    </w:p>
    <w:p w14:paraId="409821F1">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rPr>
        <w:t>8.2.4.</w:t>
      </w:r>
      <w:r>
        <w:rPr>
          <w:rFonts w:hint="eastAsia" w:ascii="宋体" w:hAnsi="宋体" w:eastAsia="宋体" w:cs="宋体"/>
          <w:b/>
          <w:bCs/>
          <w:snapToGrid w:val="0"/>
          <w:color w:val="auto"/>
          <w:kern w:val="0"/>
          <w:sz w:val="24"/>
          <w:szCs w:val="24"/>
          <w:highlight w:val="none"/>
          <w:lang w:val="en-US" w:eastAsia="zh-CN"/>
        </w:rPr>
        <w:t xml:space="preserve">6 </w:t>
      </w:r>
      <w:r>
        <w:rPr>
          <w:rFonts w:hint="eastAsia" w:ascii="宋体" w:hAnsi="宋体" w:eastAsia="宋体" w:cs="宋体"/>
          <w:b w:val="0"/>
          <w:bCs w:val="0"/>
          <w:snapToGrid w:val="0"/>
          <w:color w:val="auto"/>
          <w:kern w:val="0"/>
          <w:sz w:val="24"/>
          <w:szCs w:val="24"/>
          <w:highlight w:val="none"/>
          <w:lang w:val="en-US" w:eastAsia="zh-CN" w:bidi="ar-SA"/>
        </w:rPr>
        <w:t>监理人应按安全文明施工相关规定进行监管。</w:t>
      </w:r>
    </w:p>
    <w:p w14:paraId="5841ADD4">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8.3缺陷责任保修期服务工作</w:t>
      </w:r>
    </w:p>
    <w:p w14:paraId="7800F68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在保修期内，监理人应每三个月对工程进行一次巡视、检查，向委托人提交书面报告。检查和记录工程质量缺陷，对缺陷原因进行调查分析并确定责任归属，发现有质量缺陷的，监理人应及时按工程质量缺陷保修书的条款鉴定责任，会同委托人组织施工单位及时维修，负责审核修复方案，监督修复过程并验收，审核修复费用。</w:t>
      </w:r>
    </w:p>
    <w:p w14:paraId="3229A519">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8.4</w:t>
      </w:r>
      <w:r>
        <w:rPr>
          <w:rFonts w:hint="eastAsia" w:ascii="宋体" w:hAnsi="宋体" w:eastAsia="宋体" w:cs="宋体"/>
          <w:b/>
          <w:bCs/>
          <w:snapToGrid w:val="0"/>
          <w:color w:val="auto"/>
          <w:kern w:val="0"/>
          <w:sz w:val="24"/>
          <w:szCs w:val="24"/>
          <w:highlight w:val="none"/>
        </w:rPr>
        <w:t>监理人的责任</w:t>
      </w:r>
    </w:p>
    <w:p w14:paraId="2B4BF61B">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8.4.1</w:t>
      </w:r>
      <w:r>
        <w:rPr>
          <w:rFonts w:hint="eastAsia" w:ascii="宋体" w:hAnsi="宋体" w:eastAsia="宋体" w:cs="宋体"/>
          <w:snapToGrid w:val="0"/>
          <w:color w:val="auto"/>
          <w:kern w:val="0"/>
          <w:sz w:val="24"/>
          <w:szCs w:val="24"/>
          <w:highlight w:val="none"/>
        </w:rPr>
        <w:t>监理人对承包人违反合同约定的质量、安全要求和建筑节能要求，以及竣工（交图、交货）时限，监理人应当采取措施予以制止，不能有效制止的，应当及时通知委托人，并报告建设行政主管部门或有关行政主管部门；因承包人违反国家法律、法规、强制性标准规范和建设程序、建筑节能规定的行为，监理人应当采取措施予以制止，不能有效制止的，应当及时报告建设行政主管部门或有关行政主管部门。因不可抗力导致委托监理合同不能全部或部分履行，监理人不承担责任。</w:t>
      </w:r>
    </w:p>
    <w:p w14:paraId="47E7BB17">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8.4.2</w:t>
      </w:r>
      <w:r>
        <w:rPr>
          <w:rFonts w:hint="eastAsia" w:ascii="宋体" w:hAnsi="宋体" w:eastAsia="宋体" w:cs="宋体"/>
          <w:snapToGrid w:val="0"/>
          <w:color w:val="auto"/>
          <w:kern w:val="0"/>
          <w:sz w:val="24"/>
          <w:szCs w:val="24"/>
          <w:highlight w:val="none"/>
        </w:rPr>
        <w:t>监理人应当按照法律、法规，工程建设强制性标准及监理委托合同实施监理，对所监理工程的施工质量、安全生产、造价控制、建筑节能进行监督检查，并对施工质量、安全生产、造价控制及建筑节能承担监理责任。</w:t>
      </w:r>
    </w:p>
    <w:p w14:paraId="60C2113B">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（一）施工阶段质量监理服务责任</w:t>
      </w:r>
    </w:p>
    <w:p w14:paraId="41A86EE0">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（1）监理人应当依照法律、法规以及有关技术标准、经审查批准的设计文件、建设工程承包合同和监理合同，代表委托人对施工质量实施监理，并对施工质量承担监理责任。</w:t>
      </w:r>
    </w:p>
    <w:p w14:paraId="53503D4A">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（2）监理人应当组织桩基础、地基基础、主体结构、重要结构部位等分项、分部工程和隐蔽工程的验收，并通知建设、勘察、设计单位和质监机构参加。</w:t>
      </w:r>
    </w:p>
    <w:p w14:paraId="155D0A4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监理人对工程使用的建筑材料、建筑构配件和设备的质量有异议的，有权进行抽查。对建设、施工单位违反规定使用建筑材料、建筑构配件和设备的，应当采取措施予以制止；不能有效制止的，应当及时报告建设行政主管部门或有关行政主管部门。</w:t>
      </w:r>
    </w:p>
    <w:p w14:paraId="363E61F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（二）施工阶段安全生产监理服务责任</w:t>
      </w:r>
    </w:p>
    <w:p w14:paraId="690AB421">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（1）监理人应对施工组织设计中的安全技术措施或专项施工方案进行审查，未进行审查的，监理人应承担《建设工程安全生产管理条例》第五十七条规定的法律责任。</w:t>
      </w:r>
    </w:p>
    <w:p w14:paraId="0F956417">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施工组织设计中的安全技术措施或专项施工方案未经监理人审查签字认可，承包人擅自施工的，监理人应及时下达工程暂停令，并将情况及时书面报告委托人。监理人未及时制止并报告的，监理人应承担《建设工程安全生产管理条例》第五十七条规定的法律责任。</w:t>
      </w:r>
    </w:p>
    <w:p w14:paraId="2F37C54A">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监理人在监理巡视检查过程中，发现存在安全隐患的，应按照有关规定及时下达书面指令要求承包人进行整改或停止施工。监理人没有及时下达书面指令要求承包人进行整改或停止施工的，应承担《建设工程安全生产管理条例》第五十七条规定的法律责任。</w:t>
      </w:r>
    </w:p>
    <w:p w14:paraId="30D7B04B">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承包人拒绝按照监理人的要求进行整改或者停止施工的，监理人应及时将情况向建设行政主管部门或有关行政主管部门报告。监理人没有及时将情况报告的，应承担《建设工程安全生产管理条例》第五十七条规定的法律责任。</w:t>
      </w:r>
    </w:p>
    <w:p w14:paraId="711FA456">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（5）监理人未依照法律、法规和工程建设强制性标准实施监理的，应当承担《建设工程安全生产管理条例》第五十七条规定的法律责任。</w:t>
      </w:r>
    </w:p>
    <w:p w14:paraId="7F63C63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（6）监理人履行了上述规定的职责，承包人未执行监理指令继续施工而发生安全事故的，监理人不承担由此造成的责任，应依法追究监理企业以外的其他相关单位和人员的法律责任。</w:t>
      </w:r>
    </w:p>
    <w:p w14:paraId="3A5116A4">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（三）建筑节能监理服务责任</w:t>
      </w:r>
    </w:p>
    <w:p w14:paraId="5020B63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（1）严格按照审查合格的设计文件和建筑节能强制性标准和技术规范的要求实施监理，针对工程的特点编制包含节能专篇的监理规划及节能工程监理实施细则。</w:t>
      </w:r>
    </w:p>
    <w:p w14:paraId="62BC299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总监理工程师应当对建筑节能专项施工技术方案审查并签字认可。专业监理工程师应当对工程使用的墙体材料、保温材料、门窗部品、采暖空调系统、照明设备，以及涉及建筑节能功能的重要部位施工质量检查验收并签字认可。</w:t>
      </w:r>
    </w:p>
    <w:p w14:paraId="51FFBFAF">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（3）监理人采取巡视和旁站、平行检验等形式对节能工程实施监理。</w:t>
      </w:r>
    </w:p>
    <w:p w14:paraId="440578F9">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（4）监理人应当在《工程质量评估报告》中明确建筑节能标准的实施情况。</w:t>
      </w:r>
    </w:p>
    <w:p w14:paraId="0D533BA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（5）监理人发现承包人不按节能设计及相关强制性标准施工的，应当及时督促承包人改正；承包人拒不改正的，监理人应当及时报告委托人，由委托人督促承包人整改。</w:t>
      </w:r>
    </w:p>
    <w:p w14:paraId="70B0479A">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（6）对采用列入禁止目录的技术、工艺、设备、材料和产品的行为，监理机构应当采取措施予以制止；制止无效的，应当及时向委托人和政府建设行政主管部门报告或有关行政主管部门。</w:t>
      </w:r>
    </w:p>
    <w:p w14:paraId="4A2C2128">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（四）法律法规、规章、监理规范等规定的其他责任。</w:t>
      </w:r>
    </w:p>
    <w:p w14:paraId="5FE474FF">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8.5</w:t>
      </w:r>
      <w:r>
        <w:rPr>
          <w:rFonts w:hint="eastAsia" w:ascii="宋体" w:hAnsi="宋体" w:eastAsia="宋体" w:cs="宋体"/>
          <w:b/>
          <w:bCs/>
          <w:snapToGrid w:val="0"/>
          <w:color w:val="auto"/>
          <w:kern w:val="0"/>
          <w:sz w:val="24"/>
          <w:szCs w:val="24"/>
          <w:highlight w:val="none"/>
        </w:rPr>
        <w:t>现场管理</w:t>
      </w:r>
    </w:p>
    <w:p w14:paraId="33C103A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8.5.</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监理人在监理期间应严格遵守国家、广东省、韶关市有关绿色施工、文明施工、噪音扬尘、消防爆破、环境卫生、渣土清运、治安保卫等方面的规定，并建立相应规章制度和保障措施。否则由此造成的经济损失和法律责任，均由监理人承担。</w:t>
      </w:r>
    </w:p>
    <w:p w14:paraId="453BA1E5">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8.5</w:t>
      </w:r>
      <w:r>
        <w:rPr>
          <w:rFonts w:hint="eastAsia" w:ascii="宋体" w:hAnsi="宋体" w:eastAsia="宋体" w:cs="宋体"/>
          <w:b/>
          <w:bCs/>
          <w:snapToGrid w:val="0"/>
          <w:color w:val="auto"/>
          <w:kern w:val="0"/>
          <w:sz w:val="24"/>
          <w:szCs w:val="24"/>
          <w:highlight w:val="none"/>
        </w:rPr>
        <w:t xml:space="preserve">.2 </w:t>
      </w:r>
      <w:r>
        <w:rPr>
          <w:rFonts w:hint="eastAsia" w:ascii="宋体" w:hAnsi="宋体" w:eastAsia="宋体" w:cs="宋体"/>
          <w:snapToGrid w:val="0"/>
          <w:color w:val="auto"/>
          <w:kern w:val="0"/>
          <w:sz w:val="24"/>
          <w:szCs w:val="24"/>
          <w:highlight w:val="none"/>
        </w:rPr>
        <w:t>监理人投标文件中所拟派的总监理工程师、专业监理工程师、其他监理人员全部在施工现场进行监理。</w:t>
      </w:r>
    </w:p>
    <w:p w14:paraId="53FCFC1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8.5.</w:t>
      </w:r>
      <w:r>
        <w:rPr>
          <w:rFonts w:hint="eastAsia" w:ascii="宋体" w:hAnsi="宋体" w:eastAsia="宋体" w:cs="宋体"/>
          <w:b/>
          <w:bCs/>
          <w:snapToGrid w:val="0"/>
          <w:color w:val="auto"/>
          <w:kern w:val="0"/>
          <w:sz w:val="24"/>
          <w:szCs w:val="24"/>
          <w:highlight w:val="none"/>
        </w:rPr>
        <w:t xml:space="preserve">3 </w:t>
      </w:r>
      <w:r>
        <w:rPr>
          <w:rFonts w:hint="eastAsia" w:ascii="宋体" w:hAnsi="宋体" w:eastAsia="宋体" w:cs="宋体"/>
          <w:snapToGrid w:val="0"/>
          <w:color w:val="auto"/>
          <w:kern w:val="0"/>
          <w:sz w:val="24"/>
          <w:szCs w:val="24"/>
          <w:highlight w:val="none"/>
        </w:rPr>
        <w:t>监理人在施工过程中若发生</w:t>
      </w:r>
      <w:r>
        <w:rPr>
          <w:rFonts w:hint="eastAsia" w:ascii="宋体" w:hAnsi="宋体" w:eastAsia="宋体" w:cs="宋体"/>
          <w:snapToGrid w:val="0"/>
          <w:color w:val="auto"/>
          <w:kern w:val="0"/>
          <w:sz w:val="24"/>
          <w:szCs w:val="24"/>
          <w:highlight w:val="none"/>
          <w:lang w:eastAsia="zh-CN"/>
        </w:rPr>
        <w:t>设计变更、</w:t>
      </w:r>
      <w:r>
        <w:rPr>
          <w:rFonts w:hint="eastAsia" w:ascii="宋体" w:hAnsi="宋体" w:eastAsia="宋体" w:cs="宋体"/>
          <w:snapToGrid w:val="0"/>
          <w:color w:val="auto"/>
          <w:kern w:val="0"/>
          <w:sz w:val="24"/>
          <w:szCs w:val="24"/>
          <w:highlight w:val="none"/>
        </w:rPr>
        <w:t>签证时，必须</w:t>
      </w:r>
      <w:r>
        <w:rPr>
          <w:rFonts w:hint="eastAsia" w:ascii="宋体" w:hAnsi="宋体" w:eastAsia="宋体" w:cs="宋体"/>
          <w:snapToGrid w:val="0"/>
          <w:color w:val="auto"/>
          <w:kern w:val="0"/>
          <w:sz w:val="24"/>
          <w:szCs w:val="24"/>
          <w:highlight w:val="none"/>
          <w:lang w:eastAsia="zh-CN"/>
        </w:rPr>
        <w:t>根据委托人的设计变更、签证有关管理办法执行</w:t>
      </w:r>
      <w:r>
        <w:rPr>
          <w:rFonts w:hint="eastAsia" w:ascii="宋体" w:hAnsi="宋体" w:eastAsia="宋体" w:cs="宋体"/>
          <w:snapToGrid w:val="0"/>
          <w:color w:val="auto"/>
          <w:kern w:val="0"/>
          <w:sz w:val="24"/>
          <w:szCs w:val="24"/>
          <w:highlight w:val="none"/>
        </w:rPr>
        <w:t>。</w:t>
      </w:r>
    </w:p>
    <w:p w14:paraId="66EFF548">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其他</w:t>
      </w:r>
    </w:p>
    <w:p w14:paraId="47A71AC2">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项目监理机构和人员</w:t>
      </w:r>
    </w:p>
    <w:p w14:paraId="76E9FA8C">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监理人须在本工程派驻满足工作需要的项目监理机构，拟派驻监理机构组成人员数量须符合广东省建设厅转发建设部关于印发《房屋建筑工程施工旁站监理管理办法（试行）》的通知（粤建管字[2002]97号）</w:t>
      </w:r>
      <w:r>
        <w:rPr>
          <w:rFonts w:hint="eastAsia" w:ascii="宋体" w:hAnsi="宋体" w:eastAsia="宋体" w:cs="宋体"/>
          <w:b w:val="0"/>
          <w:bCs w:val="0"/>
          <w:snapToGrid w:val="0"/>
          <w:color w:val="auto"/>
          <w:kern w:val="0"/>
          <w:sz w:val="24"/>
          <w:szCs w:val="24"/>
          <w:highlight w:val="none"/>
          <w:lang w:val="en-US" w:eastAsia="zh-CN" w:bidi="ar-SA"/>
        </w:rPr>
        <w:t>及相关最新</w:t>
      </w:r>
      <w:r>
        <w:rPr>
          <w:rFonts w:hint="eastAsia" w:ascii="宋体" w:hAnsi="宋体" w:eastAsia="宋体" w:cs="宋体"/>
          <w:snapToGrid w:val="0"/>
          <w:color w:val="auto"/>
          <w:kern w:val="0"/>
          <w:sz w:val="24"/>
          <w:szCs w:val="24"/>
          <w:highlight w:val="none"/>
        </w:rPr>
        <w:t>关于工程项目监理人数配置要求，现场总监理工程师及重要岗位监理人员必须保持相对稳定，以保证监理工作正常进行。</w:t>
      </w:r>
    </w:p>
    <w:p w14:paraId="6D8C7E6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现场监理人员必须常驻现场，并进行全程监督管理，所派驻现场监理人员应提交在监理人单位购买社保不低于两年的有关缴费凭证。未经委托人同意不得任意更换驻场总监理工程师及监理人员，否则按违约处理，造成损失的，监理人还应当依法予以赔偿并承担相关的法律责任。</w:t>
      </w:r>
    </w:p>
    <w:p w14:paraId="2612B243">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需在施工现场设置总监办公室组织机构场地，监理人设置的机构场地、设备等需满足整个监理实施过程中的正常运作。本工程监理人现场办公场所、试验室、生活住所、办公设备及生活家具等由监理人自行解决，委托人不另外提供。</w:t>
      </w:r>
    </w:p>
    <w:p w14:paraId="79D90D9E">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监理人应提交报告的种类(包括监理规划、监理月报及约定的专项报告)、时间和份数：</w:t>
      </w:r>
      <w:r>
        <w:rPr>
          <w:rFonts w:hint="eastAsia" w:ascii="宋体" w:hAnsi="宋体" w:eastAsia="宋体" w:cs="宋体"/>
          <w:snapToGrid w:val="0"/>
          <w:color w:val="auto"/>
          <w:kern w:val="0"/>
          <w:sz w:val="24"/>
          <w:szCs w:val="24"/>
          <w:highlight w:val="none"/>
          <w:u w:val="single"/>
        </w:rPr>
        <w:t>监理规划</w:t>
      </w:r>
      <w:r>
        <w:rPr>
          <w:rFonts w:hint="eastAsia" w:ascii="宋体" w:hAnsi="宋体" w:eastAsia="宋体" w:cs="宋体"/>
          <w:snapToGrid w:val="0"/>
          <w:color w:val="auto"/>
          <w:kern w:val="0"/>
          <w:sz w:val="24"/>
          <w:szCs w:val="24"/>
          <w:highlight w:val="none"/>
          <w:u w:val="single"/>
          <w:lang w:eastAsia="zh-CN"/>
        </w:rPr>
        <w:t>一式</w:t>
      </w:r>
      <w:r>
        <w:rPr>
          <w:rFonts w:hint="eastAsia" w:ascii="宋体" w:hAnsi="宋体" w:eastAsia="宋体" w:cs="宋体"/>
          <w:snapToGrid w:val="0"/>
          <w:color w:val="auto"/>
          <w:kern w:val="0"/>
          <w:sz w:val="24"/>
          <w:szCs w:val="24"/>
          <w:highlight w:val="none"/>
          <w:u w:val="single"/>
        </w:rPr>
        <w:t>6份、监理月报每月</w:t>
      </w:r>
      <w:r>
        <w:rPr>
          <w:rFonts w:hint="eastAsia" w:ascii="宋体" w:hAnsi="宋体" w:eastAsia="宋体" w:cs="宋体"/>
          <w:snapToGrid w:val="0"/>
          <w:color w:val="auto"/>
          <w:kern w:val="0"/>
          <w:sz w:val="24"/>
          <w:szCs w:val="24"/>
          <w:highlight w:val="none"/>
          <w:u w:val="single"/>
          <w:lang w:eastAsia="zh-CN"/>
        </w:rPr>
        <w:t>一式</w:t>
      </w:r>
      <w:r>
        <w:rPr>
          <w:rFonts w:hint="eastAsia" w:ascii="宋体" w:hAnsi="宋体" w:eastAsia="宋体" w:cs="宋体"/>
          <w:snapToGrid w:val="0"/>
          <w:color w:val="auto"/>
          <w:kern w:val="0"/>
          <w:sz w:val="24"/>
          <w:szCs w:val="24"/>
          <w:highlight w:val="none"/>
          <w:u w:val="single"/>
        </w:rPr>
        <w:t>4份、监理</w:t>
      </w:r>
      <w:r>
        <w:rPr>
          <w:rFonts w:hint="eastAsia" w:ascii="宋体" w:hAnsi="宋体" w:eastAsia="宋体" w:cs="宋体"/>
          <w:snapToGrid w:val="0"/>
          <w:color w:val="auto"/>
          <w:kern w:val="0"/>
          <w:sz w:val="24"/>
          <w:szCs w:val="24"/>
          <w:highlight w:val="none"/>
          <w:u w:val="single"/>
          <w:lang w:eastAsia="zh-CN"/>
        </w:rPr>
        <w:t>周报</w:t>
      </w:r>
      <w:r>
        <w:rPr>
          <w:rFonts w:hint="eastAsia" w:ascii="宋体" w:hAnsi="宋体" w:eastAsia="宋体" w:cs="宋体"/>
          <w:snapToGrid w:val="0"/>
          <w:color w:val="auto"/>
          <w:kern w:val="0"/>
          <w:sz w:val="24"/>
          <w:szCs w:val="24"/>
          <w:highlight w:val="none"/>
          <w:u w:val="single"/>
        </w:rPr>
        <w:t>每周</w:t>
      </w:r>
      <w:r>
        <w:rPr>
          <w:rFonts w:hint="eastAsia" w:ascii="宋体" w:hAnsi="宋体" w:eastAsia="宋体" w:cs="宋体"/>
          <w:snapToGrid w:val="0"/>
          <w:color w:val="auto"/>
          <w:kern w:val="0"/>
          <w:sz w:val="24"/>
          <w:szCs w:val="24"/>
          <w:highlight w:val="none"/>
          <w:u w:val="single"/>
          <w:lang w:eastAsia="zh-CN"/>
        </w:rPr>
        <w:t>一式</w:t>
      </w:r>
      <w:r>
        <w:rPr>
          <w:rFonts w:hint="eastAsia" w:ascii="宋体" w:hAnsi="宋体" w:eastAsia="宋体" w:cs="宋体"/>
          <w:snapToGrid w:val="0"/>
          <w:color w:val="auto"/>
          <w:kern w:val="0"/>
          <w:sz w:val="24"/>
          <w:szCs w:val="24"/>
          <w:highlight w:val="none"/>
          <w:u w:val="single"/>
        </w:rPr>
        <w:t>2份、专项报告</w:t>
      </w:r>
      <w:r>
        <w:rPr>
          <w:rFonts w:hint="eastAsia" w:ascii="宋体" w:hAnsi="宋体" w:eastAsia="宋体" w:cs="宋体"/>
          <w:snapToGrid w:val="0"/>
          <w:color w:val="auto"/>
          <w:kern w:val="0"/>
          <w:sz w:val="24"/>
          <w:szCs w:val="24"/>
          <w:highlight w:val="none"/>
          <w:u w:val="single"/>
          <w:lang w:eastAsia="zh-CN"/>
        </w:rPr>
        <w:t>一式</w:t>
      </w:r>
      <w:r>
        <w:rPr>
          <w:rFonts w:hint="eastAsia" w:ascii="宋体" w:hAnsi="宋体" w:eastAsia="宋体" w:cs="宋体"/>
          <w:snapToGrid w:val="0"/>
          <w:color w:val="auto"/>
          <w:kern w:val="0"/>
          <w:sz w:val="24"/>
          <w:szCs w:val="24"/>
          <w:highlight w:val="none"/>
          <w:u w:val="single"/>
        </w:rPr>
        <w:t>10份以及本项目报监报建</w:t>
      </w:r>
      <w:r>
        <w:rPr>
          <w:rFonts w:hint="eastAsia" w:ascii="宋体" w:hAnsi="宋体" w:eastAsia="宋体" w:cs="宋体"/>
          <w:snapToGrid w:val="0"/>
          <w:color w:val="auto"/>
          <w:kern w:val="0"/>
          <w:sz w:val="24"/>
          <w:szCs w:val="24"/>
          <w:highlight w:val="none"/>
          <w:u w:val="single"/>
          <w:lang w:eastAsia="zh-CN"/>
        </w:rPr>
        <w:t>所</w:t>
      </w:r>
      <w:r>
        <w:rPr>
          <w:rFonts w:hint="eastAsia" w:ascii="宋体" w:hAnsi="宋体" w:eastAsia="宋体" w:cs="宋体"/>
          <w:snapToGrid w:val="0"/>
          <w:color w:val="auto"/>
          <w:kern w:val="0"/>
          <w:sz w:val="24"/>
          <w:szCs w:val="24"/>
          <w:highlight w:val="none"/>
          <w:u w:val="single"/>
        </w:rPr>
        <w:t>需的相关资料、本合同约定的资料等。</w:t>
      </w:r>
    </w:p>
    <w:p w14:paraId="4ADB63A8">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委托人发现监理人出具任何虚假证明材料的，委托人将扣除违约金3万元/次，并上报建设行政主管部门作不良行为记录，同时，委托人有权拒绝监理人2年内参加委托人任何项目的投标。情节严重的，委托人有权单方面解除监理合同。</w:t>
      </w:r>
    </w:p>
    <w:p w14:paraId="68DDE48A">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监理人应自行解决吃饭问题。</w:t>
      </w:r>
    </w:p>
    <w:p w14:paraId="32A1CF6C">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.5</w:t>
      </w:r>
      <w:r>
        <w:rPr>
          <w:rFonts w:hint="eastAsia" w:ascii="宋体" w:hAnsi="宋体" w:eastAsia="宋体" w:cs="宋体"/>
          <w:snapToGrid w:val="0"/>
          <w:color w:val="auto"/>
          <w:kern w:val="0"/>
          <w:sz w:val="24"/>
          <w:szCs w:val="24"/>
          <w:highlight w:val="none"/>
        </w:rPr>
        <w:t>现场涉及到工程相关问题需要组织相关专家、人员以会议形式协商确定的，原则上监理负责组织实施，并根据会议结论提出不同的解决方案，报委托人参考，会议的专家费、会务费已包含在合同价中。</w:t>
      </w:r>
    </w:p>
    <w:p w14:paraId="4FFD6102">
      <w:pPr>
        <w:pStyle w:val="7"/>
        <w:keepNext w:val="0"/>
        <w:keepLines w:val="0"/>
        <w:pageBreakBefore w:val="0"/>
        <w:widowControl w:val="0"/>
        <w:shd w:val="clear" w:color="auto" w:fill="auto"/>
        <w:kinsoku/>
        <w:wordWrap/>
        <w:overflowPunct/>
        <w:topLinePunct w:val="0"/>
        <w:autoSpaceDE/>
        <w:autoSpaceDN/>
        <w:bidi w:val="0"/>
        <w:adjustRightInd w:val="0"/>
        <w:snapToGrid/>
        <w:spacing w:line="440" w:lineRule="atLeas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.6</w:t>
      </w:r>
      <w:r>
        <w:rPr>
          <w:rFonts w:hint="eastAsia" w:ascii="宋体" w:hAnsi="宋体" w:eastAsia="宋体" w:cs="宋体"/>
          <w:snapToGrid w:val="0"/>
          <w:color w:val="auto"/>
          <w:kern w:val="0"/>
          <w:sz w:val="24"/>
          <w:szCs w:val="24"/>
          <w:highlight w:val="none"/>
        </w:rPr>
        <w:t>监理服务期限必须根据施工工期进行调整，监理服务费不因监理服务期限的调整而调整。</w:t>
      </w:r>
    </w:p>
    <w:p w14:paraId="742C6AD4">
      <w:pPr>
        <w:pStyle w:val="7"/>
        <w:keepNext w:val="0"/>
        <w:keepLines w:val="0"/>
        <w:pageBreakBefore w:val="0"/>
        <w:widowControl w:val="0"/>
        <w:shd w:val="clear" w:color="auto" w:fill="auto"/>
        <w:kinsoku/>
        <w:wordWrap/>
        <w:overflowPunct/>
        <w:topLinePunct w:val="0"/>
        <w:autoSpaceDE/>
        <w:autoSpaceDN/>
        <w:bidi w:val="0"/>
        <w:adjustRightInd w:val="0"/>
        <w:snapToGrid w:val="0"/>
        <w:spacing w:line="440" w:lineRule="exact"/>
        <w:ind w:firstLine="482"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.7</w:t>
      </w:r>
      <w:r>
        <w:rPr>
          <w:rFonts w:hint="eastAsia" w:ascii="宋体" w:hAnsi="宋体" w:eastAsia="宋体" w:cs="宋体"/>
          <w:snapToGrid w:val="0"/>
          <w:color w:val="auto"/>
          <w:kern w:val="0"/>
          <w:sz w:val="24"/>
          <w:szCs w:val="24"/>
          <w:highlight w:val="none"/>
        </w:rPr>
        <w:t>若项目未开工，因政府相关部门投资决策或规划更改等原因项目终止，则终止本监理合同，委托人和监理人双方不承担相关责任。</w:t>
      </w:r>
    </w:p>
    <w:p w14:paraId="0AAB70CA">
      <w:pPr>
        <w:shd w:val="clear" w:color="auto" w:fill="auto"/>
        <w:wordWrap w:val="0"/>
        <w:adjustRightInd w:val="0"/>
        <w:snapToGrid w:val="0"/>
        <w:spacing w:line="440" w:lineRule="exact"/>
        <w:ind w:firstLine="482" w:firstLineChars="200"/>
        <w:rPr>
          <w:rFonts w:hint="eastAsia" w:ascii="Times New Roman" w:hAnsi="Times New Roman" w:eastAsia="宋体" w:cs="Times New Roman"/>
          <w:b/>
          <w:bCs/>
          <w:snapToGrid w:val="0"/>
          <w:color w:val="auto"/>
          <w:kern w:val="0"/>
          <w:highlight w:val="none"/>
        </w:rPr>
      </w:pPr>
      <w:r>
        <w:rPr>
          <w:rFonts w:hint="eastAsia" w:ascii="宋体" w:hAnsi="宋体" w:eastAsia="宋体" w:cs="宋体"/>
          <w:b/>
          <w:bCs/>
          <w:snapToGrid w:val="0"/>
          <w:color w:val="auto"/>
          <w:kern w:val="0"/>
          <w:sz w:val="24"/>
          <w:szCs w:val="24"/>
          <w:highlight w:val="none"/>
          <w:lang w:val="en-US" w:eastAsia="zh-CN"/>
        </w:rPr>
        <w:t>8.6</w:t>
      </w:r>
      <w:r>
        <w:rPr>
          <w:rFonts w:hint="eastAsia" w:ascii="宋体" w:hAnsi="宋体" w:eastAsia="宋体" w:cs="宋体"/>
          <w:b/>
          <w:bCs/>
          <w:snapToGrid w:val="0"/>
          <w:color w:val="auto"/>
          <w:kern w:val="0"/>
          <w:sz w:val="24"/>
          <w:szCs w:val="24"/>
          <w:highlight w:val="none"/>
        </w:rPr>
        <w:t>.8</w:t>
      </w:r>
      <w:r>
        <w:rPr>
          <w:rFonts w:hint="eastAsia" w:ascii="宋体" w:hAnsi="宋体" w:eastAsia="宋体" w:cs="宋体"/>
          <w:snapToGrid w:val="0"/>
          <w:color w:val="auto"/>
          <w:kern w:val="0"/>
          <w:sz w:val="24"/>
          <w:szCs w:val="24"/>
          <w:highlight w:val="none"/>
        </w:rPr>
        <w:t>若项目已开工，监理人已投入人力物力的前提下，因政府相关部门投资决策或规划更改等原因项目终止，应委托人要求，监理人全部或部分暂停执行监理业务或终止监理合同，委托人按照本合同相关条款支付已完成服务内容的监理费，监理人不再以任何理由提出任何其他索赔。</w:t>
      </w:r>
    </w:p>
    <w:bookmarkEnd w:id="351"/>
    <w:bookmarkEnd w:id="352"/>
    <w:p w14:paraId="55C0B91D">
      <w:pPr>
        <w:pStyle w:val="2"/>
        <w:numPr>
          <w:ilvl w:val="0"/>
          <w:numId w:val="4"/>
        </w:numPr>
        <w:shd w:val="clear" w:color="auto" w:fill="auto"/>
        <w:tabs>
          <w:tab w:val="left" w:pos="885"/>
        </w:tabs>
        <w:wordWrap w:val="0"/>
        <w:autoSpaceDE/>
        <w:autoSpaceDN/>
        <w:snapToGrid w:val="0"/>
        <w:spacing w:line="440" w:lineRule="exact"/>
        <w:ind w:left="885" w:hanging="885"/>
        <w:jc w:val="center"/>
        <w:rPr>
          <w:rFonts w:hint="eastAsia" w:hAnsi="宋体" w:cs="宋体"/>
          <w:b/>
          <w:snapToGrid w:val="0"/>
          <w:color w:val="auto"/>
          <w:sz w:val="24"/>
          <w:highlight w:val="none"/>
        </w:rPr>
      </w:pPr>
      <w:bookmarkStart w:id="359" w:name="_Toc26371"/>
      <w:bookmarkStart w:id="360" w:name="_Toc1440"/>
      <w:bookmarkStart w:id="361" w:name="_Toc13571"/>
      <w:bookmarkStart w:id="362" w:name="_Toc30791"/>
      <w:bookmarkStart w:id="363" w:name="_Toc11922"/>
      <w:bookmarkStart w:id="364" w:name="_Toc11418"/>
      <w:bookmarkStart w:id="365" w:name="_Toc15113"/>
      <w:bookmarkStart w:id="366" w:name="_Toc28779"/>
      <w:bookmarkStart w:id="367" w:name="_Toc28619"/>
      <w:bookmarkStart w:id="368" w:name="_Toc16835"/>
      <w:bookmarkStart w:id="369" w:name="_Toc21669"/>
      <w:bookmarkStart w:id="370" w:name="_Hlt69698796"/>
      <w:r>
        <w:rPr>
          <w:rFonts w:hint="eastAsia" w:hAnsi="宋体" w:cs="宋体"/>
          <w:b/>
          <w:snapToGrid w:val="0"/>
          <w:color w:val="auto"/>
          <w:sz w:val="24"/>
          <w:highlight w:val="none"/>
        </w:rPr>
        <w:br w:type="page"/>
      </w:r>
      <w:bookmarkStart w:id="371" w:name="_Toc27537"/>
      <w:r>
        <w:rPr>
          <w:rFonts w:hint="eastAsia" w:hAnsi="宋体" w:cs="宋体"/>
          <w:b/>
          <w:snapToGrid w:val="0"/>
          <w:color w:val="auto"/>
          <w:sz w:val="24"/>
          <w:highlight w:val="none"/>
        </w:rPr>
        <w:t>技术要求</w:t>
      </w:r>
      <w:bookmarkEnd w:id="359"/>
      <w:bookmarkEnd w:id="360"/>
      <w:bookmarkEnd w:id="361"/>
      <w:bookmarkEnd w:id="362"/>
      <w:bookmarkEnd w:id="363"/>
      <w:bookmarkEnd w:id="364"/>
      <w:bookmarkEnd w:id="365"/>
      <w:bookmarkEnd w:id="366"/>
      <w:bookmarkEnd w:id="367"/>
      <w:bookmarkEnd w:id="368"/>
      <w:bookmarkEnd w:id="369"/>
      <w:bookmarkEnd w:id="371"/>
    </w:p>
    <w:p w14:paraId="3FCBBF42">
      <w:pPr>
        <w:numPr>
          <w:ilvl w:val="0"/>
          <w:numId w:val="0"/>
        </w:numPr>
        <w:shd w:val="clear" w:color="auto" w:fill="auto"/>
        <w:rPr>
          <w:rFonts w:hint="eastAsia"/>
          <w:color w:val="auto"/>
          <w:highlight w:val="none"/>
        </w:rPr>
      </w:pPr>
    </w:p>
    <w:bookmarkEnd w:id="370"/>
    <w:p w14:paraId="3BA98A10">
      <w:pPr>
        <w:shd w:val="clear" w:color="auto" w:fill="auto"/>
        <w:wordWrap w:val="0"/>
        <w:adjustRightInd w:val="0"/>
        <w:snapToGrid w:val="0"/>
        <w:spacing w:line="440" w:lineRule="exact"/>
        <w:ind w:firstLine="482" w:firstLineChars="200"/>
        <w:rPr>
          <w:rFonts w:hint="eastAsia" w:ascii="Times New Roman"/>
          <w:b/>
          <w:snapToGrid w:val="0"/>
          <w:color w:val="auto"/>
          <w:kern w:val="0"/>
          <w:highlight w:val="none"/>
        </w:rPr>
      </w:pPr>
      <w:bookmarkStart w:id="372" w:name="_Hlt66104926"/>
      <w:bookmarkEnd w:id="372"/>
      <w:bookmarkStart w:id="373" w:name="_Hlt69357851"/>
      <w:bookmarkEnd w:id="373"/>
      <w:bookmarkStart w:id="374" w:name="_Hlt87793370"/>
      <w:bookmarkEnd w:id="374"/>
      <w:bookmarkStart w:id="375" w:name="_Hlt69359335"/>
      <w:bookmarkEnd w:id="375"/>
      <w:bookmarkStart w:id="376" w:name="_Hlt69265216"/>
      <w:bookmarkEnd w:id="376"/>
      <w:bookmarkStart w:id="377" w:name="_Hlt80411122"/>
      <w:bookmarkEnd w:id="377"/>
      <w:bookmarkStart w:id="378" w:name="_Hlt75685840"/>
      <w:bookmarkEnd w:id="378"/>
      <w:bookmarkStart w:id="379" w:name="_Hlt87793346"/>
      <w:bookmarkEnd w:id="379"/>
      <w:bookmarkStart w:id="380" w:name="_Hlt69116854"/>
      <w:bookmarkEnd w:id="380"/>
      <w:bookmarkStart w:id="381" w:name="_Hlt69358207"/>
      <w:bookmarkEnd w:id="381"/>
      <w:bookmarkStart w:id="382" w:name="_Hlt68774758"/>
      <w:bookmarkEnd w:id="382"/>
      <w:bookmarkStart w:id="383" w:name="_Toc25252"/>
      <w:bookmarkStart w:id="384" w:name="_Toc19073"/>
      <w:bookmarkStart w:id="385" w:name="_Toc1932"/>
      <w:bookmarkStart w:id="386" w:name="_Toc7384"/>
      <w:bookmarkStart w:id="387" w:name="_Toc14418"/>
      <w:bookmarkStart w:id="388" w:name="_Toc6220"/>
      <w:bookmarkStart w:id="389" w:name="_Toc728"/>
      <w:bookmarkStart w:id="390" w:name="_Toc8636"/>
      <w:bookmarkStart w:id="391" w:name="_Toc26968"/>
      <w:bookmarkStart w:id="392" w:name="_Toc16340"/>
      <w:bookmarkStart w:id="393" w:name="_Hlt69698785"/>
      <w:r>
        <w:rPr>
          <w:rFonts w:hint="eastAsia" w:ascii="Times New Roman"/>
          <w:b/>
          <w:snapToGrid w:val="0"/>
          <w:color w:val="auto"/>
          <w:kern w:val="0"/>
          <w:highlight w:val="none"/>
        </w:rPr>
        <w:t>1．房屋建筑工程建设项目</w:t>
      </w:r>
    </w:p>
    <w:p w14:paraId="6663EDF8">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bookmarkStart w:id="394" w:name="_Hlt69359243"/>
      <w:bookmarkEnd w:id="394"/>
      <w:bookmarkStart w:id="395" w:name="_Hlt69358458"/>
      <w:bookmarkEnd w:id="395"/>
      <w:bookmarkStart w:id="396" w:name="_Hlt69116858"/>
      <w:bookmarkEnd w:id="396"/>
      <w:bookmarkStart w:id="397" w:name="_Hlt78709799"/>
      <w:bookmarkEnd w:id="397"/>
      <w:bookmarkStart w:id="398" w:name="_Hlt69359245"/>
      <w:bookmarkEnd w:id="398"/>
      <w:bookmarkStart w:id="399" w:name="_Hlt69359086"/>
      <w:bookmarkEnd w:id="399"/>
      <w:bookmarkStart w:id="400" w:name="_Hlt69635252"/>
      <w:bookmarkEnd w:id="400"/>
      <w:r>
        <w:rPr>
          <w:rFonts w:hint="eastAsia" w:ascii="Times New Roman"/>
          <w:bCs/>
          <w:snapToGrid w:val="0"/>
          <w:color w:val="auto"/>
          <w:kern w:val="0"/>
          <w:highlight w:val="none"/>
        </w:rPr>
        <w:t>房屋建筑工程建设项目必须执行的现行技术规范，包括且不限于：</w:t>
      </w:r>
    </w:p>
    <w:p w14:paraId="4F0EE690">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（1）《建筑工程施工质量验收统一标准》；</w:t>
      </w:r>
    </w:p>
    <w:p w14:paraId="675F90C4">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（2）《建筑地基基础工程施工质量验收规范》；</w:t>
      </w:r>
    </w:p>
    <w:p w14:paraId="5ABC523E">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（3）《砌体工程施工质量验收规范》；</w:t>
      </w:r>
    </w:p>
    <w:p w14:paraId="1466835E">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（4）《混凝土结构工程施工质量验收规范》；</w:t>
      </w:r>
    </w:p>
    <w:p w14:paraId="1335188C">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（5）《屋面工程质量验收规范》；</w:t>
      </w:r>
    </w:p>
    <w:p w14:paraId="01F4DF0B">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（6）《地下防水工程质量验收规范》；</w:t>
      </w:r>
    </w:p>
    <w:p w14:paraId="2C6C4453">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（7）</w:t>
      </w:r>
      <w:bookmarkStart w:id="401" w:name="_Hlt78795211"/>
      <w:bookmarkEnd w:id="401"/>
      <w:r>
        <w:rPr>
          <w:rFonts w:hint="eastAsia" w:ascii="Times New Roman"/>
          <w:bCs/>
          <w:snapToGrid w:val="0"/>
          <w:color w:val="auto"/>
          <w:kern w:val="0"/>
          <w:highlight w:val="none"/>
        </w:rPr>
        <w:t>《建筑地面工程施工质量验收规范》；</w:t>
      </w:r>
    </w:p>
    <w:p w14:paraId="53B9A33B">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（8）《建筑装饰装修工程施工质量验收规范》；</w:t>
      </w:r>
    </w:p>
    <w:p w14:paraId="261675B1">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（9）《建筑给排水及采暖工程施工质量验收规范》；</w:t>
      </w:r>
    </w:p>
    <w:p w14:paraId="38EE9E51">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（10）《建筑电气工程施工质量验收规范》；</w:t>
      </w:r>
    </w:p>
    <w:p w14:paraId="44F7CACD">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（11）《住建部绿色建筑评价标准》；</w:t>
      </w:r>
    </w:p>
    <w:p w14:paraId="4AB10E14">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（12）《建筑节能与可再生能源利用通用规范》；</w:t>
      </w:r>
    </w:p>
    <w:p w14:paraId="6EE4138A">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（13）《建筑环境通用规范》；</w:t>
      </w:r>
    </w:p>
    <w:p w14:paraId="1E9B2CA8">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w:t>
      </w:r>
      <w:r>
        <w:rPr>
          <w:rFonts w:hint="eastAsia" w:ascii="Times New Roman"/>
          <w:bCs/>
          <w:snapToGrid w:val="0"/>
          <w:color w:val="auto"/>
          <w:kern w:val="0"/>
          <w:highlight w:val="none"/>
          <w:lang w:val="en-US" w:eastAsia="zh-CN"/>
        </w:rPr>
        <w:t>4</w:t>
      </w:r>
      <w:r>
        <w:rPr>
          <w:rFonts w:hint="eastAsia" w:ascii="Times New Roman"/>
          <w:bCs/>
          <w:snapToGrid w:val="0"/>
          <w:color w:val="auto"/>
          <w:kern w:val="0"/>
          <w:highlight w:val="none"/>
        </w:rPr>
        <w:t>）《广东省住房和城乡建设厅绿色施工导则》；</w:t>
      </w:r>
    </w:p>
    <w:p w14:paraId="04267D7C">
      <w:pPr>
        <w:shd w:val="clear" w:color="auto" w:fill="auto"/>
        <w:wordWrap w:val="0"/>
        <w:adjustRightInd w:val="0"/>
        <w:snapToGrid w:val="0"/>
        <w:spacing w:line="440" w:lineRule="exact"/>
        <w:ind w:firstLine="480" w:firstLineChars="200"/>
        <w:rPr>
          <w:rFonts w:ascii="Times New Roman"/>
          <w:bCs/>
          <w:snapToGrid w:val="0"/>
          <w:color w:val="auto"/>
          <w:kern w:val="0"/>
          <w:highlight w:val="none"/>
        </w:rPr>
      </w:pPr>
      <w:r>
        <w:rPr>
          <w:rFonts w:hint="eastAsia" w:ascii="Times New Roman"/>
          <w:bCs/>
          <w:snapToGrid w:val="0"/>
          <w:color w:val="auto"/>
          <w:kern w:val="0"/>
          <w:highlight w:val="none"/>
        </w:rPr>
        <w:t>（1</w:t>
      </w:r>
      <w:r>
        <w:rPr>
          <w:rFonts w:hint="eastAsia" w:ascii="Times New Roman"/>
          <w:bCs/>
          <w:snapToGrid w:val="0"/>
          <w:color w:val="auto"/>
          <w:kern w:val="0"/>
          <w:highlight w:val="none"/>
          <w:lang w:val="en-US" w:eastAsia="zh-CN"/>
        </w:rPr>
        <w:t>5</w:t>
      </w:r>
      <w:r>
        <w:rPr>
          <w:rFonts w:hint="eastAsia" w:ascii="Times New Roman"/>
          <w:bCs/>
          <w:snapToGrid w:val="0"/>
          <w:color w:val="auto"/>
          <w:kern w:val="0"/>
          <w:highlight w:val="none"/>
        </w:rPr>
        <w:t>）《广东省建筑工程绿色施工评价标准》；</w:t>
      </w:r>
    </w:p>
    <w:p w14:paraId="49BCB340">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（16）《广东省建筑节能与绿色建筑工程施工质量验收规范》；</w:t>
      </w:r>
    </w:p>
    <w:p w14:paraId="281E5B14">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w:t>
      </w:r>
      <w:r>
        <w:rPr>
          <w:rFonts w:hint="eastAsia" w:ascii="Times New Roman"/>
          <w:bCs/>
          <w:snapToGrid w:val="0"/>
          <w:color w:val="auto"/>
          <w:kern w:val="0"/>
          <w:highlight w:val="none"/>
          <w:lang w:val="en-US" w:eastAsia="zh-CN"/>
        </w:rPr>
        <w:t>17</w:t>
      </w:r>
      <w:r>
        <w:rPr>
          <w:rFonts w:hint="eastAsia" w:ascii="Times New Roman"/>
          <w:bCs/>
          <w:snapToGrid w:val="0"/>
          <w:color w:val="auto"/>
          <w:kern w:val="0"/>
          <w:highlight w:val="none"/>
        </w:rPr>
        <w:t>）其他现行国家、广东省关于房建工程的施工及验收规范、规程、标准。</w:t>
      </w:r>
    </w:p>
    <w:p w14:paraId="7B1E0A73">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p>
    <w:p w14:paraId="580F2B9C">
      <w:pPr>
        <w:shd w:val="clear" w:color="auto" w:fill="auto"/>
        <w:wordWrap w:val="0"/>
        <w:adjustRightInd w:val="0"/>
        <w:snapToGrid w:val="0"/>
        <w:spacing w:line="440" w:lineRule="exact"/>
        <w:ind w:firstLine="482" w:firstLineChars="200"/>
        <w:rPr>
          <w:rFonts w:hint="eastAsia" w:ascii="Times New Roman"/>
          <w:bCs/>
          <w:snapToGrid w:val="0"/>
          <w:color w:val="auto"/>
          <w:kern w:val="0"/>
          <w:highlight w:val="none"/>
        </w:rPr>
      </w:pPr>
      <w:r>
        <w:rPr>
          <w:rFonts w:hint="eastAsia" w:ascii="Times New Roman"/>
          <w:b/>
          <w:snapToGrid w:val="0"/>
          <w:color w:val="auto"/>
          <w:kern w:val="0"/>
          <w:highlight w:val="none"/>
        </w:rPr>
        <w:t>2．市政基础设施工程建设项目</w:t>
      </w:r>
    </w:p>
    <w:p w14:paraId="1ECA1F6D">
      <w:pPr>
        <w:shd w:val="clear" w:color="auto" w:fill="auto"/>
        <w:wordWrap w:val="0"/>
        <w:adjustRightInd w:val="0"/>
        <w:snapToGrid w:val="0"/>
        <w:spacing w:line="440" w:lineRule="exact"/>
        <w:ind w:firstLine="480" w:firstLineChars="200"/>
        <w:rPr>
          <w:rFonts w:hint="eastAsia" w:ascii="Times New Roman"/>
          <w:bCs/>
          <w:snapToGrid w:val="0"/>
          <w:color w:val="auto"/>
          <w:kern w:val="0"/>
          <w:szCs w:val="28"/>
          <w:highlight w:val="none"/>
        </w:rPr>
      </w:pPr>
      <w:r>
        <w:rPr>
          <w:rFonts w:hint="eastAsia" w:ascii="Times New Roman"/>
          <w:bCs/>
          <w:snapToGrid w:val="0"/>
          <w:color w:val="auto"/>
          <w:kern w:val="0"/>
          <w:highlight w:val="none"/>
        </w:rPr>
        <w:t>市政基础设施工程建设项目必须执行的现行技术规范，包括且不限于：</w:t>
      </w:r>
    </w:p>
    <w:p w14:paraId="639F9B5A">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szCs w:val="28"/>
          <w:highlight w:val="none"/>
        </w:rPr>
        <w:t>（1）《公路路基施工技术规范》</w:t>
      </w:r>
      <w:r>
        <w:rPr>
          <w:rFonts w:hint="eastAsia" w:ascii="Times New Roman"/>
          <w:bCs/>
          <w:snapToGrid w:val="0"/>
          <w:color w:val="auto"/>
          <w:kern w:val="0"/>
          <w:highlight w:val="none"/>
        </w:rPr>
        <w:t>；</w:t>
      </w:r>
    </w:p>
    <w:p w14:paraId="28FBEC01">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（2）《市政道路工程质量检验评定标准》；</w:t>
      </w:r>
    </w:p>
    <w:p w14:paraId="188B2816">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（3）《市政排水管渠工程质量检验评定标准》；</w:t>
      </w:r>
    </w:p>
    <w:p w14:paraId="6FA35CA1">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（4）《给水排水管道工程施工及验收规范》；</w:t>
      </w:r>
    </w:p>
    <w:p w14:paraId="03C1C48C">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（5）《城市道路路基工程施工及验收规范》；</w:t>
      </w:r>
    </w:p>
    <w:p w14:paraId="7C35DB24">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（6）《水泥砼路面施工及验收规范》；</w:t>
      </w:r>
    </w:p>
    <w:p w14:paraId="434503B2">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（7）《公路水泥砼路面施工技术规范》；</w:t>
      </w:r>
    </w:p>
    <w:p w14:paraId="58EDB81C">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（8）《埋地硬聚氯乙烯排水管道工程技术规程》；</w:t>
      </w:r>
    </w:p>
    <w:p w14:paraId="7C8412B0">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（9）《沥青路面施工及验收规范》；</w:t>
      </w:r>
    </w:p>
    <w:p w14:paraId="45EBC973">
      <w:pPr>
        <w:shd w:val="clear" w:color="auto" w:fill="auto"/>
        <w:wordWrap w:val="0"/>
        <w:adjustRightInd w:val="0"/>
        <w:snapToGrid w:val="0"/>
        <w:spacing w:line="440" w:lineRule="exact"/>
        <w:ind w:firstLine="480" w:firstLineChars="200"/>
        <w:rPr>
          <w:rFonts w:hint="eastAsia" w:ascii="Times New Roman" w:eastAsia="宋体"/>
          <w:bCs/>
          <w:snapToGrid w:val="0"/>
          <w:color w:val="auto"/>
          <w:kern w:val="0"/>
          <w:highlight w:val="none"/>
          <w:lang w:eastAsia="zh-CN"/>
        </w:rPr>
      </w:pPr>
      <w:r>
        <w:rPr>
          <w:rFonts w:hint="eastAsia" w:ascii="Times New Roman"/>
          <w:bCs/>
          <w:snapToGrid w:val="0"/>
          <w:color w:val="auto"/>
          <w:kern w:val="0"/>
          <w:highlight w:val="none"/>
        </w:rPr>
        <w:t>（10）《广东省市政工程施工质量技术资料统一用表》</w:t>
      </w:r>
      <w:r>
        <w:rPr>
          <w:rFonts w:hint="eastAsia" w:ascii="Times New Roman"/>
          <w:bCs/>
          <w:snapToGrid w:val="0"/>
          <w:color w:val="auto"/>
          <w:kern w:val="0"/>
          <w:highlight w:val="none"/>
          <w:lang w:eastAsia="zh-CN"/>
        </w:rPr>
        <w:t>；</w:t>
      </w:r>
    </w:p>
    <w:p w14:paraId="44A44453">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（11）《城市道路照明设计标准》（CJJ45-2015）；</w:t>
      </w:r>
    </w:p>
    <w:p w14:paraId="2725818C">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（12）《低压配电设计规范》（GB50054-2011）；</w:t>
      </w:r>
    </w:p>
    <w:p w14:paraId="0008FB94">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（13）《城市道路照明工程施工及验收规程》（CJJ89-2012）；</w:t>
      </w:r>
    </w:p>
    <w:p w14:paraId="70C0C613">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（14）《LED道路照明工程技术规范》（DB44/T 1898-2016）；</w:t>
      </w:r>
    </w:p>
    <w:p w14:paraId="27EC2018">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（15）《灯具第1部分：一般要求与试验》（GB7000.1-2015）；</w:t>
      </w:r>
    </w:p>
    <w:p w14:paraId="18EB5343">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（16）《电缆工程电缆设计标准》（GB50217-2018）；</w:t>
      </w:r>
    </w:p>
    <w:p w14:paraId="365A389E">
      <w:pPr>
        <w:shd w:val="clear" w:color="auto" w:fill="auto"/>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w:t>
      </w:r>
      <w:r>
        <w:rPr>
          <w:rFonts w:hint="eastAsia" w:ascii="Times New Roman"/>
          <w:bCs/>
          <w:snapToGrid w:val="0"/>
          <w:color w:val="auto"/>
          <w:kern w:val="0"/>
          <w:highlight w:val="none"/>
          <w:lang w:val="en-US" w:eastAsia="zh-CN"/>
        </w:rPr>
        <w:t>7</w:t>
      </w:r>
      <w:r>
        <w:rPr>
          <w:rFonts w:hint="eastAsia" w:ascii="Times New Roman"/>
          <w:bCs/>
          <w:snapToGrid w:val="0"/>
          <w:color w:val="auto"/>
          <w:kern w:val="0"/>
          <w:highlight w:val="none"/>
        </w:rPr>
        <w:t>）其他现行国家、广东省关于市政工程的技术及验收规范、规程、标准。</w:t>
      </w:r>
    </w:p>
    <w:p w14:paraId="6B1F8A08">
      <w:pPr>
        <w:shd w:val="clear" w:color="auto" w:fill="auto"/>
        <w:wordWrap w:val="0"/>
        <w:adjustRightInd w:val="0"/>
        <w:snapToGrid w:val="0"/>
        <w:spacing w:line="440" w:lineRule="exact"/>
        <w:rPr>
          <w:rFonts w:hint="eastAsia" w:ascii="Times New Roman" w:eastAsia="宋体"/>
          <w:bCs/>
          <w:snapToGrid w:val="0"/>
          <w:color w:val="auto"/>
          <w:kern w:val="0"/>
          <w:highlight w:val="none"/>
          <w:lang w:val="en-US" w:eastAsia="zh-CN"/>
        </w:rPr>
      </w:pPr>
    </w:p>
    <w:p w14:paraId="65688186">
      <w:pPr>
        <w:shd w:val="clear" w:color="auto" w:fill="auto"/>
        <w:wordWrap w:val="0"/>
        <w:adjustRightInd w:val="0"/>
        <w:snapToGrid w:val="0"/>
        <w:spacing w:line="440" w:lineRule="exact"/>
        <w:ind w:firstLine="482" w:firstLineChars="200"/>
        <w:rPr>
          <w:rFonts w:hint="eastAsia" w:ascii="Times New Roman" w:hAnsi="Times New Roman" w:eastAsia="宋体" w:cs="Times New Roman"/>
          <w:b/>
          <w:snapToGrid w:val="0"/>
          <w:color w:val="auto"/>
          <w:kern w:val="0"/>
          <w:highlight w:val="none"/>
        </w:rPr>
      </w:pPr>
      <w:r>
        <w:rPr>
          <w:rFonts w:hint="eastAsia" w:ascii="Times New Roman" w:cs="Times New Roman"/>
          <w:b/>
          <w:snapToGrid w:val="0"/>
          <w:color w:val="auto"/>
          <w:kern w:val="0"/>
          <w:highlight w:val="none"/>
          <w:lang w:val="en-US" w:eastAsia="zh-CN"/>
        </w:rPr>
        <w:t>3</w:t>
      </w:r>
      <w:r>
        <w:rPr>
          <w:rFonts w:hint="eastAsia" w:ascii="Times New Roman" w:hAnsi="Times New Roman" w:eastAsia="宋体" w:cs="Times New Roman"/>
          <w:b/>
          <w:snapToGrid w:val="0"/>
          <w:color w:val="auto"/>
          <w:kern w:val="0"/>
          <w:highlight w:val="none"/>
          <w:lang w:val="en-US" w:eastAsia="zh-CN"/>
        </w:rPr>
        <w:t xml:space="preserve">. </w:t>
      </w:r>
      <w:r>
        <w:rPr>
          <w:rFonts w:hint="eastAsia" w:ascii="Times New Roman" w:hAnsi="Times New Roman" w:eastAsia="宋体" w:cs="Times New Roman"/>
          <w:b/>
          <w:snapToGrid w:val="0"/>
          <w:color w:val="auto"/>
          <w:kern w:val="0"/>
          <w:highlight w:val="none"/>
        </w:rPr>
        <w:t>备查要求</w:t>
      </w:r>
    </w:p>
    <w:p w14:paraId="0CA09358">
      <w:pPr>
        <w:shd w:val="clear" w:color="auto" w:fill="auto"/>
        <w:wordWrap w:val="0"/>
        <w:adjustRightInd w:val="0"/>
        <w:snapToGrid w:val="0"/>
        <w:spacing w:line="440" w:lineRule="exact"/>
        <w:ind w:firstLine="560"/>
        <w:rPr>
          <w:rFonts w:hint="eastAsia" w:ascii="Times New Roman"/>
          <w:strike/>
          <w:snapToGrid w:val="0"/>
          <w:color w:val="auto"/>
          <w:kern w:val="0"/>
          <w:highlight w:val="none"/>
        </w:rPr>
        <w:sectPr>
          <w:endnotePr>
            <w:numFmt w:val="decimal"/>
          </w:endnotePr>
          <w:pgSz w:w="11906" w:h="16838"/>
          <w:pgMar w:top="1701" w:right="1531" w:bottom="1417" w:left="1531" w:header="850" w:footer="992" w:gutter="0"/>
          <w:cols w:space="720" w:num="1"/>
          <w:rtlGutter w:val="0"/>
          <w:docGrid w:linePitch="327" w:charSpace="0"/>
        </w:sectPr>
      </w:pPr>
      <w:r>
        <w:rPr>
          <w:rFonts w:hint="eastAsia" w:ascii="Times New Roman"/>
          <w:snapToGrid w:val="0"/>
          <w:color w:val="auto"/>
          <w:kern w:val="0"/>
          <w:highlight w:val="none"/>
        </w:rPr>
        <w:t>监理人</w:t>
      </w:r>
      <w:r>
        <w:rPr>
          <w:rFonts w:hint="eastAsia" w:ascii="Times New Roman"/>
          <w:bCs/>
          <w:snapToGrid w:val="0"/>
          <w:color w:val="auto"/>
          <w:kern w:val="0"/>
          <w:highlight w:val="none"/>
        </w:rPr>
        <w:t>必须在施工现场准备至少一套上述规范，委托人可随时检查监理人的上述规范，并监督监理人按规范要求执行。</w:t>
      </w:r>
      <w:bookmarkStart w:id="402" w:name="_Hlt69670335"/>
      <w:bookmarkEnd w:id="402"/>
    </w:p>
    <w:p w14:paraId="17F2FA54">
      <w:pPr>
        <w:pStyle w:val="2"/>
        <w:shd w:val="clear" w:color="auto" w:fill="auto"/>
        <w:wordWrap w:val="0"/>
        <w:autoSpaceDE/>
        <w:autoSpaceDN/>
        <w:snapToGrid w:val="0"/>
        <w:spacing w:line="440" w:lineRule="exact"/>
        <w:jc w:val="center"/>
        <w:rPr>
          <w:rFonts w:hint="eastAsia" w:hAnsi="宋体" w:cs="宋体"/>
          <w:b/>
          <w:snapToGrid w:val="0"/>
          <w:color w:val="auto"/>
          <w:sz w:val="24"/>
          <w:highlight w:val="none"/>
        </w:rPr>
      </w:pPr>
      <w:bookmarkStart w:id="403" w:name="_Toc10032"/>
      <w:bookmarkStart w:id="404" w:name="_Toc8448"/>
      <w:r>
        <w:rPr>
          <w:rFonts w:hint="eastAsia" w:hAnsi="宋体" w:cs="宋体"/>
          <w:b/>
          <w:snapToGrid w:val="0"/>
          <w:color w:val="auto"/>
          <w:sz w:val="24"/>
          <w:highlight w:val="none"/>
        </w:rPr>
        <w:t xml:space="preserve">第五章 </w:t>
      </w:r>
      <w:bookmarkEnd w:id="383"/>
      <w:bookmarkStart w:id="405" w:name="_Hlt75747044"/>
      <w:bookmarkEnd w:id="405"/>
      <w:r>
        <w:rPr>
          <w:rFonts w:hint="eastAsia" w:hAnsi="宋体" w:cs="宋体"/>
          <w:b/>
          <w:snapToGrid w:val="0"/>
          <w:color w:val="auto"/>
          <w:sz w:val="24"/>
          <w:highlight w:val="none"/>
        </w:rPr>
        <w:t>投标文件格式</w:t>
      </w:r>
      <w:bookmarkEnd w:id="384"/>
      <w:bookmarkEnd w:id="385"/>
      <w:bookmarkEnd w:id="386"/>
      <w:bookmarkEnd w:id="387"/>
      <w:bookmarkEnd w:id="388"/>
      <w:bookmarkEnd w:id="389"/>
      <w:bookmarkEnd w:id="390"/>
      <w:bookmarkEnd w:id="391"/>
      <w:bookmarkEnd w:id="392"/>
      <w:bookmarkEnd w:id="403"/>
      <w:bookmarkEnd w:id="404"/>
    </w:p>
    <w:bookmarkEnd w:id="393"/>
    <w:p w14:paraId="05D20518">
      <w:pPr>
        <w:pStyle w:val="49"/>
        <w:keepNext w:val="0"/>
        <w:keepLines w:val="0"/>
        <w:widowControl w:val="0"/>
        <w:shd w:val="clear" w:color="auto" w:fill="auto"/>
        <w:wordWrap w:val="0"/>
        <w:adjustRightInd w:val="0"/>
        <w:snapToGrid w:val="0"/>
        <w:spacing w:before="0" w:after="0" w:line="240" w:lineRule="auto"/>
        <w:ind w:left="3640" w:leftChars="15" w:hanging="3604" w:hangingChars="1496"/>
        <w:jc w:val="both"/>
        <w:outlineLvl w:val="9"/>
        <w:rPr>
          <w:rFonts w:hint="eastAsia" w:hAnsi="宋体" w:cs="宋体"/>
          <w:b/>
          <w:snapToGrid w:val="0"/>
          <w:color w:val="auto"/>
          <w:highlight w:val="none"/>
        </w:rPr>
      </w:pPr>
      <w:bookmarkStart w:id="406" w:name="_附件一：对招标文件条款自愿接受承诺书"/>
      <w:bookmarkEnd w:id="406"/>
      <w:bookmarkStart w:id="407" w:name="_附件四：工期承诺书"/>
      <w:bookmarkEnd w:id="407"/>
      <w:bookmarkStart w:id="408" w:name="_附件五：综合评审合理低价法"/>
      <w:bookmarkEnd w:id="408"/>
      <w:bookmarkStart w:id="409" w:name="_附件二：工期承诺书"/>
      <w:bookmarkEnd w:id="409"/>
      <w:bookmarkStart w:id="410" w:name="_附件一：投标函"/>
      <w:bookmarkEnd w:id="410"/>
      <w:bookmarkStart w:id="411" w:name="_附件二：近三年度主要施工项目（竣工及在建）一览表"/>
      <w:bookmarkEnd w:id="411"/>
      <w:bookmarkStart w:id="412" w:name="_Toc200338097"/>
      <w:bookmarkStart w:id="413" w:name="_Toc137621693"/>
      <w:bookmarkStart w:id="414" w:name="_Hlt66847557"/>
      <w:bookmarkStart w:id="415" w:name="_Toc66849200"/>
    </w:p>
    <w:p w14:paraId="75C15F58">
      <w:pPr>
        <w:pStyle w:val="49"/>
        <w:keepNext w:val="0"/>
        <w:keepLines w:val="0"/>
        <w:widowControl w:val="0"/>
        <w:shd w:val="clear" w:color="auto" w:fill="auto"/>
        <w:wordWrap w:val="0"/>
        <w:adjustRightInd w:val="0"/>
        <w:snapToGrid w:val="0"/>
        <w:spacing w:before="0" w:after="0" w:line="240" w:lineRule="auto"/>
        <w:ind w:left="3640" w:leftChars="15" w:hanging="3604" w:hangingChars="1496"/>
        <w:jc w:val="both"/>
        <w:rPr>
          <w:rFonts w:hint="eastAsia" w:hAnsi="宋体" w:cs="宋体"/>
          <w:b/>
          <w:snapToGrid w:val="0"/>
          <w:color w:val="auto"/>
          <w:highlight w:val="none"/>
        </w:rPr>
      </w:pPr>
      <w:bookmarkStart w:id="416" w:name="_Toc2622"/>
      <w:bookmarkStart w:id="417" w:name="_Toc9475"/>
      <w:bookmarkStart w:id="418" w:name="_Toc12888"/>
      <w:bookmarkStart w:id="419" w:name="_Toc13147"/>
      <w:bookmarkStart w:id="420" w:name="_Toc8451"/>
      <w:bookmarkStart w:id="421" w:name="_Toc12824"/>
      <w:bookmarkStart w:id="422" w:name="_Toc9716"/>
      <w:bookmarkStart w:id="423" w:name="_Toc2371"/>
      <w:bookmarkStart w:id="424" w:name="_Toc13127"/>
      <w:bookmarkStart w:id="425" w:name="_Toc27308"/>
      <w:bookmarkStart w:id="426" w:name="_Toc32261"/>
      <w:r>
        <w:rPr>
          <w:rFonts w:hint="eastAsia" w:hAnsi="宋体" w:cs="宋体"/>
          <w:b/>
          <w:snapToGrid w:val="0"/>
          <w:color w:val="auto"/>
          <w:highlight w:val="none"/>
        </w:rPr>
        <w:t>格式一 封面</w:t>
      </w:r>
      <w:bookmarkEnd w:id="416"/>
      <w:bookmarkEnd w:id="417"/>
      <w:bookmarkEnd w:id="418"/>
      <w:bookmarkEnd w:id="419"/>
      <w:bookmarkEnd w:id="420"/>
      <w:bookmarkEnd w:id="421"/>
      <w:bookmarkEnd w:id="422"/>
      <w:bookmarkEnd w:id="423"/>
      <w:bookmarkEnd w:id="424"/>
      <w:bookmarkEnd w:id="425"/>
      <w:bookmarkEnd w:id="426"/>
    </w:p>
    <w:p w14:paraId="370780C0">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77E84FF9">
      <w:pPr>
        <w:pStyle w:val="50"/>
        <w:widowControl w:val="0"/>
        <w:shd w:val="clear" w:color="auto" w:fill="auto"/>
        <w:wordWrap w:val="0"/>
        <w:adjustRightInd w:val="0"/>
        <w:snapToGrid w:val="0"/>
        <w:spacing w:line="240" w:lineRule="auto"/>
        <w:jc w:val="right"/>
        <w:rPr>
          <w:rFonts w:hint="eastAsia" w:hAnsi="宋体" w:cs="宋体"/>
          <w:b/>
          <w:snapToGrid w:val="0"/>
          <w:color w:val="auto"/>
          <w:sz w:val="24"/>
          <w:highlight w:val="none"/>
        </w:rPr>
      </w:pPr>
    </w:p>
    <w:p w14:paraId="21975E3C">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68FEEA02">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403EDF98">
      <w:pPr>
        <w:pStyle w:val="50"/>
        <w:widowControl w:val="0"/>
        <w:shd w:val="clear" w:color="auto" w:fill="auto"/>
        <w:wordWrap w:val="0"/>
        <w:adjustRightInd w:val="0"/>
        <w:snapToGrid w:val="0"/>
        <w:spacing w:line="240" w:lineRule="auto"/>
        <w:ind w:left="0" w:leftChars="0" w:firstLine="0" w:firstLineChars="0"/>
        <w:rPr>
          <w:rFonts w:hint="eastAsia" w:hAnsi="宋体" w:cs="宋体"/>
          <w:b/>
          <w:snapToGrid w:val="0"/>
          <w:color w:val="auto"/>
          <w:sz w:val="24"/>
          <w:highlight w:val="none"/>
        </w:rPr>
      </w:pPr>
    </w:p>
    <w:p w14:paraId="3B698FF0">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49EEEB1B">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3948DD49">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05E71054">
      <w:pPr>
        <w:pStyle w:val="50"/>
        <w:widowControl w:val="0"/>
        <w:shd w:val="clear" w:color="auto" w:fill="auto"/>
        <w:wordWrap w:val="0"/>
        <w:adjustRightInd w:val="0"/>
        <w:snapToGrid w:val="0"/>
        <w:spacing w:line="240" w:lineRule="auto"/>
        <w:rPr>
          <w:rFonts w:hint="eastAsia" w:hAnsi="宋体" w:cs="宋体"/>
          <w:b/>
          <w:snapToGrid w:val="0"/>
          <w:color w:val="auto"/>
          <w:sz w:val="24"/>
          <w:highlight w:val="none"/>
        </w:rPr>
      </w:pPr>
    </w:p>
    <w:p w14:paraId="29B7F5D4">
      <w:pPr>
        <w:pStyle w:val="50"/>
        <w:widowControl w:val="0"/>
        <w:shd w:val="clear" w:color="auto" w:fill="auto"/>
        <w:wordWrap w:val="0"/>
        <w:adjustRightInd w:val="0"/>
        <w:snapToGrid w:val="0"/>
        <w:ind w:firstLine="0"/>
        <w:jc w:val="center"/>
        <w:rPr>
          <w:rFonts w:hint="eastAsia" w:hAnsi="宋体" w:cs="宋体"/>
          <w:b/>
          <w:snapToGrid w:val="0"/>
          <w:color w:val="auto"/>
          <w:sz w:val="44"/>
          <w:szCs w:val="44"/>
          <w:highlight w:val="none"/>
        </w:rPr>
      </w:pPr>
      <w:r>
        <w:rPr>
          <w:rFonts w:hint="eastAsia" w:hAnsi="宋体" w:cs="宋体"/>
          <w:bCs/>
          <w:snapToGrid w:val="0"/>
          <w:color w:val="auto"/>
          <w:sz w:val="44"/>
          <w:szCs w:val="44"/>
          <w:highlight w:val="none"/>
          <w:u w:val="single"/>
          <w:lang w:val="en-US" w:eastAsia="zh-CN"/>
        </w:rPr>
        <w:t xml:space="preserve">    （项目名称）  </w:t>
      </w:r>
      <w:r>
        <w:rPr>
          <w:rFonts w:hint="eastAsia" w:hAnsi="宋体" w:cs="宋体"/>
          <w:b/>
          <w:snapToGrid w:val="0"/>
          <w:color w:val="auto"/>
          <w:sz w:val="44"/>
          <w:szCs w:val="44"/>
          <w:highlight w:val="none"/>
        </w:rPr>
        <w:t>招标</w:t>
      </w:r>
    </w:p>
    <w:p w14:paraId="29A7FD15">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sz w:val="32"/>
          <w:highlight w:val="none"/>
        </w:rPr>
      </w:pPr>
    </w:p>
    <w:p w14:paraId="5B86E494">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sz w:val="72"/>
          <w:highlight w:val="none"/>
        </w:rPr>
      </w:pPr>
      <w:r>
        <w:rPr>
          <w:rFonts w:hint="eastAsia" w:hAnsi="宋体" w:cs="宋体"/>
          <w:b/>
          <w:snapToGrid w:val="0"/>
          <w:color w:val="auto"/>
          <w:sz w:val="72"/>
          <w:highlight w:val="none"/>
        </w:rPr>
        <w:t>投  标  文  件</w:t>
      </w:r>
    </w:p>
    <w:p w14:paraId="2A78F069">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sz w:val="32"/>
          <w:highlight w:val="none"/>
        </w:rPr>
      </w:pPr>
    </w:p>
    <w:p w14:paraId="0BDEEDE8">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sz w:val="32"/>
          <w:highlight w:val="none"/>
        </w:rPr>
      </w:pPr>
      <w:r>
        <w:rPr>
          <w:rFonts w:hint="eastAsia" w:hAnsi="宋体" w:cs="宋体"/>
          <w:b/>
          <w:snapToGrid w:val="0"/>
          <w:color w:val="auto"/>
          <w:sz w:val="48"/>
          <w:szCs w:val="48"/>
          <w:highlight w:val="none"/>
        </w:rPr>
        <w:t>（商务标书／监理大纲）</w:t>
      </w:r>
    </w:p>
    <w:p w14:paraId="38AFC426">
      <w:pPr>
        <w:pStyle w:val="50"/>
        <w:widowControl w:val="0"/>
        <w:shd w:val="clear" w:color="auto" w:fill="auto"/>
        <w:wordWrap w:val="0"/>
        <w:adjustRightInd w:val="0"/>
        <w:snapToGrid w:val="0"/>
        <w:spacing w:line="240" w:lineRule="auto"/>
        <w:rPr>
          <w:rFonts w:hint="eastAsia" w:hAnsi="宋体" w:cs="宋体"/>
          <w:b/>
          <w:snapToGrid w:val="0"/>
          <w:color w:val="auto"/>
          <w:sz w:val="32"/>
          <w:highlight w:val="none"/>
        </w:rPr>
      </w:pPr>
    </w:p>
    <w:p w14:paraId="27549F36">
      <w:pPr>
        <w:pStyle w:val="50"/>
        <w:widowControl w:val="0"/>
        <w:shd w:val="clear" w:color="auto" w:fill="auto"/>
        <w:wordWrap w:val="0"/>
        <w:adjustRightInd w:val="0"/>
        <w:snapToGrid w:val="0"/>
        <w:spacing w:line="240" w:lineRule="auto"/>
        <w:rPr>
          <w:rFonts w:hint="eastAsia" w:hAnsi="宋体" w:cs="宋体"/>
          <w:b/>
          <w:snapToGrid w:val="0"/>
          <w:color w:val="auto"/>
          <w:sz w:val="32"/>
          <w:highlight w:val="none"/>
        </w:rPr>
      </w:pPr>
    </w:p>
    <w:p w14:paraId="1E62CDDF">
      <w:pPr>
        <w:pStyle w:val="50"/>
        <w:widowControl w:val="0"/>
        <w:shd w:val="clear" w:color="auto" w:fill="auto"/>
        <w:wordWrap w:val="0"/>
        <w:adjustRightInd w:val="0"/>
        <w:snapToGrid w:val="0"/>
        <w:spacing w:line="240" w:lineRule="auto"/>
        <w:rPr>
          <w:rFonts w:hint="eastAsia" w:hAnsi="宋体" w:cs="宋体"/>
          <w:b/>
          <w:snapToGrid w:val="0"/>
          <w:color w:val="auto"/>
          <w:sz w:val="32"/>
          <w:highlight w:val="none"/>
        </w:rPr>
      </w:pPr>
    </w:p>
    <w:p w14:paraId="4923B067">
      <w:pPr>
        <w:pStyle w:val="50"/>
        <w:widowControl w:val="0"/>
        <w:shd w:val="clear" w:color="auto" w:fill="auto"/>
        <w:wordWrap w:val="0"/>
        <w:adjustRightInd w:val="0"/>
        <w:snapToGrid w:val="0"/>
        <w:spacing w:line="240" w:lineRule="auto"/>
        <w:rPr>
          <w:rFonts w:hint="eastAsia" w:hAnsi="宋体" w:cs="宋体"/>
          <w:b/>
          <w:snapToGrid w:val="0"/>
          <w:color w:val="auto"/>
          <w:sz w:val="32"/>
          <w:highlight w:val="none"/>
        </w:rPr>
      </w:pPr>
    </w:p>
    <w:p w14:paraId="22712ABA">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投标人：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（盖单位章）</w:t>
      </w:r>
    </w:p>
    <w:p w14:paraId="2B54D668">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5FB524A8">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41BB60C2">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06B29737">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法定代表人或其委托代理人：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（签字或盖章）</w:t>
      </w:r>
    </w:p>
    <w:p w14:paraId="5318C76D">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4C33E5DC">
      <w:pPr>
        <w:pStyle w:val="50"/>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u w:val="single"/>
        </w:rPr>
      </w:pPr>
    </w:p>
    <w:p w14:paraId="55701A3E">
      <w:pPr>
        <w:pStyle w:val="50"/>
        <w:widowControl w:val="0"/>
        <w:shd w:val="clear" w:color="auto" w:fill="auto"/>
        <w:wordWrap w:val="0"/>
        <w:adjustRightInd w:val="0"/>
        <w:snapToGrid w:val="0"/>
        <w:spacing w:line="240" w:lineRule="auto"/>
        <w:ind w:firstLine="0"/>
        <w:jc w:val="center"/>
        <w:rPr>
          <w:rFonts w:hint="eastAsia" w:hAnsi="宋体" w:cs="宋体"/>
          <w:b/>
          <w:snapToGrid w:val="0"/>
          <w:color w:val="auto"/>
          <w:highlight w:val="none"/>
        </w:rPr>
      </w:pP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年</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月</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日</w:t>
      </w:r>
    </w:p>
    <w:p w14:paraId="7F54DCC5">
      <w:pPr>
        <w:pStyle w:val="50"/>
        <w:widowControl w:val="0"/>
        <w:shd w:val="clear" w:color="auto" w:fill="auto"/>
        <w:wordWrap w:val="0"/>
        <w:adjustRightInd w:val="0"/>
        <w:snapToGrid w:val="0"/>
        <w:rPr>
          <w:rFonts w:hint="eastAsia" w:hAnsi="宋体" w:cs="宋体"/>
          <w:b/>
          <w:snapToGrid w:val="0"/>
          <w:color w:val="auto"/>
          <w:highlight w:val="none"/>
        </w:rPr>
      </w:pPr>
    </w:p>
    <w:p w14:paraId="21743F70">
      <w:pPr>
        <w:pStyle w:val="4"/>
        <w:keepNext w:val="0"/>
        <w:keepLines w:val="0"/>
        <w:widowControl w:val="0"/>
        <w:shd w:val="clear" w:color="auto" w:fill="auto"/>
        <w:wordWrap w:val="0"/>
        <w:adjustRightInd w:val="0"/>
        <w:snapToGrid w:val="0"/>
        <w:spacing w:before="0" w:after="0" w:line="440" w:lineRule="exact"/>
        <w:ind w:firstLine="0"/>
        <w:jc w:val="left"/>
        <w:rPr>
          <w:rFonts w:hint="eastAsia" w:hAnsi="宋体" w:cs="宋体"/>
          <w:b/>
          <w:snapToGrid w:val="0"/>
          <w:color w:val="auto"/>
          <w:highlight w:val="none"/>
        </w:rPr>
      </w:pPr>
      <w:bookmarkStart w:id="427" w:name="_Toc31778"/>
      <w:bookmarkStart w:id="428" w:name="_Toc27987"/>
      <w:bookmarkStart w:id="429" w:name="_Toc4418"/>
      <w:bookmarkStart w:id="430" w:name="_Toc9465"/>
      <w:bookmarkStart w:id="431" w:name="_Toc9043"/>
      <w:bookmarkStart w:id="432" w:name="_Toc490"/>
      <w:bookmarkStart w:id="433" w:name="_Toc28241"/>
      <w:bookmarkStart w:id="434" w:name="_Toc23815"/>
      <w:bookmarkStart w:id="435" w:name="_Toc29607"/>
      <w:bookmarkStart w:id="436" w:name="_Toc28280"/>
      <w:bookmarkStart w:id="437" w:name="_Toc106418843"/>
      <w:bookmarkStart w:id="438" w:name="_Toc104711098"/>
      <w:r>
        <w:rPr>
          <w:rFonts w:hint="eastAsia" w:hAnsi="宋体" w:cs="宋体"/>
          <w:b/>
          <w:snapToGrid w:val="0"/>
          <w:color w:val="auto"/>
          <w:highlight w:val="none"/>
        </w:rPr>
        <w:br w:type="page"/>
      </w:r>
      <w:bookmarkStart w:id="439" w:name="_Toc6488"/>
      <w:bookmarkStart w:id="440" w:name="_Toc30416"/>
      <w:r>
        <w:rPr>
          <w:rFonts w:hint="eastAsia" w:hAnsi="宋体" w:cs="宋体"/>
          <w:b/>
          <w:snapToGrid w:val="0"/>
          <w:color w:val="auto"/>
          <w:highlight w:val="none"/>
        </w:rPr>
        <w:t>格式</w:t>
      </w:r>
      <w:bookmarkStart w:id="441" w:name="_Hlt97526007"/>
      <w:bookmarkEnd w:id="441"/>
      <w:r>
        <w:rPr>
          <w:rFonts w:hint="eastAsia" w:hAnsi="宋体" w:cs="宋体"/>
          <w:b/>
          <w:snapToGrid w:val="0"/>
          <w:color w:val="auto"/>
          <w:highlight w:val="none"/>
        </w:rPr>
        <w:t>二 投标函</w:t>
      </w:r>
      <w:bookmarkEnd w:id="427"/>
      <w:bookmarkEnd w:id="428"/>
      <w:bookmarkEnd w:id="429"/>
      <w:bookmarkEnd w:id="430"/>
      <w:bookmarkEnd w:id="431"/>
      <w:bookmarkEnd w:id="432"/>
      <w:bookmarkEnd w:id="433"/>
      <w:bookmarkEnd w:id="434"/>
      <w:bookmarkEnd w:id="435"/>
      <w:bookmarkEnd w:id="439"/>
      <w:bookmarkEnd w:id="440"/>
    </w:p>
    <w:p w14:paraId="0FB1C210">
      <w:pPr>
        <w:shd w:val="clear" w:color="auto" w:fill="auto"/>
        <w:wordWrap w:val="0"/>
        <w:adjustRightInd w:val="0"/>
        <w:snapToGrid w:val="0"/>
        <w:spacing w:before="260" w:after="260" w:line="440" w:lineRule="exact"/>
        <w:jc w:val="center"/>
        <w:rPr>
          <w:rFonts w:hint="eastAsia" w:hAnsi="宋体" w:cs="宋体"/>
          <w:b/>
          <w:snapToGrid w:val="0"/>
          <w:color w:val="auto"/>
          <w:kern w:val="0"/>
          <w:highlight w:val="none"/>
        </w:rPr>
      </w:pPr>
      <w:bookmarkStart w:id="442" w:name="_Toc5605"/>
      <w:r>
        <w:rPr>
          <w:rFonts w:hint="eastAsia" w:hAnsi="宋体" w:cs="宋体"/>
          <w:b/>
          <w:snapToGrid w:val="0"/>
          <w:color w:val="auto"/>
          <w:kern w:val="0"/>
          <w:sz w:val="30"/>
          <w:highlight w:val="none"/>
        </w:rPr>
        <w:t>投  标  函</w:t>
      </w:r>
      <w:bookmarkEnd w:id="436"/>
      <w:bookmarkEnd w:id="437"/>
      <w:bookmarkEnd w:id="438"/>
      <w:bookmarkEnd w:id="442"/>
    </w:p>
    <w:p w14:paraId="58B9BC3F">
      <w:pPr>
        <w:shd w:val="clear" w:color="auto" w:fill="auto"/>
        <w:wordWrap w:val="0"/>
        <w:adjustRightInd w:val="0"/>
        <w:snapToGrid w:val="0"/>
        <w:spacing w:line="440" w:lineRule="exact"/>
        <w:jc w:val="center"/>
        <w:rPr>
          <w:rFonts w:hint="eastAsia" w:hAnsi="宋体" w:cs="宋体"/>
          <w:b/>
          <w:snapToGrid w:val="0"/>
          <w:color w:val="auto"/>
          <w:kern w:val="0"/>
          <w:highlight w:val="none"/>
        </w:rPr>
      </w:pPr>
    </w:p>
    <w:p w14:paraId="60F144BF">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（招标人名称）</w:t>
      </w:r>
    </w:p>
    <w:p w14:paraId="2178C796">
      <w:pPr>
        <w:shd w:val="clear" w:color="auto" w:fill="auto"/>
        <w:wordWrap w:val="0"/>
        <w:adjustRightInd w:val="0"/>
        <w:snapToGrid w:val="0"/>
        <w:spacing w:line="440" w:lineRule="exact"/>
        <w:ind w:firstLine="570"/>
        <w:rPr>
          <w:rFonts w:hint="eastAsia"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hAnsi="宋体" w:cs="宋体"/>
          <w:snapToGrid w:val="0"/>
          <w:color w:val="auto"/>
          <w:kern w:val="0"/>
          <w:szCs w:val="22"/>
          <w:highlight w:val="none"/>
        </w:rPr>
        <w:t>我方在</w:t>
      </w:r>
      <w:r>
        <w:rPr>
          <w:rFonts w:hint="eastAsia" w:hAnsi="宋体" w:cs="宋体"/>
          <w:snapToGrid w:val="0"/>
          <w:color w:val="auto"/>
          <w:kern w:val="0"/>
          <w:highlight w:val="none"/>
        </w:rPr>
        <w:t>仔细研究</w:t>
      </w:r>
      <w:r>
        <w:rPr>
          <w:rFonts w:hint="eastAsia" w:ascii="Times New Roman"/>
          <w:snapToGrid w:val="0"/>
          <w:color w:val="auto"/>
          <w:kern w:val="0"/>
          <w:highlight w:val="none"/>
          <w:u w:val="single"/>
        </w:rPr>
        <w:t xml:space="preserve">    （项目名称）</w:t>
      </w:r>
      <w:r>
        <w:rPr>
          <w:rFonts w:hint="eastAsia" w:ascii="Times New Roman"/>
          <w:snapToGrid w:val="0"/>
          <w:color w:val="auto"/>
          <w:kern w:val="0"/>
          <w:highlight w:val="none"/>
          <w:u w:val="single"/>
          <w:lang w:val="en-US" w:eastAsia="zh-CN"/>
        </w:rPr>
        <w:t xml:space="preserve">  </w:t>
      </w:r>
      <w:r>
        <w:rPr>
          <w:rFonts w:hint="eastAsia" w:ascii="Times New Roman"/>
          <w:snapToGrid w:val="0"/>
          <w:color w:val="auto"/>
          <w:kern w:val="0"/>
          <w:highlight w:val="none"/>
        </w:rPr>
        <w:t>（以下简称“本项目”）</w:t>
      </w:r>
      <w:r>
        <w:rPr>
          <w:rFonts w:hint="eastAsia" w:hAnsi="宋体" w:cs="宋体"/>
          <w:snapToGrid w:val="0"/>
          <w:color w:val="auto"/>
          <w:kern w:val="0"/>
          <w:highlight w:val="none"/>
        </w:rPr>
        <w:t>招标文件的全部内容后，结合自身资质、能力和特点，愿意接受招标文件的全部内容和条件。兹以人民币（大写）：</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w:t>
      </w:r>
      <w:r>
        <w:rPr>
          <w:rFonts w:hint="eastAsia" w:hAnsi="宋体" w:cs="宋体"/>
          <w:snapToGrid w:val="0"/>
          <w:color w:val="auto"/>
          <w:kern w:val="0"/>
          <w:highlight w:val="none"/>
        </w:rPr>
        <w:t>竞投本项目</w:t>
      </w:r>
      <w:r>
        <w:rPr>
          <w:rFonts w:hint="eastAsia" w:hAnsi="宋体" w:cs="宋体"/>
          <w:snapToGrid w:val="0"/>
          <w:color w:val="auto"/>
          <w:kern w:val="0"/>
          <w:highlight w:val="none"/>
          <w:u w:val="single"/>
        </w:rPr>
        <w:t xml:space="preserve">  监理及相关服务 </w:t>
      </w:r>
      <w:r>
        <w:rPr>
          <w:rFonts w:hint="eastAsia" w:hAnsi="宋体" w:cs="宋体"/>
          <w:snapToGrid w:val="0"/>
          <w:color w:val="auto"/>
          <w:kern w:val="0"/>
          <w:highlight w:val="none"/>
        </w:rPr>
        <w:t>，投标取费费率为</w:t>
      </w:r>
      <w:r>
        <w:rPr>
          <w:rFonts w:hint="eastAsia" w:hAnsi="宋体" w:cs="宋体"/>
          <w:snapToGrid w:val="0"/>
          <w:color w:val="auto"/>
          <w:kern w:val="0"/>
          <w:highlight w:val="none"/>
          <w:u w:val="single"/>
        </w:rPr>
        <w:t xml:space="preserve">     % </w:t>
      </w:r>
      <w:r>
        <w:rPr>
          <w:rFonts w:hint="eastAsia" w:hAnsi="宋体" w:cs="宋体"/>
          <w:snapToGrid w:val="0"/>
          <w:color w:val="auto"/>
          <w:kern w:val="0"/>
          <w:highlight w:val="none"/>
        </w:rPr>
        <w:t>。</w:t>
      </w:r>
    </w:p>
    <w:p w14:paraId="5C49D775">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lang w:val="en-US" w:eastAsia="zh-CN"/>
        </w:rPr>
        <w:t xml:space="preserve"> </w:t>
      </w:r>
      <w:r>
        <w:rPr>
          <w:rFonts w:hint="eastAsia" w:hAnsi="宋体" w:cs="宋体"/>
          <w:snapToGrid w:val="0"/>
          <w:color w:val="auto"/>
          <w:kern w:val="0"/>
          <w:highlight w:val="none"/>
          <w:u w:val="single"/>
        </w:rPr>
        <w:t xml:space="preserve">监理及相关服务 </w:t>
      </w:r>
      <w:r>
        <w:rPr>
          <w:rFonts w:hint="eastAsia" w:hAnsi="宋体" w:cs="宋体"/>
          <w:snapToGrid w:val="0"/>
          <w:color w:val="auto"/>
          <w:kern w:val="0"/>
          <w:highlight w:val="none"/>
        </w:rPr>
        <w:t>，并在合同约定的服务期限内完成合同规定的全部义务。</w:t>
      </w:r>
    </w:p>
    <w:p w14:paraId="30109CE6">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7576E89B">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21EBEA0D">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7B649A3D">
      <w:pPr>
        <w:shd w:val="clear" w:color="auto" w:fill="auto"/>
        <w:wordWrap w:val="0"/>
        <w:adjustRightInd w:val="0"/>
        <w:snapToGrid w:val="0"/>
        <w:spacing w:line="440" w:lineRule="exact"/>
        <w:ind w:firstLine="570"/>
        <w:rPr>
          <w:rFonts w:hint="eastAsia" w:hAnsi="宋体" w:cs="宋体"/>
          <w:snapToGrid w:val="0"/>
          <w:color w:val="auto"/>
          <w:kern w:val="0"/>
          <w:highlight w:val="none"/>
        </w:rPr>
      </w:pPr>
      <w:bookmarkStart w:id="443" w:name="_Hlt68771070"/>
      <w:bookmarkEnd w:id="443"/>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01383BAE">
      <w:pPr>
        <w:shd w:val="clear" w:color="auto" w:fill="auto"/>
        <w:wordWrap w:val="0"/>
        <w:adjustRightInd w:val="0"/>
        <w:snapToGrid w:val="0"/>
        <w:spacing w:line="440" w:lineRule="exact"/>
        <w:ind w:firstLine="570"/>
        <w:rPr>
          <w:rFonts w:hint="eastAsia" w:hAnsi="宋体" w:cs="宋体"/>
          <w:snapToGrid w:val="0"/>
          <w:color w:val="auto"/>
          <w:kern w:val="0"/>
          <w:highlight w:val="none"/>
        </w:rPr>
      </w:pPr>
      <w:r>
        <w:rPr>
          <w:rFonts w:hint="eastAsia" w:hAnsi="宋体" w:cs="宋体"/>
          <w:snapToGrid w:val="0"/>
          <w:color w:val="auto"/>
          <w:kern w:val="0"/>
          <w:highlight w:val="none"/>
        </w:rPr>
        <w:t xml:space="preserve">  </w:t>
      </w:r>
    </w:p>
    <w:p w14:paraId="50F3747E">
      <w:pPr>
        <w:shd w:val="clear" w:color="auto" w:fill="auto"/>
        <w:wordWrap w:val="0"/>
        <w:adjustRightInd w:val="0"/>
        <w:snapToGrid w:val="0"/>
        <w:spacing w:line="440" w:lineRule="exact"/>
        <w:rPr>
          <w:rFonts w:hint="eastAsia" w:hAnsi="宋体" w:cs="宋体"/>
          <w:snapToGrid w:val="0"/>
          <w:color w:val="auto"/>
          <w:kern w:val="0"/>
          <w:highlight w:val="none"/>
        </w:rPr>
      </w:pPr>
    </w:p>
    <w:p w14:paraId="28EB69E4">
      <w:pPr>
        <w:shd w:val="clear" w:color="auto" w:fill="auto"/>
        <w:wordWrap w:val="0"/>
        <w:adjustRightInd w:val="0"/>
        <w:snapToGrid w:val="0"/>
        <w:spacing w:line="440" w:lineRule="exact"/>
        <w:jc w:val="right"/>
        <w:rPr>
          <w:rFonts w:hint="eastAsia" w:hAnsi="宋体" w:cs="宋体"/>
          <w:snapToGrid w:val="0"/>
          <w:color w:val="auto"/>
          <w:kern w:val="0"/>
          <w:highlight w:val="none"/>
        </w:rPr>
      </w:pPr>
      <w:r>
        <w:rPr>
          <w:rFonts w:hint="eastAsia" w:hAnsi="宋体" w:cs="宋体"/>
          <w:snapToGrid w:val="0"/>
          <w:color w:val="auto"/>
          <w:kern w:val="0"/>
          <w:highlight w:val="none"/>
        </w:rPr>
        <w:t xml:space="preserve">    投标人：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（盖单位章）</w:t>
      </w:r>
    </w:p>
    <w:p w14:paraId="4218ED5C">
      <w:pPr>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19EEE715">
      <w:pPr>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7B9EC1D9">
      <w:pPr>
        <w:shd w:val="clear" w:color="auto" w:fill="auto"/>
        <w:wordWrap w:val="0"/>
        <w:adjustRightInd w:val="0"/>
        <w:snapToGrid w:val="0"/>
        <w:spacing w:line="440" w:lineRule="exact"/>
        <w:ind w:firstLine="480" w:firstLineChars="200"/>
        <w:jc w:val="right"/>
        <w:rPr>
          <w:rFonts w:hint="eastAsia" w:hAnsi="宋体" w:cs="宋体"/>
          <w:snapToGrid w:val="0"/>
          <w:color w:val="auto"/>
          <w:kern w:val="0"/>
          <w:highlight w:val="none"/>
        </w:rPr>
      </w:pPr>
      <w:r>
        <w:rPr>
          <w:rFonts w:hint="eastAsia" w:hAnsi="宋体" w:cs="宋体"/>
          <w:snapToGrid w:val="0"/>
          <w:color w:val="auto"/>
          <w:kern w:val="0"/>
          <w:highlight w:val="none"/>
        </w:rPr>
        <w:t>法定代表人或其委托代理人：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（签字或盖章）</w:t>
      </w:r>
    </w:p>
    <w:p w14:paraId="0A02ED15">
      <w:pPr>
        <w:shd w:val="clear" w:color="auto" w:fill="auto"/>
        <w:wordWrap w:val="0"/>
        <w:adjustRightInd w:val="0"/>
        <w:snapToGrid w:val="0"/>
        <w:spacing w:line="440" w:lineRule="exact"/>
        <w:ind w:firstLine="480" w:firstLineChars="200"/>
        <w:jc w:val="right"/>
        <w:rPr>
          <w:rFonts w:hint="eastAsia" w:hAnsi="宋体" w:cs="宋体"/>
          <w:snapToGrid w:val="0"/>
          <w:color w:val="auto"/>
          <w:kern w:val="0"/>
          <w:highlight w:val="none"/>
        </w:rPr>
      </w:pPr>
    </w:p>
    <w:p w14:paraId="6FA8281C">
      <w:pPr>
        <w:shd w:val="clear" w:color="auto" w:fill="auto"/>
        <w:wordWrap w:val="0"/>
        <w:adjustRightInd w:val="0"/>
        <w:snapToGrid w:val="0"/>
        <w:spacing w:line="440" w:lineRule="exact"/>
        <w:jc w:val="left"/>
        <w:rPr>
          <w:rFonts w:hint="eastAsia" w:hAnsi="宋体" w:cs="宋体"/>
          <w:snapToGrid w:val="0"/>
          <w:color w:val="auto"/>
          <w:kern w:val="0"/>
          <w:highlight w:val="none"/>
        </w:rPr>
        <w:sectPr>
          <w:endnotePr>
            <w:numFmt w:val="decimal"/>
          </w:endnotePr>
          <w:pgSz w:w="11906" w:h="16838"/>
          <w:pgMar w:top="1701" w:right="1531" w:bottom="1417" w:left="1531" w:header="850" w:footer="992" w:gutter="0"/>
          <w:cols w:space="720" w:num="1"/>
          <w:rtlGutter w:val="0"/>
          <w:docGrid w:linePitch="327" w:charSpace="0"/>
        </w:sect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5308D688">
      <w:pPr>
        <w:pStyle w:val="50"/>
        <w:widowControl w:val="0"/>
        <w:shd w:val="clear" w:color="auto" w:fill="auto"/>
        <w:wordWrap w:val="0"/>
        <w:adjustRightInd w:val="0"/>
        <w:snapToGrid w:val="0"/>
        <w:spacing w:line="400" w:lineRule="exact"/>
        <w:ind w:firstLine="0"/>
        <w:outlineLvl w:val="2"/>
        <w:rPr>
          <w:rFonts w:hint="eastAsia" w:hAnsi="宋体" w:cs="宋体"/>
          <w:b/>
          <w:snapToGrid w:val="0"/>
          <w:color w:val="auto"/>
          <w:sz w:val="24"/>
          <w:highlight w:val="none"/>
        </w:rPr>
      </w:pPr>
      <w:bookmarkStart w:id="444" w:name="_Toc29984"/>
      <w:bookmarkStart w:id="445" w:name="_Toc16434"/>
      <w:bookmarkStart w:id="446" w:name="_Toc14883"/>
      <w:bookmarkStart w:id="447" w:name="_Toc14623"/>
      <w:bookmarkStart w:id="448" w:name="_Toc14902"/>
      <w:bookmarkStart w:id="449" w:name="_Toc10603"/>
      <w:bookmarkStart w:id="450" w:name="_Toc24246"/>
      <w:bookmarkStart w:id="451" w:name="_Toc14232"/>
      <w:bookmarkStart w:id="452" w:name="_Toc23192"/>
      <w:bookmarkStart w:id="453" w:name="_Toc13056"/>
      <w:r>
        <w:rPr>
          <w:rFonts w:hint="eastAsia" w:hAnsi="宋体" w:cs="宋体"/>
          <w:b/>
          <w:snapToGrid w:val="0"/>
          <w:color w:val="auto"/>
          <w:sz w:val="24"/>
          <w:highlight w:val="none"/>
        </w:rPr>
        <w:t>格式三 各项承诺一览表</w:t>
      </w:r>
      <w:bookmarkEnd w:id="444"/>
      <w:bookmarkEnd w:id="445"/>
      <w:bookmarkEnd w:id="446"/>
      <w:bookmarkEnd w:id="447"/>
      <w:bookmarkEnd w:id="448"/>
      <w:bookmarkEnd w:id="449"/>
      <w:bookmarkEnd w:id="450"/>
      <w:bookmarkEnd w:id="451"/>
      <w:bookmarkEnd w:id="452"/>
      <w:bookmarkEnd w:id="453"/>
    </w:p>
    <w:p w14:paraId="07463071">
      <w:pPr>
        <w:pStyle w:val="49"/>
        <w:keepNext w:val="0"/>
        <w:keepLines w:val="0"/>
        <w:widowControl w:val="0"/>
        <w:shd w:val="clear" w:color="auto" w:fill="auto"/>
        <w:wordWrap w:val="0"/>
        <w:adjustRightInd w:val="0"/>
        <w:snapToGrid w:val="0"/>
        <w:spacing w:before="260" w:after="260" w:line="440" w:lineRule="exact"/>
        <w:ind w:firstLine="0"/>
        <w:outlineLvl w:val="9"/>
        <w:rPr>
          <w:rFonts w:hint="eastAsia" w:hAnsi="宋体" w:cs="宋体"/>
          <w:b/>
          <w:snapToGrid w:val="0"/>
          <w:color w:val="auto"/>
          <w:sz w:val="30"/>
          <w:highlight w:val="none"/>
        </w:rPr>
      </w:pPr>
      <w:bookmarkStart w:id="454" w:name="_Toc5107"/>
      <w:bookmarkStart w:id="455" w:name="_Toc18353"/>
      <w:bookmarkStart w:id="456" w:name="_Toc14771"/>
      <w:bookmarkStart w:id="457" w:name="_Toc1307"/>
      <w:bookmarkStart w:id="458" w:name="_Toc5037"/>
      <w:bookmarkStart w:id="459" w:name="_Toc29590"/>
      <w:bookmarkStart w:id="460" w:name="_Toc26510"/>
      <w:bookmarkStart w:id="461" w:name="_Toc17252"/>
      <w:bookmarkStart w:id="462" w:name="_Toc10086"/>
    </w:p>
    <w:p w14:paraId="0416F206">
      <w:pPr>
        <w:pStyle w:val="49"/>
        <w:keepNext w:val="0"/>
        <w:keepLines w:val="0"/>
        <w:widowControl w:val="0"/>
        <w:shd w:val="clear" w:color="auto" w:fill="auto"/>
        <w:wordWrap w:val="0"/>
        <w:adjustRightInd w:val="0"/>
        <w:snapToGrid w:val="0"/>
        <w:spacing w:before="260" w:after="260" w:line="440" w:lineRule="exact"/>
        <w:ind w:firstLine="0"/>
        <w:outlineLvl w:val="9"/>
        <w:rPr>
          <w:rFonts w:hint="eastAsia" w:hAnsi="宋体" w:cs="宋体"/>
          <w:b/>
          <w:snapToGrid w:val="0"/>
          <w:color w:val="auto"/>
          <w:highlight w:val="none"/>
        </w:rPr>
      </w:pPr>
      <w:bookmarkStart w:id="463" w:name="_Toc19357"/>
      <w:bookmarkStart w:id="464" w:name="_Toc32020"/>
      <w:bookmarkStart w:id="465" w:name="_Toc23861"/>
      <w:r>
        <w:rPr>
          <w:rFonts w:hint="eastAsia" w:hAnsi="宋体" w:cs="宋体"/>
          <w:b/>
          <w:snapToGrid w:val="0"/>
          <w:color w:val="auto"/>
          <w:sz w:val="30"/>
          <w:highlight w:val="none"/>
        </w:rPr>
        <w:t>各项承诺一览表</w:t>
      </w:r>
      <w:bookmarkEnd w:id="454"/>
      <w:bookmarkEnd w:id="455"/>
      <w:bookmarkEnd w:id="456"/>
      <w:bookmarkEnd w:id="457"/>
      <w:bookmarkEnd w:id="458"/>
      <w:bookmarkEnd w:id="459"/>
      <w:bookmarkEnd w:id="460"/>
      <w:bookmarkEnd w:id="461"/>
      <w:bookmarkEnd w:id="462"/>
      <w:bookmarkEnd w:id="463"/>
      <w:bookmarkEnd w:id="464"/>
      <w:bookmarkEnd w:id="465"/>
    </w:p>
    <w:tbl>
      <w:tblPr>
        <w:tblStyle w:val="24"/>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815"/>
        <w:gridCol w:w="4127"/>
      </w:tblGrid>
      <w:tr w14:paraId="6C95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vAlign w:val="center"/>
          </w:tcPr>
          <w:p w14:paraId="23E9E9C4">
            <w:pPr>
              <w:pStyle w:val="46"/>
              <w:shd w:val="clear" w:color="auto" w:fill="auto"/>
              <w:wordWrap w:val="0"/>
              <w:adjustRightInd w:val="0"/>
              <w:snapToGrid w:val="0"/>
              <w:spacing w:line="380" w:lineRule="exact"/>
              <w:jc w:val="center"/>
              <w:rPr>
                <w:rFonts w:hint="eastAsia" w:hAnsi="宋体" w:cs="宋体"/>
                <w:bCs/>
                <w:snapToGrid w:val="0"/>
                <w:color w:val="auto"/>
                <w:kern w:val="0"/>
                <w:szCs w:val="21"/>
                <w:highlight w:val="none"/>
              </w:rPr>
            </w:pPr>
            <w:r>
              <w:rPr>
                <w:rFonts w:hint="eastAsia" w:hAnsi="宋体" w:cs="宋体"/>
                <w:bCs/>
                <w:snapToGrid w:val="0"/>
                <w:color w:val="auto"/>
                <w:kern w:val="0"/>
                <w:szCs w:val="21"/>
                <w:highlight w:val="none"/>
              </w:rPr>
              <w:t>序号</w:t>
            </w:r>
          </w:p>
        </w:tc>
        <w:tc>
          <w:tcPr>
            <w:tcW w:w="1573" w:type="dxa"/>
            <w:vAlign w:val="center"/>
          </w:tcPr>
          <w:p w14:paraId="798FD33A">
            <w:pPr>
              <w:pStyle w:val="46"/>
              <w:shd w:val="clear" w:color="auto" w:fill="auto"/>
              <w:wordWrap w:val="0"/>
              <w:adjustRightInd w:val="0"/>
              <w:snapToGrid w:val="0"/>
              <w:spacing w:line="380" w:lineRule="exact"/>
              <w:jc w:val="center"/>
              <w:rPr>
                <w:rFonts w:hint="eastAsia" w:hAnsi="宋体" w:cs="宋体"/>
                <w:bCs/>
                <w:snapToGrid w:val="0"/>
                <w:color w:val="auto"/>
                <w:kern w:val="0"/>
                <w:szCs w:val="21"/>
                <w:highlight w:val="none"/>
              </w:rPr>
            </w:pPr>
            <w:r>
              <w:rPr>
                <w:rFonts w:hint="eastAsia" w:hAnsi="宋体" w:cs="宋体"/>
                <w:bCs/>
                <w:snapToGrid w:val="0"/>
                <w:color w:val="auto"/>
                <w:kern w:val="0"/>
                <w:szCs w:val="21"/>
                <w:highlight w:val="none"/>
              </w:rPr>
              <w:t>承诺事项</w:t>
            </w:r>
          </w:p>
        </w:tc>
        <w:tc>
          <w:tcPr>
            <w:tcW w:w="2815" w:type="dxa"/>
            <w:vAlign w:val="center"/>
          </w:tcPr>
          <w:p w14:paraId="1D89CA8E">
            <w:pPr>
              <w:pStyle w:val="46"/>
              <w:shd w:val="clear" w:color="auto" w:fill="auto"/>
              <w:wordWrap w:val="0"/>
              <w:adjustRightInd w:val="0"/>
              <w:snapToGrid w:val="0"/>
              <w:spacing w:line="380" w:lineRule="exact"/>
              <w:jc w:val="center"/>
              <w:rPr>
                <w:rFonts w:hint="eastAsia" w:hAnsi="宋体" w:cs="宋体"/>
                <w:bCs/>
                <w:snapToGrid w:val="0"/>
                <w:color w:val="auto"/>
                <w:kern w:val="0"/>
                <w:szCs w:val="21"/>
                <w:highlight w:val="none"/>
              </w:rPr>
            </w:pPr>
            <w:r>
              <w:rPr>
                <w:rFonts w:hint="eastAsia" w:hAnsi="宋体" w:cs="宋体"/>
                <w:bCs/>
                <w:snapToGrid w:val="0"/>
                <w:color w:val="auto"/>
                <w:kern w:val="0"/>
                <w:szCs w:val="21"/>
                <w:highlight w:val="none"/>
              </w:rPr>
              <w:t>承诺内容</w:t>
            </w:r>
          </w:p>
        </w:tc>
        <w:tc>
          <w:tcPr>
            <w:tcW w:w="4127" w:type="dxa"/>
            <w:vAlign w:val="center"/>
          </w:tcPr>
          <w:p w14:paraId="38C666AF">
            <w:pPr>
              <w:pStyle w:val="46"/>
              <w:shd w:val="clear" w:color="auto" w:fill="auto"/>
              <w:wordWrap w:val="0"/>
              <w:adjustRightInd w:val="0"/>
              <w:snapToGrid w:val="0"/>
              <w:spacing w:line="380" w:lineRule="exact"/>
              <w:jc w:val="center"/>
              <w:rPr>
                <w:rFonts w:hint="eastAsia" w:hAnsi="宋体" w:cs="宋体"/>
                <w:bCs/>
                <w:snapToGrid w:val="0"/>
                <w:color w:val="auto"/>
                <w:kern w:val="0"/>
                <w:szCs w:val="21"/>
                <w:highlight w:val="none"/>
              </w:rPr>
            </w:pPr>
            <w:r>
              <w:rPr>
                <w:rFonts w:hint="eastAsia" w:hAnsi="宋体" w:cs="宋体"/>
                <w:bCs/>
                <w:snapToGrid w:val="0"/>
                <w:color w:val="auto"/>
                <w:kern w:val="0"/>
                <w:szCs w:val="21"/>
                <w:highlight w:val="none"/>
              </w:rPr>
              <w:t>违约承诺</w:t>
            </w:r>
          </w:p>
        </w:tc>
      </w:tr>
      <w:tr w14:paraId="27BA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vAlign w:val="center"/>
          </w:tcPr>
          <w:p w14:paraId="56867309">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573" w:type="dxa"/>
            <w:vAlign w:val="center"/>
          </w:tcPr>
          <w:p w14:paraId="65C4E813">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自愿接受招标</w:t>
            </w:r>
          </w:p>
          <w:p w14:paraId="0BBC7CCF">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文件条款的承诺</w:t>
            </w:r>
          </w:p>
        </w:tc>
        <w:tc>
          <w:tcPr>
            <w:tcW w:w="2815" w:type="dxa"/>
            <w:vAlign w:val="center"/>
          </w:tcPr>
          <w:p w14:paraId="7B1443A4">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我方自愿接受招标文件的所有条款，所递交的投标文件已经充分响应招标文件的实质性要求。</w:t>
            </w:r>
          </w:p>
        </w:tc>
        <w:tc>
          <w:tcPr>
            <w:tcW w:w="4127" w:type="dxa"/>
            <w:vAlign w:val="center"/>
          </w:tcPr>
          <w:p w14:paraId="00E33048">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11B5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vAlign w:val="center"/>
          </w:tcPr>
          <w:p w14:paraId="109CDC10">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573" w:type="dxa"/>
            <w:vAlign w:val="center"/>
          </w:tcPr>
          <w:p w14:paraId="55A83A8F">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无禁止投标</w:t>
            </w:r>
          </w:p>
          <w:p w14:paraId="74777DB9">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情形的承诺</w:t>
            </w:r>
          </w:p>
        </w:tc>
        <w:tc>
          <w:tcPr>
            <w:tcW w:w="2815" w:type="dxa"/>
            <w:vAlign w:val="center"/>
          </w:tcPr>
          <w:p w14:paraId="685B5BE1">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我方不存在招标文件第一章第三节第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w:t>
            </w:r>
          </w:p>
        </w:tc>
        <w:tc>
          <w:tcPr>
            <w:tcW w:w="4127" w:type="dxa"/>
            <w:vAlign w:val="center"/>
          </w:tcPr>
          <w:p w14:paraId="5531384A">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如果我方有招标文件第一章第三节第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025A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vAlign w:val="center"/>
          </w:tcPr>
          <w:p w14:paraId="616E861C">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573" w:type="dxa"/>
            <w:vAlign w:val="center"/>
          </w:tcPr>
          <w:p w14:paraId="1A79AD0A">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自觉抵制围标</w:t>
            </w:r>
          </w:p>
          <w:p w14:paraId="2B7A1AE1">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串标和弄虚</w:t>
            </w:r>
          </w:p>
          <w:p w14:paraId="74D337EA">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作假行为的承诺</w:t>
            </w:r>
          </w:p>
        </w:tc>
        <w:tc>
          <w:tcPr>
            <w:tcW w:w="2815" w:type="dxa"/>
            <w:vAlign w:val="center"/>
          </w:tcPr>
          <w:p w14:paraId="42903AB3">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我方合法正当、诚实守信地参与投标，不组织、不参加围标串标违法行为，不通过弄虚作假行为骗取中标。</w:t>
            </w:r>
          </w:p>
        </w:tc>
        <w:tc>
          <w:tcPr>
            <w:tcW w:w="4127" w:type="dxa"/>
            <w:vAlign w:val="center"/>
          </w:tcPr>
          <w:p w14:paraId="4DD2B336">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3C8A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vAlign w:val="center"/>
          </w:tcPr>
          <w:p w14:paraId="47A90B26">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w:t>
            </w:r>
          </w:p>
        </w:tc>
        <w:tc>
          <w:tcPr>
            <w:tcW w:w="1573" w:type="dxa"/>
            <w:vAlign w:val="center"/>
          </w:tcPr>
          <w:p w14:paraId="3B5882D1">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总监理工程师</w:t>
            </w:r>
          </w:p>
          <w:p w14:paraId="6A857FFA">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任职承诺</w:t>
            </w:r>
          </w:p>
        </w:tc>
        <w:tc>
          <w:tcPr>
            <w:tcW w:w="2815" w:type="dxa"/>
            <w:vAlign w:val="center"/>
          </w:tcPr>
          <w:p w14:paraId="60F4E8E1">
            <w:pPr>
              <w:pStyle w:val="45"/>
              <w:shd w:val="clear" w:color="auto" w:fill="auto"/>
              <w:wordWrap w:val="0"/>
              <w:adjustRightInd w:val="0"/>
              <w:snapToGrid w:val="0"/>
              <w:spacing w:line="380" w:lineRule="exact"/>
              <w:ind w:firstLine="0" w:firstLineChars="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我方拟委派的总监理工程师现阶段未担任总监理工程师的在施（包括已中标未开工、已开工未竣工）建设工程项目不超过2个，经任职项目的建设单位同意，参加本项目投标。</w:t>
            </w:r>
          </w:p>
        </w:tc>
        <w:tc>
          <w:tcPr>
            <w:tcW w:w="4127" w:type="dxa"/>
            <w:vAlign w:val="center"/>
          </w:tcPr>
          <w:p w14:paraId="192968FA">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拟委派的总监理工程师在本工程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238C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16" w:type="dxa"/>
            <w:vAlign w:val="center"/>
          </w:tcPr>
          <w:p w14:paraId="5BD3CC09">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5</w:t>
            </w:r>
          </w:p>
        </w:tc>
        <w:tc>
          <w:tcPr>
            <w:tcW w:w="1573" w:type="dxa"/>
            <w:vAlign w:val="center"/>
          </w:tcPr>
          <w:p w14:paraId="07D0AE29">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0D83458E">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真实性承诺</w:t>
            </w:r>
          </w:p>
        </w:tc>
        <w:tc>
          <w:tcPr>
            <w:tcW w:w="2815" w:type="dxa"/>
            <w:vAlign w:val="center"/>
          </w:tcPr>
          <w:p w14:paraId="0C013926">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我方所递交投标文件的全部内容均为真实、有效、准确的。</w:t>
            </w:r>
          </w:p>
        </w:tc>
        <w:tc>
          <w:tcPr>
            <w:tcW w:w="4127" w:type="dxa"/>
            <w:vAlign w:val="center"/>
          </w:tcPr>
          <w:p w14:paraId="3884F018">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7C5D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7AC346A8">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6</w:t>
            </w:r>
          </w:p>
        </w:tc>
        <w:tc>
          <w:tcPr>
            <w:tcW w:w="1573" w:type="dxa"/>
            <w:vAlign w:val="center"/>
          </w:tcPr>
          <w:p w14:paraId="678B84C2">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61832187">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815" w:type="dxa"/>
            <w:vAlign w:val="center"/>
          </w:tcPr>
          <w:p w14:paraId="5172C8DA">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我方提供完整的电子文件。如果我方成为本工程中标候选人，我方同意并授权招标人在评标结果公示期内公开我方商务标书的全部内容。</w:t>
            </w:r>
          </w:p>
        </w:tc>
        <w:tc>
          <w:tcPr>
            <w:tcW w:w="4127" w:type="dxa"/>
            <w:vAlign w:val="center"/>
          </w:tcPr>
          <w:p w14:paraId="5987EB86">
            <w:pPr>
              <w:pStyle w:val="45"/>
              <w:shd w:val="clear" w:color="auto" w:fill="auto"/>
              <w:wordWrap w:val="0"/>
              <w:adjustRightInd w:val="0"/>
              <w:snapToGrid w:val="0"/>
              <w:spacing w:line="380" w:lineRule="exact"/>
              <w:ind w:firstLine="0" w:firstLineChars="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如果我方提供的电子文件不完整，我方接受招标人依据招标文件作出的相应处理。</w:t>
            </w:r>
          </w:p>
        </w:tc>
      </w:tr>
      <w:tr w14:paraId="1288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168EBAA0">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7</w:t>
            </w:r>
          </w:p>
        </w:tc>
        <w:tc>
          <w:tcPr>
            <w:tcW w:w="1573" w:type="dxa"/>
            <w:vAlign w:val="center"/>
          </w:tcPr>
          <w:p w14:paraId="31875E1C">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按时提交履约</w:t>
            </w:r>
          </w:p>
          <w:p w14:paraId="16938B37">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保证的承诺</w:t>
            </w:r>
          </w:p>
        </w:tc>
        <w:tc>
          <w:tcPr>
            <w:tcW w:w="2815" w:type="dxa"/>
            <w:vAlign w:val="center"/>
          </w:tcPr>
          <w:p w14:paraId="7EEAB57C">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如果我方中标，我方保证在招标文件规定的时限内全额提交履约保证。</w:t>
            </w:r>
          </w:p>
        </w:tc>
        <w:tc>
          <w:tcPr>
            <w:tcW w:w="4127" w:type="dxa"/>
            <w:vAlign w:val="center"/>
          </w:tcPr>
          <w:p w14:paraId="7A8C4248">
            <w:pPr>
              <w:pStyle w:val="45"/>
              <w:shd w:val="clear" w:color="auto" w:fill="auto"/>
              <w:wordWrap w:val="0"/>
              <w:adjustRightInd w:val="0"/>
              <w:snapToGrid w:val="0"/>
              <w:spacing w:line="380" w:lineRule="exact"/>
              <w:ind w:firstLine="0" w:firstLineChars="0"/>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169C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vAlign w:val="center"/>
          </w:tcPr>
          <w:p w14:paraId="1614616F">
            <w:pPr>
              <w:pStyle w:val="46"/>
              <w:shd w:val="clear" w:color="auto" w:fill="auto"/>
              <w:wordWrap w:val="0"/>
              <w:adjustRightInd w:val="0"/>
              <w:snapToGrid w:val="0"/>
              <w:spacing w:line="380" w:lineRule="exact"/>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8</w:t>
            </w:r>
          </w:p>
        </w:tc>
        <w:tc>
          <w:tcPr>
            <w:tcW w:w="1573" w:type="dxa"/>
            <w:vAlign w:val="center"/>
          </w:tcPr>
          <w:p w14:paraId="05C4B122">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按时签订合同</w:t>
            </w:r>
          </w:p>
          <w:p w14:paraId="0F5BADAC">
            <w:pPr>
              <w:pStyle w:val="45"/>
              <w:shd w:val="clear" w:color="auto" w:fill="auto"/>
              <w:wordWrap w:val="0"/>
              <w:adjustRightInd w:val="0"/>
              <w:snapToGrid w:val="0"/>
              <w:spacing w:line="380" w:lineRule="exact"/>
              <w:ind w:firstLine="0" w:firstLineChars="0"/>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的承诺</w:t>
            </w:r>
          </w:p>
        </w:tc>
        <w:tc>
          <w:tcPr>
            <w:tcW w:w="2815" w:type="dxa"/>
            <w:vAlign w:val="center"/>
          </w:tcPr>
          <w:p w14:paraId="1F6D8D36">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127" w:type="dxa"/>
            <w:vAlign w:val="center"/>
          </w:tcPr>
          <w:p w14:paraId="69D0EA37">
            <w:pPr>
              <w:pStyle w:val="45"/>
              <w:shd w:val="clear" w:color="auto" w:fill="auto"/>
              <w:wordWrap w:val="0"/>
              <w:adjustRightInd w:val="0"/>
              <w:snapToGrid w:val="0"/>
              <w:spacing w:line="38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528CE93A">
      <w:pPr>
        <w:pStyle w:val="46"/>
        <w:shd w:val="clear" w:color="auto" w:fill="auto"/>
        <w:wordWrap w:val="0"/>
        <w:adjustRightInd w:val="0"/>
        <w:snapToGrid w:val="0"/>
        <w:spacing w:line="420" w:lineRule="exact"/>
        <w:jc w:val="left"/>
        <w:rPr>
          <w:rFonts w:hint="eastAsia" w:hAnsi="宋体" w:cs="宋体"/>
          <w:snapToGrid w:val="0"/>
          <w:color w:val="auto"/>
          <w:kern w:val="0"/>
          <w:highlight w:val="none"/>
        </w:rPr>
      </w:pPr>
    </w:p>
    <w:p w14:paraId="775A2291">
      <w:pPr>
        <w:pStyle w:val="46"/>
        <w:shd w:val="clear" w:color="auto" w:fill="auto"/>
        <w:wordWrap w:val="0"/>
        <w:adjustRightInd w:val="0"/>
        <w:snapToGrid w:val="0"/>
        <w:spacing w:line="420" w:lineRule="exact"/>
        <w:jc w:val="left"/>
        <w:rPr>
          <w:rFonts w:hint="eastAsia" w:hAnsi="宋体" w:cs="宋体"/>
          <w:snapToGrid w:val="0"/>
          <w:color w:val="auto"/>
          <w:kern w:val="0"/>
          <w:highlight w:val="none"/>
        </w:rPr>
      </w:pPr>
    </w:p>
    <w:p w14:paraId="79A012A2">
      <w:pPr>
        <w:pStyle w:val="15"/>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428F26E9">
      <w:pPr>
        <w:pStyle w:val="15"/>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p>
    <w:p w14:paraId="0CDBFCE9">
      <w:pPr>
        <w:pStyle w:val="15"/>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p>
    <w:p w14:paraId="020AE0B8">
      <w:pPr>
        <w:pStyle w:val="15"/>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4E52A068">
      <w:pPr>
        <w:pStyle w:val="15"/>
        <w:shd w:val="clear" w:color="auto" w:fill="auto"/>
        <w:wordWrap w:val="0"/>
        <w:adjustRightInd w:val="0"/>
        <w:snapToGrid w:val="0"/>
        <w:spacing w:line="420" w:lineRule="exact"/>
        <w:ind w:firstLine="480" w:firstLineChars="200"/>
        <w:rPr>
          <w:rFonts w:hint="eastAsia" w:hAnsi="宋体" w:cs="宋体"/>
          <w:snapToGrid w:val="0"/>
          <w:color w:val="auto"/>
          <w:kern w:val="0"/>
          <w:szCs w:val="24"/>
          <w:highlight w:val="none"/>
        </w:rPr>
      </w:pPr>
    </w:p>
    <w:p w14:paraId="5F208A43">
      <w:pPr>
        <w:pStyle w:val="15"/>
        <w:shd w:val="clear" w:color="auto" w:fill="auto"/>
        <w:wordWrap w:val="0"/>
        <w:adjustRightInd w:val="0"/>
        <w:snapToGrid w:val="0"/>
        <w:spacing w:line="420" w:lineRule="exact"/>
        <w:ind w:firstLine="480" w:firstLineChars="200"/>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45B7037D">
      <w:pPr>
        <w:shd w:val="clear" w:color="auto" w:fill="auto"/>
        <w:wordWrap w:val="0"/>
        <w:adjustRightInd w:val="0"/>
        <w:snapToGrid w:val="0"/>
        <w:spacing w:line="420" w:lineRule="exact"/>
        <w:jc w:val="left"/>
        <w:rPr>
          <w:rFonts w:hint="eastAsia" w:hAnsi="宋体" w:cs="宋体"/>
          <w:b/>
          <w:snapToGrid w:val="0"/>
          <w:color w:val="auto"/>
          <w:kern w:val="0"/>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7B4FD757">
      <w:pPr>
        <w:shd w:val="clear" w:color="auto" w:fill="auto"/>
        <w:wordWrap w:val="0"/>
        <w:adjustRightInd w:val="0"/>
        <w:snapToGrid w:val="0"/>
        <w:spacing w:line="440" w:lineRule="exact"/>
        <w:outlineLvl w:val="2"/>
        <w:rPr>
          <w:rFonts w:hint="eastAsia" w:hAnsi="宋体" w:cs="宋体"/>
          <w:b/>
          <w:bCs/>
          <w:snapToGrid w:val="0"/>
          <w:color w:val="auto"/>
          <w:kern w:val="0"/>
          <w:szCs w:val="24"/>
          <w:highlight w:val="none"/>
        </w:rPr>
      </w:pPr>
      <w:bookmarkStart w:id="466" w:name="_Toc5737"/>
      <w:bookmarkStart w:id="467" w:name="_Toc20101"/>
      <w:bookmarkStart w:id="468" w:name="_Toc5400"/>
      <w:bookmarkStart w:id="469" w:name="_Toc27498"/>
      <w:bookmarkStart w:id="470" w:name="_Toc25795"/>
      <w:bookmarkStart w:id="471" w:name="_Toc1983"/>
      <w:bookmarkStart w:id="472" w:name="_Toc22067"/>
      <w:bookmarkStart w:id="473" w:name="_Toc26511"/>
      <w:bookmarkStart w:id="474" w:name="_Toc25885"/>
      <w:bookmarkStart w:id="475" w:name="_Toc19386"/>
      <w:r>
        <w:rPr>
          <w:rFonts w:hint="eastAsia" w:hAnsi="宋体" w:cs="宋体"/>
          <w:b/>
          <w:bCs/>
          <w:snapToGrid w:val="0"/>
          <w:color w:val="auto"/>
          <w:kern w:val="0"/>
          <w:szCs w:val="24"/>
          <w:highlight w:val="none"/>
        </w:rPr>
        <w:t>格式四 法定代表人授权委托书</w:t>
      </w:r>
      <w:bookmarkEnd w:id="466"/>
      <w:bookmarkEnd w:id="467"/>
      <w:bookmarkEnd w:id="468"/>
      <w:bookmarkEnd w:id="469"/>
      <w:bookmarkEnd w:id="470"/>
      <w:bookmarkEnd w:id="471"/>
      <w:bookmarkEnd w:id="472"/>
      <w:bookmarkEnd w:id="473"/>
      <w:bookmarkEnd w:id="474"/>
      <w:bookmarkEnd w:id="475"/>
    </w:p>
    <w:p w14:paraId="4FDEEDDB">
      <w:pPr>
        <w:shd w:val="clear" w:color="auto" w:fill="auto"/>
        <w:wordWrap w:val="0"/>
        <w:adjustRightInd w:val="0"/>
        <w:snapToGrid w:val="0"/>
        <w:spacing w:line="440" w:lineRule="exact"/>
        <w:rPr>
          <w:rFonts w:hint="eastAsia" w:hAnsi="宋体" w:cs="宋体"/>
          <w:b/>
          <w:bCs/>
          <w:snapToGrid w:val="0"/>
          <w:color w:val="auto"/>
          <w:kern w:val="0"/>
          <w:szCs w:val="24"/>
          <w:highlight w:val="none"/>
        </w:rPr>
      </w:pPr>
    </w:p>
    <w:p w14:paraId="7F8C5225">
      <w:pPr>
        <w:shd w:val="clear" w:color="auto" w:fill="auto"/>
        <w:wordWrap w:val="0"/>
        <w:adjustRightInd w:val="0"/>
        <w:snapToGrid w:val="0"/>
        <w:spacing w:before="260" w:after="260" w:line="440" w:lineRule="exact"/>
        <w:jc w:val="center"/>
        <w:rPr>
          <w:rFonts w:hint="eastAsia" w:hAnsi="宋体" w:cs="宋体"/>
          <w:b/>
          <w:snapToGrid w:val="0"/>
          <w:color w:val="auto"/>
          <w:kern w:val="0"/>
          <w:highlight w:val="none"/>
        </w:rPr>
      </w:pPr>
      <w:r>
        <w:rPr>
          <w:rFonts w:hint="eastAsia" w:hAnsi="宋体" w:cs="宋体"/>
          <w:b/>
          <w:snapToGrid w:val="0"/>
          <w:color w:val="auto"/>
          <w:kern w:val="0"/>
          <w:sz w:val="30"/>
          <w:highlight w:val="none"/>
        </w:rPr>
        <w:t>法定代表人授权委托书</w:t>
      </w:r>
    </w:p>
    <w:p w14:paraId="6E264E0C">
      <w:pPr>
        <w:shd w:val="clear" w:color="auto" w:fill="auto"/>
        <w:wordWrap w:val="0"/>
        <w:adjustRightInd w:val="0"/>
        <w:snapToGrid w:val="0"/>
        <w:spacing w:line="440" w:lineRule="exact"/>
        <w:rPr>
          <w:rFonts w:hint="eastAsia" w:hAnsi="宋体" w:cs="宋体"/>
          <w:snapToGrid w:val="0"/>
          <w:color w:val="auto"/>
          <w:kern w:val="0"/>
          <w:szCs w:val="28"/>
          <w:highlight w:val="none"/>
        </w:rPr>
      </w:pPr>
    </w:p>
    <w:p w14:paraId="6534A317">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本人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（投标人名称）的法定代表人，现委托</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（姓名）为我方代理人。代理人根据授权，以我方名义签署、澄清、说明、补正、递交、撤回、修改</w:t>
      </w:r>
      <w:r>
        <w:rPr>
          <w:rFonts w:hint="eastAsia" w:hAnsi="宋体" w:cs="宋体"/>
          <w:snapToGrid w:val="0"/>
          <w:color w:val="auto"/>
          <w:kern w:val="0"/>
          <w:szCs w:val="21"/>
          <w:highlight w:val="none"/>
          <w:u w:val="single"/>
          <w:lang w:val="en-US" w:eastAsia="zh-CN"/>
        </w:rPr>
        <w:t xml:space="preserve">       （项目名称）   </w:t>
      </w:r>
      <w:r>
        <w:rPr>
          <w:rFonts w:hint="eastAsia" w:hAnsi="宋体" w:cs="宋体"/>
          <w:snapToGrid w:val="0"/>
          <w:color w:val="auto"/>
          <w:kern w:val="0"/>
          <w:szCs w:val="21"/>
          <w:highlight w:val="none"/>
        </w:rPr>
        <w:t>投标文件、签订合同和处理有关事宜，其法律后果由我方承担。</w:t>
      </w:r>
    </w:p>
    <w:p w14:paraId="174E9BEC">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委托期限：至</w:t>
      </w:r>
      <w:r>
        <w:rPr>
          <w:rFonts w:hint="eastAsia" w:hAnsi="宋体" w:cs="宋体"/>
          <w:snapToGrid w:val="0"/>
          <w:color w:val="auto"/>
          <w:kern w:val="0"/>
          <w:szCs w:val="21"/>
          <w:highlight w:val="none"/>
          <w:u w:val="single"/>
        </w:rPr>
        <w:t xml:space="preserve">     年   月   日</w:t>
      </w:r>
      <w:r>
        <w:rPr>
          <w:rFonts w:hint="eastAsia" w:hAnsi="宋体" w:cs="宋体"/>
          <w:snapToGrid w:val="0"/>
          <w:color w:val="auto"/>
          <w:kern w:val="0"/>
          <w:szCs w:val="21"/>
          <w:highlight w:val="none"/>
        </w:rPr>
        <w:t>。</w:t>
      </w:r>
    </w:p>
    <w:p w14:paraId="0CB8D2F8">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代理人无转委托权。</w:t>
      </w:r>
    </w:p>
    <w:p w14:paraId="7C2D1417">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69C51C36">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42BBDA8F">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4CF8A792">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w:t>
      </w:r>
    </w:p>
    <w:p w14:paraId="74AD769C">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2553D014">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189B2A60">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5AD1348D">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3D505E07">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w:t>
      </w:r>
    </w:p>
    <w:p w14:paraId="2C863BF1">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0D37E948">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0D870D87">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31CBFCB5">
      <w:pPr>
        <w:shd w:val="clear" w:color="auto" w:fill="auto"/>
        <w:wordWrap w:val="0"/>
        <w:adjustRightInd w:val="0"/>
        <w:snapToGrid w:val="0"/>
        <w:ind w:firstLine="6440" w:firstLineChars="2300"/>
        <w:rPr>
          <w:rFonts w:hint="eastAsia" w:hAnsi="宋体" w:cs="宋体"/>
          <w:snapToGrid w:val="0"/>
          <w:color w:val="auto"/>
          <w:highlight w:val="none"/>
        </w:rPr>
      </w:pPr>
      <w:r>
        <w:rPr>
          <w:rFonts w:hint="eastAsia" w:hAnsi="宋体" w:cs="宋体"/>
          <w:snapToGrid w:val="0"/>
          <w:color w:val="auto"/>
          <w:kern w:val="0"/>
          <w:sz w:val="28"/>
          <w:szCs w:val="28"/>
          <w:highlight w:val="none"/>
          <w:u w:val="single"/>
        </w:rPr>
        <mc:AlternateContent>
          <mc:Choice Requires="wps">
            <w:drawing>
              <wp:anchor distT="0" distB="0" distL="0" distR="0" simplePos="0" relativeHeight="251659264"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26"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F08B2D9">
                            <w:pPr>
                              <w:pStyle w:val="6"/>
                              <w:rPr>
                                <w:rFonts w:hint="eastAsia"/>
                              </w:rPr>
                            </w:pPr>
                          </w:p>
                          <w:p w14:paraId="1FAF69C3">
                            <w:pPr>
                              <w:jc w:val="center"/>
                              <w:rPr>
                                <w:szCs w:val="21"/>
                              </w:rPr>
                            </w:pPr>
                            <w:r>
                              <w:rPr>
                                <w:rFonts w:hint="eastAsia"/>
                                <w:szCs w:val="21"/>
                              </w:rPr>
                              <w:t>委托代理人</w:t>
                            </w:r>
                            <w:r>
                              <w:rPr>
                                <w:rFonts w:hint="eastAsia"/>
                                <w:color w:val="auto"/>
                                <w:szCs w:val="21"/>
                              </w:rPr>
                              <w:t>身份证</w:t>
                            </w:r>
                            <w:r>
                              <w:rPr>
                                <w:rFonts w:hint="eastAsia"/>
                                <w:color w:val="auto"/>
                                <w:szCs w:val="21"/>
                                <w:lang w:val="en-US" w:eastAsia="zh-CN"/>
                              </w:rPr>
                              <w:t>彩色扫描</w:t>
                            </w:r>
                            <w:r>
                              <w:rPr>
                                <w:rFonts w:hint="eastAsia"/>
                                <w:szCs w:val="21"/>
                                <w:lang w:val="en-US" w:eastAsia="zh-CN"/>
                              </w:rPr>
                              <w:t>件</w:t>
                            </w:r>
                            <w:r>
                              <w:rPr>
                                <w:rFonts w:hint="eastAsia"/>
                                <w:szCs w:val="21"/>
                              </w:rPr>
                              <w:t>正、反面</w:t>
                            </w:r>
                          </w:p>
                        </w:txbxContent>
                      </wps:txbx>
                      <wps:bodyPr wrap="square" upright="1"/>
                    </wps:wsp>
                  </a:graphicData>
                </a:graphic>
              </wp:anchor>
            </w:drawing>
          </mc:Choice>
          <mc:Fallback>
            <w:pict>
              <v:shape id="流程图: 可选过程 3" o:spid="_x0000_s1026" o:spt="176" type="#_x0000_t176" style="position:absolute;left:0pt;margin-left:115.5pt;margin-top:2.6pt;height:124.75pt;width:251.25pt;z-index:251659264;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rJ9Os2AAAAAkBAAAPAAAAAAAAAAEAIAAAACIAAABkcnMvZG93bnJl&#10;di54bWxQSwECFAAUAAAACACHTuJAvFyD1DYCAABhBAAADgAAAAAAAAABACAAAAAnAQAAZHJzL2Uy&#10;b0RvYy54bWxQSwUGAAAAAAYABgBZAQAAzwUAAAAA&#10;">
                <v:fill on="t" focussize="0,0"/>
                <v:stroke color="#000000" joinstyle="miter"/>
                <v:imagedata o:title=""/>
                <o:lock v:ext="edit" aspectratio="f"/>
                <v:textbox>
                  <w:txbxContent>
                    <w:p w14:paraId="7F08B2D9">
                      <w:pPr>
                        <w:pStyle w:val="6"/>
                        <w:rPr>
                          <w:rFonts w:hint="eastAsia"/>
                        </w:rPr>
                      </w:pPr>
                    </w:p>
                    <w:p w14:paraId="1FAF69C3">
                      <w:pPr>
                        <w:jc w:val="center"/>
                        <w:rPr>
                          <w:szCs w:val="21"/>
                        </w:rPr>
                      </w:pPr>
                      <w:r>
                        <w:rPr>
                          <w:rFonts w:hint="eastAsia"/>
                          <w:szCs w:val="21"/>
                        </w:rPr>
                        <w:t>委托代理人</w:t>
                      </w:r>
                      <w:r>
                        <w:rPr>
                          <w:rFonts w:hint="eastAsia"/>
                          <w:color w:val="auto"/>
                          <w:szCs w:val="21"/>
                        </w:rPr>
                        <w:t>身份证</w:t>
                      </w:r>
                      <w:r>
                        <w:rPr>
                          <w:rFonts w:hint="eastAsia"/>
                          <w:color w:val="auto"/>
                          <w:szCs w:val="21"/>
                          <w:lang w:val="en-US" w:eastAsia="zh-CN"/>
                        </w:rPr>
                        <w:t>彩色扫描</w:t>
                      </w:r>
                      <w:r>
                        <w:rPr>
                          <w:rFonts w:hint="eastAsia"/>
                          <w:szCs w:val="21"/>
                          <w:lang w:val="en-US" w:eastAsia="zh-CN"/>
                        </w:rPr>
                        <w:t>件</w:t>
                      </w:r>
                      <w:r>
                        <w:rPr>
                          <w:rFonts w:hint="eastAsia"/>
                          <w:szCs w:val="21"/>
                        </w:rPr>
                        <w:t>正、反面</w:t>
                      </w:r>
                    </w:p>
                  </w:txbxContent>
                </v:textbox>
              </v:shape>
            </w:pict>
          </mc:Fallback>
        </mc:AlternateContent>
      </w:r>
    </w:p>
    <w:p w14:paraId="700D2B6A">
      <w:pPr>
        <w:pStyle w:val="5"/>
        <w:widowControl w:val="0"/>
        <w:shd w:val="clear" w:color="auto" w:fill="auto"/>
        <w:wordWrap w:val="0"/>
        <w:adjustRightInd w:val="0"/>
        <w:snapToGrid w:val="0"/>
        <w:rPr>
          <w:rFonts w:hint="eastAsia" w:hAnsi="宋体" w:cs="宋体"/>
          <w:snapToGrid w:val="0"/>
          <w:color w:val="auto"/>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33316FD5">
      <w:pPr>
        <w:shd w:val="clear" w:color="auto" w:fill="auto"/>
        <w:wordWrap w:val="0"/>
        <w:adjustRightInd w:val="0"/>
        <w:snapToGrid w:val="0"/>
        <w:spacing w:line="440" w:lineRule="exact"/>
        <w:outlineLvl w:val="2"/>
        <w:rPr>
          <w:rFonts w:hint="eastAsia" w:hAnsi="宋体" w:cs="宋体"/>
          <w:b/>
          <w:snapToGrid w:val="0"/>
          <w:color w:val="auto"/>
          <w:kern w:val="0"/>
          <w:highlight w:val="none"/>
        </w:rPr>
      </w:pPr>
      <w:bookmarkStart w:id="476" w:name="_Toc15003"/>
      <w:bookmarkStart w:id="477" w:name="_Toc20383"/>
      <w:bookmarkStart w:id="478" w:name="_Toc9833"/>
      <w:bookmarkStart w:id="479" w:name="_Toc18620"/>
      <w:bookmarkStart w:id="480" w:name="_Toc10825"/>
      <w:bookmarkStart w:id="481" w:name="_Toc4361"/>
      <w:bookmarkStart w:id="482" w:name="_Toc11316"/>
      <w:bookmarkStart w:id="483" w:name="_Toc16963"/>
      <w:bookmarkStart w:id="484" w:name="_Toc30014"/>
      <w:bookmarkStart w:id="485" w:name="_Toc11496"/>
      <w:r>
        <w:rPr>
          <w:rFonts w:hint="eastAsia" w:hAnsi="宋体" w:cs="宋体"/>
          <w:b/>
          <w:snapToGrid w:val="0"/>
          <w:color w:val="auto"/>
          <w:kern w:val="0"/>
          <w:highlight w:val="none"/>
        </w:rPr>
        <w:t>格式五 法定代表人身份证明</w:t>
      </w:r>
      <w:bookmarkEnd w:id="476"/>
      <w:bookmarkEnd w:id="477"/>
      <w:bookmarkEnd w:id="478"/>
      <w:bookmarkEnd w:id="479"/>
      <w:bookmarkEnd w:id="480"/>
      <w:bookmarkEnd w:id="481"/>
      <w:bookmarkEnd w:id="482"/>
      <w:bookmarkEnd w:id="483"/>
      <w:bookmarkEnd w:id="484"/>
      <w:bookmarkEnd w:id="485"/>
    </w:p>
    <w:p w14:paraId="67F71AFE">
      <w:pPr>
        <w:shd w:val="clear" w:color="auto" w:fill="auto"/>
        <w:wordWrap w:val="0"/>
        <w:adjustRightInd w:val="0"/>
        <w:snapToGrid w:val="0"/>
        <w:spacing w:line="440" w:lineRule="exact"/>
        <w:rPr>
          <w:rFonts w:hint="eastAsia" w:hAnsi="宋体" w:cs="宋体"/>
          <w:b/>
          <w:snapToGrid w:val="0"/>
          <w:color w:val="auto"/>
          <w:kern w:val="0"/>
          <w:highlight w:val="none"/>
        </w:rPr>
      </w:pPr>
    </w:p>
    <w:p w14:paraId="633C9326">
      <w:pPr>
        <w:shd w:val="clear" w:color="auto" w:fill="auto"/>
        <w:wordWrap w:val="0"/>
        <w:adjustRightInd w:val="0"/>
        <w:snapToGrid w:val="0"/>
        <w:spacing w:before="260" w:after="260" w:line="440" w:lineRule="exact"/>
        <w:jc w:val="center"/>
        <w:rPr>
          <w:rFonts w:hint="eastAsia" w:hAnsi="宋体" w:cs="宋体"/>
          <w:b/>
          <w:snapToGrid w:val="0"/>
          <w:color w:val="auto"/>
          <w:kern w:val="0"/>
          <w:highlight w:val="none"/>
        </w:rPr>
      </w:pPr>
      <w:r>
        <w:rPr>
          <w:rFonts w:hint="eastAsia" w:hAnsi="宋体" w:cs="宋体"/>
          <w:b/>
          <w:snapToGrid w:val="0"/>
          <w:color w:val="auto"/>
          <w:kern w:val="0"/>
          <w:sz w:val="30"/>
          <w:highlight w:val="none"/>
        </w:rPr>
        <w:t>法定代表人身份证明</w:t>
      </w:r>
    </w:p>
    <w:p w14:paraId="600AD175">
      <w:pPr>
        <w:shd w:val="clear" w:color="auto" w:fill="auto"/>
        <w:wordWrap w:val="0"/>
        <w:adjustRightInd w:val="0"/>
        <w:snapToGrid w:val="0"/>
        <w:spacing w:line="440" w:lineRule="exact"/>
        <w:rPr>
          <w:rFonts w:hint="eastAsia" w:hAnsi="宋体" w:cs="宋体"/>
          <w:snapToGrid w:val="0"/>
          <w:color w:val="auto"/>
          <w:kern w:val="0"/>
          <w:szCs w:val="21"/>
          <w:highlight w:val="none"/>
        </w:rPr>
      </w:pPr>
    </w:p>
    <w:p w14:paraId="255A266B">
      <w:pPr>
        <w:shd w:val="clear" w:color="auto" w:fill="auto"/>
        <w:wordWrap w:val="0"/>
        <w:adjustRightInd w:val="0"/>
        <w:snapToGrid w:val="0"/>
        <w:spacing w:line="440" w:lineRule="exact"/>
        <w:rPr>
          <w:rFonts w:hint="eastAsia"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5FF47C14">
      <w:pPr>
        <w:shd w:val="clear" w:color="auto" w:fill="auto"/>
        <w:wordWrap w:val="0"/>
        <w:adjustRightInd w:val="0"/>
        <w:snapToGrid w:val="0"/>
        <w:spacing w:line="440" w:lineRule="exact"/>
        <w:rPr>
          <w:rFonts w:hint="eastAsia"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13DDC9BF">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565C26BF">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0D11120B">
      <w:pPr>
        <w:shd w:val="clear" w:color="auto" w:fill="auto"/>
        <w:wordWrap w:val="0"/>
        <w:adjustRightInd w:val="0"/>
        <w:snapToGrid w:val="0"/>
        <w:spacing w:line="440" w:lineRule="exact"/>
        <w:rPr>
          <w:rFonts w:hint="eastAsia" w:hAnsi="宋体" w:cs="宋体"/>
          <w:snapToGrid w:val="0"/>
          <w:color w:val="auto"/>
          <w:kern w:val="0"/>
          <w:szCs w:val="21"/>
          <w:highlight w:val="none"/>
        </w:rPr>
      </w:pPr>
    </w:p>
    <w:p w14:paraId="4DEC26EF">
      <w:pPr>
        <w:shd w:val="clear" w:color="auto" w:fill="auto"/>
        <w:wordWrap w:val="0"/>
        <w:adjustRightInd w:val="0"/>
        <w:snapToGrid w:val="0"/>
        <w:spacing w:line="440" w:lineRule="exact"/>
        <w:rPr>
          <w:rFonts w:hint="eastAsia" w:hAnsi="宋体" w:cs="宋体"/>
          <w:snapToGrid w:val="0"/>
          <w:color w:val="auto"/>
          <w:kern w:val="0"/>
          <w:szCs w:val="21"/>
          <w:highlight w:val="none"/>
        </w:rPr>
      </w:pPr>
    </w:p>
    <w:p w14:paraId="4F48D5D7">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1BF211FA">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p>
    <w:p w14:paraId="6F8F8071">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p>
    <w:p w14:paraId="0081D48C">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D98D670">
      <w:pPr>
        <w:shd w:val="clear" w:color="auto" w:fill="auto"/>
        <w:wordWrap w:val="0"/>
        <w:adjustRightInd w:val="0"/>
        <w:snapToGrid w:val="0"/>
        <w:spacing w:line="440" w:lineRule="exact"/>
        <w:jc w:val="center"/>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1B41CB66">
      <w:pPr>
        <w:shd w:val="clear" w:color="auto" w:fill="auto"/>
        <w:wordWrap w:val="0"/>
        <w:adjustRightInd w:val="0"/>
        <w:snapToGrid w:val="0"/>
        <w:spacing w:line="440" w:lineRule="exact"/>
        <w:jc w:val="center"/>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5A6E8EF9">
      <w:pPr>
        <w:shd w:val="clear" w:color="auto" w:fill="auto"/>
        <w:wordWrap w:val="0"/>
        <w:adjustRightInd w:val="0"/>
        <w:snapToGrid w:val="0"/>
        <w:spacing w:line="440" w:lineRule="exact"/>
        <w:ind w:firstLine="240" w:firstLineChars="1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6712C3FB">
      <w:pPr>
        <w:shd w:val="clear" w:color="auto" w:fill="auto"/>
        <w:wordWrap w:val="0"/>
        <w:adjustRightInd w:val="0"/>
        <w:snapToGrid w:val="0"/>
        <w:spacing w:line="440" w:lineRule="exact"/>
        <w:ind w:firstLine="240" w:firstLineChars="100"/>
        <w:rPr>
          <w:rFonts w:hint="eastAsia" w:hAnsi="宋体" w:cs="宋体"/>
          <w:snapToGrid w:val="0"/>
          <w:color w:val="auto"/>
          <w:kern w:val="0"/>
          <w:szCs w:val="21"/>
          <w:highlight w:val="none"/>
        </w:rPr>
      </w:pPr>
    </w:p>
    <w:p w14:paraId="2FF6D4CD">
      <w:pPr>
        <w:shd w:val="clear" w:color="auto" w:fill="auto"/>
        <w:wordWrap w:val="0"/>
        <w:adjustRightInd w:val="0"/>
        <w:snapToGrid w:val="0"/>
        <w:spacing w:line="440" w:lineRule="exact"/>
        <w:ind w:firstLine="240" w:firstLineChars="100"/>
        <w:rPr>
          <w:rFonts w:hint="eastAsia" w:hAnsi="宋体" w:cs="宋体"/>
          <w:snapToGrid w:val="0"/>
          <w:color w:val="auto"/>
          <w:kern w:val="0"/>
          <w:szCs w:val="21"/>
          <w:highlight w:val="none"/>
        </w:rPr>
      </w:pPr>
    </w:p>
    <w:p w14:paraId="6CCB93FB">
      <w:pPr>
        <w:shd w:val="clear" w:color="auto" w:fill="auto"/>
        <w:wordWrap w:val="0"/>
        <w:adjustRightInd w:val="0"/>
        <w:snapToGrid w:val="0"/>
        <w:spacing w:line="440" w:lineRule="exact"/>
        <w:ind w:firstLine="720" w:firstLineChars="300"/>
        <w:rPr>
          <w:rFonts w:hint="eastAsia" w:hAnsi="宋体" w:cs="宋体"/>
          <w:b/>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i/>
          <w:iCs/>
          <w:snapToGrid w:val="0"/>
          <w:color w:val="auto"/>
          <w:kern w:val="0"/>
          <w:szCs w:val="21"/>
          <w:highlight w:val="none"/>
        </w:rPr>
        <w:t xml:space="preserve"> </w:t>
      </w:r>
    </w:p>
    <w:p w14:paraId="47C3EFAC">
      <w:pPr>
        <w:shd w:val="clear" w:color="auto" w:fill="auto"/>
        <w:wordWrap w:val="0"/>
        <w:adjustRightInd w:val="0"/>
        <w:snapToGrid w:val="0"/>
        <w:rPr>
          <w:rFonts w:hint="eastAsia" w:hAnsi="宋体" w:cs="宋体"/>
          <w:b/>
          <w:snapToGrid w:val="0"/>
          <w:color w:val="auto"/>
          <w:kern w:val="0"/>
          <w:szCs w:val="21"/>
          <w:highlight w:val="none"/>
        </w:rPr>
      </w:pPr>
      <w:r>
        <w:rPr>
          <w:rFonts w:hint="eastAsia" w:hAnsi="宋体" w:cs="宋体"/>
          <w:b/>
          <w:snapToGrid w:val="0"/>
          <w:color w:val="auto"/>
          <w:kern w:val="0"/>
          <w:szCs w:val="21"/>
          <w:highlight w:val="none"/>
        </w:rPr>
        <mc:AlternateContent>
          <mc:Choice Requires="wps">
            <w:drawing>
              <wp:anchor distT="0" distB="0" distL="0" distR="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1027" name="流程图: 可选过程 4"/>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6E492D5">
                            <w:pPr>
                              <w:jc w:val="center"/>
                              <w:rPr>
                                <w:rFonts w:hint="eastAsia"/>
                                <w:szCs w:val="21"/>
                              </w:rPr>
                            </w:pPr>
                          </w:p>
                          <w:p w14:paraId="449BDF54">
                            <w:pPr>
                              <w:jc w:val="center"/>
                              <w:rPr>
                                <w:rFonts w:hint="eastAsia"/>
                                <w:szCs w:val="21"/>
                              </w:rPr>
                            </w:pPr>
                          </w:p>
                          <w:p w14:paraId="109D7427">
                            <w:pPr>
                              <w:jc w:val="center"/>
                              <w:rPr>
                                <w:rFonts w:hint="eastAsia"/>
                                <w:szCs w:val="21"/>
                              </w:rPr>
                            </w:pPr>
                          </w:p>
                          <w:p w14:paraId="54342B4E">
                            <w:pPr>
                              <w:jc w:val="center"/>
                              <w:rPr>
                                <w:szCs w:val="21"/>
                              </w:rPr>
                            </w:pPr>
                            <w:r>
                              <w:rPr>
                                <w:rFonts w:hint="eastAsia"/>
                                <w:szCs w:val="21"/>
                              </w:rPr>
                              <w:t>法定代表人身份</w:t>
                            </w:r>
                            <w:r>
                              <w:rPr>
                                <w:rFonts w:hint="eastAsia"/>
                                <w:color w:val="auto"/>
                                <w:szCs w:val="21"/>
                              </w:rPr>
                              <w:t>证</w:t>
                            </w:r>
                            <w:r>
                              <w:rPr>
                                <w:rFonts w:hint="eastAsia"/>
                                <w:color w:val="auto"/>
                                <w:szCs w:val="21"/>
                                <w:lang w:val="en-US" w:eastAsia="zh-CN"/>
                              </w:rPr>
                              <w:t>彩色扫</w:t>
                            </w:r>
                            <w:r>
                              <w:rPr>
                                <w:rFonts w:hint="eastAsia"/>
                                <w:szCs w:val="21"/>
                                <w:lang w:val="en-US" w:eastAsia="zh-CN"/>
                              </w:rPr>
                              <w:t>描件</w:t>
                            </w:r>
                            <w:r>
                              <w:rPr>
                                <w:rFonts w:hint="eastAsia"/>
                                <w:szCs w:val="21"/>
                              </w:rPr>
                              <w:t>正、反面</w:t>
                            </w:r>
                          </w:p>
                        </w:txbxContent>
                      </wps:txbx>
                      <wps:bodyPr wrap="square" upright="1"/>
                    </wps:wsp>
                  </a:graphicData>
                </a:graphic>
              </wp:anchor>
            </w:drawing>
          </mc:Choice>
          <mc:Fallback>
            <w:pict>
              <v:shape id="流程图: 可选过程 4"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4V1KbYAAAACQEAAA8AAAAAAAAAAQAgAAAAIgAAAGRycy9kb3ducmV2&#10;LnhtbFBLAQIUABQAAAAIAIdO4kBOb6JaNQIAAGEEAAAOAAAAAAAAAAEAIAAAACcBAABkcnMvZTJv&#10;RG9jLnhtbFBLBQYAAAAABgAGAFkBAADOBQAAAAA=&#10;">
                <v:fill on="t" focussize="0,0"/>
                <v:stroke color="#000000" joinstyle="miter"/>
                <v:imagedata o:title=""/>
                <o:lock v:ext="edit" aspectratio="f"/>
                <v:textbox>
                  <w:txbxContent>
                    <w:p w14:paraId="46E492D5">
                      <w:pPr>
                        <w:jc w:val="center"/>
                        <w:rPr>
                          <w:rFonts w:hint="eastAsia"/>
                          <w:szCs w:val="21"/>
                        </w:rPr>
                      </w:pPr>
                    </w:p>
                    <w:p w14:paraId="449BDF54">
                      <w:pPr>
                        <w:jc w:val="center"/>
                        <w:rPr>
                          <w:rFonts w:hint="eastAsia"/>
                          <w:szCs w:val="21"/>
                        </w:rPr>
                      </w:pPr>
                    </w:p>
                    <w:p w14:paraId="109D7427">
                      <w:pPr>
                        <w:jc w:val="center"/>
                        <w:rPr>
                          <w:rFonts w:hint="eastAsia"/>
                          <w:szCs w:val="21"/>
                        </w:rPr>
                      </w:pPr>
                    </w:p>
                    <w:p w14:paraId="54342B4E">
                      <w:pPr>
                        <w:jc w:val="center"/>
                        <w:rPr>
                          <w:szCs w:val="21"/>
                        </w:rPr>
                      </w:pPr>
                      <w:r>
                        <w:rPr>
                          <w:rFonts w:hint="eastAsia"/>
                          <w:szCs w:val="21"/>
                        </w:rPr>
                        <w:t>法定代表人身份</w:t>
                      </w:r>
                      <w:r>
                        <w:rPr>
                          <w:rFonts w:hint="eastAsia"/>
                          <w:color w:val="auto"/>
                          <w:szCs w:val="21"/>
                        </w:rPr>
                        <w:t>证</w:t>
                      </w:r>
                      <w:r>
                        <w:rPr>
                          <w:rFonts w:hint="eastAsia"/>
                          <w:color w:val="auto"/>
                          <w:szCs w:val="21"/>
                          <w:lang w:val="en-US" w:eastAsia="zh-CN"/>
                        </w:rPr>
                        <w:t>彩色扫</w:t>
                      </w:r>
                      <w:r>
                        <w:rPr>
                          <w:rFonts w:hint="eastAsia"/>
                          <w:szCs w:val="21"/>
                          <w:lang w:val="en-US" w:eastAsia="zh-CN"/>
                        </w:rPr>
                        <w:t>描件</w:t>
                      </w:r>
                      <w:r>
                        <w:rPr>
                          <w:rFonts w:hint="eastAsia"/>
                          <w:szCs w:val="21"/>
                        </w:rPr>
                        <w:t>正、反面</w:t>
                      </w:r>
                    </w:p>
                  </w:txbxContent>
                </v:textbox>
              </v:shape>
            </w:pict>
          </mc:Fallback>
        </mc:AlternateContent>
      </w:r>
    </w:p>
    <w:p w14:paraId="70037CE1">
      <w:pPr>
        <w:shd w:val="clear" w:color="auto" w:fill="auto"/>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hAnsi="宋体" w:cs="宋体"/>
          <w:snapToGrid w:val="0"/>
          <w:color w:val="auto"/>
          <w:kern w:val="0"/>
          <w:sz w:val="28"/>
          <w:szCs w:val="28"/>
          <w:highlight w:val="none"/>
        </w:rPr>
      </w:pPr>
    </w:p>
    <w:p w14:paraId="571B2C7F">
      <w:pPr>
        <w:shd w:val="clear" w:color="auto" w:fill="auto"/>
        <w:wordWrap w:val="0"/>
        <w:adjustRightInd w:val="0"/>
        <w:snapToGrid w:val="0"/>
        <w:spacing w:line="480" w:lineRule="exact"/>
        <w:jc w:val="center"/>
        <w:rPr>
          <w:rFonts w:hint="eastAsia" w:hAnsi="宋体" w:cs="宋体"/>
          <w:b/>
          <w:snapToGrid w:val="0"/>
          <w:color w:val="auto"/>
          <w:kern w:val="0"/>
          <w:sz w:val="28"/>
          <w:szCs w:val="28"/>
          <w:highlight w:val="none"/>
        </w:rPr>
      </w:pPr>
    </w:p>
    <w:p w14:paraId="433F3FE3">
      <w:pPr>
        <w:shd w:val="clear" w:color="auto" w:fill="auto"/>
        <w:wordWrap w:val="0"/>
        <w:adjustRightInd w:val="0"/>
        <w:snapToGrid w:val="0"/>
        <w:spacing w:line="480" w:lineRule="exact"/>
        <w:jc w:val="center"/>
        <w:rPr>
          <w:rFonts w:hint="eastAsia" w:hAnsi="宋体" w:cs="宋体"/>
          <w:b/>
          <w:snapToGrid w:val="0"/>
          <w:color w:val="auto"/>
          <w:kern w:val="0"/>
          <w:sz w:val="28"/>
          <w:szCs w:val="28"/>
          <w:highlight w:val="none"/>
        </w:rPr>
      </w:pPr>
    </w:p>
    <w:p w14:paraId="491ACBDC">
      <w:pPr>
        <w:shd w:val="clear" w:color="auto" w:fill="auto"/>
        <w:wordWrap w:val="0"/>
        <w:adjustRightInd w:val="0"/>
        <w:snapToGrid w:val="0"/>
        <w:spacing w:line="480" w:lineRule="exact"/>
        <w:jc w:val="center"/>
        <w:rPr>
          <w:rFonts w:hint="eastAsia" w:hAnsi="宋体" w:cs="宋体"/>
          <w:b/>
          <w:snapToGrid w:val="0"/>
          <w:color w:val="auto"/>
          <w:kern w:val="0"/>
          <w:sz w:val="28"/>
          <w:szCs w:val="28"/>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1160A660">
      <w:pPr>
        <w:shd w:val="clear" w:color="auto" w:fill="auto"/>
        <w:wordWrap w:val="0"/>
        <w:adjustRightInd w:val="0"/>
        <w:snapToGrid w:val="0"/>
        <w:spacing w:line="440" w:lineRule="exact"/>
        <w:outlineLvl w:val="2"/>
        <w:rPr>
          <w:rFonts w:hint="eastAsia" w:hAnsi="宋体" w:cs="宋体"/>
          <w:b/>
          <w:bCs/>
          <w:snapToGrid w:val="0"/>
          <w:color w:val="auto"/>
          <w:kern w:val="0"/>
          <w:szCs w:val="24"/>
          <w:highlight w:val="none"/>
        </w:rPr>
      </w:pPr>
      <w:bookmarkStart w:id="486" w:name="_Toc3769"/>
      <w:bookmarkStart w:id="487" w:name="_Toc24439"/>
      <w:bookmarkStart w:id="488" w:name="_Toc18123"/>
      <w:bookmarkStart w:id="489" w:name="_Toc9374"/>
      <w:bookmarkStart w:id="490" w:name="_Toc24168"/>
      <w:bookmarkStart w:id="491" w:name="_Toc18567"/>
      <w:bookmarkStart w:id="492" w:name="_Toc47"/>
      <w:bookmarkStart w:id="493" w:name="_Toc30029"/>
      <w:bookmarkStart w:id="494" w:name="_Toc14874"/>
      <w:bookmarkStart w:id="495" w:name="_Toc9774"/>
      <w:r>
        <w:rPr>
          <w:rFonts w:hint="eastAsia" w:hAnsi="宋体" w:cs="宋体"/>
          <w:b/>
          <w:bCs/>
          <w:snapToGrid w:val="0"/>
          <w:color w:val="auto"/>
          <w:kern w:val="0"/>
          <w:szCs w:val="24"/>
          <w:highlight w:val="none"/>
        </w:rPr>
        <w:t>格式六 投标人基本情况表</w:t>
      </w:r>
      <w:bookmarkEnd w:id="486"/>
      <w:bookmarkEnd w:id="487"/>
      <w:bookmarkEnd w:id="488"/>
      <w:bookmarkEnd w:id="489"/>
      <w:bookmarkEnd w:id="490"/>
      <w:bookmarkEnd w:id="491"/>
      <w:bookmarkEnd w:id="492"/>
      <w:bookmarkEnd w:id="493"/>
      <w:bookmarkEnd w:id="494"/>
      <w:bookmarkEnd w:id="495"/>
    </w:p>
    <w:p w14:paraId="05F5C004">
      <w:pPr>
        <w:pStyle w:val="50"/>
        <w:widowControl w:val="0"/>
        <w:shd w:val="clear" w:color="auto" w:fill="auto"/>
        <w:wordWrap w:val="0"/>
        <w:adjustRightInd w:val="0"/>
        <w:snapToGrid w:val="0"/>
        <w:spacing w:before="260" w:after="260" w:line="400" w:lineRule="exact"/>
        <w:ind w:firstLine="0"/>
        <w:jc w:val="center"/>
        <w:rPr>
          <w:rFonts w:hint="eastAsia"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094D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BFD777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622C4AB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35E9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3B674B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695C195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246" w:type="dxa"/>
            <w:gridSpan w:val="2"/>
            <w:vAlign w:val="center"/>
          </w:tcPr>
          <w:p w14:paraId="3D85F3C4">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673710B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251C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4150B38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56BEBA7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409665B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246" w:type="dxa"/>
            <w:gridSpan w:val="2"/>
            <w:vAlign w:val="center"/>
          </w:tcPr>
          <w:p w14:paraId="7EE832E0">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5170154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11D7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6204B9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897" w:type="dxa"/>
            <w:vAlign w:val="center"/>
          </w:tcPr>
          <w:p w14:paraId="6D89A6E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5AE2A41B">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246" w:type="dxa"/>
            <w:gridSpan w:val="2"/>
            <w:vAlign w:val="center"/>
          </w:tcPr>
          <w:p w14:paraId="43039A9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7721085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4C9D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58E5D1F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2C9CDBF0">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65C76E52">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Align w:val="center"/>
          </w:tcPr>
          <w:p w14:paraId="56AA098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1F37AC3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709" w:type="dxa"/>
            <w:vAlign w:val="center"/>
          </w:tcPr>
          <w:p w14:paraId="0EAC9BAB">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30D2A774">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50D6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59C8DD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技术负责人</w:t>
            </w:r>
          </w:p>
        </w:tc>
        <w:tc>
          <w:tcPr>
            <w:tcW w:w="897" w:type="dxa"/>
            <w:vAlign w:val="center"/>
          </w:tcPr>
          <w:p w14:paraId="7EC3543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0F004105">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Align w:val="center"/>
          </w:tcPr>
          <w:p w14:paraId="6907D74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1442B99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709" w:type="dxa"/>
            <w:vAlign w:val="center"/>
          </w:tcPr>
          <w:p w14:paraId="7B41D53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202DDC5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0DE3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3F87B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成立日期</w:t>
            </w:r>
          </w:p>
        </w:tc>
        <w:tc>
          <w:tcPr>
            <w:tcW w:w="2586" w:type="dxa"/>
            <w:gridSpan w:val="2"/>
            <w:vAlign w:val="center"/>
          </w:tcPr>
          <w:p w14:paraId="5919C9E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4434" w:type="dxa"/>
            <w:gridSpan w:val="6"/>
            <w:vAlign w:val="center"/>
          </w:tcPr>
          <w:p w14:paraId="55324BFF">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1350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14E0F48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1A785F8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1B9EC5E8">
            <w:pPr>
              <w:pStyle w:val="37"/>
              <w:shd w:val="clear" w:color="auto" w:fill="auto"/>
              <w:wordWrap w:val="0"/>
              <w:adjustRightInd w:val="0"/>
              <w:snapToGrid w:val="0"/>
              <w:jc w:val="left"/>
              <w:rPr>
                <w:rFonts w:hint="eastAsia" w:ascii="宋体" w:hAnsi="宋体" w:cs="宋体"/>
                <w:snapToGrid w:val="0"/>
                <w:color w:val="auto"/>
                <w:kern w:val="0"/>
                <w:szCs w:val="21"/>
                <w:highlight w:val="none"/>
              </w:rPr>
            </w:pPr>
          </w:p>
        </w:tc>
        <w:tc>
          <w:tcPr>
            <w:tcW w:w="1089" w:type="dxa"/>
            <w:gridSpan w:val="2"/>
            <w:vMerge w:val="restart"/>
            <w:vAlign w:val="center"/>
          </w:tcPr>
          <w:p w14:paraId="3365BB0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7B4B99C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各类注册人员</w:t>
            </w:r>
          </w:p>
        </w:tc>
        <w:tc>
          <w:tcPr>
            <w:tcW w:w="1416" w:type="dxa"/>
            <w:vAlign w:val="center"/>
          </w:tcPr>
          <w:p w14:paraId="090EDDF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62AC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F56144F">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0BB939CA">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1A4DBD6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929" w:type="dxa"/>
            <w:gridSpan w:val="3"/>
            <w:vAlign w:val="center"/>
          </w:tcPr>
          <w:p w14:paraId="17671C44">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2C09CEE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6398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9EE231B">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5A6C4A3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6326293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929" w:type="dxa"/>
            <w:gridSpan w:val="3"/>
            <w:vAlign w:val="center"/>
          </w:tcPr>
          <w:p w14:paraId="0C7B033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0A8AF8A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37DC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3DF610B1">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5B7BF9B2">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2C5E4FB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4F712C5E">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929" w:type="dxa"/>
            <w:gridSpan w:val="3"/>
            <w:vAlign w:val="center"/>
          </w:tcPr>
          <w:p w14:paraId="58C66322">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4A72C9C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53B8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3D5967B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4C1851E9">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31FB3F77">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089" w:type="dxa"/>
            <w:gridSpan w:val="2"/>
            <w:vMerge w:val="continue"/>
            <w:vAlign w:val="center"/>
          </w:tcPr>
          <w:p w14:paraId="4BAE84F4">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c>
          <w:tcPr>
            <w:tcW w:w="1929" w:type="dxa"/>
            <w:gridSpan w:val="3"/>
            <w:vAlign w:val="center"/>
          </w:tcPr>
          <w:p w14:paraId="59210F92">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79EBEB66">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7194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1485" w:type="dxa"/>
            <w:vAlign w:val="center"/>
          </w:tcPr>
          <w:p w14:paraId="5B895743">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3716E01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r w14:paraId="00CC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1485" w:type="dxa"/>
            <w:vAlign w:val="center"/>
          </w:tcPr>
          <w:p w14:paraId="646ED65C">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252FDF39">
            <w:pPr>
              <w:pStyle w:val="37"/>
              <w:shd w:val="clear" w:color="auto" w:fill="auto"/>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62958C09">
            <w:pPr>
              <w:pStyle w:val="37"/>
              <w:shd w:val="clear" w:color="auto" w:fill="auto"/>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2E135B9F">
            <w:pPr>
              <w:pStyle w:val="37"/>
              <w:shd w:val="clear" w:color="auto" w:fill="auto"/>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0BA59108">
            <w:pPr>
              <w:pStyle w:val="37"/>
              <w:shd w:val="clear" w:color="auto" w:fill="auto"/>
              <w:wordWrap w:val="0"/>
              <w:adjustRightInd w:val="0"/>
              <w:snapToGrid w:val="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28B6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1485" w:type="dxa"/>
            <w:vAlign w:val="center"/>
          </w:tcPr>
          <w:p w14:paraId="6E904850">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46DA92CD">
            <w:pPr>
              <w:pStyle w:val="37"/>
              <w:shd w:val="clear" w:color="auto" w:fill="auto"/>
              <w:wordWrap w:val="0"/>
              <w:adjustRightInd w:val="0"/>
              <w:snapToGrid w:val="0"/>
              <w:jc w:val="center"/>
              <w:rPr>
                <w:rFonts w:hint="eastAsia" w:ascii="宋体" w:hAnsi="宋体" w:cs="宋体"/>
                <w:snapToGrid w:val="0"/>
                <w:color w:val="auto"/>
                <w:kern w:val="0"/>
                <w:szCs w:val="21"/>
                <w:highlight w:val="none"/>
              </w:rPr>
            </w:pPr>
          </w:p>
        </w:tc>
      </w:tr>
    </w:tbl>
    <w:p w14:paraId="6824D946">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546F7E9E">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385752AF">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（1）企业营业执照、资质证书的</w:t>
      </w:r>
      <w:r>
        <w:rPr>
          <w:rFonts w:hint="eastAsia" w:ascii="宋体" w:hAnsi="宋体" w:cs="宋体"/>
          <w:snapToGrid w:val="0"/>
          <w:color w:val="auto"/>
          <w:kern w:val="0"/>
          <w:szCs w:val="21"/>
          <w:highlight w:val="none"/>
          <w:lang w:val="en-US" w:eastAsia="zh-CN"/>
        </w:rPr>
        <w:t>彩色扫描件（因推行电子证照，企业的营业执照、资质证书等可以提供电子证照）</w:t>
      </w:r>
      <w:r>
        <w:rPr>
          <w:rFonts w:hint="eastAsia" w:ascii="宋体" w:hAnsi="宋体" w:cs="宋体"/>
          <w:snapToGrid w:val="0"/>
          <w:color w:val="auto"/>
          <w:kern w:val="0"/>
          <w:szCs w:val="21"/>
          <w:highlight w:val="none"/>
        </w:rPr>
        <w:t>；</w:t>
      </w:r>
    </w:p>
    <w:p w14:paraId="59D76666">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w:t>
      </w:r>
      <w:r>
        <w:rPr>
          <w:rFonts w:hint="eastAsia" w:ascii="宋体" w:hAnsi="宋体" w:cs="宋体"/>
          <w:snapToGrid w:val="0"/>
          <w:color w:val="auto"/>
          <w:kern w:val="0"/>
          <w:highlight w:val="none"/>
          <w:lang w:val="en-US" w:eastAsia="zh-CN"/>
        </w:rPr>
        <w:t>彩色扫描件</w:t>
      </w:r>
      <w:r>
        <w:rPr>
          <w:rFonts w:hint="eastAsia" w:ascii="宋体" w:hAnsi="宋体" w:cs="宋体"/>
          <w:snapToGrid w:val="0"/>
          <w:color w:val="auto"/>
          <w:kern w:val="0"/>
          <w:highlight w:val="none"/>
        </w:rPr>
        <w:t>。（适用于省外企业）</w:t>
      </w:r>
      <w:r>
        <w:rPr>
          <w:rFonts w:hint="eastAsia" w:ascii="宋体" w:hAnsi="宋体" w:cs="宋体"/>
          <w:snapToGrid w:val="0"/>
          <w:color w:val="auto"/>
          <w:kern w:val="0"/>
          <w:szCs w:val="21"/>
          <w:highlight w:val="none"/>
        </w:rPr>
        <w:t>；</w:t>
      </w:r>
    </w:p>
    <w:p w14:paraId="153F4531">
      <w:pPr>
        <w:pStyle w:val="37"/>
        <w:shd w:val="clear" w:color="auto" w:fill="auto"/>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1"/>
          <w:highlight w:val="none"/>
          <w:lang w:eastAsia="zh-CN"/>
        </w:rPr>
        <w:t>法人和非法人组织公共信用信息报告</w:t>
      </w:r>
      <w:r>
        <w:rPr>
          <w:rFonts w:hint="eastAsia" w:ascii="宋体" w:hAnsi="宋体" w:cs="宋体"/>
          <w:snapToGrid w:val="0"/>
          <w:color w:val="auto"/>
          <w:kern w:val="0"/>
          <w:szCs w:val="21"/>
          <w:highlight w:val="none"/>
        </w:rPr>
        <w:t>》(在“信用中国”网站企业查询界面中下载)。</w:t>
      </w:r>
    </w:p>
    <w:p w14:paraId="18C9EFD0">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b/>
          <w:snapToGrid w:val="0"/>
          <w:color w:val="auto"/>
          <w:highlight w:val="none"/>
        </w:rPr>
      </w:pPr>
      <w:bookmarkStart w:id="496" w:name="_Toc35334265"/>
      <w:r>
        <w:rPr>
          <w:rFonts w:hint="eastAsia" w:ascii="Times New Roman"/>
          <w:b/>
          <w:snapToGrid w:val="0"/>
          <w:color w:val="auto"/>
          <w:highlight w:val="none"/>
        </w:rPr>
        <w:br w:type="page"/>
      </w:r>
      <w:bookmarkStart w:id="497" w:name="_Toc9410"/>
      <w:r>
        <w:rPr>
          <w:rFonts w:hint="eastAsia" w:ascii="Times New Roman"/>
          <w:b/>
          <w:snapToGrid w:val="0"/>
          <w:color w:val="auto"/>
          <w:highlight w:val="none"/>
        </w:rPr>
        <w:t>格式七 总监理工程师任职声明（适用于无任职项目）</w:t>
      </w:r>
      <w:bookmarkEnd w:id="496"/>
      <w:bookmarkEnd w:id="497"/>
    </w:p>
    <w:p w14:paraId="28CB5BD2">
      <w:pPr>
        <w:shd w:val="clear" w:color="auto" w:fill="auto"/>
        <w:rPr>
          <w:color w:val="auto"/>
          <w:highlight w:val="none"/>
        </w:rPr>
      </w:pPr>
    </w:p>
    <w:p w14:paraId="3C19FAE6">
      <w:pPr>
        <w:shd w:val="clear" w:color="auto" w:fill="auto"/>
        <w:wordWrap w:val="0"/>
        <w:adjustRightInd w:val="0"/>
        <w:snapToGrid w:val="0"/>
        <w:spacing w:before="260" w:after="260" w:line="440" w:lineRule="exact"/>
        <w:jc w:val="center"/>
        <w:rPr>
          <w:rFonts w:hint="eastAsia" w:ascii="Times New Roman"/>
          <w:snapToGrid w:val="0"/>
          <w:color w:val="auto"/>
          <w:kern w:val="0"/>
          <w:szCs w:val="28"/>
          <w:highlight w:val="none"/>
        </w:rPr>
      </w:pPr>
      <w:r>
        <w:rPr>
          <w:rFonts w:hint="eastAsia" w:ascii="Times New Roman"/>
          <w:b/>
          <w:snapToGrid w:val="0"/>
          <w:color w:val="auto"/>
          <w:kern w:val="0"/>
          <w:sz w:val="30"/>
          <w:highlight w:val="none"/>
        </w:rPr>
        <w:t>总监理工程师任职声明</w:t>
      </w:r>
    </w:p>
    <w:p w14:paraId="3FB2E729">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p>
    <w:p w14:paraId="162FC44C">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（招标人名称）：</w:t>
      </w:r>
    </w:p>
    <w:p w14:paraId="463CD3E6">
      <w:pPr>
        <w:shd w:val="clear" w:color="auto" w:fill="auto"/>
        <w:wordWrap w:val="0"/>
        <w:adjustRightInd w:val="0"/>
        <w:snapToGrid w:val="0"/>
        <w:spacing w:line="440" w:lineRule="exact"/>
        <w:ind w:firstLine="480" w:firstLineChars="20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我方在此声明，我方拟派往</w:t>
      </w:r>
      <w:r>
        <w:rPr>
          <w:rFonts w:hint="eastAsia" w:ascii="Times New Roman"/>
          <w:snapToGrid w:val="0"/>
          <w:color w:val="auto"/>
          <w:kern w:val="0"/>
          <w:szCs w:val="28"/>
          <w:highlight w:val="none"/>
          <w:u w:val="single"/>
        </w:rPr>
        <w:t xml:space="preserve">   </w:t>
      </w:r>
      <w:r>
        <w:rPr>
          <w:rFonts w:hint="eastAsia" w:ascii="Times New Roman"/>
          <w:snapToGrid w:val="0"/>
          <w:color w:val="auto"/>
          <w:szCs w:val="24"/>
          <w:highlight w:val="none"/>
          <w:u w:val="single"/>
        </w:rPr>
        <w:t xml:space="preserve">     （项目名称）</w:t>
      </w:r>
      <w:r>
        <w:rPr>
          <w:rFonts w:hint="eastAsia" w:ascii="Times New Roman"/>
          <w:snapToGrid w:val="0"/>
          <w:color w:val="auto"/>
          <w:szCs w:val="24"/>
          <w:highlight w:val="none"/>
          <w:u w:val="single"/>
          <w:lang w:val="en-US" w:eastAsia="zh-CN"/>
        </w:rPr>
        <w:t xml:space="preserve">     </w:t>
      </w:r>
      <w:r>
        <w:rPr>
          <w:rFonts w:hint="eastAsia" w:ascii="Times New Roman"/>
          <w:snapToGrid w:val="0"/>
          <w:color w:val="auto"/>
          <w:kern w:val="0"/>
          <w:szCs w:val="28"/>
          <w:highlight w:val="none"/>
        </w:rPr>
        <w:t>（以下简称“本工程”）的总监理工程师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（总监理工程师姓名）现阶段未担任任何在施（包括已中标未开工、已开工未竣工）建设工程项目的总监理工程师。</w:t>
      </w:r>
    </w:p>
    <w:p w14:paraId="4C0A4555">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00407B59">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0AF0FC01">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特此承诺　　</w:t>
      </w:r>
    </w:p>
    <w:p w14:paraId="1348C124">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2D545D10">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195C4F36">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5C2010B5">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4C3BC3F7">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285D3FBC">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09463045">
      <w:pPr>
        <w:pStyle w:val="33"/>
        <w:shd w:val="clear" w:color="auto" w:fill="auto"/>
        <w:rPr>
          <w:rFonts w:hint="eastAsia"/>
          <w:color w:val="auto"/>
          <w:highlight w:val="none"/>
        </w:rPr>
      </w:pPr>
    </w:p>
    <w:p w14:paraId="0BE1FA6A">
      <w:pPr>
        <w:pStyle w:val="33"/>
        <w:shd w:val="clear" w:color="auto" w:fill="auto"/>
        <w:rPr>
          <w:rFonts w:hint="eastAsia"/>
          <w:color w:val="auto"/>
          <w:highlight w:val="none"/>
        </w:rPr>
      </w:pPr>
      <w:r>
        <w:rPr>
          <w:rFonts w:hint="eastAsia"/>
          <w:b w:val="0"/>
          <w:snapToGrid w:val="0"/>
          <w:color w:val="auto"/>
          <w:kern w:val="0"/>
          <w:szCs w:val="28"/>
          <w:highlight w:val="none"/>
        </w:rPr>
        <w:t xml:space="preserve">        </w:t>
      </w:r>
    </w:p>
    <w:p w14:paraId="7FE63A1C">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56A617F3">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692C8EE2">
      <w:pPr>
        <w:shd w:val="clear" w:color="auto" w:fill="auto"/>
        <w:wordWrap w:val="0"/>
        <w:adjustRightInd w:val="0"/>
        <w:snapToGrid w:val="0"/>
        <w:spacing w:line="400" w:lineRule="exact"/>
        <w:ind w:firstLine="420"/>
        <w:rPr>
          <w:rFonts w:hint="eastAsia" w:ascii="Times New Roman"/>
          <w:snapToGrid w:val="0"/>
          <w:color w:val="auto"/>
          <w:kern w:val="0"/>
          <w:sz w:val="21"/>
          <w:szCs w:val="28"/>
          <w:highlight w:val="none"/>
        </w:rPr>
        <w:sectPr>
          <w:endnotePr>
            <w:numFmt w:val="decimal"/>
          </w:endnotePr>
          <w:pgSz w:w="11906" w:h="16838"/>
          <w:pgMar w:top="1701" w:right="1531" w:bottom="1417" w:left="1531" w:header="850" w:footer="992" w:gutter="0"/>
          <w:cols w:space="720" w:num="1"/>
          <w:docGrid w:linePitch="327" w:charSpace="0"/>
        </w:sectPr>
      </w:pPr>
    </w:p>
    <w:p w14:paraId="1AA4D73F">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b/>
          <w:snapToGrid w:val="0"/>
          <w:color w:val="auto"/>
          <w:highlight w:val="none"/>
        </w:rPr>
      </w:pPr>
      <w:bookmarkStart w:id="498" w:name="_Toc35334266"/>
      <w:bookmarkStart w:id="499" w:name="_Toc15795"/>
      <w:r>
        <w:rPr>
          <w:rFonts w:hint="eastAsia" w:ascii="Times New Roman"/>
          <w:b/>
          <w:snapToGrid w:val="0"/>
          <w:color w:val="auto"/>
          <w:highlight w:val="none"/>
        </w:rPr>
        <w:t>格式八 总监理工程师任职声明（适用于有任职项目）</w:t>
      </w:r>
      <w:bookmarkEnd w:id="498"/>
      <w:bookmarkEnd w:id="499"/>
    </w:p>
    <w:p w14:paraId="1511B507">
      <w:pPr>
        <w:shd w:val="clear" w:color="auto" w:fill="auto"/>
        <w:rPr>
          <w:color w:val="auto"/>
          <w:highlight w:val="none"/>
        </w:rPr>
      </w:pPr>
    </w:p>
    <w:p w14:paraId="5BD62884">
      <w:pPr>
        <w:shd w:val="clear" w:color="auto" w:fill="auto"/>
        <w:wordWrap w:val="0"/>
        <w:adjustRightInd w:val="0"/>
        <w:snapToGrid w:val="0"/>
        <w:spacing w:before="260" w:after="260" w:line="440" w:lineRule="exact"/>
        <w:jc w:val="center"/>
        <w:rPr>
          <w:rFonts w:hint="eastAsia" w:ascii="Times New Roman"/>
          <w:snapToGrid w:val="0"/>
          <w:color w:val="auto"/>
          <w:kern w:val="0"/>
          <w:szCs w:val="28"/>
          <w:highlight w:val="none"/>
        </w:rPr>
      </w:pPr>
      <w:r>
        <w:rPr>
          <w:rFonts w:hint="eastAsia" w:ascii="Times New Roman"/>
          <w:b/>
          <w:snapToGrid w:val="0"/>
          <w:color w:val="auto"/>
          <w:kern w:val="0"/>
          <w:sz w:val="30"/>
          <w:highlight w:val="none"/>
        </w:rPr>
        <w:t>总监理工程师任职声明</w:t>
      </w:r>
    </w:p>
    <w:p w14:paraId="5A4B0F32">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p>
    <w:p w14:paraId="424AD4DB">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（招标人名称）：</w:t>
      </w:r>
    </w:p>
    <w:p w14:paraId="26BF97AC">
      <w:pPr>
        <w:shd w:val="clear" w:color="auto" w:fill="auto"/>
        <w:wordWrap w:val="0"/>
        <w:adjustRightInd w:val="0"/>
        <w:snapToGrid w:val="0"/>
        <w:spacing w:line="440" w:lineRule="exact"/>
        <w:ind w:firstLine="480" w:firstLineChars="20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我方在此声明，我方拟派往</w:t>
      </w:r>
      <w:r>
        <w:rPr>
          <w:rFonts w:hint="eastAsia" w:ascii="Times New Roman"/>
          <w:snapToGrid w:val="0"/>
          <w:color w:val="auto"/>
          <w:kern w:val="0"/>
          <w:szCs w:val="28"/>
          <w:highlight w:val="none"/>
          <w:u w:val="single"/>
        </w:rPr>
        <w:t xml:space="preserve">   </w:t>
      </w:r>
      <w:r>
        <w:rPr>
          <w:rFonts w:hint="eastAsia" w:ascii="Times New Roman"/>
          <w:snapToGrid w:val="0"/>
          <w:color w:val="auto"/>
          <w:szCs w:val="24"/>
          <w:highlight w:val="none"/>
          <w:u w:val="single"/>
        </w:rPr>
        <w:t xml:space="preserve">     </w:t>
      </w:r>
      <w:r>
        <w:rPr>
          <w:rFonts w:hint="eastAsia" w:ascii="Times New Roman"/>
          <w:snapToGrid w:val="0"/>
          <w:color w:val="auto"/>
          <w:szCs w:val="24"/>
          <w:highlight w:val="none"/>
        </w:rPr>
        <w:t>（项目名称）</w:t>
      </w:r>
      <w:r>
        <w:rPr>
          <w:rFonts w:hint="eastAsia" w:ascii="Times New Roman"/>
          <w:snapToGrid w:val="0"/>
          <w:color w:val="auto"/>
          <w:kern w:val="0"/>
          <w:szCs w:val="28"/>
          <w:highlight w:val="none"/>
        </w:rPr>
        <w:t>的总监理工程师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（总监理工程师姓名）现阶段正在担任</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个在施（包括已中标未开工、已开工未竣工）建设工程项目的总监理工程师，具体情况详见《总监理工程师任职项目情况表》。</w:t>
      </w:r>
    </w:p>
    <w:p w14:paraId="53756B4B">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6B817BAD">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6536AF58">
      <w:pPr>
        <w:shd w:val="clear" w:color="auto" w:fill="auto"/>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特此承诺</w:t>
      </w:r>
    </w:p>
    <w:p w14:paraId="39226E65">
      <w:pPr>
        <w:shd w:val="clear" w:color="auto" w:fill="auto"/>
        <w:wordWrap w:val="0"/>
        <w:adjustRightInd w:val="0"/>
        <w:snapToGrid w:val="0"/>
        <w:spacing w:line="440" w:lineRule="exact"/>
        <w:ind w:firstLine="480"/>
        <w:rPr>
          <w:rFonts w:ascii="Times New Roman"/>
          <w:snapToGrid w:val="0"/>
          <w:color w:val="auto"/>
          <w:kern w:val="0"/>
          <w:szCs w:val="28"/>
          <w:highlight w:val="none"/>
        </w:rPr>
      </w:pPr>
    </w:p>
    <w:p w14:paraId="40EDD7D0">
      <w:pPr>
        <w:shd w:val="clear" w:color="auto" w:fill="auto"/>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08ED10AB">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69ED307B">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7A4B0A2E">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442E03C5">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6F484055">
      <w:pPr>
        <w:pStyle w:val="33"/>
        <w:shd w:val="clear" w:color="auto" w:fill="auto"/>
        <w:rPr>
          <w:rFonts w:hint="eastAsia"/>
          <w:b w:val="0"/>
          <w:color w:val="auto"/>
          <w:highlight w:val="none"/>
        </w:rPr>
      </w:pPr>
    </w:p>
    <w:p w14:paraId="36E25104">
      <w:pPr>
        <w:pStyle w:val="33"/>
        <w:shd w:val="clear" w:color="auto" w:fill="auto"/>
        <w:rPr>
          <w:rFonts w:hint="eastAsia"/>
          <w:b w:val="0"/>
          <w:color w:val="auto"/>
          <w:highlight w:val="none"/>
        </w:rPr>
      </w:pPr>
      <w:r>
        <w:rPr>
          <w:rFonts w:hint="eastAsia"/>
          <w:b w:val="0"/>
          <w:snapToGrid w:val="0"/>
          <w:color w:val="auto"/>
          <w:kern w:val="0"/>
          <w:szCs w:val="28"/>
          <w:highlight w:val="none"/>
        </w:rPr>
        <w:t xml:space="preserve">                       </w:t>
      </w:r>
    </w:p>
    <w:p w14:paraId="07584150">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375E5931">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0FA69352">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p>
    <w:p w14:paraId="3BD6C0BD">
      <w:pPr>
        <w:shd w:val="clear" w:color="auto" w:fill="auto"/>
        <w:wordWrap w:val="0"/>
        <w:adjustRightInd w:val="0"/>
        <w:snapToGrid w:val="0"/>
        <w:spacing w:line="400" w:lineRule="exact"/>
        <w:ind w:firstLine="420"/>
        <w:rPr>
          <w:rFonts w:hint="eastAsia" w:ascii="Times New Roman"/>
          <w:snapToGrid w:val="0"/>
          <w:color w:val="auto"/>
          <w:kern w:val="0"/>
          <w:sz w:val="21"/>
          <w:szCs w:val="28"/>
          <w:highlight w:val="none"/>
        </w:rPr>
        <w:sectPr>
          <w:endnotePr>
            <w:numFmt w:val="decimal"/>
          </w:endnotePr>
          <w:pgSz w:w="11906" w:h="16838"/>
          <w:pgMar w:top="1701" w:right="1531" w:bottom="1417" w:left="1531" w:header="850" w:footer="992" w:gutter="0"/>
          <w:cols w:space="720" w:num="1"/>
          <w:docGrid w:linePitch="327" w:charSpace="0"/>
        </w:sectPr>
      </w:pPr>
    </w:p>
    <w:p w14:paraId="7F8F175F">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b/>
          <w:snapToGrid w:val="0"/>
          <w:color w:val="auto"/>
          <w:highlight w:val="none"/>
        </w:rPr>
      </w:pPr>
      <w:bookmarkStart w:id="500" w:name="_Toc35334267"/>
      <w:bookmarkStart w:id="501" w:name="_Toc14806"/>
      <w:r>
        <w:rPr>
          <w:rFonts w:hint="eastAsia" w:ascii="Times New Roman"/>
          <w:b/>
          <w:snapToGrid w:val="0"/>
          <w:color w:val="auto"/>
          <w:highlight w:val="none"/>
        </w:rPr>
        <w:t>格式九 总监理工程师任职项目情况表</w:t>
      </w:r>
      <w:bookmarkEnd w:id="500"/>
      <w:bookmarkEnd w:id="501"/>
    </w:p>
    <w:p w14:paraId="009646A5">
      <w:pPr>
        <w:shd w:val="clear" w:color="auto" w:fill="auto"/>
        <w:rPr>
          <w:rFonts w:hint="eastAsia"/>
          <w:color w:val="auto"/>
          <w:highlight w:val="none"/>
        </w:rPr>
      </w:pPr>
    </w:p>
    <w:p w14:paraId="1B12CF36">
      <w:pPr>
        <w:pStyle w:val="50"/>
        <w:widowControl w:val="0"/>
        <w:shd w:val="clear" w:color="auto" w:fill="auto"/>
        <w:wordWrap w:val="0"/>
        <w:adjustRightInd w:val="0"/>
        <w:snapToGrid w:val="0"/>
        <w:spacing w:before="260" w:after="260" w:line="400" w:lineRule="exact"/>
        <w:ind w:firstLine="0"/>
        <w:jc w:val="center"/>
        <w:rPr>
          <w:rFonts w:ascii="Times New Roman" w:eastAsia="黑体"/>
          <w:snapToGrid w:val="0"/>
          <w:color w:val="auto"/>
          <w:sz w:val="24"/>
          <w:highlight w:val="none"/>
        </w:rPr>
      </w:pPr>
      <w:r>
        <w:rPr>
          <w:rFonts w:hint="eastAsia" w:ascii="Times New Roman"/>
          <w:b/>
          <w:snapToGrid w:val="0"/>
          <w:color w:val="auto"/>
          <w:sz w:val="30"/>
          <w:highlight w:val="none"/>
        </w:rPr>
        <w:t xml:space="preserve"> 总监理工程师任职项目情况表（）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5603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53EED2F">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w:t>
            </w:r>
            <w:r>
              <w:rPr>
                <w:snapToGrid w:val="0"/>
                <w:color w:val="auto"/>
                <w:kern w:val="0"/>
                <w:szCs w:val="21"/>
                <w:highlight w:val="none"/>
              </w:rPr>
              <w:t>名称</w:t>
            </w:r>
          </w:p>
        </w:tc>
        <w:tc>
          <w:tcPr>
            <w:tcW w:w="2771" w:type="dxa"/>
            <w:vAlign w:val="center"/>
          </w:tcPr>
          <w:p w14:paraId="2F3BBD00">
            <w:pPr>
              <w:pStyle w:val="37"/>
              <w:shd w:val="clear" w:color="auto" w:fill="auto"/>
              <w:wordWrap w:val="0"/>
              <w:adjustRightInd w:val="0"/>
              <w:snapToGrid w:val="0"/>
              <w:jc w:val="center"/>
              <w:rPr>
                <w:snapToGrid w:val="0"/>
                <w:color w:val="auto"/>
                <w:kern w:val="0"/>
                <w:szCs w:val="21"/>
                <w:highlight w:val="none"/>
              </w:rPr>
            </w:pPr>
          </w:p>
        </w:tc>
        <w:tc>
          <w:tcPr>
            <w:tcW w:w="1635" w:type="dxa"/>
            <w:vAlign w:val="center"/>
          </w:tcPr>
          <w:p w14:paraId="7833F518">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项目所在地</w:t>
            </w:r>
          </w:p>
        </w:tc>
        <w:tc>
          <w:tcPr>
            <w:tcW w:w="2594" w:type="dxa"/>
            <w:vAlign w:val="center"/>
          </w:tcPr>
          <w:p w14:paraId="7F51EA6E">
            <w:pPr>
              <w:pStyle w:val="37"/>
              <w:shd w:val="clear" w:color="auto" w:fill="auto"/>
              <w:wordWrap w:val="0"/>
              <w:adjustRightInd w:val="0"/>
              <w:snapToGrid w:val="0"/>
              <w:jc w:val="center"/>
              <w:rPr>
                <w:snapToGrid w:val="0"/>
                <w:color w:val="auto"/>
                <w:kern w:val="0"/>
                <w:szCs w:val="21"/>
                <w:highlight w:val="none"/>
              </w:rPr>
            </w:pPr>
          </w:p>
        </w:tc>
      </w:tr>
      <w:tr w14:paraId="084E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41789F52">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委托人名称</w:t>
            </w:r>
          </w:p>
        </w:tc>
        <w:tc>
          <w:tcPr>
            <w:tcW w:w="2771" w:type="dxa"/>
            <w:vAlign w:val="center"/>
          </w:tcPr>
          <w:p w14:paraId="6F2BC6E1">
            <w:pPr>
              <w:pStyle w:val="37"/>
              <w:shd w:val="clear" w:color="auto" w:fill="auto"/>
              <w:wordWrap w:val="0"/>
              <w:adjustRightInd w:val="0"/>
              <w:snapToGrid w:val="0"/>
              <w:jc w:val="center"/>
              <w:rPr>
                <w:snapToGrid w:val="0"/>
                <w:color w:val="auto"/>
                <w:kern w:val="0"/>
                <w:szCs w:val="21"/>
                <w:highlight w:val="none"/>
              </w:rPr>
            </w:pPr>
          </w:p>
        </w:tc>
        <w:tc>
          <w:tcPr>
            <w:tcW w:w="1635" w:type="dxa"/>
            <w:vAlign w:val="center"/>
          </w:tcPr>
          <w:p w14:paraId="3D457882">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委托人地址</w:t>
            </w:r>
          </w:p>
        </w:tc>
        <w:tc>
          <w:tcPr>
            <w:tcW w:w="2594" w:type="dxa"/>
            <w:vAlign w:val="center"/>
          </w:tcPr>
          <w:p w14:paraId="50EE512E">
            <w:pPr>
              <w:pStyle w:val="37"/>
              <w:shd w:val="clear" w:color="auto" w:fill="auto"/>
              <w:wordWrap w:val="0"/>
              <w:adjustRightInd w:val="0"/>
              <w:snapToGrid w:val="0"/>
              <w:jc w:val="center"/>
              <w:rPr>
                <w:snapToGrid w:val="0"/>
                <w:color w:val="auto"/>
                <w:kern w:val="0"/>
                <w:szCs w:val="21"/>
                <w:highlight w:val="none"/>
              </w:rPr>
            </w:pPr>
          </w:p>
        </w:tc>
      </w:tr>
      <w:tr w14:paraId="5A6A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2B2879">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委托人电话</w:t>
            </w:r>
          </w:p>
        </w:tc>
        <w:tc>
          <w:tcPr>
            <w:tcW w:w="2771" w:type="dxa"/>
            <w:vAlign w:val="center"/>
          </w:tcPr>
          <w:p w14:paraId="20BFF1FC">
            <w:pPr>
              <w:pStyle w:val="37"/>
              <w:shd w:val="clear" w:color="auto" w:fill="auto"/>
              <w:wordWrap w:val="0"/>
              <w:adjustRightInd w:val="0"/>
              <w:snapToGrid w:val="0"/>
              <w:jc w:val="center"/>
              <w:rPr>
                <w:snapToGrid w:val="0"/>
                <w:color w:val="auto"/>
                <w:kern w:val="0"/>
                <w:szCs w:val="21"/>
                <w:highlight w:val="none"/>
              </w:rPr>
            </w:pPr>
          </w:p>
        </w:tc>
        <w:tc>
          <w:tcPr>
            <w:tcW w:w="1635" w:type="dxa"/>
            <w:vAlign w:val="center"/>
          </w:tcPr>
          <w:p w14:paraId="31DEFB0F">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总监理工程师</w:t>
            </w:r>
          </w:p>
        </w:tc>
        <w:tc>
          <w:tcPr>
            <w:tcW w:w="2594" w:type="dxa"/>
            <w:vAlign w:val="center"/>
          </w:tcPr>
          <w:p w14:paraId="2E5B0578">
            <w:pPr>
              <w:pStyle w:val="37"/>
              <w:shd w:val="clear" w:color="auto" w:fill="auto"/>
              <w:wordWrap w:val="0"/>
              <w:adjustRightInd w:val="0"/>
              <w:snapToGrid w:val="0"/>
              <w:jc w:val="center"/>
              <w:rPr>
                <w:snapToGrid w:val="0"/>
                <w:color w:val="auto"/>
                <w:kern w:val="0"/>
                <w:szCs w:val="21"/>
                <w:highlight w:val="none"/>
              </w:rPr>
            </w:pPr>
          </w:p>
        </w:tc>
      </w:tr>
      <w:tr w14:paraId="0A35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82D655E">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监理服务期限</w:t>
            </w:r>
          </w:p>
        </w:tc>
        <w:tc>
          <w:tcPr>
            <w:tcW w:w="2771" w:type="dxa"/>
            <w:vAlign w:val="center"/>
          </w:tcPr>
          <w:p w14:paraId="5F13F47D">
            <w:pPr>
              <w:pStyle w:val="37"/>
              <w:shd w:val="clear" w:color="auto" w:fill="auto"/>
              <w:wordWrap w:val="0"/>
              <w:adjustRightInd w:val="0"/>
              <w:snapToGrid w:val="0"/>
              <w:jc w:val="center"/>
              <w:rPr>
                <w:snapToGrid w:val="0"/>
                <w:color w:val="auto"/>
                <w:kern w:val="0"/>
                <w:szCs w:val="21"/>
                <w:highlight w:val="none"/>
              </w:rPr>
            </w:pPr>
          </w:p>
        </w:tc>
        <w:tc>
          <w:tcPr>
            <w:tcW w:w="1635" w:type="dxa"/>
            <w:vAlign w:val="center"/>
          </w:tcPr>
          <w:p w14:paraId="234F85A7">
            <w:pPr>
              <w:pStyle w:val="37"/>
              <w:shd w:val="clear" w:color="auto" w:fill="auto"/>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监理内容</w:t>
            </w:r>
          </w:p>
        </w:tc>
        <w:tc>
          <w:tcPr>
            <w:tcW w:w="2594" w:type="dxa"/>
            <w:vAlign w:val="center"/>
          </w:tcPr>
          <w:p w14:paraId="74E77598">
            <w:pPr>
              <w:pStyle w:val="37"/>
              <w:shd w:val="clear" w:color="auto" w:fill="auto"/>
              <w:wordWrap w:val="0"/>
              <w:adjustRightInd w:val="0"/>
              <w:snapToGrid w:val="0"/>
              <w:jc w:val="center"/>
              <w:rPr>
                <w:snapToGrid w:val="0"/>
                <w:color w:val="auto"/>
                <w:kern w:val="0"/>
                <w:szCs w:val="21"/>
                <w:highlight w:val="none"/>
              </w:rPr>
            </w:pPr>
          </w:p>
        </w:tc>
      </w:tr>
      <w:tr w14:paraId="15C9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41CE1374">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项目描述</w:t>
            </w:r>
          </w:p>
        </w:tc>
        <w:tc>
          <w:tcPr>
            <w:tcW w:w="7000" w:type="dxa"/>
            <w:gridSpan w:val="3"/>
            <w:vAlign w:val="center"/>
          </w:tcPr>
          <w:p w14:paraId="0B1D3DB7">
            <w:pPr>
              <w:pStyle w:val="37"/>
              <w:shd w:val="clear" w:color="auto" w:fill="auto"/>
              <w:wordWrap w:val="0"/>
              <w:adjustRightInd w:val="0"/>
              <w:snapToGrid w:val="0"/>
              <w:jc w:val="left"/>
              <w:rPr>
                <w:snapToGrid w:val="0"/>
                <w:color w:val="auto"/>
                <w:kern w:val="0"/>
                <w:szCs w:val="21"/>
                <w:highlight w:val="none"/>
              </w:rPr>
            </w:pPr>
          </w:p>
        </w:tc>
      </w:tr>
      <w:tr w14:paraId="4519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4FECEF92">
            <w:pPr>
              <w:pStyle w:val="37"/>
              <w:shd w:val="clear" w:color="auto" w:fill="auto"/>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委托人声明</w:t>
            </w:r>
          </w:p>
        </w:tc>
        <w:tc>
          <w:tcPr>
            <w:tcW w:w="7000" w:type="dxa"/>
            <w:gridSpan w:val="3"/>
            <w:vAlign w:val="center"/>
          </w:tcPr>
          <w:p w14:paraId="662CBF92">
            <w:pPr>
              <w:pStyle w:val="37"/>
              <w:shd w:val="clear" w:color="auto" w:fill="auto"/>
              <w:adjustRightInd w:val="0"/>
              <w:snapToGrid w:val="0"/>
              <w:spacing w:line="360" w:lineRule="auto"/>
              <w:rPr>
                <w:rFonts w:hint="eastAsia"/>
                <w:snapToGrid w:val="0"/>
                <w:color w:val="auto"/>
                <w:kern w:val="0"/>
                <w:szCs w:val="21"/>
                <w:highlight w:val="none"/>
              </w:rPr>
            </w:pPr>
          </w:p>
          <w:p w14:paraId="24CB1C87">
            <w:pPr>
              <w:pStyle w:val="37"/>
              <w:shd w:val="clear" w:color="auto" w:fill="auto"/>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致：</w:t>
            </w:r>
            <w:r>
              <w:rPr>
                <w:rFonts w:hint="eastAsia"/>
                <w:snapToGrid w:val="0"/>
                <w:color w:val="auto"/>
                <w:kern w:val="0"/>
                <w:szCs w:val="21"/>
                <w:highlight w:val="none"/>
                <w:u w:val="single"/>
              </w:rPr>
              <w:t>（本招标项目招标人名称）</w:t>
            </w:r>
          </w:p>
          <w:p w14:paraId="0A68AA30">
            <w:pPr>
              <w:pStyle w:val="37"/>
              <w:shd w:val="clear" w:color="auto" w:fill="auto"/>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 xml:space="preserve">    我方在此声明：</w:t>
            </w:r>
          </w:p>
          <w:p w14:paraId="5C00F61B">
            <w:pPr>
              <w:pStyle w:val="37"/>
              <w:shd w:val="clear" w:color="auto" w:fill="auto"/>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 xml:space="preserve">    一、在</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同志任我方在施项目总监理工程师期间，如果</w:t>
            </w:r>
            <w:r>
              <w:rPr>
                <w:rFonts w:hint="eastAsia"/>
                <w:snapToGrid w:val="0"/>
                <w:color w:val="auto"/>
                <w:kern w:val="0"/>
                <w:szCs w:val="21"/>
                <w:highlight w:val="none"/>
                <w:u w:val="single"/>
              </w:rPr>
              <w:t xml:space="preserve"> （投标人名称） </w:t>
            </w:r>
            <w:r>
              <w:rPr>
                <w:rFonts w:hint="eastAsia"/>
                <w:snapToGrid w:val="0"/>
                <w:color w:val="auto"/>
                <w:kern w:val="0"/>
                <w:szCs w:val="21"/>
                <w:highlight w:val="none"/>
              </w:rPr>
              <w:t>中标你方招标项目监理业务，在</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6EA56E78">
            <w:pPr>
              <w:pStyle w:val="37"/>
              <w:shd w:val="clear" w:color="auto" w:fill="auto"/>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 xml:space="preserve">    二、无论</w:t>
            </w:r>
            <w:r>
              <w:rPr>
                <w:rFonts w:hint="eastAsia"/>
                <w:snapToGrid w:val="0"/>
                <w:color w:val="auto"/>
                <w:kern w:val="0"/>
                <w:szCs w:val="21"/>
                <w:highlight w:val="none"/>
                <w:u w:val="single"/>
              </w:rPr>
              <w:t xml:space="preserve"> （拟派总监姓名） </w:t>
            </w:r>
            <w:r>
              <w:rPr>
                <w:rFonts w:hint="eastAsia"/>
                <w:snapToGrid w:val="0"/>
                <w:color w:val="auto"/>
                <w:kern w:val="0"/>
                <w:szCs w:val="21"/>
                <w:highlight w:val="none"/>
              </w:rPr>
              <w:t>同志是否担任其他建设项目的总监理工程师，</w:t>
            </w:r>
            <w:r>
              <w:rPr>
                <w:rFonts w:hint="eastAsia"/>
                <w:snapToGrid w:val="0"/>
                <w:color w:val="auto"/>
                <w:kern w:val="0"/>
                <w:szCs w:val="21"/>
                <w:highlight w:val="none"/>
                <w:u w:val="single"/>
              </w:rPr>
              <w:t xml:space="preserve"> （投标人名称） </w:t>
            </w:r>
            <w:r>
              <w:rPr>
                <w:rFonts w:hint="eastAsia"/>
                <w:snapToGrid w:val="0"/>
                <w:color w:val="auto"/>
                <w:kern w:val="0"/>
                <w:szCs w:val="21"/>
                <w:highlight w:val="none"/>
              </w:rPr>
              <w:t>都必须完全、严格履行我方在施项目监理合同中约定的所有义务，并确保服务内容、服务质量不得有任何减少或降低。</w:t>
            </w:r>
          </w:p>
          <w:p w14:paraId="1531B48C">
            <w:pPr>
              <w:pStyle w:val="37"/>
              <w:shd w:val="clear" w:color="auto" w:fill="auto"/>
              <w:adjustRightInd w:val="0"/>
              <w:snapToGrid w:val="0"/>
              <w:spacing w:line="360" w:lineRule="auto"/>
              <w:rPr>
                <w:rFonts w:hint="eastAsia"/>
                <w:snapToGrid w:val="0"/>
                <w:color w:val="auto"/>
                <w:kern w:val="0"/>
                <w:szCs w:val="21"/>
                <w:highlight w:val="none"/>
              </w:rPr>
            </w:pPr>
          </w:p>
          <w:p w14:paraId="1CD48E3B">
            <w:pPr>
              <w:pStyle w:val="37"/>
              <w:shd w:val="clear" w:color="auto" w:fill="auto"/>
              <w:adjustRightInd w:val="0"/>
              <w:snapToGrid w:val="0"/>
              <w:spacing w:line="360" w:lineRule="auto"/>
              <w:rPr>
                <w:rFonts w:hint="eastAsia"/>
                <w:snapToGrid w:val="0"/>
                <w:color w:val="auto"/>
                <w:kern w:val="0"/>
                <w:szCs w:val="21"/>
                <w:highlight w:val="none"/>
              </w:rPr>
            </w:pPr>
          </w:p>
          <w:p w14:paraId="3D921A90">
            <w:pPr>
              <w:pStyle w:val="37"/>
              <w:shd w:val="clear" w:color="auto" w:fill="auto"/>
              <w:adjustRightInd w:val="0"/>
              <w:snapToGrid w:val="0"/>
              <w:spacing w:line="360" w:lineRule="auto"/>
              <w:jc w:val="right"/>
              <w:rPr>
                <w:rFonts w:hint="eastAsia"/>
                <w:snapToGrid w:val="0"/>
                <w:color w:val="auto"/>
                <w:kern w:val="0"/>
                <w:szCs w:val="21"/>
                <w:highlight w:val="none"/>
              </w:rPr>
            </w:pPr>
            <w:r>
              <w:rPr>
                <w:rFonts w:hint="eastAsia"/>
                <w:snapToGrid w:val="0"/>
                <w:color w:val="auto"/>
                <w:kern w:val="0"/>
                <w:szCs w:val="21"/>
                <w:highlight w:val="none"/>
              </w:rPr>
              <w:t>建设单位名称：</w:t>
            </w:r>
            <w:r>
              <w:rPr>
                <w:rFonts w:hint="eastAsia"/>
                <w:snapToGrid w:val="0"/>
                <w:color w:val="auto"/>
                <w:kern w:val="0"/>
                <w:szCs w:val="21"/>
                <w:highlight w:val="none"/>
                <w:u w:val="single"/>
              </w:rPr>
              <w:t xml:space="preserve">                </w:t>
            </w:r>
            <w:r>
              <w:rPr>
                <w:rFonts w:hint="eastAsia"/>
                <w:snapToGrid w:val="0"/>
                <w:color w:val="auto"/>
                <w:kern w:val="0"/>
                <w:szCs w:val="21"/>
                <w:highlight w:val="none"/>
              </w:rPr>
              <w:t>（盖单位章）</w:t>
            </w:r>
          </w:p>
          <w:p w14:paraId="19DC21C5">
            <w:pPr>
              <w:pStyle w:val="37"/>
              <w:shd w:val="clear" w:color="auto" w:fill="auto"/>
              <w:adjustRightInd w:val="0"/>
              <w:snapToGrid w:val="0"/>
              <w:spacing w:line="360" w:lineRule="auto"/>
              <w:jc w:val="right"/>
              <w:rPr>
                <w:rFonts w:hint="eastAsia"/>
                <w:snapToGrid w:val="0"/>
                <w:color w:val="auto"/>
                <w:kern w:val="0"/>
                <w:szCs w:val="21"/>
                <w:highlight w:val="none"/>
              </w:rPr>
            </w:pPr>
          </w:p>
          <w:p w14:paraId="4E33A108">
            <w:pPr>
              <w:pStyle w:val="37"/>
              <w:shd w:val="clear" w:color="auto" w:fill="auto"/>
              <w:adjustRightInd w:val="0"/>
              <w:snapToGrid w:val="0"/>
              <w:spacing w:line="360" w:lineRule="auto"/>
              <w:jc w:val="center"/>
              <w:rPr>
                <w:rFonts w:hint="eastAsia"/>
                <w:snapToGrid w:val="0"/>
                <w:color w:val="auto"/>
                <w:kern w:val="0"/>
                <w:szCs w:val="21"/>
                <w:highlight w:val="none"/>
              </w:rPr>
            </w:pPr>
            <w:r>
              <w:rPr>
                <w:rFonts w:hint="eastAsia"/>
                <w:snapToGrid w:val="0"/>
                <w:color w:val="auto"/>
                <w:kern w:val="0"/>
                <w:szCs w:val="21"/>
                <w:highlight w:val="none"/>
              </w:rPr>
              <w:t xml:space="preserve">                             年    月    日</w:t>
            </w:r>
          </w:p>
        </w:tc>
      </w:tr>
    </w:tbl>
    <w:p w14:paraId="235B3D8B">
      <w:pPr>
        <w:pStyle w:val="37"/>
        <w:shd w:val="clear" w:color="auto" w:fill="auto"/>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说明</w:t>
      </w:r>
      <w:r>
        <w:rPr>
          <w:snapToGrid w:val="0"/>
          <w:color w:val="auto"/>
          <w:kern w:val="0"/>
          <w:szCs w:val="21"/>
          <w:highlight w:val="none"/>
        </w:rPr>
        <w:t>：</w:t>
      </w:r>
    </w:p>
    <w:p w14:paraId="2138BDB7">
      <w:pPr>
        <w:pStyle w:val="37"/>
        <w:shd w:val="clear" w:color="auto" w:fill="auto"/>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1</w:t>
      </w:r>
      <w:r>
        <w:rPr>
          <w:rFonts w:hint="eastAsia"/>
          <w:snapToGrid w:val="0"/>
          <w:color w:val="auto"/>
          <w:kern w:val="0"/>
          <w:szCs w:val="28"/>
          <w:highlight w:val="none"/>
        </w:rPr>
        <w:t>．</w:t>
      </w:r>
      <w:r>
        <w:rPr>
          <w:rFonts w:hint="eastAsia"/>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0D1A242B">
      <w:pPr>
        <w:pStyle w:val="37"/>
        <w:shd w:val="clear" w:color="auto" w:fill="auto"/>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2</w:t>
      </w:r>
      <w:r>
        <w:rPr>
          <w:rFonts w:hint="eastAsia"/>
          <w:snapToGrid w:val="0"/>
          <w:color w:val="auto"/>
          <w:kern w:val="0"/>
          <w:szCs w:val="28"/>
          <w:highlight w:val="none"/>
        </w:rPr>
        <w:t>．</w:t>
      </w:r>
      <w:r>
        <w:rPr>
          <w:rFonts w:hint="eastAsia"/>
          <w:snapToGrid w:val="0"/>
          <w:color w:val="auto"/>
          <w:kern w:val="0"/>
          <w:szCs w:val="21"/>
          <w:highlight w:val="none"/>
        </w:rPr>
        <w:t>每份情况表后应附该项目的合同协议书</w:t>
      </w:r>
      <w:r>
        <w:rPr>
          <w:rFonts w:hint="eastAsia"/>
          <w:snapToGrid w:val="0"/>
          <w:color w:val="auto"/>
          <w:kern w:val="0"/>
          <w:szCs w:val="21"/>
          <w:highlight w:val="none"/>
          <w:lang w:val="en-US" w:eastAsia="zh-CN"/>
        </w:rPr>
        <w:t>彩色扫描件</w:t>
      </w:r>
      <w:r>
        <w:rPr>
          <w:rFonts w:hint="eastAsia"/>
          <w:snapToGrid w:val="0"/>
          <w:color w:val="auto"/>
          <w:kern w:val="0"/>
          <w:szCs w:val="21"/>
          <w:highlight w:val="none"/>
        </w:rPr>
        <w:t>。</w:t>
      </w:r>
    </w:p>
    <w:p w14:paraId="4C5D6F0B">
      <w:pPr>
        <w:pStyle w:val="37"/>
        <w:shd w:val="clear" w:color="auto" w:fill="auto"/>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3</w:t>
      </w:r>
      <w:r>
        <w:rPr>
          <w:rFonts w:hint="eastAsia"/>
          <w:snapToGrid w:val="0"/>
          <w:color w:val="auto"/>
          <w:kern w:val="0"/>
          <w:szCs w:val="28"/>
          <w:highlight w:val="none"/>
        </w:rPr>
        <w:t>．投标人填写本</w:t>
      </w:r>
      <w:r>
        <w:rPr>
          <w:rFonts w:hint="eastAsia"/>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18DCC956">
      <w:pPr>
        <w:pStyle w:val="50"/>
        <w:widowControl w:val="0"/>
        <w:shd w:val="clear" w:color="auto" w:fill="auto"/>
        <w:wordWrap w:val="0"/>
        <w:adjustRightInd w:val="0"/>
        <w:snapToGrid w:val="0"/>
        <w:spacing w:line="400" w:lineRule="exact"/>
        <w:jc w:val="center"/>
        <w:rPr>
          <w:rFonts w:hint="eastAsia" w:hAnsi="宋体" w:cs="宋体"/>
          <w:snapToGrid w:val="0"/>
          <w:color w:val="auto"/>
          <w:sz w:val="21"/>
          <w:szCs w:val="21"/>
          <w:highlight w:val="none"/>
        </w:rPr>
        <w:sectPr>
          <w:endnotePr>
            <w:numFmt w:val="decimal"/>
          </w:endnotePr>
          <w:pgSz w:w="11906" w:h="16838"/>
          <w:pgMar w:top="1701" w:right="1531" w:bottom="1417" w:left="1531" w:header="850" w:footer="992" w:gutter="0"/>
          <w:cols w:space="720" w:num="1"/>
          <w:rtlGutter w:val="0"/>
          <w:docGrid w:linePitch="327" w:charSpace="0"/>
        </w:sectPr>
      </w:pPr>
    </w:p>
    <w:p w14:paraId="338DE644">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hAnsi="Times New Roman" w:eastAsia="宋体" w:cs="Times New Roman"/>
          <w:b/>
          <w:snapToGrid w:val="0"/>
          <w:color w:val="auto"/>
          <w:highlight w:val="none"/>
        </w:rPr>
      </w:pPr>
      <w:bookmarkStart w:id="502" w:name="_Toc15065"/>
      <w:bookmarkStart w:id="503" w:name="_Toc15226"/>
      <w:bookmarkStart w:id="504" w:name="_Toc17537"/>
      <w:bookmarkStart w:id="505" w:name="_Toc30576"/>
      <w:bookmarkStart w:id="506" w:name="_Toc28680"/>
      <w:bookmarkStart w:id="507" w:name="_Toc3412"/>
      <w:bookmarkStart w:id="508" w:name="_Toc17917"/>
      <w:bookmarkStart w:id="509" w:name="_Toc20541"/>
      <w:bookmarkStart w:id="510" w:name="_Toc18734"/>
      <w:bookmarkStart w:id="511" w:name="_Toc21483"/>
      <w:bookmarkStart w:id="512" w:name="_Toc200338098"/>
      <w:bookmarkStart w:id="513" w:name="_Toc8264"/>
      <w:r>
        <w:rPr>
          <w:rFonts w:hint="eastAsia" w:ascii="Times New Roman" w:hAnsi="Times New Roman" w:eastAsia="宋体" w:cs="Times New Roman"/>
          <w:b/>
          <w:snapToGrid w:val="0"/>
          <w:color w:val="auto"/>
          <w:highlight w:val="none"/>
        </w:rPr>
        <w:t>格式</w:t>
      </w:r>
      <w:bookmarkStart w:id="514" w:name="_Hlt287950384"/>
      <w:bookmarkEnd w:id="514"/>
      <w:r>
        <w:rPr>
          <w:rFonts w:hint="eastAsia" w:ascii="Times New Roman" w:hAnsi="Times New Roman" w:eastAsia="宋体" w:cs="Times New Roman"/>
          <w:b/>
          <w:snapToGrid w:val="0"/>
          <w:color w:val="auto"/>
          <w:highlight w:val="none"/>
          <w:lang w:val="en-US" w:eastAsia="zh-CN"/>
        </w:rPr>
        <w:t>十</w:t>
      </w:r>
      <w:r>
        <w:rPr>
          <w:rFonts w:hint="eastAsia" w:ascii="Times New Roman" w:hAnsi="Times New Roman" w:eastAsia="宋体" w:cs="Times New Roman"/>
          <w:b/>
          <w:snapToGrid w:val="0"/>
          <w:color w:val="auto"/>
          <w:highlight w:val="none"/>
        </w:rPr>
        <w:t xml:space="preserve"> 项目监理机构组成人员汇总表</w:t>
      </w:r>
      <w:bookmarkEnd w:id="502"/>
      <w:bookmarkEnd w:id="503"/>
      <w:bookmarkEnd w:id="504"/>
      <w:bookmarkEnd w:id="505"/>
      <w:bookmarkEnd w:id="506"/>
      <w:bookmarkEnd w:id="507"/>
      <w:bookmarkEnd w:id="508"/>
      <w:bookmarkEnd w:id="509"/>
      <w:bookmarkEnd w:id="510"/>
      <w:bookmarkEnd w:id="511"/>
    </w:p>
    <w:p w14:paraId="16BDAD91">
      <w:pPr>
        <w:shd w:val="clear" w:color="auto" w:fill="auto"/>
        <w:wordWrap w:val="0"/>
        <w:adjustRightInd w:val="0"/>
        <w:snapToGrid w:val="0"/>
        <w:spacing w:before="260" w:after="260" w:line="440" w:lineRule="exact"/>
        <w:jc w:val="center"/>
        <w:rPr>
          <w:rFonts w:hint="eastAsia"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1D850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4E187CF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462D48C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181C824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34043CD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52EE130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185874E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6F478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1A6C65A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0F9B112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3D50486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7348845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2183E46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05ADAE0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A900BC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08CCC98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40D37D0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4D3BC4E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4650B72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6587E3A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66839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D890FA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1E9B253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98A8DF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2BD6C7C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065F90A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7059286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5A82039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1EBD8C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C43EEB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780A48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999414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94EB1A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E553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7FA610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5314EE7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F91D51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9B2CD4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900330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9DD951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5306A7C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FA4420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2B4C9C3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07A3D2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58FE55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724174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CACD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774E97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2B366C4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15D08B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410E945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2C8F9D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8958A6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2F1E10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55DA2B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4DD263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F4B91E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2582D4A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C5D7AB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6893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090395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56AA5B5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198165F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472C4A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AA83AB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6FFA04D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0755F7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6ADA67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1598A7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103357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B217F0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6BB651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54D1A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5694B2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B1287B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665C97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5E6716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2E671B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D88A0C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5389B50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088F8C8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3952659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13578AC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BC5BB2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8B9100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307C8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311DA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C6F5C4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7D5BBBA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45BFA8A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17E122F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B881D2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733AF82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AA6EAB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1E948AE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DFFE8F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7E010D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FA5867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599F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F3B4CA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CB2D14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0CB7F4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266F272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3E41B0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6905D0E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766A8E0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CA9A95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19C8105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64A042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238DED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61132D2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50514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A9300A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788BB02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C327A0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48E08E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33C71BF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54FEC6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654A1C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B32758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0EFB5F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96807F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EEEDC9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016C7E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75BE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0B41FBB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A664EA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5CDDDD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0C68BA9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35D7FB2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6D2D776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8688BE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F9C7F2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DDC08D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44E24E7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8F0533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975C6B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bookmarkStart w:id="515" w:name="_Hlt68774664"/>
        <w:bookmarkStart w:id="516" w:name="_附件十：单项工程费汇总表"/>
        <w:bookmarkStart w:id="517" w:name="_附件二十四：技术标提问单"/>
        <w:bookmarkStart w:id="518" w:name="_附件二十五：综合评审合理低价法"/>
        <w:bookmarkStart w:id="519" w:name="_Hlt69116778"/>
      </w:tr>
      <w:bookmarkEnd w:id="512"/>
      <w:bookmarkEnd w:id="513"/>
      <w:bookmarkEnd w:id="515"/>
      <w:bookmarkEnd w:id="516"/>
      <w:bookmarkEnd w:id="517"/>
      <w:bookmarkEnd w:id="518"/>
      <w:bookmarkEnd w:id="519"/>
      <w:tr w14:paraId="7252F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9EEF07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94135A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98707D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31B479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81C5B3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7E5AF9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38A58E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67B631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1D36E03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A15FA3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868AD2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6CE192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bl>
    <w:p w14:paraId="78910A71">
      <w:pPr>
        <w:pStyle w:val="50"/>
        <w:widowControl w:val="0"/>
        <w:shd w:val="clear" w:color="auto" w:fill="auto"/>
        <w:wordWrap w:val="0"/>
        <w:adjustRightInd w:val="0"/>
        <w:snapToGrid w:val="0"/>
        <w:spacing w:line="400" w:lineRule="exact"/>
        <w:rPr>
          <w:rFonts w:hint="eastAsia" w:hAnsi="宋体" w:cs="宋体"/>
          <w:snapToGrid w:val="0"/>
          <w:color w:val="auto"/>
          <w:sz w:val="21"/>
          <w:highlight w:val="none"/>
        </w:rPr>
      </w:pPr>
      <w:r>
        <w:rPr>
          <w:rFonts w:hint="eastAsia" w:hAnsi="宋体" w:cs="宋体"/>
          <w:snapToGrid w:val="0"/>
          <w:color w:val="auto"/>
          <w:sz w:val="21"/>
          <w:highlight w:val="none"/>
        </w:rPr>
        <w:t>说明：</w:t>
      </w:r>
    </w:p>
    <w:p w14:paraId="60E5CA8C">
      <w:pPr>
        <w:pStyle w:val="50"/>
        <w:widowControl w:val="0"/>
        <w:shd w:val="clear" w:color="auto" w:fill="auto"/>
        <w:wordWrap w:val="0"/>
        <w:adjustRightInd w:val="0"/>
        <w:snapToGrid w:val="0"/>
        <w:spacing w:line="400" w:lineRule="exact"/>
        <w:rPr>
          <w:rFonts w:hint="eastAsia" w:hAnsi="宋体" w:cs="宋体"/>
          <w:snapToGrid w:val="0"/>
          <w:color w:val="auto"/>
          <w:sz w:val="21"/>
          <w:highlight w:val="none"/>
        </w:rPr>
      </w:pPr>
      <w:r>
        <w:rPr>
          <w:rFonts w:hint="eastAsia" w:hAnsi="宋体" w:cs="宋体"/>
          <w:snapToGrid w:val="0"/>
          <w:color w:val="auto"/>
          <w:sz w:val="21"/>
          <w:highlight w:val="none"/>
        </w:rPr>
        <w:t>1</w:t>
      </w: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p>
    <w:p w14:paraId="502FC438">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sectPr>
          <w:endnotePr>
            <w:numFmt w:val="decimal"/>
          </w:endnotePr>
          <w:pgSz w:w="16838" w:h="11906" w:orient="landscape"/>
          <w:pgMar w:top="1531" w:right="1531" w:bottom="1531" w:left="1531" w:header="850" w:footer="992" w:gutter="0"/>
          <w:cols w:space="720" w:num="1"/>
          <w:rtlGutter w:val="0"/>
          <w:docGrid w:linePitch="327" w:charSpace="0"/>
        </w:sectPr>
      </w:pPr>
    </w:p>
    <w:p w14:paraId="00D0F436">
      <w:pPr>
        <w:pStyle w:val="4"/>
        <w:keepNext w:val="0"/>
        <w:keepLines w:val="0"/>
        <w:widowControl w:val="0"/>
        <w:shd w:val="clear" w:color="auto" w:fill="auto"/>
        <w:wordWrap w:val="0"/>
        <w:adjustRightInd w:val="0"/>
        <w:snapToGrid w:val="0"/>
        <w:spacing w:before="0" w:after="0" w:line="440" w:lineRule="exact"/>
        <w:ind w:firstLine="0"/>
        <w:jc w:val="left"/>
        <w:rPr>
          <w:rFonts w:hint="eastAsia" w:ascii="Times New Roman" w:hAnsi="Times New Roman" w:eastAsia="宋体" w:cs="Times New Roman"/>
          <w:b/>
          <w:snapToGrid w:val="0"/>
          <w:color w:val="auto"/>
          <w:highlight w:val="none"/>
        </w:rPr>
      </w:pPr>
      <w:bookmarkStart w:id="520" w:name="_Toc20233"/>
      <w:bookmarkStart w:id="521" w:name="_Toc15824"/>
      <w:bookmarkStart w:id="522" w:name="_Toc32518"/>
      <w:bookmarkStart w:id="523" w:name="_Toc13501"/>
      <w:bookmarkStart w:id="524" w:name="_Toc10343"/>
      <w:bookmarkStart w:id="525" w:name="_Toc3545"/>
      <w:bookmarkStart w:id="526" w:name="_Toc28573"/>
      <w:bookmarkStart w:id="527" w:name="_Toc13203"/>
      <w:bookmarkStart w:id="528" w:name="_Toc15987"/>
      <w:bookmarkStart w:id="529" w:name="_Toc20819"/>
      <w:r>
        <w:rPr>
          <w:rFonts w:hint="eastAsia" w:ascii="Times New Roman" w:hAnsi="Times New Roman" w:eastAsia="宋体" w:cs="Times New Roman"/>
          <w:b/>
          <w:snapToGrid w:val="0"/>
          <w:color w:val="auto"/>
          <w:highlight w:val="none"/>
        </w:rPr>
        <w:t>格式</w:t>
      </w:r>
      <w:r>
        <w:rPr>
          <w:rFonts w:hint="eastAsia" w:ascii="Times New Roman" w:hAnsi="Times New Roman" w:eastAsia="宋体" w:cs="Times New Roman"/>
          <w:b/>
          <w:snapToGrid w:val="0"/>
          <w:color w:val="auto"/>
          <w:highlight w:val="none"/>
          <w:lang w:val="en-US" w:eastAsia="zh-CN"/>
        </w:rPr>
        <w:t>十一</w:t>
      </w:r>
      <w:r>
        <w:rPr>
          <w:rFonts w:hint="eastAsia" w:ascii="Times New Roman" w:hAnsi="Times New Roman" w:eastAsia="宋体" w:cs="Times New Roman"/>
          <w:b/>
          <w:snapToGrid w:val="0"/>
          <w:color w:val="auto"/>
          <w:highlight w:val="none"/>
        </w:rPr>
        <w:t xml:space="preserve"> 总监理工程师简历表</w:t>
      </w:r>
      <w:bookmarkEnd w:id="520"/>
      <w:bookmarkEnd w:id="521"/>
      <w:bookmarkEnd w:id="522"/>
      <w:bookmarkEnd w:id="523"/>
      <w:bookmarkEnd w:id="524"/>
      <w:bookmarkEnd w:id="525"/>
      <w:bookmarkEnd w:id="526"/>
      <w:bookmarkEnd w:id="527"/>
      <w:bookmarkEnd w:id="528"/>
      <w:bookmarkEnd w:id="529"/>
    </w:p>
    <w:p w14:paraId="03541C48">
      <w:pPr>
        <w:shd w:val="clear" w:color="auto" w:fill="auto"/>
        <w:wordWrap w:val="0"/>
        <w:adjustRightInd w:val="0"/>
        <w:snapToGrid w:val="0"/>
        <w:spacing w:line="440" w:lineRule="exact"/>
        <w:jc w:val="left"/>
        <w:rPr>
          <w:rFonts w:hint="eastAsia" w:hAnsi="宋体" w:cs="宋体"/>
          <w:b/>
          <w:bCs/>
          <w:snapToGrid w:val="0"/>
          <w:color w:val="auto"/>
          <w:kern w:val="0"/>
          <w:szCs w:val="24"/>
          <w:highlight w:val="none"/>
        </w:rPr>
      </w:pPr>
    </w:p>
    <w:tbl>
      <w:tblPr>
        <w:tblStyle w:val="24"/>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04FF0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D8A54B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2AB9BCB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416C19D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3811587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6E190A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6008A2A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3BF39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231B8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2EED6A7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A547E5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7082048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721CB8C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348B2A5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3D92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4E6744C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100039A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728BCFA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2B405E6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69E46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1339A9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EBDC51A">
            <w:pPr>
              <w:shd w:val="clear" w:color="auto" w:fill="auto"/>
              <w:wordWrap w:val="0"/>
              <w:adjustRightInd w:val="0"/>
              <w:snapToGrid w:val="0"/>
              <w:spacing w:line="240" w:lineRule="auto"/>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名称：                               证书号：</w:t>
            </w:r>
          </w:p>
        </w:tc>
      </w:tr>
      <w:tr w14:paraId="6A178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6FCAA47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072F1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7C89F8F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1E2514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728C1B9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603304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3E8B04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2C84C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637A0E9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E544EF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59EB2D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98D6CE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CB84E3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2E79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FE475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CAD8B0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7FC5380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02A324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98822A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0D10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7E8487A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848376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044E8B3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2C3A3B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136C9B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0398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5A438C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93E08B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6C8E4F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84FBB3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CDB8F4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bl>
    <w:p w14:paraId="729DECAD">
      <w:pPr>
        <w:shd w:val="clear" w:color="auto" w:fill="auto"/>
        <w:wordWrap w:val="0"/>
        <w:adjustRightInd w:val="0"/>
        <w:snapToGrid w:val="0"/>
        <w:spacing w:line="440" w:lineRule="exact"/>
        <w:jc w:val="center"/>
        <w:rPr>
          <w:rFonts w:hint="eastAsia" w:hAnsi="宋体" w:cs="宋体"/>
          <w:b/>
          <w:bCs/>
          <w:snapToGrid w:val="0"/>
          <w:color w:val="auto"/>
          <w:kern w:val="0"/>
          <w:szCs w:val="24"/>
          <w:highlight w:val="none"/>
        </w:rPr>
      </w:pPr>
      <w:r>
        <w:rPr>
          <w:rFonts w:hint="eastAsia" w:hAnsi="宋体" w:cs="宋体"/>
          <w:b/>
          <w:snapToGrid w:val="0"/>
          <w:color w:val="auto"/>
          <w:kern w:val="0"/>
          <w:sz w:val="30"/>
          <w:highlight w:val="none"/>
        </w:rPr>
        <w:t>总监理工程师简历表</w:t>
      </w:r>
    </w:p>
    <w:p w14:paraId="60D9E4A3">
      <w:pPr>
        <w:shd w:val="clear" w:color="auto" w:fill="auto"/>
        <w:wordWrap w:val="0"/>
        <w:adjustRightInd w:val="0"/>
        <w:snapToGrid w:val="0"/>
        <w:spacing w:line="440" w:lineRule="exact"/>
        <w:ind w:firstLine="570"/>
        <w:rPr>
          <w:rFonts w:hint="eastAsia" w:hAnsi="宋体" w:cs="宋体"/>
          <w:snapToGrid w:val="0"/>
          <w:color w:val="auto"/>
          <w:kern w:val="0"/>
          <w:szCs w:val="28"/>
          <w:highlight w:val="none"/>
        </w:rPr>
      </w:pPr>
    </w:p>
    <w:p w14:paraId="22665C96">
      <w:pPr>
        <w:pStyle w:val="46"/>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0A7B57AE">
      <w:pPr>
        <w:pStyle w:val="46"/>
        <w:shd w:val="clear" w:color="auto" w:fill="auto"/>
        <w:wordWrap w:val="0"/>
        <w:adjustRightInd w:val="0"/>
        <w:snapToGrid w:val="0"/>
        <w:spacing w:line="440" w:lineRule="exact"/>
        <w:jc w:val="right"/>
        <w:rPr>
          <w:rFonts w:hint="eastAsia" w:hAnsi="宋体" w:cs="宋体"/>
          <w:snapToGrid w:val="0"/>
          <w:color w:val="auto"/>
          <w:kern w:val="0"/>
          <w:highlight w:val="none"/>
        </w:rPr>
      </w:pPr>
      <w:r>
        <w:rPr>
          <w:rFonts w:hint="eastAsia" w:hAnsi="宋体" w:cs="宋体"/>
          <w:snapToGrid w:val="0"/>
          <w:color w:val="auto"/>
          <w:kern w:val="0"/>
          <w:highlight w:val="none"/>
        </w:rPr>
        <w:t>总监理工程师：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5983A48D">
      <w:pPr>
        <w:pStyle w:val="46"/>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5BFFC8A7">
      <w:pPr>
        <w:pStyle w:val="46"/>
        <w:shd w:val="clear" w:color="auto" w:fill="auto"/>
        <w:wordWrap w:val="0"/>
        <w:adjustRightInd w:val="0"/>
        <w:snapToGrid w:val="0"/>
        <w:spacing w:line="440" w:lineRule="exact"/>
        <w:jc w:val="center"/>
        <w:rPr>
          <w:rFonts w:hint="eastAsia"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2FAC9C7F">
      <w:pPr>
        <w:shd w:val="clear" w:color="auto" w:fill="auto"/>
        <w:wordWrap w:val="0"/>
        <w:adjustRightInd w:val="0"/>
        <w:snapToGrid w:val="0"/>
        <w:spacing w:line="400" w:lineRule="exact"/>
        <w:ind w:firstLine="570"/>
        <w:rPr>
          <w:rFonts w:hint="eastAsia" w:hAnsi="宋体" w:cs="宋体"/>
          <w:snapToGrid w:val="0"/>
          <w:color w:val="auto"/>
          <w:kern w:val="0"/>
          <w:szCs w:val="28"/>
          <w:highlight w:val="none"/>
        </w:rPr>
      </w:pPr>
    </w:p>
    <w:p w14:paraId="028A0EDF">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说明：《总监理工程师简历表》后应附拟委派的总监理工程师以下资料：</w:t>
      </w:r>
    </w:p>
    <w:p w14:paraId="17504229">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w:t>
      </w:r>
    </w:p>
    <w:p w14:paraId="2FE415D2">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2．监理工程师注册证书</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（须</w:t>
      </w:r>
      <w:r>
        <w:rPr>
          <w:rFonts w:hint="eastAsia" w:hAnsi="宋体" w:cs="宋体"/>
          <w:snapToGrid w:val="0"/>
          <w:color w:val="auto"/>
          <w:kern w:val="0"/>
          <w:sz w:val="21"/>
          <w:szCs w:val="28"/>
          <w:highlight w:val="none"/>
          <w:lang w:val="en-US" w:eastAsia="zh-CN"/>
        </w:rPr>
        <w:t>扫描</w:t>
      </w:r>
      <w:r>
        <w:rPr>
          <w:rFonts w:hint="eastAsia" w:hAnsi="宋体" w:cs="宋体"/>
          <w:snapToGrid w:val="0"/>
          <w:color w:val="auto"/>
          <w:kern w:val="0"/>
          <w:sz w:val="21"/>
          <w:szCs w:val="28"/>
          <w:highlight w:val="none"/>
        </w:rPr>
        <w:t>至变更注册栏）</w:t>
      </w:r>
      <w:r>
        <w:rPr>
          <w:rFonts w:hint="eastAsia" w:hAnsi="宋体" w:cs="宋体"/>
          <w:snapToGrid w:val="0"/>
          <w:color w:val="auto"/>
          <w:kern w:val="0"/>
          <w:sz w:val="21"/>
          <w:szCs w:val="28"/>
          <w:highlight w:val="none"/>
          <w:lang w:val="en-US" w:eastAsia="zh-CN"/>
        </w:rPr>
        <w:t>或</w:t>
      </w:r>
      <w:r>
        <w:rPr>
          <w:rFonts w:hint="eastAsia" w:hAnsi="宋体" w:cs="宋体"/>
          <w:snapToGrid w:val="0"/>
          <w:color w:val="auto"/>
          <w:kern w:val="0"/>
          <w:sz w:val="21"/>
          <w:szCs w:val="28"/>
          <w:highlight w:val="none"/>
        </w:rPr>
        <w:t>在使用有效期内的有效电子证书；</w:t>
      </w:r>
    </w:p>
    <w:p w14:paraId="7FD502B6">
      <w:pPr>
        <w:shd w:val="clear" w:color="auto" w:fill="auto"/>
        <w:wordWrap w:val="0"/>
        <w:adjustRightInd w:val="0"/>
        <w:snapToGrid w:val="0"/>
        <w:spacing w:line="400" w:lineRule="exact"/>
        <w:ind w:firstLine="420"/>
        <w:rPr>
          <w:rFonts w:hint="eastAsia" w:hAnsi="宋体" w:eastAsia="宋体" w:cs="宋体"/>
          <w:snapToGrid w:val="0"/>
          <w:color w:val="auto"/>
          <w:kern w:val="0"/>
          <w:sz w:val="21"/>
          <w:szCs w:val="28"/>
          <w:highlight w:val="none"/>
          <w:lang w:eastAsia="zh-CN"/>
        </w:rPr>
      </w:pPr>
      <w:r>
        <w:rPr>
          <w:rFonts w:hint="eastAsia" w:hAnsi="宋体" w:cs="宋体"/>
          <w:snapToGrid w:val="0"/>
          <w:color w:val="auto"/>
          <w:kern w:val="0"/>
          <w:sz w:val="21"/>
          <w:szCs w:val="28"/>
          <w:highlight w:val="none"/>
        </w:rPr>
        <w:t>3．</w:t>
      </w:r>
      <w:r>
        <w:rPr>
          <w:rFonts w:hint="eastAsia" w:hAnsi="宋体" w:cs="宋体"/>
          <w:b w:val="0"/>
          <w:bCs w:val="0"/>
          <w:snapToGrid w:val="0"/>
          <w:color w:val="auto"/>
          <w:kern w:val="0"/>
          <w:sz w:val="21"/>
          <w:szCs w:val="28"/>
          <w:highlight w:val="none"/>
        </w:rPr>
        <w:t>在本单位</w:t>
      </w:r>
      <w:r>
        <w:rPr>
          <w:rFonts w:hint="eastAsia" w:hAnsi="宋体" w:cs="宋体"/>
          <w:snapToGrid w:val="0"/>
          <w:color w:val="auto"/>
          <w:kern w:val="0"/>
          <w:sz w:val="21"/>
          <w:szCs w:val="28"/>
          <w:highlight w:val="none"/>
        </w:rPr>
        <w:t>缴纳社保的证明</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（至少</w:t>
      </w:r>
      <w:r>
        <w:rPr>
          <w:rFonts w:hint="eastAsia" w:hAnsi="宋体" w:cs="宋体"/>
          <w:snapToGrid w:val="0"/>
          <w:color w:val="auto"/>
          <w:kern w:val="0"/>
          <w:sz w:val="21"/>
          <w:szCs w:val="28"/>
          <w:highlight w:val="none"/>
          <w:lang w:val="en-US" w:eastAsia="zh-CN"/>
        </w:rPr>
        <w:t>三个</w:t>
      </w:r>
      <w:r>
        <w:rPr>
          <w:rFonts w:hint="eastAsia" w:hAnsi="宋体" w:cs="宋体"/>
          <w:snapToGrid w:val="0"/>
          <w:color w:val="auto"/>
          <w:kern w:val="0"/>
          <w:sz w:val="21"/>
          <w:szCs w:val="28"/>
          <w:highlight w:val="none"/>
        </w:rPr>
        <w:t>月，其中必须有</w:t>
      </w:r>
      <w:r>
        <w:rPr>
          <w:rFonts w:hint="eastAsia" w:hAnsi="宋体" w:cs="宋体"/>
          <w:snapToGrid w:val="0"/>
          <w:color w:val="auto"/>
          <w:kern w:val="0"/>
          <w:sz w:val="21"/>
          <w:szCs w:val="28"/>
          <w:highlight w:val="none"/>
          <w:lang w:eastAsia="zh-CN"/>
        </w:rPr>
        <w:t>2025年</w:t>
      </w:r>
      <w:r>
        <w:rPr>
          <w:rFonts w:hint="eastAsia" w:hAnsi="宋体" w:cs="宋体"/>
          <w:snapToGrid w:val="0"/>
          <w:color w:val="auto"/>
          <w:kern w:val="0"/>
          <w:sz w:val="21"/>
          <w:szCs w:val="28"/>
          <w:highlight w:val="none"/>
          <w:lang w:val="en-US" w:eastAsia="zh-CN"/>
        </w:rPr>
        <w:t>8月</w:t>
      </w:r>
      <w:r>
        <w:rPr>
          <w:rFonts w:hint="eastAsia" w:hAnsi="宋体" w:cs="宋体"/>
          <w:snapToGrid w:val="0"/>
          <w:color w:val="auto"/>
          <w:kern w:val="0"/>
          <w:sz w:val="21"/>
          <w:szCs w:val="28"/>
          <w:highlight w:val="none"/>
        </w:rPr>
        <w:t>）。拟委派的总监理工程师为退休返聘人员无法提供社保证明的，提供退休证和劳动合同</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lang w:eastAsia="zh-CN"/>
        </w:rPr>
        <w:t>。</w:t>
      </w:r>
    </w:p>
    <w:p w14:paraId="4EBF3D2E">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p>
    <w:p w14:paraId="472AE9E2">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p>
    <w:p w14:paraId="6A2D4247">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p>
    <w:p w14:paraId="388D10A3">
      <w:pPr>
        <w:shd w:val="clear" w:color="auto" w:fill="auto"/>
        <w:wordWrap w:val="0"/>
        <w:adjustRightInd w:val="0"/>
        <w:snapToGrid w:val="0"/>
        <w:spacing w:line="440" w:lineRule="exact"/>
        <w:jc w:val="left"/>
        <w:outlineLvl w:val="2"/>
        <w:rPr>
          <w:rFonts w:hint="eastAsia" w:hAnsi="宋体" w:cs="宋体"/>
          <w:b/>
          <w:bCs/>
          <w:snapToGrid w:val="0"/>
          <w:color w:val="auto"/>
          <w:kern w:val="0"/>
          <w:szCs w:val="24"/>
          <w:highlight w:val="none"/>
        </w:rPr>
      </w:pPr>
      <w:bookmarkStart w:id="530" w:name="_Toc29390"/>
      <w:bookmarkStart w:id="531" w:name="_Toc6762"/>
      <w:bookmarkStart w:id="532" w:name="_Toc4497"/>
      <w:bookmarkStart w:id="533" w:name="_Toc1875"/>
      <w:bookmarkStart w:id="534" w:name="_Toc13930"/>
      <w:bookmarkStart w:id="535" w:name="_Toc32546"/>
      <w:bookmarkStart w:id="536" w:name="_Toc26155"/>
      <w:bookmarkStart w:id="537" w:name="_Toc26095"/>
      <w:r>
        <w:rPr>
          <w:rFonts w:hint="eastAsia" w:hAnsi="宋体" w:cs="宋体"/>
          <w:b/>
          <w:snapToGrid w:val="0"/>
          <w:color w:val="auto"/>
          <w:kern w:val="0"/>
          <w:highlight w:val="none"/>
        </w:rPr>
        <w:br w:type="page"/>
      </w:r>
      <w:bookmarkStart w:id="538" w:name="_Toc20134"/>
      <w:bookmarkStart w:id="539" w:name="_Toc30376"/>
      <w:r>
        <w:rPr>
          <w:rStyle w:val="30"/>
          <w:rFonts w:hint="eastAsia"/>
          <w:b/>
          <w:bCs/>
          <w:color w:val="auto"/>
          <w:highlight w:val="none"/>
          <w:lang w:val="en-US" w:eastAsia="zh-CN"/>
        </w:rPr>
        <w:t>格式十二 其他拟委派的人员简历表</w:t>
      </w:r>
      <w:bookmarkEnd w:id="530"/>
      <w:bookmarkEnd w:id="531"/>
      <w:bookmarkEnd w:id="532"/>
      <w:bookmarkEnd w:id="533"/>
      <w:bookmarkEnd w:id="534"/>
      <w:bookmarkEnd w:id="535"/>
      <w:bookmarkEnd w:id="536"/>
      <w:bookmarkEnd w:id="537"/>
      <w:bookmarkEnd w:id="538"/>
      <w:bookmarkEnd w:id="539"/>
    </w:p>
    <w:p w14:paraId="0A203528">
      <w:pPr>
        <w:shd w:val="clear" w:color="auto" w:fill="auto"/>
        <w:wordWrap w:val="0"/>
        <w:adjustRightInd w:val="0"/>
        <w:snapToGrid w:val="0"/>
        <w:spacing w:line="440" w:lineRule="exact"/>
        <w:jc w:val="left"/>
        <w:rPr>
          <w:rFonts w:hint="eastAsia" w:hAnsi="宋体" w:cs="宋体"/>
          <w:b/>
          <w:bCs/>
          <w:snapToGrid w:val="0"/>
          <w:color w:val="auto"/>
          <w:kern w:val="0"/>
          <w:szCs w:val="24"/>
          <w:highlight w:val="none"/>
        </w:rPr>
      </w:pPr>
    </w:p>
    <w:tbl>
      <w:tblPr>
        <w:tblStyle w:val="24"/>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2BAEA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CAC13F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5C2F40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1D22E26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7D4D95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DD4214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511AEEC">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1FF30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4C9289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35AFCE1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2B2F2D5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18B44F4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EC8491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509755A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5D6B0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15E4EFF">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09BBD6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433029B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3388B8F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2982F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ECAF5C4">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21E6E09D">
            <w:pPr>
              <w:shd w:val="clear" w:color="auto" w:fill="auto"/>
              <w:wordWrap w:val="0"/>
              <w:adjustRightInd w:val="0"/>
              <w:snapToGrid w:val="0"/>
              <w:spacing w:line="240" w:lineRule="auto"/>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77368D29">
            <w:pPr>
              <w:shd w:val="clear" w:color="auto" w:fill="auto"/>
              <w:wordWrap w:val="0"/>
              <w:adjustRightInd w:val="0"/>
              <w:snapToGrid w:val="0"/>
              <w:spacing w:line="240" w:lineRule="auto"/>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EEE3E6E">
            <w:pPr>
              <w:shd w:val="clear" w:color="auto" w:fill="auto"/>
              <w:wordWrap w:val="0"/>
              <w:adjustRightInd w:val="0"/>
              <w:snapToGrid w:val="0"/>
              <w:spacing w:line="240" w:lineRule="auto"/>
              <w:jc w:val="left"/>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1CF5A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49B2B24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71567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058182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8E9859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6E7D37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72911E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4FAAE6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445BB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771BB8C3">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97D7656">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677A95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E1C9DF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A184A4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39379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4BE3BA7">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7D91A29">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7FBC208">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92EF2AB">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49F7725">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7541F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0AC791E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3C6FC04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02C6770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39AFC6E">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A83AD12">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r w14:paraId="03E2C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D730B7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42BE191">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5A711A">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BA5E690">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4B8A8CD">
            <w:pPr>
              <w:shd w:val="clear" w:color="auto" w:fill="auto"/>
              <w:wordWrap w:val="0"/>
              <w:adjustRightInd w:val="0"/>
              <w:snapToGrid w:val="0"/>
              <w:spacing w:line="240" w:lineRule="auto"/>
              <w:jc w:val="center"/>
              <w:rPr>
                <w:rFonts w:hint="eastAsia" w:hAnsi="宋体" w:cs="宋体"/>
                <w:snapToGrid w:val="0"/>
                <w:color w:val="auto"/>
                <w:kern w:val="0"/>
                <w:sz w:val="21"/>
                <w:szCs w:val="21"/>
                <w:highlight w:val="none"/>
              </w:rPr>
            </w:pPr>
          </w:p>
        </w:tc>
      </w:tr>
    </w:tbl>
    <w:p w14:paraId="5BCCF895">
      <w:pPr>
        <w:shd w:val="clear" w:color="auto" w:fill="auto"/>
        <w:wordWrap w:val="0"/>
        <w:adjustRightInd w:val="0"/>
        <w:snapToGrid w:val="0"/>
        <w:spacing w:line="440" w:lineRule="exact"/>
        <w:jc w:val="center"/>
        <w:rPr>
          <w:rFonts w:hint="eastAsia" w:hAnsi="宋体" w:cs="宋体"/>
          <w:b/>
          <w:bCs/>
          <w:snapToGrid w:val="0"/>
          <w:color w:val="auto"/>
          <w:kern w:val="0"/>
          <w:szCs w:val="24"/>
          <w:highlight w:val="none"/>
        </w:rPr>
      </w:pPr>
      <w:r>
        <w:rPr>
          <w:rFonts w:hint="eastAsia" w:hAnsi="宋体" w:cs="宋体"/>
          <w:b/>
          <w:snapToGrid w:val="0"/>
          <w:color w:val="auto"/>
          <w:kern w:val="0"/>
          <w:sz w:val="30"/>
          <w:highlight w:val="none"/>
        </w:rPr>
        <w:t>其他拟委派的人员简历表</w:t>
      </w:r>
      <w:r>
        <w:rPr>
          <w:rFonts w:hint="eastAsia" w:ascii="Times New Roman"/>
          <w:b/>
          <w:snapToGrid w:val="0"/>
          <w:color w:val="auto"/>
          <w:kern w:val="0"/>
          <w:sz w:val="30"/>
          <w:highlight w:val="none"/>
        </w:rPr>
        <w:t>（）</w:t>
      </w:r>
    </w:p>
    <w:p w14:paraId="5C7E5A75">
      <w:pPr>
        <w:pStyle w:val="46"/>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4267511A">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w:t>
      </w:r>
    </w:p>
    <w:p w14:paraId="509E6CC9">
      <w:pPr>
        <w:shd w:val="clear" w:color="auto" w:fill="auto"/>
        <w:wordWrap w:val="0"/>
        <w:adjustRightInd w:val="0"/>
        <w:snapToGrid w:val="0"/>
        <w:spacing w:line="40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8"/>
          <w:highlight w:val="none"/>
        </w:rPr>
        <w:t>1．“其他拟委派的人员”指项目监理机构中除总监理工程师以外的拟委派的人员（如专业监理工程师、监理员等），拟委派的人员一人一表，</w:t>
      </w:r>
      <w:r>
        <w:rPr>
          <w:rFonts w:hint="eastAsia" w:hAnsi="宋体" w:cs="宋体"/>
          <w:snapToGrid w:val="0"/>
          <w:color w:val="auto"/>
          <w:kern w:val="0"/>
          <w:sz w:val="21"/>
          <w:szCs w:val="21"/>
          <w:highlight w:val="none"/>
        </w:rPr>
        <w:t>并标明序号。</w:t>
      </w:r>
    </w:p>
    <w:p w14:paraId="3C926DD5">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2．每份简历表后应附该拟委派的人员以下资料：</w:t>
      </w:r>
    </w:p>
    <w:p w14:paraId="7A8E9F0A">
      <w:pPr>
        <w:shd w:val="clear" w:color="auto" w:fill="auto"/>
        <w:wordWrap w:val="0"/>
        <w:adjustRightInd w:val="0"/>
        <w:snapToGrid w:val="0"/>
        <w:spacing w:line="400" w:lineRule="exact"/>
        <w:ind w:firstLine="420"/>
        <w:rPr>
          <w:rFonts w:hint="eastAsia"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w:t>
      </w:r>
    </w:p>
    <w:p w14:paraId="2DF964E5">
      <w:pPr>
        <w:shd w:val="clear" w:color="auto" w:fill="auto"/>
        <w:wordWrap w:val="0"/>
        <w:adjustRightInd w:val="0"/>
        <w:snapToGrid w:val="0"/>
        <w:spacing w:line="400" w:lineRule="exact"/>
        <w:ind w:firstLine="420"/>
        <w:rPr>
          <w:rFonts w:hint="eastAsia" w:hAnsi="宋体" w:cs="宋体"/>
          <w:snapToGrid w:val="0"/>
          <w:color w:val="auto"/>
          <w:kern w:val="0"/>
          <w:sz w:val="21"/>
          <w:szCs w:val="21"/>
          <w:highlight w:val="none"/>
        </w:rPr>
      </w:pPr>
      <w:r>
        <w:rPr>
          <w:rFonts w:hint="eastAsia" w:hAnsi="宋体" w:cs="宋体"/>
          <w:snapToGrid w:val="0"/>
          <w:color w:val="auto"/>
          <w:kern w:val="0"/>
          <w:sz w:val="21"/>
          <w:szCs w:val="28"/>
          <w:highlight w:val="none"/>
        </w:rPr>
        <w:t>（2）相关证书</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须</w:t>
      </w:r>
      <w:r>
        <w:rPr>
          <w:rFonts w:hint="eastAsia" w:hAnsi="宋体" w:cs="宋体"/>
          <w:snapToGrid w:val="0"/>
          <w:color w:val="auto"/>
          <w:kern w:val="0"/>
          <w:sz w:val="21"/>
          <w:szCs w:val="28"/>
          <w:highlight w:val="none"/>
          <w:lang w:val="en-US" w:eastAsia="zh-CN"/>
        </w:rPr>
        <w:t>扫描</w:t>
      </w:r>
      <w:r>
        <w:rPr>
          <w:rFonts w:hint="eastAsia" w:hAnsi="宋体" w:cs="宋体"/>
          <w:snapToGrid w:val="0"/>
          <w:color w:val="auto"/>
          <w:kern w:val="0"/>
          <w:sz w:val="21"/>
          <w:szCs w:val="28"/>
          <w:highlight w:val="none"/>
        </w:rPr>
        <w:t>至变更注册栏</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lang w:val="en-US" w:eastAsia="zh-CN"/>
        </w:rPr>
        <w:t>或在使用有效期内的有效电子证书</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具体要求详见招标文件第一章第三节第</w:t>
      </w:r>
      <w:r>
        <w:rPr>
          <w:rFonts w:hint="eastAsia" w:hAnsi="宋体" w:cs="宋体"/>
          <w:b/>
          <w:bCs/>
          <w:snapToGrid w:val="0"/>
          <w:color w:val="auto"/>
          <w:kern w:val="0"/>
          <w:sz w:val="21"/>
          <w:szCs w:val="28"/>
          <w:highlight w:val="none"/>
        </w:rPr>
        <w:t>15.5</w:t>
      </w:r>
      <w:r>
        <w:rPr>
          <w:rFonts w:hint="eastAsia" w:hAnsi="宋体" w:cs="宋体"/>
          <w:snapToGrid w:val="0"/>
          <w:color w:val="auto"/>
          <w:kern w:val="0"/>
          <w:sz w:val="21"/>
          <w:szCs w:val="28"/>
          <w:highlight w:val="none"/>
        </w:rPr>
        <w:t>条表</w:t>
      </w:r>
      <w:r>
        <w:rPr>
          <w:rFonts w:hint="eastAsia" w:hAnsi="宋体" w:cs="宋体"/>
          <w:b/>
          <w:bCs/>
          <w:snapToGrid w:val="0"/>
          <w:color w:val="auto"/>
          <w:kern w:val="0"/>
          <w:sz w:val="21"/>
          <w:szCs w:val="28"/>
          <w:highlight w:val="none"/>
        </w:rPr>
        <w:t>2</w:t>
      </w:r>
      <w:r>
        <w:rPr>
          <w:rFonts w:hint="eastAsia" w:hAnsi="宋体" w:cs="宋体"/>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1"/>
          <w:highlight w:val="none"/>
        </w:rPr>
        <w:t>；</w:t>
      </w:r>
    </w:p>
    <w:p w14:paraId="1DA74B76">
      <w:pPr>
        <w:shd w:val="clear" w:color="auto" w:fill="auto"/>
        <w:wordWrap w:val="0"/>
        <w:adjustRightInd w:val="0"/>
        <w:snapToGrid w:val="0"/>
        <w:spacing w:line="400" w:lineRule="exact"/>
        <w:ind w:firstLine="420"/>
        <w:rPr>
          <w:rFonts w:hint="eastAsia" w:hAnsi="宋体" w:eastAsia="宋体" w:cs="宋体"/>
          <w:snapToGrid w:val="0"/>
          <w:color w:val="auto"/>
          <w:kern w:val="0"/>
          <w:sz w:val="21"/>
          <w:szCs w:val="28"/>
          <w:highlight w:val="none"/>
          <w:lang w:eastAsia="zh-CN"/>
        </w:rPr>
      </w:pPr>
      <w:r>
        <w:rPr>
          <w:rFonts w:hint="eastAsia" w:hAnsi="宋体" w:cs="宋体"/>
          <w:snapToGrid w:val="0"/>
          <w:color w:val="auto"/>
          <w:kern w:val="0"/>
          <w:sz w:val="21"/>
          <w:szCs w:val="28"/>
          <w:highlight w:val="none"/>
        </w:rPr>
        <w:t>（3）</w:t>
      </w:r>
      <w:r>
        <w:rPr>
          <w:rFonts w:hint="eastAsia" w:hAnsi="宋体" w:cs="宋体"/>
          <w:b w:val="0"/>
          <w:bCs w:val="0"/>
          <w:snapToGrid w:val="0"/>
          <w:color w:val="auto"/>
          <w:kern w:val="0"/>
          <w:sz w:val="21"/>
          <w:szCs w:val="28"/>
          <w:highlight w:val="none"/>
        </w:rPr>
        <w:t>在本单位缴</w:t>
      </w:r>
      <w:r>
        <w:rPr>
          <w:rFonts w:hint="eastAsia" w:hAnsi="宋体" w:cs="宋体"/>
          <w:snapToGrid w:val="0"/>
          <w:color w:val="auto"/>
          <w:kern w:val="0"/>
          <w:sz w:val="21"/>
          <w:szCs w:val="28"/>
          <w:highlight w:val="none"/>
        </w:rPr>
        <w:t>纳社保的证明</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rPr>
        <w:t>（至少</w:t>
      </w:r>
      <w:r>
        <w:rPr>
          <w:rFonts w:hint="eastAsia" w:hAnsi="宋体" w:cs="宋体"/>
          <w:snapToGrid w:val="0"/>
          <w:color w:val="auto"/>
          <w:kern w:val="0"/>
          <w:sz w:val="21"/>
          <w:szCs w:val="28"/>
          <w:highlight w:val="none"/>
          <w:lang w:val="en-US" w:eastAsia="zh-CN"/>
        </w:rPr>
        <w:t>三</w:t>
      </w:r>
      <w:r>
        <w:rPr>
          <w:rFonts w:hint="eastAsia" w:hAnsi="宋体" w:cs="宋体"/>
          <w:snapToGrid w:val="0"/>
          <w:color w:val="auto"/>
          <w:kern w:val="0"/>
          <w:sz w:val="21"/>
          <w:szCs w:val="28"/>
          <w:highlight w:val="none"/>
        </w:rPr>
        <w:t>个月，其中必须有</w:t>
      </w:r>
      <w:r>
        <w:rPr>
          <w:rFonts w:hint="eastAsia" w:hAnsi="宋体" w:cs="宋体"/>
          <w:snapToGrid w:val="0"/>
          <w:color w:val="auto"/>
          <w:kern w:val="0"/>
          <w:sz w:val="21"/>
          <w:szCs w:val="28"/>
          <w:highlight w:val="none"/>
          <w:lang w:eastAsia="zh-CN"/>
        </w:rPr>
        <w:t>2025年</w:t>
      </w:r>
      <w:r>
        <w:rPr>
          <w:rFonts w:hint="eastAsia" w:hAnsi="宋体" w:cs="宋体"/>
          <w:snapToGrid w:val="0"/>
          <w:color w:val="auto"/>
          <w:kern w:val="0"/>
          <w:sz w:val="21"/>
          <w:szCs w:val="28"/>
          <w:highlight w:val="none"/>
          <w:lang w:val="en-US" w:eastAsia="zh-CN"/>
        </w:rPr>
        <w:t>8月</w:t>
      </w:r>
      <w:r>
        <w:rPr>
          <w:rFonts w:hint="eastAsia" w:hAnsi="宋体" w:cs="宋体"/>
          <w:snapToGrid w:val="0"/>
          <w:color w:val="auto"/>
          <w:kern w:val="0"/>
          <w:sz w:val="21"/>
          <w:szCs w:val="28"/>
          <w:highlight w:val="none"/>
        </w:rPr>
        <w:t>）。其他拟委派的人员为退休返聘人员无法提供社保证明的，提供退休证和劳动合同</w:t>
      </w:r>
      <w:r>
        <w:rPr>
          <w:rFonts w:hint="eastAsia" w:hAnsi="宋体" w:cs="宋体"/>
          <w:snapToGrid w:val="0"/>
          <w:color w:val="auto"/>
          <w:kern w:val="0"/>
          <w:sz w:val="21"/>
          <w:szCs w:val="28"/>
          <w:highlight w:val="none"/>
          <w:lang w:val="en-US" w:eastAsia="zh-CN"/>
        </w:rPr>
        <w:t>彩色扫描件</w:t>
      </w:r>
      <w:r>
        <w:rPr>
          <w:rFonts w:hint="eastAsia" w:hAnsi="宋体" w:cs="宋体"/>
          <w:snapToGrid w:val="0"/>
          <w:color w:val="auto"/>
          <w:kern w:val="0"/>
          <w:sz w:val="21"/>
          <w:szCs w:val="28"/>
          <w:highlight w:val="none"/>
          <w:lang w:eastAsia="zh-CN"/>
        </w:rPr>
        <w:t>。</w:t>
      </w:r>
    </w:p>
    <w:bookmarkEnd w:id="412"/>
    <w:bookmarkEnd w:id="413"/>
    <w:p w14:paraId="18D583AF">
      <w:pPr>
        <w:pStyle w:val="50"/>
        <w:widowControl w:val="0"/>
        <w:shd w:val="clear" w:color="auto" w:fill="auto"/>
        <w:wordWrap w:val="0"/>
        <w:adjustRightInd w:val="0"/>
        <w:snapToGrid w:val="0"/>
        <w:spacing w:line="440" w:lineRule="exact"/>
        <w:ind w:firstLine="0"/>
        <w:outlineLvl w:val="2"/>
        <w:rPr>
          <w:rStyle w:val="30"/>
          <w:rFonts w:hint="eastAsia" w:ascii="Times New Roman" w:hAnsi="Times New Roman" w:eastAsia="宋体" w:cs="Times New Roman"/>
          <w:b/>
          <w:bCs/>
          <w:color w:val="auto"/>
          <w:kern w:val="2"/>
          <w:highlight w:val="none"/>
          <w:lang w:val="en-US" w:eastAsia="zh-CN" w:bidi="ar-SA"/>
        </w:rPr>
      </w:pPr>
      <w:r>
        <w:rPr>
          <w:rFonts w:hint="eastAsia" w:hAnsi="宋体" w:cs="宋体"/>
          <w:b/>
          <w:bCs/>
          <w:snapToGrid w:val="0"/>
          <w:color w:val="auto"/>
          <w:sz w:val="24"/>
          <w:highlight w:val="none"/>
        </w:rPr>
        <w:br w:type="page"/>
      </w:r>
      <w:bookmarkStart w:id="540" w:name="_Toc3417"/>
      <w:bookmarkStart w:id="541" w:name="_Toc6615"/>
      <w:bookmarkStart w:id="542" w:name="_Toc19935"/>
      <w:bookmarkStart w:id="543" w:name="_Toc7684"/>
      <w:bookmarkStart w:id="544" w:name="_Toc8263"/>
      <w:bookmarkStart w:id="545" w:name="_Toc20301"/>
      <w:bookmarkStart w:id="546" w:name="_Toc5484"/>
      <w:bookmarkStart w:id="547" w:name="_Toc1022"/>
      <w:bookmarkStart w:id="548" w:name="_Toc31108"/>
      <w:bookmarkStart w:id="549" w:name="_Toc15130"/>
      <w:r>
        <w:rPr>
          <w:rStyle w:val="30"/>
          <w:rFonts w:hint="eastAsia" w:ascii="Times New Roman" w:hAnsi="Times New Roman" w:eastAsia="宋体" w:cs="Times New Roman"/>
          <w:b/>
          <w:bCs/>
          <w:color w:val="auto"/>
          <w:kern w:val="2"/>
          <w:highlight w:val="none"/>
          <w:lang w:val="en-US" w:eastAsia="zh-CN" w:bidi="ar-SA"/>
        </w:rPr>
        <w:t>格式十三 监理及相关服务报酬清单</w:t>
      </w:r>
      <w:bookmarkEnd w:id="540"/>
      <w:bookmarkEnd w:id="541"/>
      <w:bookmarkEnd w:id="542"/>
      <w:bookmarkEnd w:id="543"/>
      <w:bookmarkEnd w:id="544"/>
      <w:bookmarkEnd w:id="545"/>
      <w:bookmarkEnd w:id="546"/>
      <w:bookmarkEnd w:id="547"/>
      <w:bookmarkEnd w:id="548"/>
      <w:bookmarkEnd w:id="549"/>
    </w:p>
    <w:p w14:paraId="28F019EB">
      <w:pPr>
        <w:pStyle w:val="50"/>
        <w:widowControl w:val="0"/>
        <w:shd w:val="clear" w:color="auto" w:fill="auto"/>
        <w:wordWrap w:val="0"/>
        <w:adjustRightInd w:val="0"/>
        <w:snapToGrid w:val="0"/>
        <w:spacing w:before="260" w:after="260" w:line="440" w:lineRule="exact"/>
        <w:ind w:firstLine="0"/>
        <w:jc w:val="center"/>
        <w:rPr>
          <w:rFonts w:hint="eastAsia" w:hAnsi="宋体" w:cs="宋体"/>
          <w:b/>
          <w:bCs/>
          <w:snapToGrid w:val="0"/>
          <w:color w:val="auto"/>
          <w:sz w:val="30"/>
          <w:highlight w:val="none"/>
        </w:rPr>
      </w:pPr>
      <w:r>
        <w:rPr>
          <w:rFonts w:hint="eastAsia" w:hAnsi="宋体" w:cs="宋体"/>
          <w:b/>
          <w:bCs/>
          <w:snapToGrid w:val="0"/>
          <w:color w:val="auto"/>
          <w:sz w:val="30"/>
          <w:highlight w:val="none"/>
        </w:rPr>
        <w:t>监理及相关服务报酬清单</w:t>
      </w:r>
    </w:p>
    <w:p w14:paraId="1E18ADD9">
      <w:pPr>
        <w:pStyle w:val="50"/>
        <w:widowControl w:val="0"/>
        <w:shd w:val="clear" w:color="auto" w:fill="auto"/>
        <w:wordWrap w:val="0"/>
        <w:adjustRightInd w:val="0"/>
        <w:snapToGrid w:val="0"/>
        <w:spacing w:line="440" w:lineRule="exact"/>
        <w:ind w:firstLine="0"/>
        <w:rPr>
          <w:rFonts w:hint="eastAsia" w:hAnsi="宋体" w:cs="宋体"/>
          <w:snapToGrid w:val="0"/>
          <w:color w:val="auto"/>
          <w:sz w:val="24"/>
          <w:highlight w:val="none"/>
        </w:rPr>
      </w:pPr>
      <w:r>
        <w:rPr>
          <w:rFonts w:hint="eastAsia" w:hAnsi="宋体" w:cs="宋体"/>
          <w:snapToGrid w:val="0"/>
          <w:color w:val="auto"/>
          <w:sz w:val="24"/>
          <w:highlight w:val="none"/>
        </w:rPr>
        <w:t>1．监理及相关服务报酬清单说明</w:t>
      </w:r>
    </w:p>
    <w:p w14:paraId="45F8AFDA">
      <w:pPr>
        <w:pStyle w:val="50"/>
        <w:widowControl w:val="0"/>
        <w:shd w:val="clear" w:color="auto" w:fill="auto"/>
        <w:wordWrap w:val="0"/>
        <w:adjustRightInd w:val="0"/>
        <w:snapToGrid w:val="0"/>
        <w:spacing w:line="440" w:lineRule="exact"/>
        <w:ind w:firstLine="0"/>
        <w:rPr>
          <w:rFonts w:hint="eastAsia" w:hAnsi="宋体" w:cs="宋体"/>
          <w:snapToGrid w:val="0"/>
          <w:color w:val="auto"/>
          <w:sz w:val="24"/>
          <w:highlight w:val="none"/>
        </w:rPr>
      </w:pPr>
      <w:r>
        <w:rPr>
          <w:rFonts w:hint="eastAsia" w:hAnsi="宋体" w:cs="宋体"/>
          <w:snapToGrid w:val="0"/>
          <w:color w:val="auto"/>
          <w:sz w:val="24"/>
          <w:highlight w:val="none"/>
        </w:rPr>
        <w:t>……</w:t>
      </w:r>
    </w:p>
    <w:p w14:paraId="1F5C76CC">
      <w:pPr>
        <w:pStyle w:val="50"/>
        <w:widowControl w:val="0"/>
        <w:shd w:val="clear" w:color="auto" w:fill="auto"/>
        <w:wordWrap w:val="0"/>
        <w:adjustRightInd w:val="0"/>
        <w:snapToGrid w:val="0"/>
        <w:spacing w:line="440" w:lineRule="exact"/>
        <w:ind w:firstLine="0"/>
        <w:rPr>
          <w:rFonts w:hint="eastAsia" w:hAnsi="宋体" w:cs="宋体"/>
          <w:snapToGrid w:val="0"/>
          <w:color w:val="auto"/>
          <w:sz w:val="24"/>
          <w:highlight w:val="none"/>
        </w:rPr>
      </w:pPr>
      <w:r>
        <w:rPr>
          <w:rFonts w:hint="eastAsia" w:hAnsi="宋体" w:cs="宋体"/>
          <w:snapToGrid w:val="0"/>
          <w:color w:val="auto"/>
          <w:sz w:val="24"/>
          <w:highlight w:val="none"/>
        </w:rPr>
        <w:t>2．监理及相关服务报酬清单</w:t>
      </w:r>
    </w:p>
    <w:p w14:paraId="38794007">
      <w:pPr>
        <w:pStyle w:val="50"/>
        <w:widowControl w:val="0"/>
        <w:shd w:val="clear" w:color="auto" w:fill="auto"/>
        <w:wordWrap w:val="0"/>
        <w:adjustRightInd w:val="0"/>
        <w:snapToGrid w:val="0"/>
        <w:spacing w:line="440" w:lineRule="exact"/>
        <w:ind w:firstLine="0"/>
        <w:jc w:val="right"/>
        <w:rPr>
          <w:rFonts w:hint="eastAsia" w:hAnsi="宋体" w:cs="宋体"/>
          <w:snapToGrid w:val="0"/>
          <w:color w:val="auto"/>
          <w:sz w:val="24"/>
          <w:highlight w:val="none"/>
        </w:rPr>
      </w:pPr>
      <w:r>
        <w:rPr>
          <w:rFonts w:hint="eastAsia" w:hAnsi="宋体" w:cs="宋体"/>
          <w:snapToGrid w:val="0"/>
          <w:color w:val="auto"/>
          <w:sz w:val="24"/>
          <w:highlight w:val="none"/>
        </w:rPr>
        <w:t>单位：元</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480"/>
        <w:gridCol w:w="503"/>
        <w:gridCol w:w="1800"/>
        <w:gridCol w:w="2340"/>
        <w:gridCol w:w="1252"/>
        <w:gridCol w:w="2328"/>
      </w:tblGrid>
      <w:tr w14:paraId="65EE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57" w:type="dxa"/>
            <w:vAlign w:val="center"/>
          </w:tcPr>
          <w:p w14:paraId="493EEDC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序号</w:t>
            </w:r>
          </w:p>
        </w:tc>
        <w:tc>
          <w:tcPr>
            <w:tcW w:w="2783" w:type="dxa"/>
            <w:gridSpan w:val="3"/>
            <w:vAlign w:val="center"/>
          </w:tcPr>
          <w:p w14:paraId="0954BB36">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分项名称</w:t>
            </w:r>
          </w:p>
        </w:tc>
        <w:tc>
          <w:tcPr>
            <w:tcW w:w="2340" w:type="dxa"/>
            <w:vAlign w:val="center"/>
          </w:tcPr>
          <w:p w14:paraId="38E6D762">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计算公式</w:t>
            </w:r>
          </w:p>
        </w:tc>
        <w:tc>
          <w:tcPr>
            <w:tcW w:w="1252" w:type="dxa"/>
            <w:vAlign w:val="center"/>
          </w:tcPr>
          <w:p w14:paraId="29B5C1E2">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金额</w:t>
            </w:r>
          </w:p>
        </w:tc>
        <w:tc>
          <w:tcPr>
            <w:tcW w:w="2328" w:type="dxa"/>
            <w:vAlign w:val="center"/>
          </w:tcPr>
          <w:p w14:paraId="389C5A0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备注</w:t>
            </w:r>
          </w:p>
        </w:tc>
      </w:tr>
      <w:tr w14:paraId="311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vAlign w:val="center"/>
          </w:tcPr>
          <w:p w14:paraId="6DE99FA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1</w:t>
            </w:r>
          </w:p>
        </w:tc>
        <w:tc>
          <w:tcPr>
            <w:tcW w:w="480" w:type="dxa"/>
            <w:vMerge w:val="restart"/>
            <w:vAlign w:val="center"/>
          </w:tcPr>
          <w:p w14:paraId="28C769D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直接成本</w:t>
            </w:r>
          </w:p>
        </w:tc>
        <w:tc>
          <w:tcPr>
            <w:tcW w:w="503" w:type="dxa"/>
            <w:vMerge w:val="restart"/>
            <w:vAlign w:val="center"/>
          </w:tcPr>
          <w:p w14:paraId="2FF4C820">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人员费用</w:t>
            </w:r>
          </w:p>
        </w:tc>
        <w:tc>
          <w:tcPr>
            <w:tcW w:w="1800" w:type="dxa"/>
            <w:vAlign w:val="center"/>
          </w:tcPr>
          <w:p w14:paraId="2BCCD10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总监理工程师</w:t>
            </w:r>
          </w:p>
        </w:tc>
        <w:tc>
          <w:tcPr>
            <w:tcW w:w="2340" w:type="dxa"/>
            <w:vAlign w:val="center"/>
          </w:tcPr>
          <w:p w14:paraId="7ABF8B5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1A5F7BE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Merge w:val="restart"/>
            <w:vAlign w:val="center"/>
          </w:tcPr>
          <w:p w14:paraId="587881D5">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r>
              <w:rPr>
                <w:rFonts w:hint="eastAsia" w:hAnsi="宋体" w:cs="宋体"/>
                <w:snapToGrid w:val="0"/>
                <w:color w:val="auto"/>
                <w:sz w:val="21"/>
                <w:highlight w:val="none"/>
              </w:rPr>
              <w:t>含监理、相关服务人员的工资以及一切津贴、补贴、奖金等。</w:t>
            </w:r>
          </w:p>
        </w:tc>
      </w:tr>
      <w:tr w14:paraId="636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68CA136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07D64B0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194A1BB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7093D37B">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专业监理工程师</w:t>
            </w:r>
          </w:p>
        </w:tc>
        <w:tc>
          <w:tcPr>
            <w:tcW w:w="2340" w:type="dxa"/>
            <w:vAlign w:val="center"/>
          </w:tcPr>
          <w:p w14:paraId="29C865EB">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470E584E">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Merge w:val="continue"/>
            <w:vAlign w:val="center"/>
          </w:tcPr>
          <w:p w14:paraId="568185D4">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2096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70D909A9">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3A67E8E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31A838E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0EA1CD20">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监理员</w:t>
            </w:r>
          </w:p>
        </w:tc>
        <w:tc>
          <w:tcPr>
            <w:tcW w:w="2340" w:type="dxa"/>
            <w:vAlign w:val="center"/>
          </w:tcPr>
          <w:p w14:paraId="49626E6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493E45A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Merge w:val="continue"/>
            <w:vAlign w:val="center"/>
          </w:tcPr>
          <w:p w14:paraId="4722006B">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6FDE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0EC94C5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1EE1576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3938139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1458F0F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w:t>
            </w:r>
          </w:p>
        </w:tc>
        <w:tc>
          <w:tcPr>
            <w:tcW w:w="2340" w:type="dxa"/>
            <w:vAlign w:val="center"/>
          </w:tcPr>
          <w:p w14:paraId="5ECF26C6">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1D83BA2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Merge w:val="continue"/>
            <w:vAlign w:val="center"/>
          </w:tcPr>
          <w:p w14:paraId="62FC6A3B">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3FC0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357" w:type="dxa"/>
            <w:vMerge w:val="continue"/>
            <w:vAlign w:val="center"/>
          </w:tcPr>
          <w:p w14:paraId="0C4892D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2D0AB1CB">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restart"/>
            <w:vAlign w:val="center"/>
          </w:tcPr>
          <w:p w14:paraId="58589AF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专项费用</w:t>
            </w:r>
          </w:p>
        </w:tc>
        <w:tc>
          <w:tcPr>
            <w:tcW w:w="1800" w:type="dxa"/>
            <w:vAlign w:val="center"/>
          </w:tcPr>
          <w:p w14:paraId="108AEA0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现场办公费</w:t>
            </w:r>
          </w:p>
        </w:tc>
        <w:tc>
          <w:tcPr>
            <w:tcW w:w="2340" w:type="dxa"/>
            <w:vAlign w:val="center"/>
          </w:tcPr>
          <w:p w14:paraId="6626855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5B30745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3FE21EDA">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r>
              <w:rPr>
                <w:rFonts w:hint="eastAsia" w:hAnsi="宋体" w:cs="宋体"/>
                <w:snapToGrid w:val="0"/>
                <w:color w:val="auto"/>
                <w:sz w:val="21"/>
                <w:highlight w:val="none"/>
              </w:rPr>
              <w:t>含现场办公所需各种办公用品摊销折旧费用。</w:t>
            </w:r>
          </w:p>
        </w:tc>
      </w:tr>
      <w:tr w14:paraId="0F8B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4AC57665">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1AFB087E">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7CAA305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1E05EBD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交通差旅住宿费</w:t>
            </w:r>
          </w:p>
        </w:tc>
        <w:tc>
          <w:tcPr>
            <w:tcW w:w="2340" w:type="dxa"/>
            <w:vAlign w:val="center"/>
          </w:tcPr>
          <w:p w14:paraId="799DCD06">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500B18A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1F2AA5A2">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2BE6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57" w:type="dxa"/>
            <w:vMerge w:val="continue"/>
            <w:vAlign w:val="center"/>
          </w:tcPr>
          <w:p w14:paraId="024072D8">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5353576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7494726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70E287C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其他费用</w:t>
            </w:r>
          </w:p>
        </w:tc>
        <w:tc>
          <w:tcPr>
            <w:tcW w:w="2340" w:type="dxa"/>
            <w:vAlign w:val="center"/>
          </w:tcPr>
          <w:p w14:paraId="59A3BB7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1B4CF89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2B44FC7C">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r>
              <w:rPr>
                <w:rFonts w:hint="eastAsia" w:hAnsi="宋体" w:cs="宋体"/>
                <w:snapToGrid w:val="0"/>
                <w:color w:val="auto"/>
                <w:sz w:val="21"/>
                <w:highlight w:val="none"/>
              </w:rPr>
              <w:t>含加班费等各种可预见和不可预见费用。</w:t>
            </w:r>
          </w:p>
        </w:tc>
      </w:tr>
      <w:tr w14:paraId="1FFE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353EFC3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480" w:type="dxa"/>
            <w:vMerge w:val="continue"/>
            <w:vAlign w:val="center"/>
          </w:tcPr>
          <w:p w14:paraId="615D752B">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503" w:type="dxa"/>
            <w:vMerge w:val="continue"/>
            <w:vAlign w:val="center"/>
          </w:tcPr>
          <w:p w14:paraId="4B2FF58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800" w:type="dxa"/>
            <w:vAlign w:val="center"/>
          </w:tcPr>
          <w:p w14:paraId="6D73DCC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w:t>
            </w:r>
          </w:p>
        </w:tc>
        <w:tc>
          <w:tcPr>
            <w:tcW w:w="2340" w:type="dxa"/>
            <w:vAlign w:val="center"/>
          </w:tcPr>
          <w:p w14:paraId="5E5A8311">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0759DD52">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3AB5E74C">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02BB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2275BC3D">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2</w:t>
            </w:r>
          </w:p>
        </w:tc>
        <w:tc>
          <w:tcPr>
            <w:tcW w:w="2783" w:type="dxa"/>
            <w:gridSpan w:val="3"/>
            <w:vAlign w:val="center"/>
          </w:tcPr>
          <w:p w14:paraId="088BC11E">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企业管理费</w:t>
            </w:r>
          </w:p>
        </w:tc>
        <w:tc>
          <w:tcPr>
            <w:tcW w:w="2340" w:type="dxa"/>
            <w:vAlign w:val="center"/>
          </w:tcPr>
          <w:p w14:paraId="2A47020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512DC39E">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24E06F00">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15F4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7E5C2486">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3</w:t>
            </w:r>
          </w:p>
        </w:tc>
        <w:tc>
          <w:tcPr>
            <w:tcW w:w="2783" w:type="dxa"/>
            <w:gridSpan w:val="3"/>
            <w:vAlign w:val="center"/>
          </w:tcPr>
          <w:p w14:paraId="7B20405F">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利润</w:t>
            </w:r>
          </w:p>
        </w:tc>
        <w:tc>
          <w:tcPr>
            <w:tcW w:w="2340" w:type="dxa"/>
            <w:vAlign w:val="center"/>
          </w:tcPr>
          <w:p w14:paraId="61B5246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0EDACAE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46DCBE23">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0E27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vAlign w:val="center"/>
          </w:tcPr>
          <w:p w14:paraId="75FA10E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4</w:t>
            </w:r>
          </w:p>
        </w:tc>
        <w:tc>
          <w:tcPr>
            <w:tcW w:w="480" w:type="dxa"/>
            <w:vMerge w:val="restart"/>
            <w:vAlign w:val="center"/>
          </w:tcPr>
          <w:p w14:paraId="0E62B5D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税金</w:t>
            </w:r>
          </w:p>
        </w:tc>
        <w:tc>
          <w:tcPr>
            <w:tcW w:w="2303" w:type="dxa"/>
            <w:gridSpan w:val="2"/>
            <w:vAlign w:val="center"/>
          </w:tcPr>
          <w:p w14:paraId="1AD2816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增值税</w:t>
            </w:r>
          </w:p>
        </w:tc>
        <w:tc>
          <w:tcPr>
            <w:tcW w:w="2340" w:type="dxa"/>
            <w:vAlign w:val="center"/>
          </w:tcPr>
          <w:p w14:paraId="69AB22DC">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531C7682">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5F7D3769">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4BDD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08B45554">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480" w:type="dxa"/>
            <w:vMerge w:val="continue"/>
            <w:vAlign w:val="center"/>
          </w:tcPr>
          <w:p w14:paraId="63495F10">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03" w:type="dxa"/>
            <w:gridSpan w:val="2"/>
            <w:vAlign w:val="center"/>
          </w:tcPr>
          <w:p w14:paraId="27A1E54E">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r>
              <w:rPr>
                <w:rFonts w:hint="eastAsia" w:hAnsi="宋体" w:cs="宋体"/>
                <w:color w:val="auto"/>
                <w:sz w:val="21"/>
                <w:highlight w:val="none"/>
              </w:rPr>
              <w:t>所得税</w:t>
            </w:r>
          </w:p>
        </w:tc>
        <w:tc>
          <w:tcPr>
            <w:tcW w:w="2340" w:type="dxa"/>
            <w:vAlign w:val="center"/>
          </w:tcPr>
          <w:p w14:paraId="1CB0D704">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1252" w:type="dxa"/>
            <w:vAlign w:val="center"/>
          </w:tcPr>
          <w:p w14:paraId="2C9B5A81">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28" w:type="dxa"/>
            <w:vAlign w:val="center"/>
          </w:tcPr>
          <w:p w14:paraId="5D99A029">
            <w:pPr>
              <w:pStyle w:val="50"/>
              <w:widowControl w:val="0"/>
              <w:shd w:val="clear" w:color="auto" w:fill="auto"/>
              <w:wordWrap w:val="0"/>
              <w:adjustRightInd w:val="0"/>
              <w:snapToGrid w:val="0"/>
              <w:spacing w:line="240" w:lineRule="auto"/>
              <w:ind w:firstLine="0"/>
              <w:jc w:val="both"/>
              <w:rPr>
                <w:rFonts w:hint="eastAsia" w:hAnsi="宋体" w:cs="宋体"/>
                <w:color w:val="auto"/>
                <w:sz w:val="21"/>
                <w:highlight w:val="none"/>
              </w:rPr>
            </w:pPr>
          </w:p>
        </w:tc>
      </w:tr>
      <w:tr w14:paraId="33D6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46C1D6D1">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480" w:type="dxa"/>
            <w:vMerge w:val="continue"/>
            <w:vAlign w:val="center"/>
          </w:tcPr>
          <w:p w14:paraId="61A40BA4">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03" w:type="dxa"/>
            <w:gridSpan w:val="2"/>
            <w:vAlign w:val="center"/>
          </w:tcPr>
          <w:p w14:paraId="47B97699">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r>
              <w:rPr>
                <w:rFonts w:hint="eastAsia" w:hAnsi="宋体" w:cs="宋体"/>
                <w:color w:val="auto"/>
                <w:sz w:val="21"/>
                <w:highlight w:val="none"/>
              </w:rPr>
              <w:t>其他附加税</w:t>
            </w:r>
          </w:p>
        </w:tc>
        <w:tc>
          <w:tcPr>
            <w:tcW w:w="2340" w:type="dxa"/>
            <w:vAlign w:val="center"/>
          </w:tcPr>
          <w:p w14:paraId="5EAAAAB0">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1252" w:type="dxa"/>
            <w:vAlign w:val="center"/>
          </w:tcPr>
          <w:p w14:paraId="205D75DE">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28" w:type="dxa"/>
            <w:vAlign w:val="center"/>
          </w:tcPr>
          <w:p w14:paraId="7B14FB69">
            <w:pPr>
              <w:pStyle w:val="50"/>
              <w:widowControl w:val="0"/>
              <w:shd w:val="clear" w:color="auto" w:fill="auto"/>
              <w:wordWrap w:val="0"/>
              <w:adjustRightInd w:val="0"/>
              <w:snapToGrid w:val="0"/>
              <w:spacing w:line="240" w:lineRule="auto"/>
              <w:ind w:firstLine="0"/>
              <w:jc w:val="both"/>
              <w:rPr>
                <w:rFonts w:hint="eastAsia" w:hAnsi="宋体" w:cs="宋体"/>
                <w:color w:val="auto"/>
                <w:sz w:val="21"/>
                <w:highlight w:val="none"/>
              </w:rPr>
            </w:pPr>
          </w:p>
        </w:tc>
      </w:tr>
      <w:tr w14:paraId="3AF2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2ECE6D1C">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480" w:type="dxa"/>
            <w:vMerge w:val="continue"/>
            <w:vAlign w:val="center"/>
          </w:tcPr>
          <w:p w14:paraId="6294BD49">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03" w:type="dxa"/>
            <w:gridSpan w:val="2"/>
            <w:vAlign w:val="center"/>
          </w:tcPr>
          <w:p w14:paraId="70450007">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r>
              <w:rPr>
                <w:rFonts w:hint="eastAsia" w:hAnsi="宋体" w:cs="宋体"/>
                <w:snapToGrid w:val="0"/>
                <w:color w:val="auto"/>
                <w:sz w:val="21"/>
                <w:highlight w:val="none"/>
              </w:rPr>
              <w:t>……</w:t>
            </w:r>
          </w:p>
        </w:tc>
        <w:tc>
          <w:tcPr>
            <w:tcW w:w="2340" w:type="dxa"/>
            <w:vAlign w:val="center"/>
          </w:tcPr>
          <w:p w14:paraId="4613BD12">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1252" w:type="dxa"/>
            <w:vAlign w:val="center"/>
          </w:tcPr>
          <w:p w14:paraId="3F1AC5E4">
            <w:pPr>
              <w:pStyle w:val="50"/>
              <w:widowControl w:val="0"/>
              <w:shd w:val="clear" w:color="auto" w:fill="auto"/>
              <w:wordWrap w:val="0"/>
              <w:adjustRightInd w:val="0"/>
              <w:snapToGrid w:val="0"/>
              <w:spacing w:line="240" w:lineRule="auto"/>
              <w:ind w:firstLine="0"/>
              <w:jc w:val="center"/>
              <w:rPr>
                <w:rFonts w:hint="eastAsia" w:hAnsi="宋体" w:cs="宋体"/>
                <w:color w:val="auto"/>
                <w:sz w:val="21"/>
                <w:highlight w:val="none"/>
              </w:rPr>
            </w:pPr>
          </w:p>
        </w:tc>
        <w:tc>
          <w:tcPr>
            <w:tcW w:w="2328" w:type="dxa"/>
            <w:vAlign w:val="center"/>
          </w:tcPr>
          <w:p w14:paraId="76ED41E3">
            <w:pPr>
              <w:pStyle w:val="50"/>
              <w:widowControl w:val="0"/>
              <w:shd w:val="clear" w:color="auto" w:fill="auto"/>
              <w:wordWrap w:val="0"/>
              <w:adjustRightInd w:val="0"/>
              <w:snapToGrid w:val="0"/>
              <w:spacing w:line="240" w:lineRule="auto"/>
              <w:ind w:firstLine="0"/>
              <w:jc w:val="both"/>
              <w:rPr>
                <w:rFonts w:hint="eastAsia" w:hAnsi="宋体" w:cs="宋体"/>
                <w:color w:val="auto"/>
                <w:sz w:val="21"/>
                <w:highlight w:val="none"/>
              </w:rPr>
            </w:pPr>
          </w:p>
        </w:tc>
      </w:tr>
      <w:tr w14:paraId="3B28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222C6603">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w:t>
            </w:r>
          </w:p>
        </w:tc>
        <w:tc>
          <w:tcPr>
            <w:tcW w:w="2783" w:type="dxa"/>
            <w:gridSpan w:val="3"/>
            <w:vAlign w:val="center"/>
          </w:tcPr>
          <w:p w14:paraId="2602EF9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w:t>
            </w:r>
          </w:p>
        </w:tc>
        <w:tc>
          <w:tcPr>
            <w:tcW w:w="2340" w:type="dxa"/>
            <w:vAlign w:val="center"/>
          </w:tcPr>
          <w:p w14:paraId="139AB724">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1252" w:type="dxa"/>
            <w:vAlign w:val="center"/>
          </w:tcPr>
          <w:p w14:paraId="00ED2DA9">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6BBAB5E4">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r w14:paraId="6F31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80" w:type="dxa"/>
            <w:gridSpan w:val="5"/>
            <w:vAlign w:val="center"/>
          </w:tcPr>
          <w:p w14:paraId="5148A78A">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r>
              <w:rPr>
                <w:rFonts w:hint="eastAsia" w:hAnsi="宋体" w:cs="宋体"/>
                <w:snapToGrid w:val="0"/>
                <w:color w:val="auto"/>
                <w:sz w:val="21"/>
                <w:highlight w:val="none"/>
              </w:rPr>
              <w:t>合计报价</w:t>
            </w:r>
          </w:p>
        </w:tc>
        <w:tc>
          <w:tcPr>
            <w:tcW w:w="1252" w:type="dxa"/>
            <w:vAlign w:val="center"/>
          </w:tcPr>
          <w:p w14:paraId="76D72367">
            <w:pPr>
              <w:pStyle w:val="50"/>
              <w:widowControl w:val="0"/>
              <w:shd w:val="clear" w:color="auto" w:fill="auto"/>
              <w:wordWrap w:val="0"/>
              <w:adjustRightInd w:val="0"/>
              <w:snapToGrid w:val="0"/>
              <w:spacing w:line="240" w:lineRule="auto"/>
              <w:ind w:firstLine="0"/>
              <w:jc w:val="center"/>
              <w:rPr>
                <w:rFonts w:hint="eastAsia" w:hAnsi="宋体" w:cs="宋体"/>
                <w:snapToGrid w:val="0"/>
                <w:color w:val="auto"/>
                <w:sz w:val="21"/>
                <w:highlight w:val="none"/>
              </w:rPr>
            </w:pPr>
          </w:p>
        </w:tc>
        <w:tc>
          <w:tcPr>
            <w:tcW w:w="2328" w:type="dxa"/>
            <w:vAlign w:val="center"/>
          </w:tcPr>
          <w:p w14:paraId="082A4951">
            <w:pPr>
              <w:pStyle w:val="50"/>
              <w:widowControl w:val="0"/>
              <w:shd w:val="clear" w:color="auto" w:fill="auto"/>
              <w:wordWrap w:val="0"/>
              <w:adjustRightInd w:val="0"/>
              <w:snapToGrid w:val="0"/>
              <w:spacing w:line="240" w:lineRule="auto"/>
              <w:ind w:firstLine="0"/>
              <w:jc w:val="both"/>
              <w:rPr>
                <w:rFonts w:hint="eastAsia" w:hAnsi="宋体" w:cs="宋体"/>
                <w:snapToGrid w:val="0"/>
                <w:color w:val="auto"/>
                <w:sz w:val="21"/>
                <w:highlight w:val="none"/>
              </w:rPr>
            </w:pPr>
          </w:p>
        </w:tc>
      </w:tr>
    </w:tbl>
    <w:p w14:paraId="7F38D272">
      <w:pPr>
        <w:pStyle w:val="50"/>
        <w:widowControl w:val="0"/>
        <w:shd w:val="clear" w:color="auto" w:fill="auto"/>
        <w:wordWrap w:val="0"/>
        <w:adjustRightInd w:val="0"/>
        <w:snapToGrid w:val="0"/>
        <w:spacing w:line="400" w:lineRule="exact"/>
        <w:rPr>
          <w:rFonts w:hint="eastAsia" w:hAnsi="宋体" w:cs="宋体"/>
          <w:snapToGrid w:val="0"/>
          <w:color w:val="auto"/>
          <w:sz w:val="21"/>
          <w:highlight w:val="none"/>
        </w:rPr>
        <w:sectPr>
          <w:endnotePr>
            <w:numFmt w:val="decimal"/>
          </w:endnotePr>
          <w:pgSz w:w="11906" w:h="16838"/>
          <w:pgMar w:top="1531" w:right="1531" w:bottom="1531" w:left="1531" w:header="850" w:footer="992" w:gutter="0"/>
          <w:cols w:space="720" w:num="1"/>
          <w:rtlGutter w:val="0"/>
          <w:docGrid w:linePitch="327" w:charSpace="0"/>
        </w:sectPr>
      </w:pPr>
      <w:r>
        <w:rPr>
          <w:rFonts w:hint="eastAsia" w:hAnsi="宋体" w:cs="宋体"/>
          <w:snapToGrid w:val="0"/>
          <w:color w:val="auto"/>
          <w:sz w:val="21"/>
          <w:highlight w:val="none"/>
        </w:rPr>
        <w:t>说明：表中“分项名称”栏目中的内容仅供参考，投标人可结合企业实际情况以及招标文件要求自行填写。</w:t>
      </w:r>
    </w:p>
    <w:bookmarkEnd w:id="5"/>
    <w:bookmarkEnd w:id="414"/>
    <w:bookmarkEnd w:id="415"/>
    <w:p w14:paraId="38A434D7">
      <w:pPr>
        <w:pStyle w:val="49"/>
        <w:keepNext w:val="0"/>
        <w:keepLines w:val="0"/>
        <w:widowControl w:val="0"/>
        <w:shd w:val="clear" w:color="auto" w:fill="auto"/>
        <w:wordWrap w:val="0"/>
        <w:adjustRightInd w:val="0"/>
        <w:snapToGrid w:val="0"/>
        <w:spacing w:before="0" w:after="0" w:line="240" w:lineRule="auto"/>
        <w:ind w:left="3640" w:leftChars="15" w:hanging="3604" w:hangingChars="1496"/>
        <w:jc w:val="both"/>
        <w:outlineLvl w:val="9"/>
        <w:rPr>
          <w:rFonts w:hint="eastAsia" w:ascii="Times New Roman"/>
          <w:b/>
          <w:snapToGrid w:val="0"/>
          <w:color w:val="auto"/>
          <w:szCs w:val="22"/>
          <w:highlight w:val="none"/>
        </w:rPr>
      </w:pPr>
      <w:bookmarkStart w:id="550" w:name="_Hlt87793582"/>
      <w:bookmarkEnd w:id="550"/>
      <w:bookmarkStart w:id="551" w:name="_Hlt87783244"/>
      <w:bookmarkEnd w:id="551"/>
      <w:bookmarkStart w:id="552" w:name="_附件十六：措施项目清单计价表"/>
      <w:bookmarkEnd w:id="552"/>
      <w:bookmarkStart w:id="553" w:name="_附件二十一：土建工程、电气工程、给排水工程工程清单项目费汇总表"/>
      <w:bookmarkEnd w:id="553"/>
      <w:bookmarkStart w:id="554" w:name="_Toc30195"/>
      <w:bookmarkStart w:id="555" w:name="_Toc2734"/>
      <w:bookmarkStart w:id="556" w:name="_Toc2590"/>
      <w:bookmarkStart w:id="557" w:name="_Toc8368"/>
      <w:bookmarkStart w:id="558" w:name="_Toc23708"/>
      <w:bookmarkStart w:id="559" w:name="_Toc35007037"/>
      <w:bookmarkStart w:id="560" w:name="_Toc9978"/>
      <w:bookmarkStart w:id="561" w:name="_Toc19005"/>
      <w:bookmarkStart w:id="562" w:name="_Toc30690"/>
      <w:bookmarkStart w:id="563" w:name="_Toc15862"/>
      <w:bookmarkStart w:id="564" w:name="_Toc4392"/>
      <w:bookmarkStart w:id="565" w:name="_Toc1079"/>
      <w:bookmarkStart w:id="566" w:name="_Toc32735"/>
      <w:bookmarkStart w:id="567" w:name="_Toc13722"/>
      <w:bookmarkStart w:id="568" w:name="_Toc132687128"/>
      <w:bookmarkStart w:id="569" w:name="_Toc142468134"/>
      <w:bookmarkStart w:id="570" w:name="_Toc133160683"/>
      <w:bookmarkStart w:id="571" w:name="_Toc137444778"/>
      <w:bookmarkStart w:id="572" w:name="_Toc78794873"/>
      <w:bookmarkStart w:id="573" w:name="_Toc133815902"/>
    </w:p>
    <w:p w14:paraId="2DEC951E">
      <w:pPr>
        <w:pStyle w:val="49"/>
        <w:keepNext w:val="0"/>
        <w:keepLines w:val="0"/>
        <w:widowControl w:val="0"/>
        <w:shd w:val="clear" w:color="auto" w:fill="auto"/>
        <w:wordWrap w:val="0"/>
        <w:adjustRightInd w:val="0"/>
        <w:snapToGrid w:val="0"/>
        <w:spacing w:before="0" w:after="0" w:line="240" w:lineRule="auto"/>
        <w:ind w:left="3640" w:leftChars="15" w:hanging="3604" w:hangingChars="1496"/>
        <w:jc w:val="both"/>
        <w:outlineLvl w:val="9"/>
        <w:rPr>
          <w:rFonts w:hint="eastAsia" w:ascii="Times New Roman"/>
          <w:b/>
          <w:snapToGrid w:val="0"/>
          <w:color w:val="auto"/>
          <w:szCs w:val="22"/>
          <w:highlight w:val="none"/>
        </w:rPr>
      </w:pPr>
    </w:p>
    <w:bookmarkEnd w:id="554"/>
    <w:bookmarkEnd w:id="555"/>
    <w:bookmarkEnd w:id="556"/>
    <w:bookmarkEnd w:id="557"/>
    <w:bookmarkEnd w:id="558"/>
    <w:bookmarkEnd w:id="559"/>
    <w:bookmarkEnd w:id="560"/>
    <w:bookmarkEnd w:id="561"/>
    <w:bookmarkEnd w:id="562"/>
    <w:bookmarkEnd w:id="563"/>
    <w:bookmarkEnd w:id="564"/>
    <w:bookmarkEnd w:id="565"/>
    <w:bookmarkEnd w:id="566"/>
    <w:p w14:paraId="2F2025BF">
      <w:pPr>
        <w:pStyle w:val="2"/>
        <w:shd w:val="clear" w:color="auto" w:fill="auto"/>
        <w:wordWrap w:val="0"/>
        <w:autoSpaceDE/>
        <w:autoSpaceDN/>
        <w:snapToGrid w:val="0"/>
        <w:spacing w:line="440" w:lineRule="exact"/>
        <w:jc w:val="center"/>
        <w:rPr>
          <w:rFonts w:hint="eastAsia" w:hAnsi="宋体" w:cs="宋体"/>
          <w:b/>
          <w:snapToGrid w:val="0"/>
          <w:color w:val="auto"/>
          <w:sz w:val="24"/>
          <w:highlight w:val="none"/>
        </w:rPr>
      </w:pPr>
      <w:bookmarkStart w:id="574" w:name="_Toc20168"/>
      <w:bookmarkStart w:id="575" w:name="_Toc22163"/>
      <w:bookmarkStart w:id="576" w:name="_Toc3629"/>
      <w:bookmarkStart w:id="577" w:name="_Toc19899"/>
      <w:bookmarkStart w:id="578" w:name="_Toc17687"/>
      <w:bookmarkStart w:id="579" w:name="_Toc10006"/>
      <w:bookmarkStart w:id="580" w:name="_Toc28376"/>
      <w:bookmarkStart w:id="581" w:name="_Toc11009"/>
      <w:bookmarkStart w:id="582" w:name="_Toc20526"/>
      <w:bookmarkStart w:id="583" w:name="_Toc3376"/>
      <w:bookmarkStart w:id="584" w:name="_Toc23860"/>
      <w:r>
        <w:rPr>
          <w:rFonts w:hint="eastAsia" w:hAnsi="宋体" w:cs="宋体"/>
          <w:b/>
          <w:snapToGrid w:val="0"/>
          <w:color w:val="auto"/>
          <w:sz w:val="24"/>
          <w:highlight w:val="none"/>
        </w:rPr>
        <w:t>第六章 建设工程监理合同</w:t>
      </w:r>
      <w:bookmarkEnd w:id="567"/>
      <w:bookmarkEnd w:id="568"/>
      <w:bookmarkEnd w:id="569"/>
      <w:bookmarkEnd w:id="570"/>
      <w:bookmarkEnd w:id="571"/>
      <w:bookmarkEnd w:id="574"/>
      <w:bookmarkEnd w:id="575"/>
      <w:bookmarkEnd w:id="576"/>
      <w:bookmarkEnd w:id="577"/>
      <w:bookmarkEnd w:id="578"/>
      <w:bookmarkEnd w:id="579"/>
      <w:bookmarkEnd w:id="580"/>
      <w:bookmarkEnd w:id="581"/>
      <w:bookmarkEnd w:id="582"/>
      <w:bookmarkEnd w:id="583"/>
      <w:bookmarkEnd w:id="584"/>
    </w:p>
    <w:p w14:paraId="1A88BBA6">
      <w:pPr>
        <w:shd w:val="clear" w:color="auto" w:fill="auto"/>
        <w:wordWrap w:val="0"/>
        <w:adjustRightInd w:val="0"/>
        <w:snapToGrid w:val="0"/>
        <w:spacing w:line="440" w:lineRule="exact"/>
        <w:rPr>
          <w:rFonts w:hint="eastAsia" w:hAnsi="宋体" w:cs="宋体"/>
          <w:snapToGrid w:val="0"/>
          <w:color w:val="auto"/>
          <w:kern w:val="0"/>
          <w:highlight w:val="none"/>
        </w:rPr>
      </w:pPr>
    </w:p>
    <w:p w14:paraId="308BA042">
      <w:pPr>
        <w:shd w:val="clear" w:color="auto" w:fill="auto"/>
        <w:wordWrap w:val="0"/>
        <w:adjustRightInd w:val="0"/>
        <w:snapToGrid w:val="0"/>
        <w:spacing w:line="440" w:lineRule="exact"/>
        <w:rPr>
          <w:rFonts w:hint="eastAsia" w:hAnsi="宋体" w:cs="宋体"/>
          <w:snapToGrid w:val="0"/>
          <w:color w:val="auto"/>
          <w:kern w:val="0"/>
          <w:highlight w:val="none"/>
        </w:rPr>
      </w:pPr>
      <w:r>
        <w:rPr>
          <w:rFonts w:hint="eastAsia" w:hAnsi="宋体" w:cs="宋体"/>
          <w:snapToGrid w:val="0"/>
          <w:color w:val="auto"/>
          <w:kern w:val="0"/>
          <w:highlight w:val="none"/>
        </w:rPr>
        <w:t xml:space="preserve">    （略），</w:t>
      </w:r>
      <w:bookmarkEnd w:id="572"/>
      <w:bookmarkEnd w:id="573"/>
      <w:r>
        <w:rPr>
          <w:rFonts w:hint="eastAsia" w:hAnsi="宋体" w:cs="宋体"/>
          <w:snapToGrid w:val="0"/>
          <w:color w:val="auto"/>
          <w:kern w:val="0"/>
          <w:highlight w:val="none"/>
        </w:rPr>
        <w:t>按照《建设工程监理合同（示范文本）》（GF—2012—0202）执行。</w:t>
      </w:r>
    </w:p>
    <w:p w14:paraId="53A2827B">
      <w:pPr>
        <w:shd w:val="clear" w:color="auto" w:fill="auto"/>
        <w:rPr>
          <w:rFonts w:hint="eastAsia" w:hAnsi="宋体" w:cs="宋体"/>
          <w:color w:val="auto"/>
          <w:highlight w:val="none"/>
        </w:rPr>
      </w:pPr>
    </w:p>
    <w:sectPr>
      <w:endnotePr>
        <w:numFmt w:val="decimal"/>
      </w:endnotePr>
      <w:pgSz w:w="11906" w:h="16838"/>
      <w:pgMar w:top="1701" w:right="1531" w:bottom="1417" w:left="1531" w:header="850" w:footer="992" w:gutter="0"/>
      <w:cols w:space="720" w:num="1"/>
      <w:rtlGutter w:val="0"/>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000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645B">
    <w:pPr>
      <w:pStyle w:val="16"/>
      <w:rPr>
        <w:rFonts w:hint="eastAsia"/>
      </w:rPr>
    </w:pPr>
  </w:p>
  <w:p w14:paraId="5B584764">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456A">
    <w:pPr>
      <w:pStyle w:val="1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3205">
    <w:pPr>
      <w:pStyle w:val="16"/>
      <w:rPr>
        <w:rFonts w:hint="eastAsia"/>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3D0FD7">
                          <w:pPr>
                            <w:pStyle w:val="1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14:paraId="793D0FD7">
                    <w:pPr>
                      <w:pStyle w:val="1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E7303"/>
    <w:multiLevelType w:val="singleLevel"/>
    <w:tmpl w:val="9B9E7303"/>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4"/>
      <w:numFmt w:val="chineseCounting"/>
      <w:suff w:val="space"/>
      <w:lvlText w:val="第%1章"/>
      <w:lvlJc w:val="left"/>
      <w:rPr>
        <w:rFonts w:hint="eastAsia"/>
      </w:rPr>
    </w:lvl>
  </w:abstractNum>
  <w:abstractNum w:abstractNumId="3">
    <w:nsid w:val="33C392C2"/>
    <w:multiLevelType w:val="singleLevel"/>
    <w:tmpl w:val="33C392C2"/>
    <w:lvl w:ilvl="0" w:tentative="0">
      <w:start w:val="2"/>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ZDkzMDExZmZlMDNjYzI3MWQ2ZjMwZGUwNGZjNmYifQ=="/>
  </w:docVars>
  <w:rsids>
    <w:rsidRoot w:val="00000000"/>
    <w:rsid w:val="04332778"/>
    <w:rsid w:val="0DC951FD"/>
    <w:rsid w:val="15555F5D"/>
    <w:rsid w:val="19AC41D9"/>
    <w:rsid w:val="1B73717C"/>
    <w:rsid w:val="205E055C"/>
    <w:rsid w:val="212B00D9"/>
    <w:rsid w:val="2A4D469E"/>
    <w:rsid w:val="2BC32F57"/>
    <w:rsid w:val="2E1D4D6F"/>
    <w:rsid w:val="2FD15CD6"/>
    <w:rsid w:val="31842E38"/>
    <w:rsid w:val="3DDB4D41"/>
    <w:rsid w:val="41EF7491"/>
    <w:rsid w:val="43503D75"/>
    <w:rsid w:val="504A0D3D"/>
    <w:rsid w:val="51E30B9B"/>
    <w:rsid w:val="5238293B"/>
    <w:rsid w:val="54F505E7"/>
    <w:rsid w:val="55FA39AA"/>
    <w:rsid w:val="593F4F22"/>
    <w:rsid w:val="594D2274"/>
    <w:rsid w:val="5D003D94"/>
    <w:rsid w:val="6AB51D8E"/>
    <w:rsid w:val="78510297"/>
    <w:rsid w:val="7ECA4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rFonts w:ascii="Times New Roman" w:hAnsi="Times New Roman" w:eastAsia="宋体" w:cs="Times New Roman"/>
      <w:kern w:val="0"/>
      <w:sz w:val="30"/>
    </w:rPr>
  </w:style>
  <w:style w:type="paragraph" w:styleId="3">
    <w:name w:val="heading 2"/>
    <w:basedOn w:val="1"/>
    <w:next w:val="1"/>
    <w:qFormat/>
    <w:uiPriority w:val="0"/>
    <w:pPr>
      <w:autoSpaceDE w:val="0"/>
      <w:autoSpaceDN w:val="0"/>
      <w:adjustRightInd w:val="0"/>
      <w:jc w:val="left"/>
      <w:outlineLvl w:val="1"/>
    </w:pPr>
    <w:rPr>
      <w:rFonts w:ascii="Times New Roman" w:hAnsi="Times New Roman" w:eastAsia="宋体" w:cs="Times New Roman"/>
      <w:kern w:val="0"/>
      <w:sz w:val="24"/>
    </w:rPr>
  </w:style>
  <w:style w:type="paragraph" w:styleId="4">
    <w:name w:val="heading 3"/>
    <w:basedOn w:val="5"/>
    <w:next w:val="5"/>
    <w:link w:val="30"/>
    <w:qFormat/>
    <w:uiPriority w:val="0"/>
    <w:pPr>
      <w:keepNext/>
      <w:keepLines/>
      <w:spacing w:before="120" w:beforeAutospacing="0" w:after="120" w:afterAutospacing="0"/>
      <w:jc w:val="center"/>
      <w:outlineLvl w:val="2"/>
    </w:pPr>
    <w:rPr>
      <w:rFonts w:ascii="Times New Roman" w:hAnsi="Times New Roman" w:eastAsia="宋体" w:cs="Times New Roman"/>
      <w:sz w:val="24"/>
    </w:rPr>
  </w:style>
  <w:style w:type="paragraph" w:styleId="6">
    <w:name w:val="heading 4"/>
    <w:basedOn w:val="1"/>
    <w:next w:val="1"/>
    <w:qFormat/>
    <w:uiPriority w:val="0"/>
    <w:pPr>
      <w:keepNext/>
      <w:keepLines/>
      <w:spacing w:before="280" w:beforeAutospacing="0" w:after="290" w:afterAutospacing="0" w:line="374" w:lineRule="auto"/>
      <w:outlineLvl w:val="3"/>
    </w:pPr>
    <w:rPr>
      <w:rFonts w:ascii="Arial" w:hAnsi="Arial" w:eastAsia="宋体" w:cs="Times New Roman"/>
      <w:sz w:val="24"/>
    </w:rPr>
  </w:style>
  <w:style w:type="character" w:default="1" w:styleId="26">
    <w:name w:val="Default Paragraph Font"/>
    <w:autoRedefine/>
    <w:qFormat/>
    <w:uiPriority w:val="0"/>
    <w:rPr>
      <w:rFonts w:ascii="Times New Roman" w:hAnsi="Times New Roman" w:eastAsia="宋体" w:cs="Times New Roman"/>
    </w:rPr>
  </w:style>
  <w:style w:type="table" w:default="1" w:styleId="24">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autoRedefine/>
    <w:qFormat/>
    <w:uiPriority w:val="0"/>
    <w:pPr>
      <w:widowControl/>
      <w:ind w:firstLine="420"/>
      <w:jc w:val="left"/>
    </w:pPr>
    <w:rPr>
      <w:rFonts w:ascii="Times New Roman" w:hAnsi="Times New Roman" w:eastAsia="宋体" w:cs="Times New Roman"/>
      <w:kern w:val="0"/>
      <w:sz w:val="20"/>
    </w:rPr>
  </w:style>
  <w:style w:type="paragraph" w:styleId="7">
    <w:name w:val="annotation text"/>
    <w:basedOn w:val="1"/>
    <w:next w:val="1"/>
    <w:link w:val="31"/>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styleId="8">
    <w:name w:val="Body Text"/>
    <w:basedOn w:val="1"/>
    <w:next w:val="9"/>
    <w:autoRedefine/>
    <w:qFormat/>
    <w:uiPriority w:val="0"/>
    <w:pPr>
      <w:spacing w:after="120" w:afterAutospacing="0"/>
    </w:pPr>
    <w:rPr>
      <w:rFonts w:ascii="Times New Roman" w:hAnsi="Times New Roman" w:eastAsia="宋体" w:cs="Times New Roman"/>
    </w:rPr>
  </w:style>
  <w:style w:type="paragraph" w:styleId="9">
    <w:name w:val="Body Text 2"/>
    <w:basedOn w:val="1"/>
    <w:qFormat/>
    <w:uiPriority w:val="0"/>
    <w:pPr>
      <w:spacing w:line="500" w:lineRule="exact"/>
    </w:pPr>
    <w:rPr>
      <w:rFonts w:ascii="宋体" w:hAnsi="Times New Roman" w:eastAsia="宋体" w:cs="Times New Roman"/>
      <w:sz w:val="24"/>
    </w:rPr>
  </w:style>
  <w:style w:type="paragraph" w:styleId="10">
    <w:name w:val="Body Text Indent"/>
    <w:basedOn w:val="1"/>
    <w:next w:val="11"/>
    <w:autoRedefine/>
    <w:qFormat/>
    <w:uiPriority w:val="0"/>
    <w:pPr>
      <w:ind w:firstLine="560" w:firstLineChars="200"/>
    </w:pPr>
    <w:rPr>
      <w:rFonts w:ascii="宋体" w:hAnsi="Times New Roman" w:eastAsia="宋体" w:cs="Times New Roman"/>
      <w:kern w:val="2"/>
      <w:sz w:val="24"/>
    </w:rPr>
  </w:style>
  <w:style w:type="paragraph" w:styleId="11">
    <w:name w:val="envelope return"/>
    <w:basedOn w:val="1"/>
    <w:autoRedefine/>
    <w:qFormat/>
    <w:uiPriority w:val="0"/>
    <w:pPr>
      <w:snapToGrid w:val="0"/>
    </w:pPr>
    <w:rPr>
      <w:rFonts w:ascii="Arial" w:hAnsi="Arial" w:eastAsia="宋体" w:cs="Times New Roman"/>
    </w:rPr>
  </w:style>
  <w:style w:type="paragraph" w:styleId="12">
    <w:name w:val="toc 3"/>
    <w:basedOn w:val="1"/>
    <w:next w:val="1"/>
    <w:autoRedefine/>
    <w:qFormat/>
    <w:uiPriority w:val="0"/>
    <w:pPr>
      <w:ind w:left="561"/>
      <w:jc w:val="left"/>
    </w:pPr>
    <w:rPr>
      <w:rFonts w:ascii="Times New Roman" w:hAnsi="Times New Roman" w:eastAsia="宋体" w:cs="Times New Roman"/>
      <w:sz w:val="24"/>
    </w:rPr>
  </w:style>
  <w:style w:type="paragraph" w:styleId="13">
    <w:name w:val="Plain Text"/>
    <w:basedOn w:val="1"/>
    <w:autoRedefine/>
    <w:qFormat/>
    <w:uiPriority w:val="0"/>
    <w:rPr>
      <w:rFonts w:ascii="宋体" w:hAnsi="Courier New" w:eastAsia="华文宋体" w:cs="Times New Roman"/>
      <w:sz w:val="28"/>
    </w:rPr>
  </w:style>
  <w:style w:type="paragraph" w:styleId="14">
    <w:name w:val="Date"/>
    <w:basedOn w:val="1"/>
    <w:next w:val="1"/>
    <w:autoRedefine/>
    <w:qFormat/>
    <w:uiPriority w:val="0"/>
    <w:pPr>
      <w:spacing w:line="240" w:lineRule="auto"/>
    </w:pPr>
    <w:rPr>
      <w:rFonts w:ascii="Times New Roman" w:hAnsi="Times New Roman" w:eastAsia="宋体" w:cs="Times New Roman"/>
      <w:sz w:val="21"/>
    </w:rPr>
  </w:style>
  <w:style w:type="paragraph" w:styleId="15">
    <w:name w:val="Body Text Indent 2"/>
    <w:basedOn w:val="1"/>
    <w:autoRedefine/>
    <w:qFormat/>
    <w:uiPriority w:val="0"/>
    <w:pPr>
      <w:spacing w:line="480" w:lineRule="auto"/>
      <w:ind w:firstLine="561"/>
    </w:pPr>
    <w:rPr>
      <w:rFonts w:ascii="宋体" w:hAnsi="Times New Roman" w:eastAsia="宋体" w:cs="Times New Roman"/>
    </w:rPr>
  </w:style>
  <w:style w:type="paragraph" w:styleId="16">
    <w:name w:val="footer"/>
    <w:basedOn w:val="1"/>
    <w:autoRedefine/>
    <w:qFormat/>
    <w:uiPriority w:val="0"/>
    <w:pPr>
      <w:widowControl/>
      <w:tabs>
        <w:tab w:val="center" w:pos="4153"/>
        <w:tab w:val="right" w:pos="8306"/>
      </w:tabs>
      <w:snapToGrid w:val="0"/>
      <w:jc w:val="left"/>
    </w:pPr>
    <w:rPr>
      <w:rFonts w:ascii="Times New Roman" w:hAnsi="Times New Roman" w:eastAsia="宋体" w:cs="Times New Roman"/>
      <w:kern w:val="0"/>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8">
    <w:name w:val="toc 1"/>
    <w:basedOn w:val="1"/>
    <w:next w:val="1"/>
    <w:autoRedefine/>
    <w:qFormat/>
    <w:uiPriority w:val="0"/>
    <w:pPr>
      <w:spacing w:before="120" w:beforeAutospacing="0" w:after="120" w:afterAutospacing="0"/>
      <w:jc w:val="left"/>
    </w:pPr>
    <w:rPr>
      <w:rFonts w:ascii="Times New Roman" w:hAnsi="Times New Roman" w:eastAsia="宋体" w:cs="Times New Roman"/>
      <w:caps/>
      <w:sz w:val="24"/>
    </w:rPr>
  </w:style>
  <w:style w:type="paragraph" w:styleId="19">
    <w:name w:val="toc 2"/>
    <w:basedOn w:val="1"/>
    <w:next w:val="1"/>
    <w:autoRedefine/>
    <w:qFormat/>
    <w:uiPriority w:val="0"/>
    <w:pPr>
      <w:ind w:left="278"/>
      <w:jc w:val="left"/>
    </w:pPr>
    <w:rPr>
      <w:rFonts w:ascii="Times New Roman" w:hAnsi="Times New Roman" w:eastAsia="宋体" w:cs="Times New Roman"/>
      <w:smallCaps/>
      <w:sz w:val="24"/>
    </w:rPr>
  </w:style>
  <w:style w:type="paragraph" w:styleId="20">
    <w:name w:val="Normal (Web)"/>
    <w:basedOn w:val="1"/>
    <w:autoRedefine/>
    <w:qFormat/>
    <w:uiPriority w:val="0"/>
    <w:rPr>
      <w:sz w:val="24"/>
    </w:rPr>
  </w:style>
  <w:style w:type="paragraph" w:styleId="21">
    <w:name w:val="annotation subject"/>
    <w:basedOn w:val="7"/>
    <w:next w:val="7"/>
    <w:link w:val="32"/>
    <w:autoRedefine/>
    <w:qFormat/>
    <w:uiPriority w:val="0"/>
    <w:pPr>
      <w:adjustRightInd/>
      <w:spacing w:line="360" w:lineRule="auto"/>
      <w:textAlignment w:val="auto"/>
    </w:pPr>
    <w:rPr>
      <w:rFonts w:ascii="Times New Roman" w:hAnsi="Times New Roman" w:eastAsia="宋体" w:cs="Times New Roman"/>
      <w:b/>
      <w:bCs/>
      <w:kern w:val="2"/>
    </w:rPr>
  </w:style>
  <w:style w:type="paragraph" w:styleId="22">
    <w:name w:val="Body Text First Indent 2"/>
    <w:basedOn w:val="10"/>
    <w:next w:val="23"/>
    <w:autoRedefine/>
    <w:qFormat/>
    <w:uiPriority w:val="0"/>
    <w:pPr>
      <w:ind w:firstLine="420"/>
    </w:pPr>
    <w:rPr>
      <w:rFonts w:ascii="Times New Roman" w:hAnsi="Times New Roman" w:eastAsia="宋体" w:cs="Times New Roman"/>
    </w:rPr>
  </w:style>
  <w:style w:type="paragraph" w:customStyle="1" w:styleId="23">
    <w:name w:val="章标题"/>
    <w:next w:val="1"/>
    <w:autoRedefine/>
    <w:qFormat/>
    <w:uiPriority w:val="0"/>
    <w:pPr>
      <w:spacing w:before="50" w:after="50"/>
      <w:jc w:val="both"/>
      <w:outlineLvl w:val="1"/>
    </w:pPr>
    <w:rPr>
      <w:rFonts w:ascii="黑体" w:hAnsi="Calibri" w:eastAsia="黑体" w:cs="Times New Roman"/>
      <w:sz w:val="21"/>
      <w:lang w:val="en-US" w:eastAsia="zh-CN" w:bidi="ar-SA"/>
    </w:rPr>
  </w:style>
  <w:style w:type="table" w:styleId="25">
    <w:name w:val="Table Grid"/>
    <w:basedOn w:val="2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autoRedefine/>
    <w:qFormat/>
    <w:uiPriority w:val="99"/>
    <w:rPr>
      <w:color w:val="000000"/>
      <w:u w:val="none"/>
    </w:rPr>
  </w:style>
  <w:style w:type="character" w:styleId="28">
    <w:name w:val="annotation reference"/>
    <w:autoRedefine/>
    <w:qFormat/>
    <w:uiPriority w:val="0"/>
    <w:rPr>
      <w:rFonts w:ascii="Times New Roman" w:hAnsi="Times New Roman" w:eastAsia="宋体" w:cs="Times New Roman"/>
      <w:sz w:val="21"/>
      <w:szCs w:val="21"/>
    </w:rPr>
  </w:style>
  <w:style w:type="paragraph" w:customStyle="1" w:styleId="29">
    <w:name w:val="正文缩进1"/>
    <w:basedOn w:val="1"/>
    <w:autoRedefine/>
    <w:qFormat/>
    <w:uiPriority w:val="0"/>
    <w:pPr>
      <w:widowControl/>
      <w:ind w:firstLine="420"/>
      <w:jc w:val="left"/>
    </w:pPr>
    <w:rPr>
      <w:rFonts w:ascii="Times New Roman" w:hAnsi="Times New Roman" w:eastAsia="宋体" w:cs="Times New Roman"/>
      <w:kern w:val="0"/>
      <w:sz w:val="20"/>
    </w:rPr>
  </w:style>
  <w:style w:type="character" w:customStyle="1" w:styleId="30">
    <w:name w:val="标题 3 Char"/>
    <w:link w:val="4"/>
    <w:autoRedefine/>
    <w:qFormat/>
    <w:uiPriority w:val="0"/>
    <w:rPr>
      <w:rFonts w:ascii="Times New Roman" w:hAnsi="Times New Roman" w:eastAsia="宋体" w:cs="Times New Roman"/>
      <w:sz w:val="24"/>
    </w:rPr>
  </w:style>
  <w:style w:type="character" w:customStyle="1" w:styleId="31">
    <w:name w:val="批注文字 字符"/>
    <w:link w:val="7"/>
    <w:autoRedefine/>
    <w:qFormat/>
    <w:uiPriority w:val="0"/>
    <w:rPr>
      <w:rFonts w:ascii="宋体" w:hAnsi="Times New Roman" w:eastAsia="宋体" w:cs="Times New Roman"/>
      <w:sz w:val="24"/>
    </w:rPr>
  </w:style>
  <w:style w:type="character" w:customStyle="1" w:styleId="32">
    <w:name w:val="批注主题 字符"/>
    <w:link w:val="21"/>
    <w:autoRedefine/>
    <w:qFormat/>
    <w:uiPriority w:val="0"/>
    <w:rPr>
      <w:rFonts w:ascii="宋体" w:hAnsi="Times New Roman" w:eastAsia="宋体" w:cs="Times New Roman"/>
      <w:b/>
      <w:bCs/>
      <w:kern w:val="2"/>
      <w:sz w:val="24"/>
    </w:rPr>
  </w:style>
  <w:style w:type="paragraph" w:customStyle="1" w:styleId="33">
    <w:name w:val="样式 宋体 行距: 1.5 倍行距"/>
    <w:basedOn w:val="34"/>
    <w:next w:val="1"/>
    <w:autoRedefine/>
    <w:qFormat/>
    <w:uiPriority w:val="0"/>
    <w:pPr>
      <w:jc w:val="center"/>
    </w:pPr>
    <w:rPr>
      <w:rFonts w:ascii="Times New Roman" w:hAnsi="Times New Roman" w:eastAsia="宋体" w:cs="Times New Roman"/>
      <w:b/>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3"/>
    <w:autoRedefine/>
    <w:qFormat/>
    <w:uiPriority w:val="0"/>
    <w:pPr>
      <w:widowControl w:val="0"/>
      <w:jc w:val="both"/>
    </w:pPr>
    <w:rPr>
      <w:rFonts w:ascii="Calibri" w:hAnsi="Calibri" w:eastAsia="宋体" w:cs="黑体"/>
      <w:kern w:val="2"/>
      <w:sz w:val="21"/>
      <w:szCs w:val="24"/>
      <w:lang w:val="en-US" w:eastAsia="zh-CN" w:bidi="ar-SA"/>
    </w:rPr>
  </w:style>
  <w:style w:type="character" w:customStyle="1" w:styleId="35">
    <w:name w:val="NormalCharacter"/>
    <w:autoRedefine/>
    <w:qFormat/>
    <w:uiPriority w:val="99"/>
  </w:style>
  <w:style w:type="paragraph" w:customStyle="1" w:styleId="36">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7">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0">
    <w:name w:val="正文格式"/>
    <w:basedOn w:val="1"/>
    <w:autoRedefine/>
    <w:qFormat/>
    <w:uiPriority w:val="0"/>
    <w:pPr>
      <w:topLinePunct/>
      <w:ind w:firstLine="420" w:firstLineChars="200"/>
    </w:pPr>
    <w:rPr>
      <w:rFonts w:hint="default" w:ascii="宋体" w:hAnsi="宋体" w:eastAsia="宋体" w:cs="Times New Roman"/>
      <w:bCs/>
      <w:szCs w:val="21"/>
    </w:rPr>
  </w:style>
  <w:style w:type="paragraph" w:customStyle="1" w:styleId="41">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42">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Normal Indent1"/>
    <w:basedOn w:val="1"/>
    <w:autoRedefine/>
    <w:qFormat/>
    <w:uiPriority w:val="0"/>
    <w:pPr>
      <w:spacing w:line="360" w:lineRule="auto"/>
      <w:ind w:firstLine="420"/>
    </w:pPr>
    <w:rPr>
      <w:rFonts w:ascii="宋体" w:hAnsi="Times New Roman" w:eastAsia="宋体" w:cs="Times New Roman"/>
      <w:sz w:val="20"/>
      <w:szCs w:val="20"/>
    </w:rPr>
  </w:style>
  <w:style w:type="paragraph" w:customStyle="1" w:styleId="45">
    <w:name w:val="正文文本缩进 New"/>
    <w:basedOn w:val="46"/>
    <w:qFormat/>
    <w:uiPriority w:val="0"/>
    <w:pPr>
      <w:ind w:firstLine="560" w:firstLineChars="200"/>
    </w:pPr>
    <w:rPr>
      <w:rFonts w:ascii="宋体" w:hAnsi="Times New Roman" w:eastAsia="宋体" w:cs="Times New Roman"/>
      <w:kern w:val="2"/>
      <w:sz w:val="24"/>
    </w:rPr>
  </w:style>
  <w:style w:type="paragraph" w:customStyle="1" w:styleId="46">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7">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8">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标题 3 New New"/>
    <w:basedOn w:val="50"/>
    <w:next w:val="50"/>
    <w:autoRedefine/>
    <w:qFormat/>
    <w:uiPriority w:val="0"/>
    <w:pPr>
      <w:keepNext/>
      <w:keepLines/>
      <w:spacing w:before="120" w:beforeAutospacing="0" w:after="120" w:afterAutospacing="0"/>
      <w:jc w:val="center"/>
      <w:outlineLvl w:val="2"/>
    </w:pPr>
    <w:rPr>
      <w:rFonts w:ascii="Times New Roman" w:hAnsi="Times New Roman" w:eastAsia="宋体" w:cs="Times New Roman"/>
      <w:sz w:val="24"/>
    </w:rPr>
  </w:style>
  <w:style w:type="paragraph" w:customStyle="1" w:styleId="50">
    <w:name w:val="正文缩进 New"/>
    <w:basedOn w:val="46"/>
    <w:autoRedefine/>
    <w:qFormat/>
    <w:uiPriority w:val="0"/>
    <w:pPr>
      <w:widowControl/>
      <w:ind w:firstLine="420"/>
      <w:jc w:val="left"/>
    </w:pPr>
    <w:rPr>
      <w:rFonts w:ascii="Times New Roman" w:hAnsi="Times New Roman" w:eastAsia="宋体" w:cs="Times New Roman"/>
      <w:kern w:val="0"/>
      <w:sz w:val="20"/>
    </w:rPr>
  </w:style>
  <w:style w:type="paragraph" w:customStyle="1" w:styleId="51">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2">
    <w:name w:val="WPSOffice手动目录 2"/>
    <w:autoRedefine/>
    <w:qFormat/>
    <w:uiPriority w:val="0"/>
    <w:pPr>
      <w:ind w:leftChars="200"/>
    </w:pPr>
    <w:rPr>
      <w:rFonts w:ascii="Times New Roman" w:hAnsi="Times New Roman" w:eastAsia="宋体" w:cs="Times New Roman"/>
      <w:lang w:val="en-US" w:eastAsia="zh-CN" w:bidi="ar-SA"/>
    </w:rPr>
  </w:style>
  <w:style w:type="paragraph" w:customStyle="1" w:styleId="53">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普通(网站) New"/>
    <w:basedOn w:val="55"/>
    <w:autoRedefine/>
    <w:qFormat/>
    <w:uiPriority w:val="0"/>
    <w:rPr>
      <w:rFonts w:ascii="Times New Roman" w:hAnsi="Times New Roman" w:eastAsia="宋体" w:cs="Times New Roman"/>
      <w:sz w:val="24"/>
    </w:rPr>
  </w:style>
  <w:style w:type="paragraph" w:customStyle="1" w:styleId="55">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正文文本缩进 New New"/>
    <w:basedOn w:val="48"/>
    <w:qFormat/>
    <w:uiPriority w:val="0"/>
    <w:pPr>
      <w:ind w:firstLine="560" w:firstLineChars="200"/>
    </w:pPr>
    <w:rPr>
      <w:rFonts w:ascii="宋体" w:hAnsi="Times New Roman" w:eastAsia="宋体" w:cs="Times New Roman"/>
      <w:kern w:val="2"/>
      <w:sz w:val="24"/>
    </w:rPr>
  </w:style>
  <w:style w:type="paragraph" w:customStyle="1" w:styleId="57">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paragraph" w:customStyle="1" w:styleId="59">
    <w:name w:val="Normal Indent_4c803a13-180c-4885-81ac-15aca6f4b5c7"/>
    <w:basedOn w:val="1"/>
    <w:autoRedefine/>
    <w:qFormat/>
    <w:uiPriority w:val="0"/>
    <w:pPr>
      <w:widowControl/>
      <w:spacing w:line="360" w:lineRule="auto"/>
      <w:ind w:firstLine="420"/>
      <w:jc w:val="left"/>
    </w:pPr>
    <w:rPr>
      <w:rFonts w:ascii="宋体" w:hAnsi="Times New Roman" w:eastAsia="宋体" w:cs="Times New Roman"/>
      <w:kern w:val="0"/>
      <w:sz w:val="20"/>
      <w:szCs w:val="20"/>
    </w:rPr>
  </w:style>
  <w:style w:type="paragraph" w:customStyle="1" w:styleId="60">
    <w:name w:val="Table Text"/>
    <w:basedOn w:val="1"/>
    <w:autoRedefine/>
    <w:qFormat/>
    <w:uiPriority w:val="0"/>
    <w:rPr>
      <w:rFonts w:ascii="Arial" w:hAnsi="Arial" w:eastAsia="Arial" w:cs="Arial"/>
      <w:sz w:val="21"/>
      <w:szCs w:val="21"/>
      <w:lang w:val="en-US" w:eastAsia="en-US" w:bidi="ar-SA"/>
    </w:rPr>
  </w:style>
  <w:style w:type="paragraph" w:customStyle="1" w:styleId="61">
    <w:name w:val="正文文本1"/>
    <w:basedOn w:val="1"/>
    <w:autoRedefine/>
    <w:qFormat/>
    <w:uiPriority w:val="0"/>
    <w:pPr>
      <w:spacing w:after="120"/>
    </w:pPr>
  </w:style>
  <w:style w:type="paragraph" w:customStyle="1" w:styleId="62">
    <w:name w:val="Normal Indent"/>
    <w:basedOn w:val="1"/>
    <w:qFormat/>
    <w:uiPriority w:val="0"/>
    <w:pPr>
      <w:widowControl/>
      <w:spacing w:line="360" w:lineRule="auto"/>
      <w:ind w:firstLine="420"/>
      <w:jc w:val="left"/>
    </w:pPr>
    <w:rPr>
      <w:rFonts w:ascii="宋体" w:hAnsi="Times New Roman"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16912</Words>
  <Characters>18455</Characters>
  <Paragraphs>2307</Paragraphs>
  <TotalTime>10</TotalTime>
  <ScaleCrop>false</ScaleCrop>
  <LinksUpToDate>false</LinksUpToDate>
  <CharactersWithSpaces>18903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Administrator.SKY-20171120MGK</dc:creator>
  <cp:lastModifiedBy>刘聪、</cp:lastModifiedBy>
  <cp:lastPrinted>2025-08-22T00:56:00Z</cp:lastPrinted>
  <dcterms:modified xsi:type="dcterms:W3CDTF">2025-09-08T08:07:26Z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ribbonExt">
    <vt:lpwstr>{"WPSExtOfficeTab":{"OnGetEnabled":false,"OnGetVisible":false}}</vt:lpwstr>
  </property>
  <property fmtid="{D5CDD505-2E9C-101B-9397-08002B2CF9AE}" pid="4" name="ICV">
    <vt:lpwstr>C1345E05654F4046B7A6A5CBBA0E1064_13</vt:lpwstr>
  </property>
  <property fmtid="{D5CDD505-2E9C-101B-9397-08002B2CF9AE}" pid="5" name="KSOTemplateDocerSaveRecord">
    <vt:lpwstr>eyJoZGlkIjoiYmEwZmVjYmI2NGE3ZTFiODFlNzBjOTM5YjlhMTMyZTciLCJ1c2VySWQiOiI2MjI1MzA2MDkifQ==</vt:lpwstr>
  </property>
</Properties>
</file>