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78090">
      <w:pPr>
        <w:tabs>
          <w:tab w:val="left" w:pos="900"/>
          <w:tab w:val="left" w:pos="1080"/>
        </w:tabs>
        <w:jc w:val="center"/>
        <w:rPr>
          <w:rFonts w:hint="eastAsia" w:ascii="黑体" w:hAnsi="Times New Roman" w:eastAsia="黑体" w:cs="Times New Roman"/>
          <w:sz w:val="44"/>
          <w:szCs w:val="44"/>
        </w:rPr>
      </w:pPr>
      <w:r>
        <w:rPr>
          <w:rFonts w:hint="eastAsia" w:ascii="黑体" w:hAnsi="Times New Roman" w:eastAsia="黑体" w:cs="Times New Roman"/>
          <w:sz w:val="44"/>
          <w:szCs w:val="44"/>
          <w:lang w:eastAsia="zh-CN"/>
        </w:rPr>
        <w:t>编</w:t>
      </w:r>
      <w:r>
        <w:rPr>
          <w:rFonts w:hint="eastAsia" w:ascii="黑体" w:hAnsi="Times New Roman" w:eastAsia="黑体" w:cs="Times New Roman"/>
          <w:sz w:val="44"/>
          <w:szCs w:val="44"/>
          <w:lang w:val="en-US" w:eastAsia="zh-CN"/>
        </w:rPr>
        <w:t xml:space="preserve"> </w:t>
      </w:r>
      <w:r>
        <w:rPr>
          <w:rFonts w:hint="eastAsia" w:ascii="黑体" w:hAnsi="Times New Roman" w:eastAsia="黑体" w:cs="Times New Roman"/>
          <w:sz w:val="44"/>
          <w:szCs w:val="44"/>
          <w:lang w:eastAsia="zh-CN"/>
        </w:rPr>
        <w:t>制</w:t>
      </w:r>
      <w:r>
        <w:rPr>
          <w:rFonts w:hint="eastAsia" w:ascii="黑体" w:hAnsi="Times New Roman" w:eastAsia="黑体" w:cs="Times New Roman"/>
          <w:sz w:val="44"/>
          <w:szCs w:val="44"/>
        </w:rPr>
        <w:t xml:space="preserve"> 说 明</w:t>
      </w:r>
    </w:p>
    <w:p w14:paraId="0BC07ECD">
      <w:pPr>
        <w:pStyle w:val="2"/>
      </w:pPr>
    </w:p>
    <w:p w14:paraId="520039C2">
      <w:pPr>
        <w:tabs>
          <w:tab w:val="left" w:pos="900"/>
          <w:tab w:val="left" w:pos="1080"/>
        </w:tabs>
        <w:spacing w:line="520" w:lineRule="exact"/>
        <w:ind w:firstLine="636" w:firstLineChars="199"/>
        <w:rPr>
          <w:rFonts w:ascii="黑体" w:hAnsi="Times New Roman" w:eastAsia="黑体"/>
          <w:bCs/>
          <w:sz w:val="32"/>
          <w:szCs w:val="32"/>
        </w:rPr>
      </w:pPr>
      <w:r>
        <w:rPr>
          <w:rFonts w:hint="eastAsia" w:ascii="黑体" w:hAnsi="Times New Roman" w:eastAsia="黑体"/>
          <w:sz w:val="32"/>
          <w:szCs w:val="32"/>
        </w:rPr>
        <w:t>一、项目概况</w:t>
      </w:r>
    </w:p>
    <w:p w14:paraId="11655022">
      <w:pPr>
        <w:tabs>
          <w:tab w:val="left" w:pos="900"/>
          <w:tab w:val="left" w:pos="1080"/>
        </w:tabs>
        <w:spacing w:line="52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（一）项目内容：</w:t>
      </w:r>
    </w:p>
    <w:p w14:paraId="0379D004">
      <w:pPr>
        <w:keepNext w:val="0"/>
        <w:keepLines w:val="0"/>
        <w:widowControl/>
        <w:suppressLineNumbers w:val="0"/>
        <w:ind w:firstLine="640" w:firstLineChars="200"/>
        <w:jc w:val="left"/>
        <w:rPr>
          <w:rFonts w:hint="eastAsia" w:ascii="仿宋_GB2312" w:hAnsi="Times New Roman" w:eastAsia="仿宋_GB2312"/>
          <w:snapToGrid w:val="0"/>
          <w:color w:val="auto"/>
          <w:kern w:val="0"/>
          <w:sz w:val="32"/>
          <w:szCs w:val="24"/>
          <w:lang w:eastAsia="zh"/>
        </w:rPr>
      </w:pPr>
      <w:r>
        <w:rPr>
          <w:rFonts w:hint="eastAsia" w:ascii="仿宋_GB2312" w:hAnsi="Times New Roman" w:eastAsia="仿宋_GB2312"/>
          <w:snapToGrid w:val="0"/>
          <w:color w:val="auto"/>
          <w:kern w:val="0"/>
          <w:sz w:val="32"/>
          <w:szCs w:val="24"/>
          <w:lang w:eastAsia="zh"/>
        </w:rPr>
        <w:t>建设主要内容：</w:t>
      </w:r>
      <w:r>
        <w:rPr>
          <w:rFonts w:hint="default" w:ascii="仿宋_GB2312" w:hAnsi="Times New Roman" w:eastAsia="仿宋_GB2312" w:cs="仿宋_GB2312"/>
          <w:color w:val="000000"/>
          <w:kern w:val="0"/>
          <w:sz w:val="32"/>
          <w:szCs w:val="32"/>
          <w:lang w:val="en-US" w:eastAsia="zh-CN" w:bidi="ar"/>
        </w:rPr>
        <w:t>市政工程、建筑工程、园林绿化工程、装饰工程、通信工程、室内安装工程、室外安装工程等</w:t>
      </w:r>
      <w:r>
        <w:rPr>
          <w:rFonts w:hint="eastAsia" w:ascii="仿宋_GB2312" w:hAnsi="Times New Roman" w:eastAsia="仿宋_GB2312"/>
          <w:snapToGrid w:val="0"/>
          <w:color w:val="auto"/>
          <w:kern w:val="0"/>
          <w:sz w:val="32"/>
          <w:szCs w:val="24"/>
          <w:lang w:eastAsia="zh"/>
        </w:rPr>
        <w:t>。</w:t>
      </w:r>
    </w:p>
    <w:p w14:paraId="16AA6096">
      <w:pPr>
        <w:keepNext w:val="0"/>
        <w:keepLines w:val="0"/>
        <w:widowControl/>
        <w:suppressLineNumbers w:val="0"/>
        <w:ind w:firstLine="640" w:firstLineChars="200"/>
        <w:jc w:val="left"/>
        <w:rPr>
          <w:rFonts w:ascii="仿宋_GB2312" w:hAnsi="宋体" w:eastAsia="仿宋_GB2312"/>
          <w:sz w:val="32"/>
          <w:szCs w:val="32"/>
        </w:rPr>
      </w:pPr>
      <w:r>
        <w:rPr>
          <w:rFonts w:hint="eastAsia" w:ascii="仿宋_GB2312" w:hAnsi="宋体" w:eastAsia="仿宋_GB2312"/>
          <w:sz w:val="32"/>
          <w:szCs w:val="32"/>
        </w:rPr>
        <w:t>（二）实施地点：</w:t>
      </w:r>
      <w:r>
        <w:rPr>
          <w:rFonts w:hint="default" w:ascii="仿宋_GB2312" w:hAnsi="Times New Roman" w:eastAsia="仿宋_GB2312" w:cs="仿宋_GB2312"/>
          <w:color w:val="000000"/>
          <w:kern w:val="0"/>
          <w:sz w:val="32"/>
          <w:szCs w:val="32"/>
          <w:lang w:val="en-US" w:eastAsia="zh-CN" w:bidi="ar"/>
        </w:rPr>
        <w:t>武江区西河镇下坑村</w:t>
      </w:r>
      <w:r>
        <w:rPr>
          <w:rFonts w:hint="eastAsia" w:ascii="仿宋_GB2312" w:hAnsi="宋体" w:eastAsia="仿宋_GB2312"/>
          <w:sz w:val="32"/>
          <w:szCs w:val="32"/>
        </w:rPr>
        <w:t>。</w:t>
      </w:r>
    </w:p>
    <w:p w14:paraId="13FB2045">
      <w:pPr>
        <w:tabs>
          <w:tab w:val="left" w:pos="900"/>
          <w:tab w:val="left" w:pos="1080"/>
        </w:tabs>
        <w:spacing w:line="52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（三）实施单位：</w:t>
      </w:r>
    </w:p>
    <w:p w14:paraId="7A94F7C1">
      <w:pPr>
        <w:tabs>
          <w:tab w:val="left" w:pos="900"/>
          <w:tab w:val="left" w:pos="1080"/>
        </w:tabs>
        <w:spacing w:line="520" w:lineRule="exact"/>
        <w:ind w:firstLine="640" w:firstLineChars="200"/>
        <w:rPr>
          <w:rFonts w:hint="eastAsia" w:ascii="仿宋_GB2312" w:hAnsi="Times New Roman" w:eastAsia="仿宋_GB2312"/>
          <w:snapToGrid w:val="0"/>
          <w:kern w:val="0"/>
          <w:sz w:val="32"/>
          <w:szCs w:val="24"/>
          <w:highlight w:val="none"/>
          <w:lang w:eastAsia="zh-CN"/>
        </w:rPr>
      </w:pPr>
      <w:r>
        <w:rPr>
          <w:rFonts w:hint="eastAsia" w:ascii="仿宋_GB2312" w:hAnsi="Times New Roman" w:eastAsia="仿宋_GB2312"/>
          <w:snapToGrid w:val="0"/>
          <w:kern w:val="0"/>
          <w:sz w:val="32"/>
          <w:szCs w:val="24"/>
          <w:highlight w:val="none"/>
          <w:lang w:eastAsia="zh-CN"/>
        </w:rPr>
        <w:t>1. 建设单位：韶关市武江区西河镇人民政府；</w:t>
      </w:r>
    </w:p>
    <w:p w14:paraId="1F1289FC">
      <w:pPr>
        <w:tabs>
          <w:tab w:val="left" w:pos="900"/>
          <w:tab w:val="left" w:pos="1080"/>
        </w:tabs>
        <w:spacing w:line="520" w:lineRule="exact"/>
        <w:ind w:firstLine="640" w:firstLineChars="200"/>
        <w:rPr>
          <w:rFonts w:hint="eastAsia" w:ascii="仿宋_GB2312" w:hAnsi="Times New Roman" w:eastAsia="仿宋_GB2312"/>
          <w:snapToGrid w:val="0"/>
          <w:kern w:val="0"/>
          <w:sz w:val="32"/>
          <w:szCs w:val="24"/>
          <w:highlight w:val="none"/>
          <w:lang w:eastAsia="zh-CN"/>
        </w:rPr>
      </w:pPr>
      <w:r>
        <w:rPr>
          <w:rFonts w:hint="eastAsia" w:ascii="仿宋_GB2312" w:hAnsi="Times New Roman" w:eastAsia="仿宋_GB2312"/>
          <w:snapToGrid w:val="0"/>
          <w:kern w:val="0"/>
          <w:sz w:val="32"/>
          <w:szCs w:val="24"/>
          <w:highlight w:val="none"/>
          <w:lang w:eastAsia="zh-CN"/>
        </w:rPr>
        <w:t>2. 设计单位：中大设计集团有限公司；</w:t>
      </w:r>
    </w:p>
    <w:p w14:paraId="6EC43877">
      <w:pPr>
        <w:tabs>
          <w:tab w:val="left" w:pos="900"/>
          <w:tab w:val="left" w:pos="1080"/>
        </w:tabs>
        <w:spacing w:line="520" w:lineRule="exact"/>
        <w:ind w:firstLine="640" w:firstLineChars="200"/>
        <w:rPr>
          <w:rFonts w:hint="eastAsia" w:ascii="仿宋_GB2312" w:hAnsi="宋体" w:eastAsia="仿宋_GB2312" w:cs="Times New Roman"/>
          <w:b/>
          <w:bCs/>
          <w:sz w:val="32"/>
          <w:szCs w:val="32"/>
          <w:highlight w:val="none"/>
        </w:rPr>
      </w:pPr>
      <w:r>
        <w:rPr>
          <w:rFonts w:hint="eastAsia" w:ascii="仿宋_GB2312" w:hAnsi="Times New Roman" w:eastAsia="仿宋_GB2312"/>
          <w:snapToGrid w:val="0"/>
          <w:kern w:val="0"/>
          <w:sz w:val="32"/>
          <w:szCs w:val="24"/>
          <w:highlight w:val="none"/>
          <w:lang w:eastAsia="zh-CN"/>
        </w:rPr>
        <w:t>3. 编制单位：中创名建工程管理集团有限公司</w:t>
      </w:r>
      <w:r>
        <w:rPr>
          <w:rFonts w:hint="eastAsia" w:ascii="仿宋_GB2312" w:hAnsi="Times New Roman" w:eastAsia="仿宋_GB2312" w:cs="Times New Roman"/>
          <w:snapToGrid w:val="0"/>
          <w:kern w:val="0"/>
          <w:sz w:val="32"/>
          <w:szCs w:val="24"/>
          <w:highlight w:val="none"/>
          <w:lang w:val="en-US" w:eastAsia="zh-CN"/>
        </w:rPr>
        <w:t>。</w:t>
      </w:r>
    </w:p>
    <w:p w14:paraId="4E210CD3">
      <w:pPr>
        <w:tabs>
          <w:tab w:val="left" w:pos="1080"/>
        </w:tabs>
        <w:spacing w:before="156" w:beforeLines="50" w:line="520" w:lineRule="exact"/>
        <w:ind w:firstLine="640" w:firstLineChars="200"/>
        <w:outlineLvl w:val="0"/>
        <w:rPr>
          <w:rFonts w:ascii="黑体" w:hAnsi="Times New Roman" w:eastAsia="黑体"/>
          <w:bCs/>
          <w:sz w:val="32"/>
          <w:szCs w:val="32"/>
        </w:rPr>
      </w:pPr>
      <w:r>
        <w:rPr>
          <w:rFonts w:hint="eastAsia" w:ascii="黑体" w:hAnsi="Times New Roman" w:eastAsia="黑体"/>
          <w:sz w:val="32"/>
          <w:szCs w:val="32"/>
        </w:rPr>
        <w:t>二、审核依据</w:t>
      </w:r>
    </w:p>
    <w:p w14:paraId="05691945">
      <w:pPr>
        <w:tabs>
          <w:tab w:val="left" w:pos="900"/>
          <w:tab w:val="left" w:pos="1080"/>
        </w:tabs>
        <w:spacing w:line="520" w:lineRule="exact"/>
        <w:ind w:firstLine="640" w:firstLineChars="200"/>
        <w:rPr>
          <w:rFonts w:hint="eastAsia" w:ascii="仿宋_GB2312" w:hAnsi="宋体" w:eastAsia="仿宋_GB2312" w:cs="Times New Roman"/>
          <w:sz w:val="32"/>
          <w:szCs w:val="32"/>
          <w:highlight w:val="none"/>
        </w:rPr>
      </w:pPr>
      <w:r>
        <w:rPr>
          <w:rFonts w:hint="eastAsia" w:ascii="仿宋_GB2312" w:hAnsi="宋体" w:eastAsia="仿宋_GB2312" w:cs="Times New Roman"/>
          <w:sz w:val="32"/>
          <w:szCs w:val="32"/>
          <w:highlight w:val="none"/>
        </w:rPr>
        <w:t>（一）送审资料</w:t>
      </w:r>
    </w:p>
    <w:p w14:paraId="2ACA25DE">
      <w:pPr>
        <w:tabs>
          <w:tab w:val="left" w:pos="900"/>
          <w:tab w:val="left" w:pos="1080"/>
        </w:tabs>
        <w:spacing w:line="520" w:lineRule="exact"/>
        <w:ind w:firstLine="640" w:firstLineChars="200"/>
        <w:rPr>
          <w:rFonts w:hint="eastAsia" w:ascii="仿宋" w:hAnsi="仿宋" w:eastAsia="仿宋" w:cs="仿宋"/>
          <w:snapToGrid w:val="0"/>
          <w:color w:val="auto"/>
          <w:w w:val="100"/>
          <w:kern w:val="0"/>
          <w:sz w:val="32"/>
          <w:szCs w:val="32"/>
          <w:highlight w:val="none"/>
          <w:lang w:val="en-US" w:eastAsia="zh-CN"/>
        </w:rPr>
      </w:pPr>
      <w:r>
        <w:rPr>
          <w:rFonts w:hint="eastAsia" w:ascii="仿宋" w:hAnsi="仿宋" w:eastAsia="仿宋" w:cs="仿宋"/>
          <w:snapToGrid w:val="0"/>
          <w:color w:val="auto"/>
          <w:w w:val="100"/>
          <w:kern w:val="0"/>
          <w:sz w:val="32"/>
          <w:szCs w:val="32"/>
          <w:highlight w:val="none"/>
          <w:lang w:val="en-US" w:eastAsia="zh-CN"/>
        </w:rPr>
        <w:t>1.建设单位提供的《关于武江区西河镇下坑村乡村振兴和人居环境整治项目二期初步设计概算的批复》。</w:t>
      </w:r>
    </w:p>
    <w:p w14:paraId="378C6B9C">
      <w:pPr>
        <w:tabs>
          <w:tab w:val="left" w:pos="900"/>
          <w:tab w:val="left" w:pos="1080"/>
        </w:tabs>
        <w:spacing w:line="520" w:lineRule="exact"/>
        <w:ind w:firstLine="640" w:firstLineChars="200"/>
        <w:rPr>
          <w:rFonts w:hint="eastAsia" w:ascii="仿宋" w:hAnsi="仿宋" w:eastAsia="仿宋" w:cs="仿宋"/>
          <w:snapToGrid w:val="0"/>
          <w:color w:val="auto"/>
          <w:w w:val="100"/>
          <w:kern w:val="0"/>
          <w:sz w:val="32"/>
          <w:szCs w:val="32"/>
          <w:highlight w:val="none"/>
          <w:lang w:val="en-US" w:eastAsia="zh-CN"/>
        </w:rPr>
      </w:pPr>
      <w:r>
        <w:rPr>
          <w:rFonts w:hint="eastAsia" w:ascii="仿宋" w:hAnsi="仿宋" w:eastAsia="仿宋" w:cs="仿宋"/>
          <w:snapToGrid w:val="0"/>
          <w:color w:val="auto"/>
          <w:w w:val="100"/>
          <w:kern w:val="0"/>
          <w:sz w:val="32"/>
          <w:szCs w:val="32"/>
          <w:highlight w:val="none"/>
          <w:lang w:val="en-US" w:eastAsia="zh-CN"/>
        </w:rPr>
        <w:t>2.建设单位提供的《武江区西河镇下坑村乡村振兴和人居环境整治项目二期》施工图。</w:t>
      </w:r>
    </w:p>
    <w:p w14:paraId="0097AE02">
      <w:pPr>
        <w:tabs>
          <w:tab w:val="left" w:pos="900"/>
          <w:tab w:val="left" w:pos="1080"/>
        </w:tabs>
        <w:spacing w:line="520" w:lineRule="exact"/>
        <w:ind w:firstLine="640" w:firstLineChars="200"/>
        <w:rPr>
          <w:rFonts w:hint="eastAsia" w:ascii="仿宋" w:hAnsi="仿宋" w:eastAsia="仿宋" w:cs="仿宋"/>
          <w:snapToGrid w:val="0"/>
          <w:color w:val="auto"/>
          <w:w w:val="100"/>
          <w:kern w:val="0"/>
          <w:sz w:val="32"/>
          <w:szCs w:val="32"/>
          <w:highlight w:val="none"/>
          <w:lang w:val="en-US" w:eastAsia="zh-CN"/>
        </w:rPr>
      </w:pPr>
      <w:r>
        <w:rPr>
          <w:rFonts w:hint="eastAsia" w:ascii="仿宋" w:hAnsi="仿宋" w:eastAsia="仿宋" w:cs="仿宋"/>
          <w:snapToGrid w:val="0"/>
          <w:color w:val="auto"/>
          <w:w w:val="100"/>
          <w:kern w:val="0"/>
          <w:sz w:val="32"/>
          <w:szCs w:val="32"/>
          <w:highlight w:val="none"/>
          <w:lang w:val="en-US" w:eastAsia="zh-CN"/>
        </w:rPr>
        <w:t>3.中创名建工程管理集团有限公司编制的招标控制价、工程量清单。</w:t>
      </w:r>
    </w:p>
    <w:p w14:paraId="1DB9919C">
      <w:pPr>
        <w:tabs>
          <w:tab w:val="left" w:pos="900"/>
          <w:tab w:val="left" w:pos="1080"/>
        </w:tabs>
        <w:spacing w:line="520" w:lineRule="exact"/>
        <w:ind w:firstLine="640" w:firstLineChars="200"/>
        <w:rPr>
          <w:rFonts w:hint="eastAsia" w:ascii="仿宋" w:hAnsi="仿宋" w:eastAsia="仿宋" w:cs="仿宋"/>
          <w:snapToGrid w:val="0"/>
          <w:color w:val="auto"/>
          <w:w w:val="100"/>
          <w:kern w:val="0"/>
          <w:sz w:val="32"/>
          <w:szCs w:val="32"/>
          <w:highlight w:val="none"/>
          <w:lang w:val="en-US" w:eastAsia="zh-CN"/>
        </w:rPr>
      </w:pPr>
      <w:r>
        <w:rPr>
          <w:rFonts w:hint="eastAsia" w:ascii="仿宋" w:hAnsi="仿宋" w:eastAsia="仿宋" w:cs="仿宋"/>
          <w:snapToGrid w:val="0"/>
          <w:color w:val="auto"/>
          <w:w w:val="100"/>
          <w:kern w:val="0"/>
          <w:sz w:val="32"/>
          <w:szCs w:val="32"/>
          <w:highlight w:val="none"/>
          <w:lang w:val="en-US" w:eastAsia="zh-CN"/>
        </w:rPr>
        <w:t>4.建设单位提供的《关于武江区西河镇下坑村乡村振兴和人居环境整治项目二期的工作联系函》。</w:t>
      </w:r>
    </w:p>
    <w:p w14:paraId="00AF3C2C">
      <w:pPr>
        <w:tabs>
          <w:tab w:val="left" w:pos="900"/>
          <w:tab w:val="left" w:pos="1080"/>
        </w:tabs>
        <w:spacing w:line="520" w:lineRule="exact"/>
        <w:ind w:firstLine="640" w:firstLineChars="200"/>
        <w:rPr>
          <w:rFonts w:hint="eastAsia" w:ascii="仿宋" w:hAnsi="仿宋" w:eastAsia="仿宋" w:cs="仿宋"/>
          <w:snapToGrid w:val="0"/>
          <w:color w:val="auto"/>
          <w:w w:val="100"/>
          <w:kern w:val="0"/>
          <w:sz w:val="32"/>
          <w:szCs w:val="32"/>
          <w:highlight w:val="none"/>
          <w:lang w:val="en-US" w:eastAsia="zh-CN"/>
        </w:rPr>
      </w:pPr>
      <w:r>
        <w:rPr>
          <w:rFonts w:hint="eastAsia" w:ascii="仿宋" w:hAnsi="仿宋" w:eastAsia="仿宋" w:cs="仿宋"/>
          <w:snapToGrid w:val="0"/>
          <w:color w:val="auto"/>
          <w:w w:val="100"/>
          <w:kern w:val="0"/>
          <w:sz w:val="32"/>
          <w:szCs w:val="32"/>
          <w:highlight w:val="none"/>
          <w:lang w:val="en-US" w:eastAsia="zh-CN"/>
        </w:rPr>
        <w:t>5.《设计对数问题记录表》。</w:t>
      </w:r>
    </w:p>
    <w:p w14:paraId="4572563C">
      <w:pPr>
        <w:tabs>
          <w:tab w:val="left" w:pos="900"/>
          <w:tab w:val="left" w:pos="1080"/>
        </w:tabs>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（二）执行规范及定额</w:t>
      </w:r>
    </w:p>
    <w:p w14:paraId="739C529F">
      <w:pPr>
        <w:pStyle w:val="2"/>
        <w:ind w:firstLine="640"/>
        <w:rPr>
          <w:rFonts w:hint="default" w:ascii="仿宋" w:hAnsi="仿宋" w:eastAsia="仿宋" w:cs="仿宋"/>
          <w:snapToGrid w:val="0"/>
          <w:color w:val="auto"/>
          <w:w w:val="100"/>
          <w:kern w:val="0"/>
          <w:sz w:val="32"/>
          <w:szCs w:val="32"/>
          <w:highlight w:val="none"/>
          <w:lang w:val="en-US" w:eastAsia="zh-CN"/>
        </w:rPr>
      </w:pPr>
      <w:r>
        <w:rPr>
          <w:rFonts w:hint="default" w:ascii="仿宋" w:hAnsi="仿宋" w:eastAsia="仿宋" w:cs="仿宋"/>
          <w:snapToGrid w:val="0"/>
          <w:color w:val="auto"/>
          <w:w w:val="100"/>
          <w:kern w:val="0"/>
          <w:sz w:val="32"/>
          <w:szCs w:val="32"/>
          <w:highlight w:val="none"/>
          <w:lang w:val="en-US" w:eastAsia="zh-CN"/>
        </w:rPr>
        <w:t>1.《建设工程工程量清单计价</w:t>
      </w:r>
      <w:r>
        <w:rPr>
          <w:rFonts w:hint="eastAsia" w:ascii="仿宋" w:hAnsi="仿宋" w:eastAsia="仿宋" w:cs="仿宋"/>
          <w:snapToGrid w:val="0"/>
          <w:color w:val="auto"/>
          <w:w w:val="100"/>
          <w:kern w:val="0"/>
          <w:sz w:val="32"/>
          <w:szCs w:val="32"/>
          <w:highlight w:val="none"/>
          <w:lang w:val="en-US" w:eastAsia="zh-CN"/>
        </w:rPr>
        <w:t>标准</w:t>
      </w:r>
      <w:r>
        <w:rPr>
          <w:rFonts w:hint="default" w:ascii="仿宋" w:hAnsi="仿宋" w:eastAsia="仿宋" w:cs="仿宋"/>
          <w:snapToGrid w:val="0"/>
          <w:color w:val="auto"/>
          <w:w w:val="100"/>
          <w:kern w:val="0"/>
          <w:sz w:val="32"/>
          <w:szCs w:val="32"/>
          <w:highlight w:val="none"/>
          <w:lang w:val="en-US" w:eastAsia="zh-CN"/>
        </w:rPr>
        <w:t>》（GB/T50500-2024）；</w:t>
      </w:r>
    </w:p>
    <w:p w14:paraId="41DA063C">
      <w:pPr>
        <w:pStyle w:val="2"/>
        <w:ind w:firstLine="640"/>
        <w:rPr>
          <w:rFonts w:hint="default" w:ascii="仿宋" w:hAnsi="仿宋" w:eastAsia="仿宋" w:cs="仿宋"/>
          <w:snapToGrid w:val="0"/>
          <w:color w:val="auto"/>
          <w:w w:val="100"/>
          <w:kern w:val="0"/>
          <w:sz w:val="32"/>
          <w:szCs w:val="32"/>
          <w:highlight w:val="none"/>
          <w:lang w:val="en-US" w:eastAsia="zh-CN"/>
        </w:rPr>
      </w:pPr>
      <w:r>
        <w:rPr>
          <w:rFonts w:hint="default" w:ascii="仿宋" w:hAnsi="仿宋" w:eastAsia="仿宋" w:cs="仿宋"/>
          <w:snapToGrid w:val="0"/>
          <w:color w:val="auto"/>
          <w:w w:val="100"/>
          <w:kern w:val="0"/>
          <w:sz w:val="32"/>
          <w:szCs w:val="32"/>
          <w:highlight w:val="none"/>
          <w:lang w:val="en-US" w:eastAsia="zh-CN"/>
        </w:rPr>
        <w:t>2.《房屋建筑与装饰工程工程量计算</w:t>
      </w:r>
      <w:r>
        <w:rPr>
          <w:rFonts w:hint="eastAsia" w:ascii="仿宋" w:hAnsi="仿宋" w:eastAsia="仿宋" w:cs="仿宋"/>
          <w:snapToGrid w:val="0"/>
          <w:color w:val="auto"/>
          <w:w w:val="100"/>
          <w:kern w:val="0"/>
          <w:sz w:val="32"/>
          <w:szCs w:val="32"/>
          <w:highlight w:val="none"/>
          <w:lang w:val="en-US" w:eastAsia="zh-CN"/>
        </w:rPr>
        <w:t>标准</w:t>
      </w:r>
      <w:r>
        <w:rPr>
          <w:rFonts w:hint="default" w:ascii="仿宋" w:hAnsi="仿宋" w:eastAsia="仿宋" w:cs="仿宋"/>
          <w:snapToGrid w:val="0"/>
          <w:color w:val="auto"/>
          <w:w w:val="100"/>
          <w:kern w:val="0"/>
          <w:sz w:val="32"/>
          <w:szCs w:val="32"/>
          <w:highlight w:val="none"/>
          <w:lang w:val="en-US" w:eastAsia="zh-CN"/>
        </w:rPr>
        <w:t>》（GB/T50854</w:t>
      </w:r>
    </w:p>
    <w:p w14:paraId="6C44A7AD">
      <w:pPr>
        <w:pStyle w:val="2"/>
        <w:rPr>
          <w:rFonts w:hint="default" w:ascii="仿宋" w:hAnsi="仿宋" w:eastAsia="仿宋" w:cs="仿宋"/>
          <w:snapToGrid w:val="0"/>
          <w:color w:val="auto"/>
          <w:w w:val="100"/>
          <w:kern w:val="0"/>
          <w:sz w:val="32"/>
          <w:szCs w:val="32"/>
          <w:highlight w:val="none"/>
          <w:lang w:val="en-US" w:eastAsia="zh-CN"/>
        </w:rPr>
      </w:pPr>
      <w:r>
        <w:rPr>
          <w:rFonts w:hint="default" w:ascii="仿宋" w:hAnsi="仿宋" w:eastAsia="仿宋" w:cs="仿宋"/>
          <w:snapToGrid w:val="0"/>
          <w:color w:val="auto"/>
          <w:w w:val="100"/>
          <w:kern w:val="0"/>
          <w:sz w:val="32"/>
          <w:szCs w:val="32"/>
          <w:highlight w:val="none"/>
          <w:lang w:val="en-US" w:eastAsia="zh-CN"/>
        </w:rPr>
        <w:t>-2024）；</w:t>
      </w:r>
    </w:p>
    <w:p w14:paraId="6B7ACAD6">
      <w:pPr>
        <w:pStyle w:val="2"/>
        <w:ind w:firstLine="640"/>
        <w:rPr>
          <w:rFonts w:hint="default" w:ascii="仿宋" w:hAnsi="仿宋" w:eastAsia="仿宋" w:cs="仿宋"/>
          <w:snapToGrid w:val="0"/>
          <w:color w:val="auto"/>
          <w:w w:val="100"/>
          <w:kern w:val="0"/>
          <w:sz w:val="32"/>
          <w:szCs w:val="32"/>
          <w:highlight w:val="none"/>
          <w:lang w:val="en-US" w:eastAsia="zh-CN"/>
        </w:rPr>
      </w:pPr>
      <w:r>
        <w:rPr>
          <w:rFonts w:hint="default" w:ascii="仿宋" w:hAnsi="仿宋" w:eastAsia="仿宋" w:cs="仿宋"/>
          <w:snapToGrid w:val="0"/>
          <w:color w:val="auto"/>
          <w:w w:val="100"/>
          <w:kern w:val="0"/>
          <w:sz w:val="32"/>
          <w:szCs w:val="32"/>
          <w:highlight w:val="none"/>
          <w:lang w:val="en-US" w:eastAsia="zh-CN"/>
        </w:rPr>
        <w:t>3.《通用安装工程工程量计算标准》（GB/T50856-2024）；</w:t>
      </w:r>
    </w:p>
    <w:p w14:paraId="49DE88F4">
      <w:pPr>
        <w:pStyle w:val="2"/>
        <w:ind w:firstLine="640"/>
        <w:rPr>
          <w:rFonts w:hint="default" w:ascii="仿宋" w:hAnsi="仿宋" w:eastAsia="仿宋" w:cs="仿宋"/>
          <w:snapToGrid w:val="0"/>
          <w:color w:val="auto"/>
          <w:w w:val="100"/>
          <w:kern w:val="0"/>
          <w:sz w:val="32"/>
          <w:szCs w:val="32"/>
          <w:highlight w:val="none"/>
          <w:lang w:val="en-US" w:eastAsia="zh-CN"/>
        </w:rPr>
      </w:pPr>
      <w:r>
        <w:rPr>
          <w:rFonts w:hint="default" w:ascii="仿宋" w:hAnsi="仿宋" w:eastAsia="仿宋" w:cs="仿宋"/>
          <w:snapToGrid w:val="0"/>
          <w:color w:val="auto"/>
          <w:w w:val="100"/>
          <w:kern w:val="0"/>
          <w:sz w:val="32"/>
          <w:szCs w:val="32"/>
          <w:highlight w:val="none"/>
          <w:lang w:val="en-US" w:eastAsia="zh-CN"/>
        </w:rPr>
        <w:t>4.《市政工程工程量计算标准》（GB/T50857-2024）；</w:t>
      </w:r>
    </w:p>
    <w:p w14:paraId="235192A2">
      <w:pPr>
        <w:pStyle w:val="2"/>
        <w:ind w:firstLine="640"/>
        <w:rPr>
          <w:rFonts w:hint="default" w:ascii="仿宋" w:hAnsi="仿宋" w:eastAsia="仿宋" w:cs="仿宋"/>
          <w:snapToGrid w:val="0"/>
          <w:color w:val="auto"/>
          <w:w w:val="100"/>
          <w:kern w:val="0"/>
          <w:sz w:val="32"/>
          <w:szCs w:val="32"/>
          <w:highlight w:val="none"/>
          <w:lang w:val="en-US" w:eastAsia="zh-CN"/>
        </w:rPr>
      </w:pPr>
      <w:r>
        <w:rPr>
          <w:rFonts w:hint="eastAsia" w:ascii="仿宋" w:hAnsi="仿宋" w:eastAsia="仿宋" w:cs="仿宋"/>
          <w:snapToGrid w:val="0"/>
          <w:color w:val="auto"/>
          <w:w w:val="100"/>
          <w:kern w:val="0"/>
          <w:sz w:val="32"/>
          <w:szCs w:val="32"/>
          <w:highlight w:val="none"/>
          <w:lang w:val="en-US" w:eastAsia="zh-CN"/>
        </w:rPr>
        <w:t>5.</w:t>
      </w:r>
      <w:r>
        <w:rPr>
          <w:rFonts w:hint="default" w:ascii="仿宋" w:hAnsi="仿宋" w:eastAsia="仿宋" w:cs="仿宋"/>
          <w:snapToGrid w:val="0"/>
          <w:color w:val="auto"/>
          <w:w w:val="100"/>
          <w:kern w:val="0"/>
          <w:sz w:val="32"/>
          <w:szCs w:val="32"/>
          <w:highlight w:val="none"/>
          <w:lang w:val="en-US" w:eastAsia="zh-CN"/>
        </w:rPr>
        <w:t>《园林绿化工程工程量计算标准》（GB/T50858-2024）</w:t>
      </w:r>
      <w:r>
        <w:rPr>
          <w:rFonts w:hint="eastAsia" w:ascii="仿宋" w:hAnsi="仿宋" w:eastAsia="仿宋" w:cs="仿宋"/>
          <w:snapToGrid w:val="0"/>
          <w:color w:val="auto"/>
          <w:w w:val="100"/>
          <w:kern w:val="0"/>
          <w:sz w:val="32"/>
          <w:szCs w:val="32"/>
          <w:highlight w:val="none"/>
          <w:lang w:val="en-US" w:eastAsia="zh-CN"/>
        </w:rPr>
        <w:t>；</w:t>
      </w:r>
    </w:p>
    <w:p w14:paraId="36C2ADC6">
      <w:pPr>
        <w:pStyle w:val="2"/>
        <w:ind w:firstLine="640"/>
        <w:rPr>
          <w:rFonts w:hint="eastAsia" w:ascii="仿宋" w:hAnsi="仿宋" w:eastAsia="仿宋" w:cs="仿宋"/>
          <w:snapToGrid w:val="0"/>
          <w:color w:val="auto"/>
          <w:w w:val="100"/>
          <w:kern w:val="0"/>
          <w:sz w:val="32"/>
          <w:szCs w:val="32"/>
          <w:highlight w:val="none"/>
          <w:lang w:val="en-US" w:eastAsia="zh"/>
        </w:rPr>
      </w:pPr>
      <w:r>
        <w:rPr>
          <w:rFonts w:hint="eastAsia" w:ascii="仿宋" w:hAnsi="仿宋" w:eastAsia="仿宋" w:cs="仿宋"/>
          <w:snapToGrid w:val="0"/>
          <w:color w:val="auto"/>
          <w:w w:val="100"/>
          <w:kern w:val="0"/>
          <w:sz w:val="32"/>
          <w:szCs w:val="32"/>
          <w:highlight w:val="none"/>
          <w:lang w:val="en-US" w:eastAsia="zh-CN"/>
        </w:rPr>
        <w:t>6</w:t>
      </w:r>
      <w:r>
        <w:rPr>
          <w:rFonts w:hint="eastAsia" w:ascii="仿宋" w:hAnsi="仿宋" w:eastAsia="仿宋" w:cs="仿宋"/>
          <w:snapToGrid w:val="0"/>
          <w:color w:val="auto"/>
          <w:w w:val="100"/>
          <w:kern w:val="0"/>
          <w:sz w:val="32"/>
          <w:szCs w:val="32"/>
          <w:highlight w:val="none"/>
          <w:lang w:val="en-US" w:eastAsia="zh"/>
        </w:rPr>
        <w:t>.</w:t>
      </w:r>
      <w:r>
        <w:rPr>
          <w:rFonts w:hint="default" w:ascii="仿宋" w:hAnsi="仿宋" w:eastAsia="仿宋" w:cs="仿宋"/>
          <w:snapToGrid w:val="0"/>
          <w:color w:val="auto"/>
          <w:w w:val="100"/>
          <w:kern w:val="0"/>
          <w:sz w:val="32"/>
          <w:szCs w:val="32"/>
          <w:highlight w:val="none"/>
          <w:lang w:val="en-US" w:eastAsia="zh-CN"/>
        </w:rPr>
        <w:t>《广东省住房和城乡建设厅关于调整广东省建设工程计价依据增值税税率的通知》粤建标函〔2019〕819号。</w:t>
      </w:r>
    </w:p>
    <w:p w14:paraId="71F0F0B2">
      <w:pPr>
        <w:numPr>
          <w:ilvl w:val="0"/>
          <w:numId w:val="0"/>
        </w:numPr>
        <w:suppressAutoHyphens/>
        <w:adjustRightInd w:val="0"/>
        <w:spacing w:line="360" w:lineRule="auto"/>
        <w:ind w:firstLine="640" w:firstLineChars="200"/>
        <w:jc w:val="left"/>
        <w:rPr>
          <w:rFonts w:hint="eastAsia" w:ascii="Times New Roman" w:hAnsi="Times New Roman" w:eastAsia="黑体"/>
          <w:snapToGrid w:val="0"/>
          <w:kern w:val="0"/>
          <w:sz w:val="32"/>
          <w:szCs w:val="24"/>
          <w:lang w:eastAsia="zh-CN"/>
        </w:rPr>
      </w:pPr>
      <w:r>
        <w:rPr>
          <w:rFonts w:hint="eastAsia" w:ascii="Times New Roman" w:hAnsi="Times New Roman" w:eastAsia="黑体"/>
          <w:snapToGrid w:val="0"/>
          <w:kern w:val="0"/>
          <w:sz w:val="32"/>
          <w:szCs w:val="24"/>
          <w:lang w:eastAsia="zh-CN"/>
        </w:rPr>
        <w:t>三、其他说明</w:t>
      </w:r>
    </w:p>
    <w:p w14:paraId="2C21766F">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1．弃土运距，依据建设单位提供的《关于武江区西河镇下坑村乡村振兴和人居环境整治项目二期的工作联系函》，暂按3km计取，结算需提供相关佐证资料，结算不超3km。</w:t>
      </w:r>
    </w:p>
    <w:p w14:paraId="4C04E389">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2．根据建设单位提供的《关于武江区西河镇下坑村乡村振兴和人居环境整治项目二期的工作联系函》，以下产品列入暂估价：暂估价价格为上限价，结算时单项价格和总价均不超出上限价且提供发票、转账记录、购销合同、竣工图、施工方案等相关佐证资料作为结算参考。</w:t>
      </w:r>
    </w:p>
    <w:p w14:paraId="2B457F74">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1）新建门头链条吊挂碳化木板1200*300*50暂按109.33元/㎡（含安装费，不含税）计算，共0.36㎡，总计39.36元，结算时提供采购合同、发票、转账记录等资料作为参考，预算暂估价单项和总项均为上限价，结算时不可超暂估价结算。</w:t>
      </w:r>
    </w:p>
    <w:p w14:paraId="748947C0">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2）成品卫生间（含排气扇、灯座、冲水器、陶瓷蹲便器、洗手盆、电源开关）暂按10880.00元/个（含安装费，不含税）计算，共1个，总计10880.00元，结算时提供采购合同、发票、转账记录等资料作为参考，预算暂估价单项和总项均为上限价，结算时不可超暂估价结算。</w:t>
      </w:r>
    </w:p>
    <w:p w14:paraId="5E13C01F">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3）广告标识灯箱（240*35cm）暂按421.60元/套（含安装费，不含税）计算，共3套，总计1264.8元，结算时提供采购合同、发票、转账记录等资料作为参考，预算暂估价单项和总项均为上限价，结算时不可超暂估价结算。</w:t>
      </w:r>
    </w:p>
    <w:p w14:paraId="0EFDDAB0">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4）广告标识灯箱（150*30cm）暂按304.80元/套（含安装费，不含税）计算，共1套，总计304.8元，结算时提供采购合同、发票、转账记录等资料作为参考，预算暂估价单项和总项均为上限价，结算时不可超暂估价结算。</w:t>
      </w:r>
    </w:p>
    <w:p w14:paraId="121F4AD5">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5）广告标识灯箱（120*30cm两个，总高140cm）暂按439.47元/套（含安装费，不含税）计算，共2套，总计878.94元，结算时提供采购合同、发票、转账记录等资料作为参考，预算暂估价单项和总项均为上限价，结算时不可超暂估价结算。</w:t>
      </w:r>
    </w:p>
    <w:p w14:paraId="39076BA9">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6）广告标识灯箱（400*50cm）暂按822.13元/套（含安装费，不含税）计算，共1套，总计822.13元，结算时提供采购合同、发票、转账记录等资料作为参考，预算暂估价单项和总项均为上限价，结算时不可超暂估价结算。</w:t>
      </w:r>
    </w:p>
    <w:p w14:paraId="4A96BC53">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7）广告标识灯箱（600*50cm）暂按1422.40元/套（含安装费，不含税）计算，共2套，总计2844.80元，结算时提供采购合同、发票、转账记录等资料作为参考，预算暂估价单项和总项均为上限价，结算时不可超暂估价结算。</w:t>
      </w:r>
    </w:p>
    <w:p w14:paraId="0355C41C">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8）广告标识灯箱（1060*80cm）暂按502.13元/套（含安装费，不含税）计算，共1套，总计502.13元，结算时提供采购合同、发票、转账记录等资料作为参考，预算暂估价单项和总项均为上限价，结算时不可超暂估价结算。</w:t>
      </w:r>
    </w:p>
    <w:p w14:paraId="285B3C16">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9）广告标识PVC板（15厚，66*40cm）暂按140.27元/套（含安装费，不含税）计算，共1套，总计140.27元，结算时提供采购合同、发票、转账记录等资料作为参考，预算暂估价单项和总项均为上限价，结算时不可超暂估价结算。</w:t>
      </w:r>
    </w:p>
    <w:p w14:paraId="612BF132">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10）广告标识PVC板（15厚，65*22cm）暂按114.67元/套（含安装费，不含税）计算，共1套，总计114.67元，结算时提供采购合同、发票、转账记录等资料作为参考，预算暂估价单项和总项均为上限价，结算时不可超暂估价结算。</w:t>
      </w:r>
    </w:p>
    <w:p w14:paraId="37F65A08">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11）2000*1000*80cm发光字，1个暂按1477.33元/套（含安装费，不含税）计算，共1套，总计1477.33元，结算时提供采购合同、发票、转账记录等资料作为参考，预算暂估价单项和总项均为上限价，结算时不可超暂估价结算。</w:t>
      </w:r>
    </w:p>
    <w:p w14:paraId="787D67CC">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12）4000*650*80cm发光字，1个暂按2028.27元/套（含安装费，不含税）计算，共1套，总计2028.27元，结算时提供采购合同、发票、转账记录等资料作为参考，预算暂估价单项和总项均为上限价，结算时不可超暂估价结算。</w:t>
      </w:r>
    </w:p>
    <w:p w14:paraId="04BC9B6D">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13）800*600*80cm发光字，1个暂按2933.33元/套（含安装费，不含税）计算，共1套，总计933.33元，结算时提供采购合同、发票、转账记录等资料作为参考，预算暂估价单项和总项均为上限价，结算时不可超暂估价结算。</w:t>
      </w:r>
    </w:p>
    <w:p w14:paraId="1C50B0AB">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 xml:space="preserve">3.因考虑到工程施工过程中存在的不确定性、设计图的不可预见性，编制招标控制价时考虑计入暂列金额，暂列金按分部分项项目费的1%计算。 </w:t>
      </w:r>
    </w:p>
    <w:p w14:paraId="6495693C">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4．上述暂列金额虽列入招标控制价，但并不属于承包人所有，也不必然发生，只能按照发包人（建设单位）的指示使用，其最终结算费用应以实际发生为准，其余额仍归发包人（建设单位）所有。</w:t>
      </w:r>
    </w:p>
    <w:p w14:paraId="660CD95E">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5.本项目不计取预算包干费。</w:t>
      </w:r>
    </w:p>
    <w:p w14:paraId="7F98A5AE">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6.该项目需使用综合脚手架，脚手架使用天数暂按53天考虑，结算需提供相关佐证资料。</w:t>
      </w:r>
    </w:p>
    <w:p w14:paraId="74F82BDE">
      <w:pPr>
        <w:pStyle w:val="5"/>
        <w:widowControl/>
        <w:numPr>
          <w:ilvl w:val="0"/>
          <w:numId w:val="0"/>
        </w:numPr>
        <w:spacing w:before="0" w:beforeAutospacing="0" w:after="0" w:afterAutospacing="0"/>
        <w:ind w:left="0" w:leftChars="0" w:right="0" w:rightChars="0" w:firstLine="640" w:firstLineChars="200"/>
        <w:rPr>
          <w:rFonts w:hint="eastAsia" w:ascii="仿宋_GB2312" w:hAnsi="宋体" w:eastAsia="仿宋_GB2312" w:cs="Times New Roman"/>
          <w:color w:val="000000"/>
          <w:kern w:val="2"/>
          <w:sz w:val="32"/>
          <w:szCs w:val="32"/>
          <w:highlight w:val="none"/>
          <w:lang w:val="en-US" w:eastAsia="zh-CN"/>
        </w:rPr>
      </w:pPr>
      <w:r>
        <w:rPr>
          <w:rFonts w:hint="eastAsia" w:ascii="仿宋_GB2312" w:hAnsi="宋体" w:eastAsia="仿宋_GB2312" w:cs="Times New Roman"/>
          <w:color w:val="000000"/>
          <w:kern w:val="2"/>
          <w:sz w:val="32"/>
          <w:szCs w:val="32"/>
          <w:highlight w:val="none"/>
          <w:lang w:val="en-US" w:eastAsia="zh-CN"/>
        </w:rPr>
        <w:t>7.本项目需就近挖土1626.33m³，运距为1km，结算需提供相关佐证资料。</w:t>
      </w:r>
    </w:p>
    <w:p w14:paraId="15D9D6C8">
      <w:pPr>
        <w:ind w:firstLine="640" w:firstLineChars="200"/>
        <w:rPr>
          <w:rFonts w:hint="eastAsia"/>
          <w:lang w:val="en-US" w:eastAsia="zh-CN"/>
        </w:rPr>
      </w:pPr>
      <w:r>
        <w:rPr>
          <w:rFonts w:hint="eastAsia" w:ascii="仿宋_GB2312" w:hAnsi="宋体" w:eastAsia="仿宋_GB2312" w:cs="Times New Roman"/>
          <w:color w:val="000000"/>
          <w:kern w:val="2"/>
          <w:sz w:val="32"/>
          <w:szCs w:val="32"/>
          <w:highlight w:val="none"/>
          <w:lang w:val="en-US" w:eastAsia="zh-CN"/>
        </w:rPr>
        <w:t>8．图纸不详之处详见设计单位、建设单位回复的《设计对数问题记录表》</w:t>
      </w:r>
      <w:r>
        <w:rPr>
          <w:rFonts w:hint="default" w:ascii="仿宋_GB2312" w:hAnsi="宋体" w:eastAsia="仿宋_GB2312" w:cs="Times New Roman"/>
          <w:kern w:val="0"/>
          <w:sz w:val="32"/>
          <w:szCs w:val="32"/>
          <w:highlight w:val="none"/>
          <w:lang w:val="en-US" w:eastAsia="zh-CN" w:bidi="ar-SA"/>
        </w:rPr>
        <w:t>。</w:t>
      </w:r>
      <w:bookmarkStart w:id="0" w:name="_GoBack"/>
      <w:bookmarkEnd w:id="0"/>
    </w:p>
    <w:sectPr>
      <w:pgSz w:w="11906" w:h="16838"/>
      <w:pgMar w:top="1020" w:right="1417" w:bottom="89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QyYThiOGEwMzMyNzdhMzdhNTkyNmYzYmFhZWZlZmEifQ=="/>
  </w:docVars>
  <w:rsids>
    <w:rsidRoot w:val="713E16E8"/>
    <w:rsid w:val="001F303E"/>
    <w:rsid w:val="00625E51"/>
    <w:rsid w:val="007C05EF"/>
    <w:rsid w:val="00B948B3"/>
    <w:rsid w:val="02367D74"/>
    <w:rsid w:val="024711DF"/>
    <w:rsid w:val="03824055"/>
    <w:rsid w:val="03C3286F"/>
    <w:rsid w:val="09002522"/>
    <w:rsid w:val="0BEC343E"/>
    <w:rsid w:val="0CB82A52"/>
    <w:rsid w:val="0D141A34"/>
    <w:rsid w:val="0DA8159E"/>
    <w:rsid w:val="0F421873"/>
    <w:rsid w:val="10074FA7"/>
    <w:rsid w:val="10B93CC5"/>
    <w:rsid w:val="10E0033D"/>
    <w:rsid w:val="117009AE"/>
    <w:rsid w:val="11BD0CCB"/>
    <w:rsid w:val="1327184E"/>
    <w:rsid w:val="14876E6C"/>
    <w:rsid w:val="15120EDC"/>
    <w:rsid w:val="151B1C30"/>
    <w:rsid w:val="1529426A"/>
    <w:rsid w:val="1645367E"/>
    <w:rsid w:val="17DC0E56"/>
    <w:rsid w:val="17E17EDC"/>
    <w:rsid w:val="17F43F68"/>
    <w:rsid w:val="18805A8F"/>
    <w:rsid w:val="1A0C2973"/>
    <w:rsid w:val="1A203384"/>
    <w:rsid w:val="1B5D6177"/>
    <w:rsid w:val="1B6D679A"/>
    <w:rsid w:val="1B9A461E"/>
    <w:rsid w:val="1BAA1DEE"/>
    <w:rsid w:val="1D706756"/>
    <w:rsid w:val="1E3D2A1D"/>
    <w:rsid w:val="212A681A"/>
    <w:rsid w:val="21AF0F7E"/>
    <w:rsid w:val="21C60A5C"/>
    <w:rsid w:val="25093CB7"/>
    <w:rsid w:val="25E0500F"/>
    <w:rsid w:val="262F4618"/>
    <w:rsid w:val="28FD525E"/>
    <w:rsid w:val="29446030"/>
    <w:rsid w:val="2A2715DD"/>
    <w:rsid w:val="2AA77D87"/>
    <w:rsid w:val="2CA2633B"/>
    <w:rsid w:val="2CC36E16"/>
    <w:rsid w:val="2CC36E42"/>
    <w:rsid w:val="2D480837"/>
    <w:rsid w:val="2D8D6895"/>
    <w:rsid w:val="2DA37DF5"/>
    <w:rsid w:val="2E1054B0"/>
    <w:rsid w:val="2E422901"/>
    <w:rsid w:val="2E5A0ACC"/>
    <w:rsid w:val="2ECF76CF"/>
    <w:rsid w:val="3030697B"/>
    <w:rsid w:val="307D0CDB"/>
    <w:rsid w:val="319E09A5"/>
    <w:rsid w:val="32326EC9"/>
    <w:rsid w:val="32E50496"/>
    <w:rsid w:val="33022C64"/>
    <w:rsid w:val="330870A4"/>
    <w:rsid w:val="33747C7D"/>
    <w:rsid w:val="33A72B79"/>
    <w:rsid w:val="33EA252D"/>
    <w:rsid w:val="348F2DD7"/>
    <w:rsid w:val="35722521"/>
    <w:rsid w:val="358C6356"/>
    <w:rsid w:val="35F00533"/>
    <w:rsid w:val="35F41BFC"/>
    <w:rsid w:val="3650258D"/>
    <w:rsid w:val="37CF76C8"/>
    <w:rsid w:val="398D0612"/>
    <w:rsid w:val="3AFA683F"/>
    <w:rsid w:val="3BA92C34"/>
    <w:rsid w:val="3C2B0489"/>
    <w:rsid w:val="3DA03F39"/>
    <w:rsid w:val="3F7A63C2"/>
    <w:rsid w:val="426944AD"/>
    <w:rsid w:val="43B94141"/>
    <w:rsid w:val="442F268D"/>
    <w:rsid w:val="45FA3E49"/>
    <w:rsid w:val="47414799"/>
    <w:rsid w:val="477144BC"/>
    <w:rsid w:val="4AA406F0"/>
    <w:rsid w:val="4C016E23"/>
    <w:rsid w:val="4D0B3AFD"/>
    <w:rsid w:val="4F77691C"/>
    <w:rsid w:val="4FEE654D"/>
    <w:rsid w:val="515733E7"/>
    <w:rsid w:val="539347B6"/>
    <w:rsid w:val="54F45E75"/>
    <w:rsid w:val="553E6087"/>
    <w:rsid w:val="563625D1"/>
    <w:rsid w:val="581043D4"/>
    <w:rsid w:val="5A535976"/>
    <w:rsid w:val="5D2153EA"/>
    <w:rsid w:val="5DAA666C"/>
    <w:rsid w:val="5E4C66DB"/>
    <w:rsid w:val="5EEB5943"/>
    <w:rsid w:val="5EFD2130"/>
    <w:rsid w:val="5F4F2F4B"/>
    <w:rsid w:val="61640A02"/>
    <w:rsid w:val="61753B5C"/>
    <w:rsid w:val="62001E71"/>
    <w:rsid w:val="633D3BE3"/>
    <w:rsid w:val="639500A7"/>
    <w:rsid w:val="640C1262"/>
    <w:rsid w:val="6448234D"/>
    <w:rsid w:val="6619707E"/>
    <w:rsid w:val="68B536B2"/>
    <w:rsid w:val="69285A6D"/>
    <w:rsid w:val="6B656390"/>
    <w:rsid w:val="6B744F4D"/>
    <w:rsid w:val="6D461FF8"/>
    <w:rsid w:val="6F6614F5"/>
    <w:rsid w:val="6FE4229B"/>
    <w:rsid w:val="711E2E7D"/>
    <w:rsid w:val="713E16E8"/>
    <w:rsid w:val="72C5513F"/>
    <w:rsid w:val="742A74C3"/>
    <w:rsid w:val="75606BF7"/>
    <w:rsid w:val="765C5986"/>
    <w:rsid w:val="77682AC6"/>
    <w:rsid w:val="78935C36"/>
    <w:rsid w:val="79CA2E50"/>
    <w:rsid w:val="7A4169D3"/>
    <w:rsid w:val="7A58338F"/>
    <w:rsid w:val="7AE53606"/>
    <w:rsid w:val="7B4119B6"/>
    <w:rsid w:val="7CCE794F"/>
    <w:rsid w:val="7CF131F1"/>
    <w:rsid w:val="7D53138D"/>
    <w:rsid w:val="7DAB6B5B"/>
    <w:rsid w:val="7E2761AA"/>
    <w:rsid w:val="7E979777"/>
    <w:rsid w:val="7FF515D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adjustRightInd w:val="0"/>
      <w:spacing w:line="360" w:lineRule="atLeast"/>
      <w:jc w:val="left"/>
      <w:textAlignment w:val="baseline"/>
    </w:pPr>
    <w:rPr>
      <w:rFonts w:ascii="宋体"/>
      <w:kern w:val="0"/>
      <w:sz w:val="24"/>
    </w:r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autoRedefine/>
    <w:qFormat/>
    <w:uiPriority w:val="0"/>
    <w:rPr>
      <w:rFonts w:asciiTheme="minorHAnsi" w:hAnsiTheme="minorHAnsi" w:eastAsiaTheme="minorEastAsia" w:cstheme="minorBidi"/>
      <w:kern w:val="2"/>
      <w:sz w:val="18"/>
      <w:szCs w:val="18"/>
    </w:rPr>
  </w:style>
  <w:style w:type="character" w:customStyle="1" w:styleId="9">
    <w:name w:val="页脚 Char"/>
    <w:basedOn w:val="7"/>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1932</Words>
  <Characters>2223</Characters>
  <Lines>8</Lines>
  <Paragraphs>2</Paragraphs>
  <TotalTime>0</TotalTime>
  <ScaleCrop>false</ScaleCrop>
  <LinksUpToDate>false</LinksUpToDate>
  <CharactersWithSpaces>2230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2020-03-21T19:06:00Z</dcterms:created>
  <dc:creator>七苇。</dc:creator>
  <cp:lastModifiedBy></cp:lastModifiedBy>
  <cp:lastPrinted>2025-12-24T00:39:00Z</cp:lastPrinted>
  <dcterms:modified xsi:type="dcterms:W3CDTF">2026-05-09T07:48:21Z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553F6AF1028200F0B127C468DAD8526D_43</vt:lpwstr>
  </property>
  <property fmtid="{D5CDD505-2E9C-101B-9397-08002B2CF9AE}" pid="4" name="KSOTemplateDocerSaveRecord">
    <vt:lpwstr>eyJoZGlkIjoiNWI1NDQ2MTgyNDc4N2EwOWFjNDExY2UyZDZkYzA4MTYiLCJ1c2VySWQiOiIyMTcyNDAyMjIifQ==</vt:lpwstr>
  </property>
</Properties>
</file>