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1A87C6E">
      <w:pPr>
        <w:pStyle w:val="106"/>
        <w:wordWrap w:val="0"/>
        <w:adjustRightInd w:val="0"/>
        <w:snapToGrid w:val="0"/>
        <w:spacing w:line="360" w:lineRule="auto"/>
        <w:ind w:left="410" w:leftChars="171"/>
        <w:jc w:val="both"/>
        <w:rPr>
          <w:rFonts w:hint="eastAsia" w:eastAsia="宋体"/>
          <w:b/>
          <w:bCs/>
          <w:snapToGrid w:val="0"/>
          <w:color w:val="auto"/>
          <w:kern w:val="0"/>
          <w:sz w:val="44"/>
          <w:szCs w:val="44"/>
          <w:highlight w:val="none"/>
        </w:rPr>
      </w:pPr>
      <w:r>
        <w:drawing>
          <wp:inline distT="0" distB="0" distL="114300" distR="114300">
            <wp:extent cx="6003290" cy="8494395"/>
            <wp:effectExtent l="0" t="0" r="16510" b="1905"/>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8"/>
                    <a:stretch>
                      <a:fillRect/>
                    </a:stretch>
                  </pic:blipFill>
                  <pic:spPr>
                    <a:xfrm>
                      <a:off x="0" y="0"/>
                      <a:ext cx="6003290" cy="8494395"/>
                    </a:xfrm>
                    <a:prstGeom prst="rect">
                      <a:avLst/>
                    </a:prstGeom>
                    <a:noFill/>
                    <a:ln w="9525">
                      <a:noFill/>
                    </a:ln>
                  </pic:spPr>
                </pic:pic>
              </a:graphicData>
            </a:graphic>
          </wp:inline>
        </w:drawing>
      </w:r>
    </w:p>
    <w:p w14:paraId="72086A6E">
      <w:pPr>
        <w:pStyle w:val="30"/>
        <w:keepNext w:val="0"/>
        <w:keepLines w:val="0"/>
        <w:widowControl/>
        <w:suppressLineNumbers w:val="0"/>
      </w:pPr>
    </w:p>
    <w:p w14:paraId="454C99C6">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5" w:type="default"/>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sdt>
      <w:sdtPr>
        <w:rPr>
          <w:rFonts w:ascii="宋体" w:hAnsi="宋体" w:eastAsia="宋体" w:cs="Times New Roman"/>
          <w:b/>
          <w:bCs/>
          <w:kern w:val="2"/>
          <w:sz w:val="36"/>
          <w:szCs w:val="32"/>
          <w:lang w:val="en-US" w:eastAsia="zh-CN" w:bidi="ar-SA"/>
        </w:rPr>
        <w:id w:val="147467436"/>
        <w15:color w:val="DBDBDB"/>
        <w:docPartObj>
          <w:docPartGallery w:val="Table of Contents"/>
          <w:docPartUnique/>
        </w:docPartObj>
      </w:sdtPr>
      <w:sdtEndPr>
        <w:rPr>
          <w:rFonts w:ascii="Times New Roman" w:hAnsi="Times New Roman" w:eastAsia="宋体" w:cs="Times New Roman"/>
          <w:b/>
          <w:bCs/>
          <w:snapToGrid w:val="0"/>
          <w:color w:val="auto"/>
          <w:kern w:val="0"/>
          <w:sz w:val="24"/>
          <w:szCs w:val="32"/>
          <w:highlight w:val="none"/>
          <w:lang w:val="en-US" w:eastAsia="zh-CN" w:bidi="ar-SA"/>
        </w:rPr>
      </w:sdtEndPr>
      <w:sdtContent>
        <w:p w14:paraId="3AE94602">
          <w:pPr>
            <w:spacing w:before="0" w:beforeLines="0" w:after="0" w:afterLines="0" w:line="240" w:lineRule="auto"/>
            <w:ind w:left="0" w:leftChars="0" w:right="0" w:rightChars="0" w:firstLine="0" w:firstLineChars="0"/>
            <w:jc w:val="center"/>
            <w:rPr>
              <w:b/>
              <w:bCs/>
              <w:sz w:val="44"/>
              <w:szCs w:val="32"/>
            </w:rPr>
          </w:pPr>
          <w:r>
            <w:rPr>
              <w:rFonts w:ascii="宋体" w:hAnsi="宋体" w:eastAsia="宋体"/>
              <w:b/>
              <w:bCs/>
              <w:sz w:val="36"/>
              <w:szCs w:val="32"/>
            </w:rPr>
            <w:t>目录</w:t>
          </w:r>
        </w:p>
        <w:p w14:paraId="62B11290">
          <w:pPr>
            <w:pStyle w:val="23"/>
            <w:tabs>
              <w:tab w:val="right" w:leader="dot" w:pos="9412"/>
            </w:tabs>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TOC \o "1-3" \h \u </w:instrText>
          </w:r>
          <w:r>
            <w:rPr>
              <w:rFonts w:ascii="Times New Roman"/>
              <w:snapToGrid w:val="0"/>
              <w:color w:val="auto"/>
              <w:kern w:val="0"/>
              <w:highlight w:val="none"/>
            </w:rPr>
            <w:fldChar w:fldCharType="separate"/>
          </w:r>
          <w:r>
            <w:rPr>
              <w:rFonts w:ascii="Times New Roman"/>
              <w:snapToGrid w:val="0"/>
              <w:color w:val="auto"/>
              <w:kern w:val="0"/>
              <w:highlight w:val="none"/>
            </w:rPr>
            <w:fldChar w:fldCharType="begin"/>
          </w:r>
          <w:r>
            <w:rPr>
              <w:rFonts w:ascii="Times New Roman"/>
              <w:snapToGrid w:val="0"/>
              <w:kern w:val="0"/>
              <w:highlight w:val="none"/>
            </w:rPr>
            <w:instrText xml:space="preserve"> HYPERLINK \l _Toc29839 </w:instrText>
          </w:r>
          <w:r>
            <w:rPr>
              <w:rFonts w:ascii="Times New Roman"/>
              <w:snapToGrid w:val="0"/>
              <w:kern w:val="0"/>
              <w:highlight w:val="none"/>
            </w:rPr>
            <w:fldChar w:fldCharType="separate"/>
          </w:r>
          <w:r>
            <w:rPr>
              <w:rFonts w:hint="eastAsia" w:ascii="Times New Roman"/>
              <w:snapToGrid w:val="0"/>
              <w:szCs w:val="22"/>
              <w:highlight w:val="none"/>
            </w:rPr>
            <w:t>第一章 投标人须知</w:t>
          </w:r>
          <w:r>
            <w:tab/>
          </w:r>
          <w:r>
            <w:fldChar w:fldCharType="begin"/>
          </w:r>
          <w:r>
            <w:instrText xml:space="preserve"> PAGEREF _Toc29839 \h </w:instrText>
          </w:r>
          <w:r>
            <w:fldChar w:fldCharType="separate"/>
          </w:r>
          <w:r>
            <w:t>1</w:t>
          </w:r>
          <w:r>
            <w:fldChar w:fldCharType="end"/>
          </w:r>
          <w:r>
            <w:rPr>
              <w:rFonts w:ascii="Times New Roman"/>
              <w:snapToGrid w:val="0"/>
              <w:color w:val="auto"/>
              <w:kern w:val="0"/>
              <w:highlight w:val="none"/>
            </w:rPr>
            <w:fldChar w:fldCharType="end"/>
          </w:r>
        </w:p>
        <w:p w14:paraId="1F1275AB">
          <w:pPr>
            <w:pStyle w:val="23"/>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_Toc20948 </w:instrText>
          </w:r>
          <w:r>
            <w:rPr>
              <w:rFonts w:ascii="Times New Roman"/>
              <w:snapToGrid w:val="0"/>
              <w:kern w:val="0"/>
              <w:highlight w:val="none"/>
            </w:rPr>
            <w:fldChar w:fldCharType="separate"/>
          </w:r>
          <w:r>
            <w:rPr>
              <w:rFonts w:hint="eastAsia" w:ascii="Times New Roman"/>
              <w:snapToGrid w:val="0"/>
              <w:kern w:val="0"/>
              <w:highlight w:val="none"/>
            </w:rPr>
            <w:t>第二章 中标人须知</w:t>
          </w:r>
          <w:r>
            <w:tab/>
          </w:r>
          <w:r>
            <w:fldChar w:fldCharType="begin"/>
          </w:r>
          <w:r>
            <w:instrText xml:space="preserve"> PAGEREF _Toc20948 \h </w:instrText>
          </w:r>
          <w:r>
            <w:fldChar w:fldCharType="separate"/>
          </w:r>
          <w:r>
            <w:t>38</w:t>
          </w:r>
          <w:r>
            <w:fldChar w:fldCharType="end"/>
          </w:r>
          <w:r>
            <w:rPr>
              <w:rFonts w:ascii="Times New Roman"/>
              <w:snapToGrid w:val="0"/>
              <w:color w:val="auto"/>
              <w:kern w:val="0"/>
              <w:highlight w:val="none"/>
            </w:rPr>
            <w:fldChar w:fldCharType="end"/>
          </w:r>
        </w:p>
        <w:p w14:paraId="6122392B">
          <w:pPr>
            <w:pStyle w:val="23"/>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_Toc7758 </w:instrText>
          </w:r>
          <w:r>
            <w:rPr>
              <w:rFonts w:ascii="Times New Roman"/>
              <w:snapToGrid w:val="0"/>
              <w:kern w:val="0"/>
              <w:highlight w:val="none"/>
            </w:rPr>
            <w:fldChar w:fldCharType="separate"/>
          </w:r>
          <w:r>
            <w:rPr>
              <w:rFonts w:hint="eastAsia" w:ascii="Times New Roman"/>
              <w:snapToGrid w:val="0"/>
              <w:highlight w:val="none"/>
            </w:rPr>
            <w:t>第三章 拟签订合同的主要条款</w:t>
          </w:r>
          <w:r>
            <w:tab/>
          </w:r>
          <w:r>
            <w:fldChar w:fldCharType="begin"/>
          </w:r>
          <w:r>
            <w:instrText xml:space="preserve"> PAGEREF _Toc7758 \h </w:instrText>
          </w:r>
          <w:r>
            <w:fldChar w:fldCharType="separate"/>
          </w:r>
          <w:r>
            <w:t>47</w:t>
          </w:r>
          <w:r>
            <w:fldChar w:fldCharType="end"/>
          </w:r>
          <w:r>
            <w:rPr>
              <w:rFonts w:ascii="Times New Roman"/>
              <w:snapToGrid w:val="0"/>
              <w:color w:val="auto"/>
              <w:kern w:val="0"/>
              <w:highlight w:val="none"/>
            </w:rPr>
            <w:fldChar w:fldCharType="end"/>
          </w:r>
        </w:p>
        <w:p w14:paraId="55EDB3FD">
          <w:pPr>
            <w:pStyle w:val="23"/>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_Toc4731 </w:instrText>
          </w:r>
          <w:r>
            <w:rPr>
              <w:rFonts w:ascii="Times New Roman"/>
              <w:snapToGrid w:val="0"/>
              <w:kern w:val="0"/>
              <w:highlight w:val="none"/>
            </w:rPr>
            <w:fldChar w:fldCharType="separate"/>
          </w:r>
          <w:r>
            <w:rPr>
              <w:rFonts w:hint="eastAsia" w:ascii="Times New Roman"/>
              <w:snapToGrid w:val="0"/>
              <w:highlight w:val="none"/>
            </w:rPr>
            <w:t>第四章 技术要求</w:t>
          </w:r>
          <w:r>
            <w:tab/>
          </w:r>
          <w:r>
            <w:fldChar w:fldCharType="begin"/>
          </w:r>
          <w:r>
            <w:instrText xml:space="preserve"> PAGEREF _Toc4731 \h </w:instrText>
          </w:r>
          <w:r>
            <w:fldChar w:fldCharType="separate"/>
          </w:r>
          <w:r>
            <w:t>56</w:t>
          </w:r>
          <w:r>
            <w:fldChar w:fldCharType="end"/>
          </w:r>
          <w:r>
            <w:rPr>
              <w:rFonts w:ascii="Times New Roman"/>
              <w:snapToGrid w:val="0"/>
              <w:color w:val="auto"/>
              <w:kern w:val="0"/>
              <w:highlight w:val="none"/>
            </w:rPr>
            <w:fldChar w:fldCharType="end"/>
          </w:r>
        </w:p>
        <w:p w14:paraId="68312D3A">
          <w:pPr>
            <w:pStyle w:val="23"/>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_Toc6898 </w:instrText>
          </w:r>
          <w:r>
            <w:rPr>
              <w:rFonts w:ascii="Times New Roman"/>
              <w:snapToGrid w:val="0"/>
              <w:kern w:val="0"/>
              <w:highlight w:val="none"/>
            </w:rPr>
            <w:fldChar w:fldCharType="separate"/>
          </w:r>
          <w:r>
            <w:rPr>
              <w:rFonts w:hint="eastAsia" w:ascii="Times New Roman"/>
              <w:snapToGrid w:val="0"/>
              <w:highlight w:val="none"/>
            </w:rPr>
            <w:t>第五章 图纸和招标工程量清单</w:t>
          </w:r>
          <w:r>
            <w:tab/>
          </w:r>
          <w:r>
            <w:fldChar w:fldCharType="begin"/>
          </w:r>
          <w:r>
            <w:instrText xml:space="preserve"> PAGEREF _Toc6898 \h </w:instrText>
          </w:r>
          <w:r>
            <w:fldChar w:fldCharType="separate"/>
          </w:r>
          <w:r>
            <w:t>58</w:t>
          </w:r>
          <w:r>
            <w:fldChar w:fldCharType="end"/>
          </w:r>
          <w:r>
            <w:rPr>
              <w:rFonts w:ascii="Times New Roman"/>
              <w:snapToGrid w:val="0"/>
              <w:color w:val="auto"/>
              <w:kern w:val="0"/>
              <w:highlight w:val="none"/>
            </w:rPr>
            <w:fldChar w:fldCharType="end"/>
          </w:r>
        </w:p>
        <w:p w14:paraId="799701EB">
          <w:pPr>
            <w:pStyle w:val="23"/>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_Toc5578 </w:instrText>
          </w:r>
          <w:r>
            <w:rPr>
              <w:rFonts w:ascii="Times New Roman"/>
              <w:snapToGrid w:val="0"/>
              <w:kern w:val="0"/>
              <w:highlight w:val="none"/>
            </w:rPr>
            <w:fldChar w:fldCharType="separate"/>
          </w:r>
          <w:r>
            <w:rPr>
              <w:rFonts w:hint="eastAsia" w:ascii="Times New Roman"/>
              <w:snapToGrid w:val="0"/>
              <w:highlight w:val="none"/>
            </w:rPr>
            <w:t>第六章 投标文件格式</w:t>
          </w:r>
          <w:r>
            <w:tab/>
          </w:r>
          <w:r>
            <w:fldChar w:fldCharType="begin"/>
          </w:r>
          <w:r>
            <w:instrText xml:space="preserve"> PAGEREF _Toc5578 \h </w:instrText>
          </w:r>
          <w:r>
            <w:fldChar w:fldCharType="separate"/>
          </w:r>
          <w:r>
            <w:t>59</w:t>
          </w:r>
          <w:r>
            <w:fldChar w:fldCharType="end"/>
          </w:r>
          <w:r>
            <w:rPr>
              <w:rFonts w:ascii="Times New Roman"/>
              <w:snapToGrid w:val="0"/>
              <w:color w:val="auto"/>
              <w:kern w:val="0"/>
              <w:highlight w:val="none"/>
            </w:rPr>
            <w:fldChar w:fldCharType="end"/>
          </w:r>
        </w:p>
        <w:p w14:paraId="426FD8E5">
          <w:pPr>
            <w:pStyle w:val="23"/>
            <w:tabs>
              <w:tab w:val="right" w:leader="dot" w:pos="9412"/>
            </w:tabs>
          </w:pPr>
          <w:r>
            <w:rPr>
              <w:rFonts w:ascii="Times New Roman"/>
              <w:snapToGrid w:val="0"/>
              <w:color w:val="auto"/>
              <w:kern w:val="0"/>
              <w:highlight w:val="none"/>
            </w:rPr>
            <w:fldChar w:fldCharType="begin"/>
          </w:r>
          <w:r>
            <w:rPr>
              <w:rFonts w:ascii="Times New Roman"/>
              <w:snapToGrid w:val="0"/>
              <w:kern w:val="0"/>
              <w:highlight w:val="none"/>
            </w:rPr>
            <w:instrText xml:space="preserve"> HYPERLINK \l _Toc10387 </w:instrText>
          </w:r>
          <w:r>
            <w:rPr>
              <w:rFonts w:ascii="Times New Roman"/>
              <w:snapToGrid w:val="0"/>
              <w:kern w:val="0"/>
              <w:highlight w:val="none"/>
            </w:rPr>
            <w:fldChar w:fldCharType="separate"/>
          </w:r>
          <w:r>
            <w:rPr>
              <w:rFonts w:hint="eastAsia" w:ascii="Times New Roman"/>
              <w:snapToGrid w:val="0"/>
              <w:highlight w:val="none"/>
            </w:rPr>
            <w:t>第七章 建设工程施工合同</w:t>
          </w:r>
          <w:r>
            <w:tab/>
          </w:r>
          <w:r>
            <w:fldChar w:fldCharType="begin"/>
          </w:r>
          <w:r>
            <w:instrText xml:space="preserve"> PAGEREF _Toc10387 \h </w:instrText>
          </w:r>
          <w:r>
            <w:fldChar w:fldCharType="separate"/>
          </w:r>
          <w:r>
            <w:t>75</w:t>
          </w:r>
          <w:r>
            <w:fldChar w:fldCharType="end"/>
          </w:r>
          <w:r>
            <w:rPr>
              <w:rFonts w:ascii="Times New Roman"/>
              <w:snapToGrid w:val="0"/>
              <w:color w:val="auto"/>
              <w:kern w:val="0"/>
              <w:highlight w:val="none"/>
            </w:rPr>
            <w:fldChar w:fldCharType="end"/>
          </w:r>
        </w:p>
        <w:p w14:paraId="476CC56E">
          <w:pPr>
            <w:tabs>
              <w:tab w:val="left" w:pos="4935"/>
            </w:tabs>
            <w:wordWrap w:val="0"/>
            <w:adjustRightInd w:val="0"/>
            <w:snapToGrid w:val="0"/>
            <w:spacing w:line="440" w:lineRule="exact"/>
            <w:ind w:left="0"/>
            <w:jc w:val="center"/>
            <w:rPr>
              <w:rFonts w:ascii="Times New Roman" w:hAnsi="Times New Roman" w:eastAsia="宋体" w:cs="Times New Roman"/>
              <w:snapToGrid w:val="0"/>
              <w:color w:val="auto"/>
              <w:kern w:val="0"/>
              <w:sz w:val="24"/>
              <w:highlight w:val="none"/>
              <w:lang w:val="en-US" w:eastAsia="zh-CN" w:bidi="ar-SA"/>
            </w:rPr>
          </w:pPr>
          <w:r>
            <w:rPr>
              <w:rFonts w:ascii="Times New Roman"/>
              <w:snapToGrid w:val="0"/>
              <w:color w:val="auto"/>
              <w:kern w:val="0"/>
              <w:highlight w:val="none"/>
            </w:rPr>
            <w:fldChar w:fldCharType="end"/>
          </w:r>
        </w:p>
      </w:sdtContent>
    </w:sdt>
    <w:p w14:paraId="6F80E18E">
      <w:pPr>
        <w:pStyle w:val="16"/>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07508367">
      <w:pPr>
        <w:pStyle w:val="2"/>
        <w:wordWrap w:val="0"/>
        <w:autoSpaceDE/>
        <w:autoSpaceDN/>
        <w:snapToGrid w:val="0"/>
        <w:spacing w:line="440" w:lineRule="exact"/>
        <w:jc w:val="center"/>
        <w:rPr>
          <w:rFonts w:hint="eastAsia" w:ascii="Times New Roman"/>
          <w:b/>
          <w:snapToGrid w:val="0"/>
          <w:color w:val="auto"/>
          <w:sz w:val="32"/>
          <w:szCs w:val="22"/>
          <w:highlight w:val="none"/>
        </w:rPr>
      </w:pPr>
      <w:bookmarkStart w:id="0" w:name="_Hlt66104981"/>
      <w:bookmarkEnd w:id="0"/>
      <w:bookmarkStart w:id="1" w:name="_Hlt122423813"/>
      <w:bookmarkEnd w:id="1"/>
      <w:bookmarkStart w:id="2" w:name="_Hlt66153951"/>
      <w:bookmarkEnd w:id="2"/>
      <w:bookmarkStart w:id="3" w:name="_Toc13450"/>
      <w:bookmarkStart w:id="4" w:name="_Toc14094"/>
      <w:bookmarkStart w:id="5" w:name="_Toc29839"/>
      <w:bookmarkStart w:id="6" w:name="_Toc476739600"/>
      <w:bookmarkStart w:id="7" w:name="_Hlt111690251"/>
      <w:r>
        <w:rPr>
          <w:rFonts w:hint="eastAsia" w:ascii="Times New Roman"/>
          <w:b/>
          <w:snapToGrid w:val="0"/>
          <w:color w:val="auto"/>
          <w:sz w:val="32"/>
          <w:szCs w:val="22"/>
          <w:highlight w:val="none"/>
        </w:rPr>
        <w:t>第一章 投标人须知</w:t>
      </w:r>
      <w:bookmarkEnd w:id="3"/>
      <w:bookmarkEnd w:id="4"/>
      <w:bookmarkEnd w:id="5"/>
      <w:bookmarkEnd w:id="6"/>
    </w:p>
    <w:p w14:paraId="2B3352DE">
      <w:pPr>
        <w:pStyle w:val="3"/>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Toc6462"/>
      <w:bookmarkStart w:id="10" w:name="_Toc19984"/>
      <w:bookmarkStart w:id="11" w:name="_Hlt120077520"/>
      <w:r>
        <w:rPr>
          <w:rFonts w:hint="eastAsia" w:ascii="Times New Roman"/>
          <w:b/>
          <w:snapToGrid w:val="0"/>
          <w:color w:val="auto"/>
          <w:highlight w:val="none"/>
        </w:rPr>
        <w:t>第一节 投标人须知前附表</w:t>
      </w:r>
      <w:bookmarkEnd w:id="9"/>
      <w:bookmarkEnd w:id="10"/>
    </w:p>
    <w:tbl>
      <w:tblPr>
        <w:tblStyle w:val="32"/>
        <w:tblW w:w="95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633"/>
        <w:gridCol w:w="1738"/>
        <w:gridCol w:w="7144"/>
      </w:tblGrid>
      <w:tr w14:paraId="5D959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2B7A34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A126B5A">
            <w:pPr>
              <w:wordWrap w:val="0"/>
              <w:adjustRightInd w:val="0"/>
              <w:snapToGrid w:val="0"/>
              <w:spacing w:line="24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98469E7">
            <w:pPr>
              <w:tabs>
                <w:tab w:val="left" w:pos="1180"/>
              </w:tabs>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01ACA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9"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608CC4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108796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AD3928E">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eastAsia="zh-CN"/>
              </w:rPr>
              <w:t>广东省韶关市武江区农业产业基础设施建设项目-韶关市武江区江湾镇2025年农业产业基础设施建设项目施工</w:t>
            </w:r>
          </w:p>
        </w:tc>
      </w:tr>
      <w:tr w14:paraId="62154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FDD361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49F5E5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5CC0FF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韶关市武江区江湾镇人民政府</w:t>
            </w:r>
          </w:p>
        </w:tc>
      </w:tr>
      <w:tr w14:paraId="76464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01F88B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303AF5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832D34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韶关市武江区发展和改革局</w:t>
            </w:r>
          </w:p>
        </w:tc>
      </w:tr>
      <w:tr w14:paraId="12584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1A0DC3E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41D1BB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4227714">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韶武发改投审〔2024〕136号</w:t>
            </w:r>
          </w:p>
          <w:p w14:paraId="76F42406">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tc>
      </w:tr>
      <w:tr w14:paraId="1E188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9AF537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13316B3">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C240637">
            <w:pPr>
              <w:wordWrap w:val="0"/>
              <w:adjustRightInd w:val="0"/>
              <w:snapToGrid w:val="0"/>
              <w:spacing w:line="360" w:lineRule="exact"/>
              <w:jc w:val="both"/>
              <w:rPr>
                <w:rFonts w:hint="eastAsia" w:hAnsi="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2412-440203-20-01-503270、2501-440203-20-01-232245</w:t>
            </w:r>
          </w:p>
          <w:p w14:paraId="6507ED8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p w14:paraId="3F8754FB">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tc>
      </w:tr>
      <w:tr w14:paraId="15CE2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5270C5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DCDF0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C0A95D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8567498">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区级财政统筹解决，100%</w:t>
            </w:r>
          </w:p>
        </w:tc>
      </w:tr>
      <w:tr w14:paraId="4B5B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024CED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EF1B4C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ABC9E20">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韶关市武江区江湾镇人民政府</w:t>
            </w:r>
          </w:p>
        </w:tc>
      </w:tr>
      <w:tr w14:paraId="7DC71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E25C76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B0EE7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C77DB2E">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eastAsia="zh-CN"/>
              </w:rPr>
              <w:t>深圳市腾达工程顾问有限公司</w:t>
            </w:r>
          </w:p>
        </w:tc>
      </w:tr>
      <w:tr w14:paraId="1D118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1732A51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58071FA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D1B7C8D">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广东智铭设计有限公司</w:t>
            </w:r>
          </w:p>
        </w:tc>
      </w:tr>
      <w:tr w14:paraId="381B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A0F4D0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55427B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7005856">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广东方川工程咨询有限公司</w:t>
            </w:r>
          </w:p>
          <w:p w14:paraId="169D163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tc>
      </w:tr>
      <w:tr w14:paraId="6B0FB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C7D6EF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2ED4A9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监理单位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9EF6281">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b w:val="0"/>
                <w:bCs w:val="0"/>
                <w:i w:val="0"/>
                <w:color w:val="000000" w:themeColor="text1"/>
                <w:kern w:val="0"/>
                <w:sz w:val="24"/>
                <w:szCs w:val="24"/>
                <w:highlight w:val="none"/>
                <w:u w:val="none"/>
                <w:lang w:val="en-US" w:eastAsia="zh-CN" w:bidi="ar"/>
                <w14:textFill>
                  <w14:solidFill>
                    <w14:schemeClr w14:val="tx1"/>
                  </w14:solidFill>
                </w14:textFill>
              </w:rPr>
              <w:t>永信建设管理有限公司</w:t>
            </w:r>
          </w:p>
        </w:tc>
      </w:tr>
      <w:tr w14:paraId="129A9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851FED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2248CF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D08FB81">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韶关市武江区江湾镇。</w:t>
            </w:r>
          </w:p>
        </w:tc>
      </w:tr>
      <w:tr w14:paraId="41D1D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33"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57477F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C77056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055E93D">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FF0000"/>
                <w:kern w:val="0"/>
                <w:sz w:val="24"/>
                <w:szCs w:val="24"/>
                <w:highlight w:val="none"/>
                <w:lang w:val="en-US" w:eastAsia="zh-CN"/>
              </w:rPr>
              <w:t>改造提升农田面积86.91亩，包括土地清表约80.46亩，新增水浇地80.46亩，耕作层剥离约1.07万立方米，施撒有机肥约13.95吨，碱性土壤调理剂约20.96吨，新建灌排两用渠道约1.81千米，新建排水沟约137米，新建机耕道约1.054千米，新建暗管约133米，新建沉砂井 3 座，新建进水池 1 座，新建涵管8处，新建涵洞7座</w:t>
            </w:r>
            <w:r>
              <w:rPr>
                <w:rFonts w:hint="eastAsia" w:hAnsi="宋体" w:cs="宋体"/>
                <w:snapToGrid w:val="0"/>
                <w:color w:val="auto"/>
                <w:kern w:val="0"/>
                <w:sz w:val="24"/>
                <w:szCs w:val="24"/>
                <w:highlight w:val="none"/>
                <w:lang w:val="en-US" w:eastAsia="zh-CN"/>
              </w:rPr>
              <w:t>。</w:t>
            </w:r>
          </w:p>
        </w:tc>
      </w:tr>
      <w:tr w14:paraId="4621CE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D8E99C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340B66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25DC3E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FF0000"/>
                <w:kern w:val="0"/>
                <w:sz w:val="24"/>
                <w:szCs w:val="24"/>
                <w:highlight w:val="none"/>
                <w:lang w:val="en-US" w:eastAsia="zh-CN"/>
              </w:rPr>
              <w:t>项目概算总投资205.09万元，其中工程费用163.15万元，工程建设其他费用35.96万元，预备费用5.98万元</w:t>
            </w:r>
            <w:r>
              <w:rPr>
                <w:rFonts w:hint="eastAsia" w:hAnsi="宋体" w:cs="宋体"/>
                <w:snapToGrid w:val="0"/>
                <w:color w:val="auto"/>
                <w:kern w:val="0"/>
                <w:sz w:val="24"/>
                <w:szCs w:val="24"/>
                <w:highlight w:val="none"/>
                <w:lang w:val="en-US" w:eastAsia="zh-CN"/>
              </w:rPr>
              <w:t>。</w:t>
            </w:r>
          </w:p>
        </w:tc>
      </w:tr>
      <w:tr w14:paraId="0D2E6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10CC25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4AC5DF2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FCD0766">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eastAsia="zh-CN"/>
              </w:rPr>
            </w:pPr>
            <w:r>
              <w:rPr>
                <w:rFonts w:hint="eastAsia" w:hAnsi="宋体" w:cs="宋体"/>
                <w:bCs/>
                <w:snapToGrid w:val="0"/>
                <w:color w:val="auto"/>
                <w:kern w:val="0"/>
                <w:sz w:val="24"/>
                <w:szCs w:val="24"/>
                <w:highlight w:val="none"/>
                <w:lang w:val="en-US" w:eastAsia="zh-CN"/>
              </w:rPr>
              <w:t>工程量清单及施工图纸范围内的所有工程及配套附属工程等施工</w:t>
            </w:r>
            <w:r>
              <w:rPr>
                <w:rFonts w:hint="eastAsia" w:ascii="宋体" w:hAnsi="宋体" w:eastAsia="宋体" w:cs="宋体"/>
                <w:bCs/>
                <w:snapToGrid w:val="0"/>
                <w:color w:val="auto"/>
                <w:kern w:val="0"/>
                <w:sz w:val="24"/>
                <w:szCs w:val="24"/>
                <w:highlight w:val="none"/>
              </w:rPr>
              <w:t>。</w:t>
            </w:r>
          </w:p>
        </w:tc>
      </w:tr>
      <w:tr w14:paraId="7C99B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6"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626E9F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A1DFA1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CBA422E">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16B9B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3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2943AA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C3D14A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F3D90E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rPr>
            </w:pPr>
            <w:r>
              <w:rPr>
                <w:rFonts w:hint="eastAsia" w:hAnsi="宋体" w:cs="宋体"/>
                <w:bCs/>
                <w:snapToGrid w:val="0"/>
                <w:color w:val="auto"/>
                <w:kern w:val="0"/>
                <w:sz w:val="24"/>
                <w:szCs w:val="24"/>
                <w:highlight w:val="none"/>
                <w:lang w:eastAsia="zh-CN"/>
              </w:rPr>
              <w:t>本</w:t>
            </w:r>
            <w:r>
              <w:rPr>
                <w:rFonts w:hint="eastAsia" w:hAnsi="宋体" w:cs="宋体"/>
                <w:bCs/>
                <w:snapToGrid w:val="0"/>
                <w:color w:val="FF0000"/>
                <w:kern w:val="0"/>
                <w:sz w:val="24"/>
                <w:szCs w:val="24"/>
                <w:highlight w:val="none"/>
                <w:lang w:eastAsia="zh-CN"/>
              </w:rPr>
              <w:t>招标项目施工工期为90个日历天</w:t>
            </w:r>
            <w:r>
              <w:rPr>
                <w:rFonts w:hint="eastAsia" w:ascii="宋体" w:hAnsi="宋体" w:eastAsia="宋体" w:cs="宋体"/>
                <w:bCs/>
                <w:snapToGrid w:val="0"/>
                <w:color w:val="auto"/>
                <w:kern w:val="0"/>
                <w:sz w:val="24"/>
                <w:szCs w:val="24"/>
                <w:highlight w:val="none"/>
              </w:rPr>
              <w:t>。</w:t>
            </w:r>
          </w:p>
        </w:tc>
      </w:tr>
      <w:tr w14:paraId="2E78B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3DA8DF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64F8C5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06CCCAA">
            <w:pPr>
              <w:pStyle w:val="5"/>
              <w:spacing w:before="0" w:after="0" w:line="400" w:lineRule="exact"/>
              <w:ind w:firstLine="240" w:firstLineChars="100"/>
              <w:rPr>
                <w:rFonts w:hint="default" w:ascii="宋体" w:hAnsi="宋体" w:eastAsia="宋体" w:cs="宋体"/>
                <w:color w:val="auto"/>
                <w:sz w:val="24"/>
                <w:szCs w:val="24"/>
                <w:highlight w:val="none"/>
                <w:lang w:val="en-US"/>
              </w:rPr>
            </w:pPr>
            <w:bookmarkStart w:id="12" w:name="_Hlt106417017"/>
            <w:bookmarkEnd w:id="12"/>
            <w:bookmarkStart w:id="13" w:name="_Toc6425"/>
            <w:r>
              <w:rPr>
                <w:rFonts w:hint="eastAsia" w:ascii="宋体" w:hAnsi="宋体" w:eastAsia="宋体" w:cs="宋体"/>
                <w:bCs/>
                <w:snapToGrid w:val="0"/>
                <w:color w:val="auto"/>
                <w:kern w:val="0"/>
                <w:sz w:val="24"/>
                <w:szCs w:val="24"/>
                <w:highlight w:val="none"/>
                <w:lang w:val="en-US" w:eastAsia="zh-CN" w:bidi="ar-SA"/>
              </w:rPr>
              <w:t>合格</w:t>
            </w:r>
            <w:bookmarkEnd w:id="13"/>
          </w:p>
        </w:tc>
      </w:tr>
      <w:tr w14:paraId="50DD5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DF1DAE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17C2048">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7B064E1F">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C7AAE54">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本招标项目不纳入绿色建设实施范围。</w:t>
            </w:r>
          </w:p>
        </w:tc>
      </w:tr>
      <w:tr w14:paraId="1B310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922DA3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D203262">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AD5B5D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本招标项目不纳入装配式建造建设实施范围。</w:t>
            </w:r>
          </w:p>
        </w:tc>
      </w:tr>
      <w:tr w14:paraId="7D357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44"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ECBB5C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81C5C6E">
            <w:pPr>
              <w:wordWrap w:val="0"/>
              <w:adjustRightInd w:val="0"/>
              <w:snapToGrid w:val="0"/>
              <w:spacing w:line="36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FF0000"/>
                <w:kern w:val="0"/>
                <w:sz w:val="24"/>
                <w:szCs w:val="24"/>
                <w:highlight w:val="none"/>
              </w:rPr>
              <w:t>招标控制价</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434E535">
            <w:pPr>
              <w:wordWrap w:val="0"/>
              <w:adjustRightInd w:val="0"/>
              <w:snapToGrid w:val="0"/>
              <w:spacing w:line="400" w:lineRule="exact"/>
              <w:ind w:firstLine="240" w:firstLineChars="100"/>
              <w:rPr>
                <w:rFonts w:hint="eastAsia" w:ascii="Times New Roman"/>
                <w:snapToGrid w:val="0"/>
                <w:color w:val="FF0000"/>
                <w:kern w:val="0"/>
                <w:szCs w:val="22"/>
                <w:highlight w:val="none"/>
                <w:lang w:eastAsia="zh-CN"/>
              </w:rPr>
            </w:pPr>
            <w:r>
              <w:rPr>
                <w:rFonts w:hint="eastAsia" w:ascii="Times New Roman"/>
                <w:snapToGrid w:val="0"/>
                <w:color w:val="FF0000"/>
                <w:kern w:val="0"/>
                <w:szCs w:val="22"/>
                <w:highlight w:val="none"/>
                <w:lang w:eastAsia="zh-CN"/>
              </w:rPr>
              <w:t>本项目招标控制价为人民币（大写）：壹佰叁拾柒万柒仟叁佰零玖元叁角柒分（¥1377309.37元）。</w:t>
            </w:r>
          </w:p>
          <w:p w14:paraId="53B7FE4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eastAsia="zh-CN"/>
              </w:rPr>
            </w:pPr>
          </w:p>
        </w:tc>
      </w:tr>
      <w:tr w14:paraId="48700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BDA052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67027F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AAB5963">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1．本次招标不接受联合体投标。</w:t>
            </w:r>
          </w:p>
          <w:p w14:paraId="26DF0CA3">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23BC6372">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A2D74ED">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1AB4A78F">
            <w:pPr>
              <w:wordWrap w:val="0"/>
              <w:adjustRightInd w:val="0"/>
              <w:snapToGrid w:val="0"/>
              <w:spacing w:line="400" w:lineRule="exact"/>
              <w:ind w:firstLine="480" w:firstLineChars="200"/>
              <w:jc w:val="left"/>
              <w:rPr>
                <w:rFonts w:hint="eastAsia" w:ascii="宋体" w:hAnsi="宋体" w:eastAsia="宋体" w:cs="宋体"/>
                <w:snapToGrid w:val="0"/>
                <w:color w:val="FF0000"/>
                <w:kern w:val="0"/>
                <w:sz w:val="24"/>
                <w:szCs w:val="24"/>
                <w:highlight w:val="none"/>
                <w:u w:val="single"/>
              </w:rPr>
            </w:pPr>
            <w:r>
              <w:rPr>
                <w:rFonts w:hint="eastAsia" w:ascii="宋体" w:hAnsi="宋体" w:eastAsia="宋体" w:cs="宋体"/>
                <w:snapToGrid w:val="0"/>
                <w:color w:val="auto"/>
                <w:kern w:val="0"/>
                <w:sz w:val="24"/>
                <w:szCs w:val="24"/>
                <w:highlight w:val="none"/>
              </w:rPr>
              <w:t>2.3 投标人须具备以下资质：</w:t>
            </w:r>
            <w:r>
              <w:rPr>
                <w:rFonts w:hint="eastAsia" w:hAnsi="宋体" w:cs="宋体"/>
                <w:snapToGrid w:val="0"/>
                <w:color w:val="FF0000"/>
                <w:kern w:val="0"/>
                <w:sz w:val="24"/>
                <w:szCs w:val="24"/>
                <w:highlight w:val="none"/>
                <w:u w:val="single"/>
                <w:lang w:val="en-US" w:eastAsia="zh-CN"/>
              </w:rPr>
              <w:t>市政公用工程施工总承包三级以上（含三级）资质</w:t>
            </w:r>
            <w:r>
              <w:rPr>
                <w:rFonts w:hint="eastAsia" w:ascii="宋体" w:hAnsi="宋体" w:eastAsia="宋体" w:cs="宋体"/>
                <w:snapToGrid w:val="0"/>
                <w:color w:val="FF0000"/>
                <w:kern w:val="0"/>
                <w:sz w:val="24"/>
                <w:szCs w:val="24"/>
                <w:highlight w:val="none"/>
                <w:u w:val="single"/>
              </w:rPr>
              <w:t>。</w:t>
            </w:r>
          </w:p>
          <w:p w14:paraId="7A5DA078">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人员资质、资格有效期到期的，均按该证书的发证机构相关行业主管部门最新文件执行（如自动顺延或推迟办理延期业务的通知），投标人必须将相关文件附在该证书后面，证明在开标日继续有效的。</w:t>
            </w:r>
          </w:p>
          <w:p w14:paraId="41462A25">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67363B5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 拟派项目经理为</w:t>
            </w:r>
            <w:r>
              <w:rPr>
                <w:rFonts w:hint="eastAsia" w:ascii="宋体" w:hAnsi="宋体" w:eastAsia="宋体" w:cs="宋体"/>
                <w:snapToGrid w:val="0"/>
                <w:color w:val="auto"/>
                <w:kern w:val="0"/>
                <w:sz w:val="24"/>
                <w:szCs w:val="24"/>
                <w:highlight w:val="none"/>
                <w:u w:val="single"/>
              </w:rPr>
              <w:t xml:space="preserve">  </w:t>
            </w:r>
            <w:r>
              <w:rPr>
                <w:rFonts w:hint="eastAsia" w:hAnsi="宋体" w:cs="宋体"/>
                <w:snapToGrid w:val="0"/>
                <w:color w:val="FF0000"/>
                <w:kern w:val="0"/>
                <w:sz w:val="24"/>
                <w:szCs w:val="24"/>
                <w:highlight w:val="none"/>
                <w:u w:val="single"/>
                <w:lang w:val="en-US" w:eastAsia="zh-CN"/>
              </w:rPr>
              <w:t>市政公用工程</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专业一级或二级注册建造师，</w:t>
            </w:r>
            <w:r>
              <w:rPr>
                <w:rFonts w:hint="eastAsia" w:hAnsi="宋体" w:cs="宋体"/>
                <w:snapToGrid w:val="0"/>
                <w:color w:val="auto"/>
                <w:kern w:val="0"/>
                <w:sz w:val="24"/>
                <w:szCs w:val="24"/>
                <w:highlight w:val="none"/>
                <w:lang w:eastAsia="zh-CN"/>
              </w:rPr>
              <w:t>应持有住建部门印发的在使用有效期内的有效电子注册证书，</w:t>
            </w:r>
            <w:r>
              <w:rPr>
                <w:rFonts w:hint="eastAsia" w:ascii="宋体" w:hAnsi="宋体" w:eastAsia="宋体" w:cs="宋体"/>
                <w:snapToGrid w:val="0"/>
                <w:color w:val="auto"/>
                <w:kern w:val="0"/>
                <w:sz w:val="24"/>
                <w:szCs w:val="24"/>
                <w:highlight w:val="none"/>
              </w:rPr>
              <w:t>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710C8DD1">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3.2 </w:t>
            </w:r>
            <w:r>
              <w:rPr>
                <w:rFonts w:hint="eastAsia" w:hAnsi="宋体" w:cs="宋体"/>
                <w:snapToGrid w:val="0"/>
                <w:color w:val="auto"/>
                <w:kern w:val="0"/>
                <w:sz w:val="24"/>
                <w:szCs w:val="24"/>
                <w:highlight w:val="none"/>
                <w:lang w:eastAsia="zh-CN"/>
              </w:rPr>
              <w:t>投标人拟派项目技术负责人须具备</w:t>
            </w:r>
            <w:r>
              <w:rPr>
                <w:rFonts w:hint="eastAsia" w:hAnsi="宋体" w:cs="宋体"/>
                <w:snapToGrid w:val="0"/>
                <w:color w:val="auto"/>
                <w:kern w:val="0"/>
                <w:sz w:val="24"/>
                <w:szCs w:val="24"/>
                <w:highlight w:val="none"/>
                <w:u w:val="single"/>
                <w:lang w:eastAsia="zh-CN"/>
              </w:rPr>
              <w:t>中级或以上</w:t>
            </w:r>
            <w:r>
              <w:rPr>
                <w:rFonts w:hint="eastAsia" w:hAnsi="宋体" w:cs="宋体"/>
                <w:snapToGrid w:val="0"/>
                <w:color w:val="auto"/>
                <w:kern w:val="0"/>
                <w:sz w:val="24"/>
                <w:szCs w:val="24"/>
                <w:highlight w:val="none"/>
                <w:lang w:eastAsia="zh-CN"/>
              </w:rPr>
              <w:t>技术职称</w:t>
            </w:r>
            <w:r>
              <w:rPr>
                <w:rFonts w:hint="eastAsia" w:ascii="宋体" w:hAnsi="宋体" w:eastAsia="宋体" w:cs="宋体"/>
                <w:snapToGrid w:val="0"/>
                <w:color w:val="auto"/>
                <w:kern w:val="0"/>
                <w:sz w:val="24"/>
                <w:szCs w:val="24"/>
                <w:highlight w:val="none"/>
              </w:rPr>
              <w:t>。</w:t>
            </w:r>
          </w:p>
          <w:p w14:paraId="6D64512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01B98660">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投标人与其拟派往本项目管理机构的所有人员之间必须具备合法、唯一的劳动聘用关系。拟派人员中具备注册执业资格的，其注册单位须与投标人保持一致。</w:t>
            </w:r>
          </w:p>
          <w:p w14:paraId="15978211">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543362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219E0E6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06B0DB5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6C41F66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45E7413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31555C2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5B8FB28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6ED358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2F07C8A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678861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6A70C1E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61FB5EB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52A58FC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70E6A5C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24BDFA6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802B39B">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2F6CF32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2"/>
              <w:tblW w:w="0" w:type="auto"/>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096"/>
              <w:gridCol w:w="3060"/>
            </w:tblGrid>
            <w:tr w14:paraId="6338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79" w:type="dxa"/>
                  <w:noWrap w:val="0"/>
                  <w:vAlign w:val="center"/>
                </w:tcPr>
                <w:p w14:paraId="74CB349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3096" w:type="dxa"/>
                  <w:noWrap w:val="0"/>
                  <w:vAlign w:val="center"/>
                </w:tcPr>
                <w:p w14:paraId="1537D52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060" w:type="dxa"/>
                  <w:noWrap w:val="0"/>
                  <w:vAlign w:val="center"/>
                </w:tcPr>
                <w:p w14:paraId="63C9025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09DC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79" w:type="dxa"/>
                  <w:noWrap w:val="0"/>
                  <w:vAlign w:val="center"/>
                </w:tcPr>
                <w:p w14:paraId="05FD518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3096" w:type="dxa"/>
                  <w:noWrap w:val="0"/>
                  <w:vAlign w:val="center"/>
                </w:tcPr>
                <w:p w14:paraId="42EB9E1E">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韶关市武江区江湾镇人民政府</w:t>
                  </w:r>
                </w:p>
              </w:tc>
              <w:tc>
                <w:tcPr>
                  <w:tcW w:w="3060" w:type="dxa"/>
                  <w:noWrap w:val="0"/>
                  <w:vAlign w:val="center"/>
                </w:tcPr>
                <w:p w14:paraId="734B0CDA">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3602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9" w:type="dxa"/>
                  <w:noWrap w:val="0"/>
                  <w:vAlign w:val="center"/>
                </w:tcPr>
                <w:p w14:paraId="1BE035C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3096" w:type="dxa"/>
                  <w:noWrap w:val="0"/>
                  <w:vAlign w:val="center"/>
                </w:tcPr>
                <w:p w14:paraId="60A5F02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广东智铭设计有限公司</w:t>
                  </w:r>
                </w:p>
              </w:tc>
              <w:tc>
                <w:tcPr>
                  <w:tcW w:w="3060" w:type="dxa"/>
                  <w:noWrap w:val="0"/>
                  <w:vAlign w:val="center"/>
                </w:tcPr>
                <w:p w14:paraId="1E88BADA">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0B28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79" w:type="dxa"/>
                  <w:noWrap w:val="0"/>
                  <w:vAlign w:val="center"/>
                </w:tcPr>
                <w:p w14:paraId="55C88473">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3096" w:type="dxa"/>
                  <w:noWrap w:val="0"/>
                  <w:vAlign w:val="center"/>
                </w:tcPr>
                <w:p w14:paraId="3C97F843">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FF0000"/>
                      <w:kern w:val="0"/>
                      <w:sz w:val="24"/>
                      <w:szCs w:val="24"/>
                      <w:highlight w:val="none"/>
                      <w:lang w:val="en-US" w:eastAsia="zh-CN"/>
                    </w:rPr>
                    <w:t>广东方川工程咨询有限公司</w:t>
                  </w:r>
                </w:p>
              </w:tc>
              <w:tc>
                <w:tcPr>
                  <w:tcW w:w="3060" w:type="dxa"/>
                  <w:noWrap w:val="0"/>
                  <w:vAlign w:val="center"/>
                </w:tcPr>
                <w:p w14:paraId="797E3EF7">
                  <w:pPr>
                    <w:pStyle w:val="138"/>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val="en-US" w:eastAsia="zh-CN"/>
                    </w:rPr>
                    <w:t>全过程造价咨询单位</w:t>
                  </w:r>
                </w:p>
              </w:tc>
            </w:tr>
            <w:tr w14:paraId="22F1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79" w:type="dxa"/>
                  <w:noWrap w:val="0"/>
                  <w:vAlign w:val="center"/>
                </w:tcPr>
                <w:p w14:paraId="161C47C0">
                  <w:pPr>
                    <w:pStyle w:val="138"/>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3096" w:type="dxa"/>
                  <w:noWrap w:val="0"/>
                  <w:vAlign w:val="center"/>
                </w:tcPr>
                <w:p w14:paraId="7588530C">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color w:val="auto"/>
                      <w:sz w:val="24"/>
                      <w:szCs w:val="24"/>
                      <w:highlight w:val="none"/>
                      <w:lang w:val="en-US" w:eastAsia="zh-CN"/>
                    </w:rPr>
                    <w:t>华伦中建建设股份有限公司</w:t>
                  </w:r>
                </w:p>
              </w:tc>
              <w:tc>
                <w:tcPr>
                  <w:tcW w:w="3060" w:type="dxa"/>
                  <w:noWrap w:val="0"/>
                  <w:vAlign w:val="center"/>
                </w:tcPr>
                <w:p w14:paraId="7756FC1C">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558A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79" w:type="dxa"/>
                  <w:noWrap w:val="0"/>
                  <w:vAlign w:val="center"/>
                </w:tcPr>
                <w:p w14:paraId="374FAD72">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3096" w:type="dxa"/>
                  <w:noWrap w:val="0"/>
                  <w:vAlign w:val="center"/>
                </w:tcPr>
                <w:p w14:paraId="66D20A6F">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FF0000"/>
                      <w:kern w:val="0"/>
                      <w:sz w:val="24"/>
                      <w:szCs w:val="24"/>
                      <w:highlight w:val="none"/>
                      <w:lang w:val="en-US" w:eastAsia="zh-CN"/>
                    </w:rPr>
                    <w:t>永信建设管理有限公司</w:t>
                  </w:r>
                </w:p>
              </w:tc>
              <w:tc>
                <w:tcPr>
                  <w:tcW w:w="3060" w:type="dxa"/>
                  <w:noWrap w:val="0"/>
                  <w:vAlign w:val="center"/>
                </w:tcPr>
                <w:p w14:paraId="48A1503C">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529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79" w:type="dxa"/>
                  <w:noWrap w:val="0"/>
                  <w:vAlign w:val="center"/>
                </w:tcPr>
                <w:p w14:paraId="7C023322">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3096" w:type="dxa"/>
                  <w:noWrap w:val="0"/>
                  <w:vAlign w:val="center"/>
                </w:tcPr>
                <w:p w14:paraId="18A5FF44">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深圳市腾达工程顾问有限公司</w:t>
                  </w:r>
                </w:p>
              </w:tc>
              <w:tc>
                <w:tcPr>
                  <w:tcW w:w="3060" w:type="dxa"/>
                  <w:noWrap w:val="0"/>
                  <w:vAlign w:val="center"/>
                </w:tcPr>
                <w:p w14:paraId="74AD1B6D">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39113FD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23C26C9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044E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FA6867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869FFE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6AD357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ascii="宋体" w:hAnsi="宋体" w:eastAsia="宋体" w:cs="宋体"/>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eastAsia="zh-CN"/>
              </w:rPr>
              <w:t>2万元</w:t>
            </w:r>
            <w:r>
              <w:rPr>
                <w:rFonts w:hint="eastAsia" w:hAnsi="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的投标保证。</w:t>
            </w:r>
          </w:p>
          <w:p w14:paraId="2AEF6019">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0EFD9134">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报名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7380B15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365D58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394E365">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777B0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CC3C32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5FF4191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531859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eastAsia="zh-CN"/>
              </w:rPr>
              <w:t>本次招标的投标有效期为90 个日历天</w:t>
            </w:r>
            <w:r>
              <w:rPr>
                <w:rFonts w:hint="eastAsia" w:ascii="宋体" w:hAnsi="宋体" w:eastAsia="宋体" w:cs="宋体"/>
                <w:snapToGrid w:val="0"/>
                <w:color w:val="auto"/>
                <w:kern w:val="0"/>
                <w:sz w:val="24"/>
                <w:szCs w:val="24"/>
                <w:highlight w:val="none"/>
              </w:rPr>
              <w:t>。</w:t>
            </w:r>
          </w:p>
        </w:tc>
      </w:tr>
      <w:tr w14:paraId="64EE9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43"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8DA644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46896F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4F49099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1AC611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0F54C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3BD011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895C15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4FE869EF">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0F12976">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35037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E6DB34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49FC77A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58ADC0B">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3F36B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A834A8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42AF48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81D0CB4">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A388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6020ABB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E2A9DA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招标文件要求提交的用于评审的证书、证件、证明原件</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BF51DD9">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在提交用于评审的证书、证件、证明原件的，投标人应自行将所需原件密封于文件袋（箱）中，并自行准备两张“原件一览表”(详见格式十三，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22B02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5"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8DF3E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29</w:t>
            </w:r>
          </w:p>
        </w:tc>
        <w:tc>
          <w:tcPr>
            <w:tcW w:w="17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1C96EB">
            <w:pPr>
              <w:wordWrap w:val="0"/>
              <w:adjustRightInd w:val="0"/>
              <w:snapToGrid w:val="0"/>
              <w:spacing w:line="360" w:lineRule="exact"/>
              <w:jc w:val="center"/>
              <w:rPr>
                <w:rFonts w:hint="eastAsia" w:ascii="Times New Roman" w:hAnsi="Times New Roman" w:eastAsia="宋体" w:cs="Times New Roman"/>
                <w:snapToGrid w:val="0"/>
                <w:color w:val="0000FF"/>
                <w:kern w:val="0"/>
                <w:sz w:val="24"/>
                <w:szCs w:val="24"/>
                <w:lang w:val="en-US" w:eastAsia="zh-CN" w:bidi="ar-SA"/>
              </w:rPr>
            </w:pPr>
            <w:r>
              <w:rPr>
                <w:rFonts w:hint="eastAsia" w:ascii="Times New Roman"/>
                <w:snapToGrid w:val="0"/>
                <w:color w:val="0000FF"/>
                <w:kern w:val="0"/>
                <w:szCs w:val="24"/>
                <w:lang w:val="en-US" w:eastAsia="zh-CN"/>
              </w:rPr>
              <w:t>百千万工程</w:t>
            </w:r>
          </w:p>
        </w:tc>
        <w:tc>
          <w:tcPr>
            <w:tcW w:w="71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BE143F">
            <w:pPr>
              <w:pStyle w:val="10"/>
              <w:keepNext w:val="0"/>
              <w:keepLines w:val="0"/>
              <w:pageBreakBefore w:val="0"/>
              <w:kinsoku/>
              <w:overflowPunct/>
              <w:topLinePunct w:val="0"/>
              <w:autoSpaceDE/>
              <w:autoSpaceDN/>
              <w:bidi w:val="0"/>
              <w:ind w:left="120" w:leftChars="50" w:right="120" w:rightChars="50" w:firstLine="240" w:firstLineChars="100"/>
              <w:rPr>
                <w:rFonts w:hint="eastAsia" w:ascii="宋体" w:hAnsi="宋体" w:eastAsia="宋体" w:cs="宋体"/>
                <w:color w:val="0000FF"/>
                <w:kern w:val="0"/>
                <w:sz w:val="24"/>
                <w:highlight w:val="none"/>
                <w:lang w:val="en-US" w:eastAsia="zh-CN" w:bidi="ar-SA"/>
              </w:rPr>
            </w:pPr>
            <w:r>
              <w:rPr>
                <w:rFonts w:hint="default" w:hAnsi="宋体" w:eastAsia="宋体" w:cs="宋体"/>
                <w:color w:val="0000FF"/>
                <w:highlight w:val="none"/>
                <w:lang w:val="en-US" w:eastAsia="zh-CN"/>
              </w:rPr>
              <w:t>本项目纳入百千万工程，中标人按照“市百千万工程关于配建一定比例公益项目的政策落实相关工作”指引，须与承包人明确捐建比。</w:t>
            </w:r>
          </w:p>
        </w:tc>
      </w:tr>
      <w:tr w14:paraId="0E132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5"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82A99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30</w:t>
            </w:r>
          </w:p>
        </w:tc>
        <w:tc>
          <w:tcPr>
            <w:tcW w:w="17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D5284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1C1D545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F90DA7">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韶关市武江区江湾镇人民政府</w:t>
            </w:r>
          </w:p>
          <w:p w14:paraId="0B1DB61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办公地址：</w:t>
            </w:r>
            <w:r>
              <w:rPr>
                <w:rFonts w:hint="eastAsia" w:ascii="宋体" w:hAnsi="宋体" w:eastAsia="宋体" w:cs="宋体"/>
                <w:snapToGrid w:val="0"/>
                <w:color w:val="auto"/>
                <w:kern w:val="0"/>
                <w:sz w:val="24"/>
                <w:szCs w:val="24"/>
                <w:highlight w:val="none"/>
                <w:lang w:eastAsia="zh-CN"/>
              </w:rPr>
              <w:t>韶关市武江区江湾镇</w:t>
            </w:r>
            <w:r>
              <w:rPr>
                <w:rFonts w:hint="eastAsia" w:ascii="宋体" w:hAnsi="宋体" w:eastAsia="宋体" w:cs="宋体"/>
                <w:snapToGrid w:val="0"/>
                <w:color w:val="auto"/>
                <w:kern w:val="0"/>
                <w:sz w:val="24"/>
                <w:szCs w:val="24"/>
                <w:highlight w:val="none"/>
                <w:lang w:val="en-US" w:eastAsia="zh-CN"/>
              </w:rPr>
              <w:t>江湾街</w:t>
            </w:r>
          </w:p>
          <w:p w14:paraId="39ECD8CA">
            <w:pPr>
              <w:wordWrap w:val="0"/>
              <w:adjustRightInd w:val="0"/>
              <w:snapToGrid w:val="0"/>
              <w:spacing w:line="360" w:lineRule="exact"/>
              <w:ind w:firstLine="240" w:firstLineChars="100"/>
              <w:jc w:val="left"/>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潘小姐</w:t>
            </w:r>
          </w:p>
          <w:p w14:paraId="00489B5F">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联系电话：</w:t>
            </w:r>
            <w:r>
              <w:rPr>
                <w:rFonts w:hint="eastAsia" w:ascii="宋体" w:hAnsi="宋体" w:eastAsia="宋体" w:cs="宋体"/>
                <w:snapToGrid w:val="0"/>
                <w:color w:val="auto"/>
                <w:kern w:val="0"/>
                <w:sz w:val="24"/>
                <w:szCs w:val="24"/>
                <w:highlight w:val="none"/>
                <w:lang w:eastAsia="zh-CN"/>
              </w:rPr>
              <w:t>0751-6446388</w:t>
            </w:r>
          </w:p>
        </w:tc>
      </w:tr>
      <w:tr w14:paraId="5BF86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79"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7F3DA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1BA6EE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2915523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FA04293">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深圳市腾达工程顾问有限公司</w:t>
            </w:r>
          </w:p>
          <w:p w14:paraId="5D537A69">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color w:val="auto"/>
                <w:highlight w:val="none"/>
              </w:rPr>
              <w:t>韶关市武江区龙归镇兴龙路57号B栋209房</w:t>
            </w:r>
          </w:p>
          <w:p w14:paraId="7F4D088F">
            <w:pPr>
              <w:wordWrap w:val="0"/>
              <w:adjustRightInd w:val="0"/>
              <w:snapToGrid w:val="0"/>
              <w:spacing w:line="360" w:lineRule="exact"/>
              <w:ind w:firstLine="240" w:firstLineChars="100"/>
              <w:jc w:val="left"/>
              <w:rPr>
                <w:rFonts w:hint="eastAsia" w:ascii="宋体" w:hAnsi="宋体" w:eastAsia="宋体" w:cs="宋体"/>
                <w:snapToGrid w:val="0"/>
                <w:color w:val="FF0000"/>
                <w:kern w:val="0"/>
                <w:sz w:val="24"/>
                <w:szCs w:val="24"/>
                <w:highlight w:val="none"/>
              </w:rPr>
            </w:pPr>
            <w:r>
              <w:rPr>
                <w:rFonts w:hint="eastAsia" w:ascii="宋体" w:hAnsi="宋体" w:eastAsia="宋体" w:cs="宋体"/>
                <w:snapToGrid w:val="0"/>
                <w:color w:val="FF0000"/>
                <w:kern w:val="0"/>
                <w:sz w:val="24"/>
                <w:szCs w:val="24"/>
                <w:highlight w:val="none"/>
              </w:rPr>
              <w:t>联系人：</w:t>
            </w:r>
            <w:r>
              <w:rPr>
                <w:rFonts w:hint="eastAsia" w:hAnsi="宋体" w:cs="宋体"/>
                <w:snapToGrid w:val="0"/>
                <w:color w:val="FF0000"/>
                <w:kern w:val="0"/>
                <w:szCs w:val="24"/>
                <w:highlight w:val="none"/>
                <w:lang w:val="en-US" w:eastAsia="zh-CN"/>
              </w:rPr>
              <w:t>孔</w:t>
            </w:r>
            <w:r>
              <w:rPr>
                <w:rFonts w:hint="eastAsia" w:ascii="宋体" w:hAnsi="宋体" w:eastAsia="宋体" w:cs="宋体"/>
                <w:snapToGrid w:val="0"/>
                <w:color w:val="FF0000"/>
                <w:kern w:val="0"/>
                <w:szCs w:val="24"/>
                <w:highlight w:val="none"/>
                <w:lang w:eastAsia="zh-CN"/>
              </w:rPr>
              <w:t>工</w:t>
            </w:r>
          </w:p>
          <w:p w14:paraId="53CD8425">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FF0000"/>
                <w:kern w:val="0"/>
                <w:sz w:val="24"/>
                <w:szCs w:val="24"/>
                <w:highlight w:val="none"/>
              </w:rPr>
              <w:t>联系电话：</w:t>
            </w:r>
            <w:r>
              <w:rPr>
                <w:rFonts w:hint="eastAsia" w:ascii="宋体" w:hAnsi="宋体" w:eastAsia="宋体" w:cs="宋体"/>
                <w:snapToGrid w:val="0"/>
                <w:color w:val="FF0000"/>
                <w:kern w:val="0"/>
                <w:szCs w:val="24"/>
                <w:highlight w:val="none"/>
                <w:lang w:val="en-US" w:eastAsia="zh-CN"/>
              </w:rPr>
              <w:t>19189076660</w:t>
            </w:r>
          </w:p>
        </w:tc>
      </w:tr>
      <w:tr w14:paraId="2A8FF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9BA2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226F86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31DE0B7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3B56B42">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64C339">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办公地址：广东省韶关市武江区西联镇</w:t>
            </w:r>
          </w:p>
          <w:p w14:paraId="1B1606E2">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07B4213E">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联系电话：0751—8633071、0751—8633211</w:t>
            </w:r>
          </w:p>
        </w:tc>
      </w:tr>
      <w:bookmarkEnd w:id="11"/>
      <w:tr w14:paraId="1A491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9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F0EFEB3">
            <w:pPr>
              <w:wordWrap w:val="0"/>
              <w:adjustRightInd w:val="0"/>
              <w:snapToGrid w:val="0"/>
              <w:spacing w:line="360" w:lineRule="exact"/>
              <w:jc w:val="center"/>
              <w:rPr>
                <w:rFonts w:hint="default" w:ascii="宋体" w:hAnsi="宋体" w:eastAsia="宋体" w:cs="宋体"/>
                <w:snapToGrid w:val="0"/>
                <w:color w:val="auto"/>
                <w:kern w:val="0"/>
                <w:sz w:val="24"/>
                <w:szCs w:val="24"/>
                <w:highlight w:val="none"/>
                <w:lang w:val="en-US" w:eastAsia="zh-CN"/>
              </w:rPr>
            </w:pPr>
            <w:bookmarkStart w:id="14" w:name="_Toc5853"/>
            <w:bookmarkStart w:id="15" w:name="_Toc122671103"/>
            <w:bookmarkStart w:id="16" w:name="_Toc122769943"/>
            <w:bookmarkStart w:id="17" w:name="_Toc122859103"/>
            <w:r>
              <w:rPr>
                <w:rFonts w:hint="eastAsia" w:hAnsi="宋体" w:cs="宋体"/>
                <w:snapToGrid w:val="0"/>
                <w:color w:val="auto"/>
                <w:kern w:val="0"/>
                <w:sz w:val="24"/>
                <w:szCs w:val="24"/>
                <w:highlight w:val="none"/>
                <w:lang w:val="en-US" w:eastAsia="zh-CN"/>
              </w:rPr>
              <w:t>33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34A45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1F0D912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3390B39">
            <w:pPr>
              <w:shd w:val="clear" w:color="auto" w:fill="auto"/>
              <w:spacing w:line="460" w:lineRule="exact"/>
              <w:ind w:firstLine="240" w:firstLineChars="100"/>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单位名称：</w:t>
            </w:r>
            <w:r>
              <w:rPr>
                <w:rFonts w:hint="eastAsia" w:hAnsi="宋体" w:eastAsia="宋体" w:cs="宋体"/>
                <w:snapToGrid w:val="0"/>
                <w:color w:val="auto"/>
                <w:kern w:val="0"/>
                <w:szCs w:val="24"/>
                <w:highlight w:val="none"/>
                <w:lang w:val="en-US" w:eastAsia="zh-CN"/>
              </w:rPr>
              <w:t>韶关市武江区农业农村局</w:t>
            </w:r>
          </w:p>
          <w:p w14:paraId="75CEE506">
            <w:pPr>
              <w:shd w:val="clear" w:color="auto" w:fill="auto"/>
              <w:spacing w:line="460" w:lineRule="exact"/>
              <w:ind w:firstLine="240" w:firstLineChars="100"/>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办公地址：</w:t>
            </w:r>
            <w:r>
              <w:rPr>
                <w:rFonts w:hint="eastAsia" w:hAnsi="宋体" w:eastAsia="宋体" w:cs="宋体"/>
                <w:snapToGrid w:val="0"/>
                <w:color w:val="auto"/>
                <w:kern w:val="0"/>
                <w:szCs w:val="24"/>
                <w:highlight w:val="none"/>
                <w:lang w:val="en-US" w:eastAsia="zh-CN"/>
              </w:rPr>
              <w:t>广东省韶关市武江区惠民南路128号</w:t>
            </w:r>
          </w:p>
          <w:p w14:paraId="5023D570">
            <w:pPr>
              <w:shd w:val="clear" w:color="auto" w:fill="auto"/>
              <w:spacing w:line="460" w:lineRule="exact"/>
              <w:ind w:firstLine="240" w:firstLineChars="100"/>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联系人（部门）：</w:t>
            </w:r>
            <w:r>
              <w:rPr>
                <w:rFonts w:hint="eastAsia" w:hAnsi="宋体" w:cs="宋体"/>
                <w:snapToGrid w:val="0"/>
                <w:color w:val="FF0000"/>
                <w:kern w:val="0"/>
                <w:szCs w:val="24"/>
                <w:highlight w:val="none"/>
                <w:lang w:val="en-US" w:eastAsia="zh-CN"/>
              </w:rPr>
              <w:t>叶</w:t>
            </w:r>
            <w:r>
              <w:rPr>
                <w:rFonts w:hint="eastAsia" w:hAnsi="宋体" w:eastAsia="宋体" w:cs="宋体"/>
                <w:snapToGrid w:val="0"/>
                <w:color w:val="FF0000"/>
                <w:kern w:val="0"/>
                <w:szCs w:val="24"/>
                <w:highlight w:val="none"/>
                <w:lang w:val="en-US" w:eastAsia="zh-CN"/>
              </w:rPr>
              <w:t>工</w:t>
            </w:r>
          </w:p>
          <w:p w14:paraId="3E14F685">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Cs w:val="24"/>
                <w:highlight w:val="none"/>
                <w:lang w:val="en-US" w:eastAsia="zh-CN"/>
              </w:rPr>
              <w:t>联系电话：</w:t>
            </w:r>
            <w:r>
              <w:rPr>
                <w:rFonts w:hint="eastAsia" w:hAnsi="宋体" w:eastAsia="宋体" w:cs="宋体"/>
                <w:snapToGrid w:val="0"/>
                <w:color w:val="auto"/>
                <w:kern w:val="0"/>
                <w:szCs w:val="24"/>
                <w:highlight w:val="none"/>
                <w:lang w:val="en-US" w:eastAsia="zh-CN"/>
              </w:rPr>
              <w:t>0751-8623830</w:t>
            </w:r>
            <w:r>
              <w:rPr>
                <w:rFonts w:hint="eastAsia" w:hAnsi="宋体" w:cs="宋体"/>
                <w:snapToGrid w:val="0"/>
                <w:color w:val="auto"/>
                <w:kern w:val="0"/>
                <w:szCs w:val="24"/>
                <w:highlight w:val="none"/>
                <w:lang w:val="zh-CN"/>
              </w:rPr>
              <w:t xml:space="preserve"> </w:t>
            </w:r>
            <w:r>
              <w:rPr>
                <w:rFonts w:hint="eastAsia" w:ascii="宋体" w:hAnsi="宋体" w:eastAsia="宋体" w:cs="宋体"/>
                <w:snapToGrid w:val="0"/>
                <w:color w:val="auto"/>
                <w:kern w:val="0"/>
                <w:sz w:val="24"/>
                <w:szCs w:val="24"/>
                <w:highlight w:val="none"/>
              </w:rPr>
              <w:t xml:space="preserve"> </w:t>
            </w:r>
          </w:p>
        </w:tc>
      </w:tr>
      <w:bookmarkEnd w:id="14"/>
      <w:bookmarkEnd w:id="15"/>
      <w:bookmarkEnd w:id="16"/>
      <w:bookmarkEnd w:id="17"/>
    </w:tbl>
    <w:p w14:paraId="02721327">
      <w:pPr>
        <w:pStyle w:val="3"/>
        <w:wordWrap w:val="0"/>
        <w:autoSpaceDE/>
        <w:autoSpaceDN/>
        <w:snapToGrid w:val="0"/>
        <w:spacing w:before="260" w:after="260" w:line="360" w:lineRule="exact"/>
        <w:jc w:val="both"/>
        <w:rPr>
          <w:rFonts w:hint="eastAsia" w:ascii="Times New Roman"/>
          <w:b/>
          <w:snapToGrid w:val="0"/>
          <w:color w:val="auto"/>
          <w:highlight w:val="none"/>
        </w:rPr>
        <w:sectPr>
          <w:footerReference r:id="rId6" w:type="default"/>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43EE1722">
      <w:pPr>
        <w:pStyle w:val="3"/>
        <w:wordWrap w:val="0"/>
        <w:autoSpaceDE/>
        <w:autoSpaceDN/>
        <w:snapToGrid w:val="0"/>
        <w:spacing w:after="260" w:line="440" w:lineRule="exact"/>
        <w:jc w:val="both"/>
        <w:rPr>
          <w:rFonts w:hint="eastAsia" w:ascii="Times New Roman"/>
          <w:snapToGrid w:val="0"/>
          <w:color w:val="auto"/>
          <w:highlight w:val="none"/>
        </w:rPr>
      </w:pPr>
      <w:bookmarkStart w:id="18" w:name="_Toc20559"/>
      <w:bookmarkStart w:id="19" w:name="_Toc24564"/>
      <w:r>
        <w:rPr>
          <w:rFonts w:hint="eastAsia" w:ascii="Times New Roman"/>
          <w:b/>
          <w:snapToGrid w:val="0"/>
          <w:color w:val="auto"/>
          <w:highlight w:val="none"/>
        </w:rPr>
        <w:t>第二节 重要事项时间地点一览表</w:t>
      </w:r>
      <w:bookmarkEnd w:id="18"/>
      <w:bookmarkEnd w:id="19"/>
    </w:p>
    <w:tbl>
      <w:tblPr>
        <w:tblStyle w:val="32"/>
        <w:tblW w:w="8952"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183"/>
      </w:tblGrid>
      <w:tr w14:paraId="2834AC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9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BE2E2D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89E7536">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15F52EE5">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625A799">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12</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rPr>
              <w:t>分</w:t>
            </w:r>
          </w:p>
        </w:tc>
      </w:tr>
      <w:tr w14:paraId="3BF2A9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3357CD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D9B1191">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F1092F3">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31</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1F2BCA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5B6E9C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BFB5578">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47AD549">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51381907">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21</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w:t>
            </w:r>
          </w:p>
        </w:tc>
      </w:tr>
      <w:tr w14:paraId="04E142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E63B401">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40226186">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4FA34652">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60A53F4">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21</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分至</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24</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00</w:t>
            </w:r>
            <w:bookmarkStart w:id="274" w:name="_GoBack"/>
            <w:bookmarkEnd w:id="274"/>
            <w:r>
              <w:rPr>
                <w:rFonts w:hint="eastAsia" w:ascii="宋体" w:hAnsi="宋体" w:eastAsia="宋体" w:cs="宋体"/>
                <w:snapToGrid w:val="0"/>
                <w:color w:val="auto"/>
                <w:kern w:val="0"/>
                <w:sz w:val="24"/>
                <w:szCs w:val="24"/>
                <w:highlight w:val="none"/>
              </w:rPr>
              <w:t>分</w:t>
            </w:r>
          </w:p>
        </w:tc>
      </w:tr>
      <w:tr w14:paraId="128A9A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7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99713F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EAC01CE">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535D66D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3B014A65">
            <w:pPr>
              <w:pStyle w:val="138"/>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p w14:paraId="5D400DAA">
            <w:pPr>
              <w:pStyle w:val="138"/>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cs="宋体"/>
                <w:snapToGrid w:val="0"/>
                <w:color w:val="auto"/>
                <w:kern w:val="0"/>
                <w:sz w:val="24"/>
                <w:szCs w:val="24"/>
                <w:highlight w:val="none"/>
                <w:lang w:eastAsia="zh-CN"/>
              </w:rPr>
              <w:t>：</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p w14:paraId="09C17079">
            <w:pPr>
              <w:pStyle w:val="138"/>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投标保证保险投保截止时间：</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7808D4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D76240F">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C1CB13D">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3C6C577E">
            <w:pPr>
              <w:pStyle w:val="138"/>
              <w:wordWrap w:val="0"/>
              <w:adjustRightInd w:val="0"/>
              <w:snapToGrid w:val="0"/>
              <w:spacing w:line="36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17E5109E">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31</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02A772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35B2832">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0066102">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w:t>
            </w:r>
          </w:p>
          <w:p w14:paraId="755B2A2F">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递交时间</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2B6C346A">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 xml:space="preserve"> 31 </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rPr>
              <w:t xml:space="preserve">分至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31</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35AF77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05FF547">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776E78B">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w:t>
            </w:r>
          </w:p>
          <w:p w14:paraId="4B12EFC6">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递交地点</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629C1185">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递交场所：</w:t>
            </w:r>
            <w:r>
              <w:rPr>
                <w:rFonts w:hint="eastAsia" w:ascii="宋体" w:hAnsi="宋体" w:eastAsia="宋体" w:cs="宋体"/>
                <w:snapToGrid w:val="0"/>
                <w:color w:val="auto"/>
                <w:kern w:val="0"/>
                <w:sz w:val="24"/>
                <w:szCs w:val="24"/>
                <w:highlight w:val="none"/>
                <w:u w:val="single"/>
              </w:rPr>
              <w:t xml:space="preserve"> 韶关市公共资源交易中心 </w:t>
            </w:r>
            <w:r>
              <w:rPr>
                <w:rFonts w:hint="eastAsia" w:ascii="宋体" w:hAnsi="宋体" w:eastAsia="宋体" w:cs="宋体"/>
                <w:snapToGrid w:val="0"/>
                <w:color w:val="auto"/>
                <w:kern w:val="0"/>
                <w:sz w:val="24"/>
                <w:szCs w:val="24"/>
                <w:highlight w:val="none"/>
              </w:rPr>
              <w:t>，地址：</w:t>
            </w:r>
            <w:r>
              <w:rPr>
                <w:rFonts w:hint="eastAsia" w:ascii="宋体" w:hAnsi="宋体" w:eastAsia="宋体" w:cs="宋体"/>
                <w:snapToGrid w:val="0"/>
                <w:color w:val="auto"/>
                <w:kern w:val="0"/>
                <w:sz w:val="24"/>
                <w:szCs w:val="24"/>
                <w:highlight w:val="none"/>
                <w:u w:val="single"/>
              </w:rPr>
              <w:t xml:space="preserve"> 广东省韶关市武江区西联镇 </w:t>
            </w:r>
            <w:r>
              <w:rPr>
                <w:rFonts w:hint="eastAsia" w:ascii="宋体" w:hAnsi="宋体" w:eastAsia="宋体" w:cs="宋体"/>
                <w:snapToGrid w:val="0"/>
                <w:color w:val="auto"/>
                <w:kern w:val="0"/>
                <w:sz w:val="24"/>
                <w:szCs w:val="24"/>
                <w:highlight w:val="none"/>
              </w:rPr>
              <w:t>，具体房间号以当日现场通知为准。具体房间号以当日现场通知为准。</w:t>
            </w:r>
          </w:p>
        </w:tc>
      </w:tr>
      <w:tr w14:paraId="44948A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1E8176D">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64936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06B2A3A8">
            <w:pPr>
              <w:pStyle w:val="138"/>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rPr>
              <w:t>月</w:t>
            </w:r>
            <w:r>
              <w:rPr>
                <w:rFonts w:hint="eastAsia" w:ascii="宋体" w:hAnsi="宋体" w:cs="宋体"/>
                <w:snapToGrid w:val="0"/>
                <w:color w:val="auto"/>
                <w:kern w:val="0"/>
                <w:sz w:val="24"/>
                <w:szCs w:val="24"/>
                <w:highlight w:val="none"/>
                <w:u w:val="single"/>
                <w:lang w:val="en-US" w:eastAsia="zh-CN"/>
              </w:rPr>
              <w:t xml:space="preserve"> 31 </w:t>
            </w:r>
            <w:r>
              <w:rPr>
                <w:rFonts w:hint="eastAsia" w:ascii="宋体" w:hAnsi="宋体" w:eastAsia="宋体" w:cs="宋体"/>
                <w:snapToGrid w:val="0"/>
                <w:color w:val="auto"/>
                <w:kern w:val="0"/>
                <w:sz w:val="24"/>
                <w:szCs w:val="24"/>
                <w:highlight w:val="none"/>
              </w:rPr>
              <w:t>日</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rPr>
              <w:t>时</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rPr>
              <w:t>分</w:t>
            </w:r>
          </w:p>
        </w:tc>
      </w:tr>
      <w:tr w14:paraId="6F8FD0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8C765FC">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CFC5C34">
            <w:pPr>
              <w:pStyle w:val="138"/>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183" w:type="dxa"/>
            <w:tcBorders>
              <w:top w:val="single" w:color="080000" w:sz="4" w:space="0"/>
              <w:left w:val="single" w:color="080000" w:sz="4" w:space="0"/>
              <w:bottom w:val="single" w:color="080000" w:sz="4" w:space="0"/>
              <w:right w:val="single" w:color="080000" w:sz="4" w:space="0"/>
            </w:tcBorders>
            <w:noWrap w:val="0"/>
            <w:vAlign w:val="center"/>
          </w:tcPr>
          <w:p w14:paraId="6B794E9B">
            <w:pPr>
              <w:pStyle w:val="138"/>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开标场所：</w:t>
            </w:r>
            <w:r>
              <w:rPr>
                <w:rFonts w:hint="eastAsia" w:ascii="宋体" w:hAnsi="宋体" w:eastAsia="宋体" w:cs="宋体"/>
                <w:snapToGrid w:val="0"/>
                <w:color w:val="auto"/>
                <w:kern w:val="0"/>
                <w:sz w:val="24"/>
                <w:szCs w:val="24"/>
                <w:highlight w:val="none"/>
                <w:u w:val="single"/>
              </w:rPr>
              <w:t xml:space="preserve"> 韶关市公共资源交易中心 </w:t>
            </w:r>
            <w:r>
              <w:rPr>
                <w:rFonts w:hint="eastAsia" w:ascii="宋体" w:hAnsi="宋体" w:eastAsia="宋体" w:cs="宋体"/>
                <w:snapToGrid w:val="0"/>
                <w:color w:val="auto"/>
                <w:kern w:val="0"/>
                <w:sz w:val="24"/>
                <w:szCs w:val="24"/>
                <w:highlight w:val="none"/>
              </w:rPr>
              <w:t>，地址：</w:t>
            </w:r>
            <w:r>
              <w:rPr>
                <w:rFonts w:hint="eastAsia" w:ascii="宋体" w:hAnsi="宋体" w:eastAsia="宋体" w:cs="宋体"/>
                <w:snapToGrid w:val="0"/>
                <w:color w:val="auto"/>
                <w:kern w:val="0"/>
                <w:sz w:val="24"/>
                <w:szCs w:val="24"/>
                <w:highlight w:val="none"/>
                <w:u w:val="single"/>
              </w:rPr>
              <w:t xml:space="preserve"> 广东省韶关市武江区西联镇 </w:t>
            </w:r>
            <w:r>
              <w:rPr>
                <w:rFonts w:hint="eastAsia" w:ascii="宋体" w:hAnsi="宋体" w:eastAsia="宋体" w:cs="宋体"/>
                <w:snapToGrid w:val="0"/>
                <w:color w:val="auto"/>
                <w:kern w:val="0"/>
                <w:sz w:val="24"/>
                <w:szCs w:val="24"/>
                <w:highlight w:val="none"/>
              </w:rPr>
              <w:t>，具体房间号以当日现场通知为准。</w:t>
            </w:r>
          </w:p>
        </w:tc>
      </w:tr>
    </w:tbl>
    <w:p w14:paraId="7DC6D1AD">
      <w:pPr>
        <w:pStyle w:val="2"/>
        <w:tabs>
          <w:tab w:val="left" w:pos="885"/>
        </w:tabs>
        <w:wordWrap w:val="0"/>
        <w:autoSpaceDE/>
        <w:autoSpaceDN/>
        <w:snapToGrid w:val="0"/>
        <w:spacing w:line="440" w:lineRule="exact"/>
        <w:ind w:left="885" w:hanging="885"/>
        <w:jc w:val="center"/>
        <w:rPr>
          <w:rFonts w:ascii="Times New Roman"/>
          <w:snapToGrid w:val="0"/>
          <w:color w:val="auto"/>
          <w:sz w:val="24"/>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71F20E40">
      <w:pPr>
        <w:pStyle w:val="2"/>
        <w:tabs>
          <w:tab w:val="left" w:pos="885"/>
        </w:tabs>
        <w:wordWrap w:val="0"/>
        <w:autoSpaceDE/>
        <w:autoSpaceDN/>
        <w:snapToGrid w:val="0"/>
        <w:spacing w:line="440" w:lineRule="exact"/>
        <w:ind w:left="885" w:hanging="885"/>
        <w:jc w:val="both"/>
        <w:rPr>
          <w:rFonts w:hint="eastAsia" w:ascii="Times New Roman"/>
          <w:b/>
          <w:snapToGrid w:val="0"/>
          <w:color w:val="auto"/>
          <w:sz w:val="24"/>
          <w:highlight w:val="none"/>
        </w:rPr>
      </w:pPr>
      <w:bookmarkStart w:id="20" w:name="_Hlt87793819"/>
      <w:bookmarkEnd w:id="20"/>
      <w:bookmarkStart w:id="21" w:name="_Toc16803"/>
      <w:bookmarkStart w:id="22" w:name="_Toc16385"/>
      <w:bookmarkStart w:id="23" w:name="_Toc1099"/>
      <w:bookmarkStart w:id="24" w:name="_Hlt69698754"/>
      <w:bookmarkStart w:id="25" w:name="_Hlt69698705"/>
      <w:r>
        <w:rPr>
          <w:rFonts w:hint="eastAsia" w:ascii="Times New Roman"/>
          <w:b/>
          <w:snapToGrid w:val="0"/>
          <w:color w:val="auto"/>
          <w:sz w:val="24"/>
          <w:highlight w:val="none"/>
        </w:rPr>
        <w:t>第三节 投标人须知</w:t>
      </w:r>
      <w:bookmarkEnd w:id="21"/>
      <w:bookmarkStart w:id="26" w:name="_Hlt69669159"/>
      <w:bookmarkEnd w:id="26"/>
      <w:r>
        <w:rPr>
          <w:rFonts w:hint="eastAsia" w:ascii="Times New Roman"/>
          <w:b/>
          <w:snapToGrid w:val="0"/>
          <w:color w:val="auto"/>
          <w:sz w:val="24"/>
          <w:highlight w:val="none"/>
        </w:rPr>
        <w:t>正文</w:t>
      </w:r>
      <w:bookmarkEnd w:id="22"/>
      <w:bookmarkEnd w:id="23"/>
    </w:p>
    <w:bookmarkEnd w:id="24"/>
    <w:bookmarkEnd w:id="25"/>
    <w:p w14:paraId="4683B34F">
      <w:pPr>
        <w:wordWrap w:val="0"/>
        <w:adjustRightInd w:val="0"/>
        <w:snapToGrid w:val="0"/>
        <w:spacing w:line="440" w:lineRule="exact"/>
        <w:ind w:firstLine="480" w:firstLineChars="200"/>
        <w:rPr>
          <w:rFonts w:hint="eastAsia" w:ascii="Times New Roman"/>
          <w:snapToGrid w:val="0"/>
          <w:color w:val="auto"/>
          <w:kern w:val="0"/>
          <w:szCs w:val="28"/>
          <w:highlight w:val="none"/>
          <w:u w:val="single"/>
        </w:rPr>
      </w:pPr>
    </w:p>
    <w:p w14:paraId="0C5F96C6">
      <w:pPr>
        <w:keepNext w:val="0"/>
        <w:keepLines w:val="0"/>
        <w:pageBreakBefore w:val="0"/>
        <w:widowControl/>
        <w:suppressLineNumbers w:val="0"/>
        <w:shd w:val="clear" w:color="auto" w:fill="auto"/>
        <w:kinsoku/>
        <w:wordWrap w:val="0"/>
        <w:overflowPunct/>
        <w:topLinePunct w:val="0"/>
        <w:autoSpaceDE/>
        <w:autoSpaceDN/>
        <w:bidi w:val="0"/>
        <w:adjustRightInd/>
        <w:snapToGrid/>
        <w:ind w:firstLine="480" w:firstLineChars="200"/>
        <w:jc w:val="left"/>
        <w:textAlignment w:val="auto"/>
        <w:rPr>
          <w:rFonts w:hint="eastAsia" w:ascii="Times New Roman"/>
          <w:snapToGrid w:val="0"/>
          <w:kern w:val="0"/>
        </w:rPr>
      </w:pPr>
      <w:bookmarkStart w:id="27" w:name="_Hlt119991399"/>
      <w:bookmarkEnd w:id="27"/>
      <w:bookmarkStart w:id="28" w:name="_Hlt87948285"/>
      <w:bookmarkEnd w:id="28"/>
      <w:bookmarkStart w:id="29" w:name="_Hlt109358474"/>
      <w:bookmarkEnd w:id="29"/>
      <w:bookmarkStart w:id="30" w:name="_Hlt74474735"/>
      <w:bookmarkEnd w:id="30"/>
      <w:bookmarkStart w:id="31" w:name="_Hlt78795222"/>
      <w:bookmarkEnd w:id="31"/>
      <w:bookmarkStart w:id="32" w:name="_Toc26083"/>
      <w:r>
        <w:rPr>
          <w:rFonts w:hint="eastAsia" w:ascii="Times New Roman" w:hAnsi="Times New Roman" w:eastAsia="宋体" w:cs="Times New Roman"/>
          <w:snapToGrid w:val="0"/>
          <w:kern w:val="0"/>
          <w:szCs w:val="24"/>
          <w:u w:val="single"/>
          <w:lang w:val="en-US" w:eastAsia="zh-CN"/>
        </w:rPr>
        <w:t>广东省韶关市武江区农业产业基础设施建设项目</w:t>
      </w:r>
      <w:r>
        <w:rPr>
          <w:rFonts w:hint="eastAsia" w:ascii="Times New Roman"/>
          <w:snapToGrid w:val="0"/>
          <w:kern w:val="0"/>
          <w:szCs w:val="24"/>
        </w:rPr>
        <w:t>经</w:t>
      </w:r>
      <w:r>
        <w:rPr>
          <w:rFonts w:hint="eastAsia"/>
          <w:snapToGrid w:val="0"/>
          <w:kern w:val="0"/>
          <w:u w:val="single"/>
          <w:lang w:eastAsia="zh-CN"/>
        </w:rPr>
        <w:t>韶关市武江区发展和改革</w:t>
      </w:r>
      <w:r>
        <w:rPr>
          <w:rFonts w:hint="eastAsia" w:ascii="Times New Roman" w:hAnsi="Times New Roman" w:eastAsia="宋体" w:cs="Times New Roman"/>
          <w:snapToGrid w:val="0"/>
          <w:kern w:val="0"/>
          <w:szCs w:val="24"/>
          <w:u w:val="single"/>
          <w:lang w:val="en-US" w:eastAsia="zh-CN"/>
        </w:rPr>
        <w:t>局以《韶关市武江区发展和改革局关于广东省韶关市武江区农业产业基础设施建设项目可行性研究报告的批复》（韶武发改投审〔2024〕136号）</w:t>
      </w:r>
      <w:r>
        <w:rPr>
          <w:rFonts w:hint="eastAsia" w:ascii="Times New Roman" w:cs="Times New Roman"/>
          <w:snapToGrid w:val="0"/>
          <w:kern w:val="0"/>
          <w:szCs w:val="24"/>
          <w:u w:val="single"/>
          <w:lang w:val="en-US" w:eastAsia="zh-CN"/>
        </w:rPr>
        <w:t>、</w:t>
      </w:r>
      <w:r>
        <w:rPr>
          <w:rFonts w:hint="eastAsia" w:ascii="Times New Roman" w:hAnsi="Times New Roman" w:eastAsia="宋体" w:cs="Times New Roman"/>
          <w:snapToGrid w:val="0"/>
          <w:kern w:val="0"/>
          <w:szCs w:val="24"/>
          <w:u w:val="single"/>
          <w:lang w:val="en-US" w:eastAsia="zh-CN"/>
        </w:rPr>
        <w:t>《韶关市武江区发展和改革局关于韶关市武江区江湾镇2025年农业产业基础设施建设项目初步设计概算的批复》（韶武发改投审〔202</w:t>
      </w:r>
      <w:r>
        <w:rPr>
          <w:rFonts w:hint="eastAsia" w:ascii="Times New Roman" w:cs="Times New Roman"/>
          <w:snapToGrid w:val="0"/>
          <w:kern w:val="0"/>
          <w:szCs w:val="24"/>
          <w:u w:val="single"/>
          <w:lang w:val="en-US" w:eastAsia="zh-CN"/>
        </w:rPr>
        <w:t>5</w:t>
      </w:r>
      <w:r>
        <w:rPr>
          <w:rFonts w:hint="eastAsia" w:ascii="Times New Roman" w:hAnsi="Times New Roman" w:eastAsia="宋体" w:cs="Times New Roman"/>
          <w:snapToGrid w:val="0"/>
          <w:kern w:val="0"/>
          <w:szCs w:val="24"/>
          <w:u w:val="single"/>
          <w:lang w:val="en-US" w:eastAsia="zh-CN"/>
        </w:rPr>
        <w:t>〕</w:t>
      </w:r>
      <w:r>
        <w:rPr>
          <w:rFonts w:hint="eastAsia" w:ascii="Times New Roman" w:cs="Times New Roman"/>
          <w:snapToGrid w:val="0"/>
          <w:kern w:val="0"/>
          <w:szCs w:val="24"/>
          <w:u w:val="single"/>
          <w:lang w:val="en-US" w:eastAsia="zh-CN"/>
        </w:rPr>
        <w:t>20</w:t>
      </w:r>
      <w:r>
        <w:rPr>
          <w:rFonts w:hint="eastAsia" w:ascii="Times New Roman" w:hAnsi="Times New Roman" w:eastAsia="宋体" w:cs="Times New Roman"/>
          <w:snapToGrid w:val="0"/>
          <w:kern w:val="0"/>
          <w:szCs w:val="24"/>
          <w:u w:val="single"/>
          <w:lang w:val="en-US" w:eastAsia="zh-CN"/>
        </w:rPr>
        <w:t>号）批准建设，项目代码为2412-440203-20-01-503270</w:t>
      </w:r>
      <w:r>
        <w:rPr>
          <w:rFonts w:hint="eastAsia" w:ascii="Times New Roman" w:cs="Times New Roman"/>
          <w:snapToGrid w:val="0"/>
          <w:kern w:val="0"/>
          <w:szCs w:val="24"/>
          <w:u w:val="single"/>
          <w:lang w:val="en-US" w:eastAsia="zh-CN"/>
        </w:rPr>
        <w:t>、2501-440203-20-01-232245</w:t>
      </w:r>
      <w:r>
        <w:rPr>
          <w:rFonts w:hint="eastAsia" w:ascii="Times New Roman"/>
          <w:snapToGrid w:val="0"/>
          <w:kern w:val="0"/>
          <w:szCs w:val="24"/>
        </w:rPr>
        <w:t>。</w:t>
      </w:r>
      <w:r>
        <w:rPr>
          <w:rFonts w:hint="eastAsia" w:ascii="Times New Roman"/>
          <w:snapToGrid w:val="0"/>
          <w:color w:val="000000"/>
          <w:kern w:val="0"/>
          <w:szCs w:val="24"/>
        </w:rPr>
        <w:t>本工程项目业主为</w:t>
      </w:r>
      <w:r>
        <w:rPr>
          <w:rFonts w:hint="eastAsia" w:ascii="Times New Roman" w:eastAsia="宋体" w:cs="Times New Roman"/>
          <w:bCs/>
          <w:snapToGrid w:val="0"/>
          <w:color w:val="auto"/>
          <w:kern w:val="0"/>
          <w:szCs w:val="24"/>
          <w:highlight w:val="none"/>
          <w:u w:val="single"/>
          <w:lang w:eastAsia="zh-CN"/>
        </w:rPr>
        <w:t>韶关市武江区江湾镇人民政府</w:t>
      </w:r>
      <w:r>
        <w:rPr>
          <w:rFonts w:hint="eastAsia" w:ascii="Times New Roman"/>
          <w:snapToGrid w:val="0"/>
          <w:color w:val="000000"/>
          <w:kern w:val="0"/>
          <w:szCs w:val="24"/>
        </w:rPr>
        <w:t>，建设资金来自</w:t>
      </w:r>
      <w:r>
        <w:rPr>
          <w:rFonts w:hint="eastAsia"/>
          <w:snapToGrid w:val="0"/>
          <w:color w:val="000000"/>
          <w:kern w:val="0"/>
          <w:u w:val="single"/>
          <w:lang w:eastAsia="zh-CN"/>
        </w:rPr>
        <w:t>区财政统筹</w:t>
      </w:r>
      <w:r>
        <w:rPr>
          <w:rFonts w:hint="eastAsia" w:ascii="Times New Roman"/>
          <w:snapToGrid w:val="0"/>
          <w:color w:val="000000"/>
          <w:kern w:val="0"/>
          <w:szCs w:val="24"/>
        </w:rPr>
        <w:t>，出资比例为</w:t>
      </w:r>
      <w:r>
        <w:rPr>
          <w:rFonts w:hint="eastAsia" w:hAnsi="宋体"/>
          <w:snapToGrid w:val="0"/>
          <w:color w:val="000000"/>
          <w:kern w:val="0"/>
          <w:szCs w:val="24"/>
          <w:u w:val="single"/>
        </w:rPr>
        <w:t>100%</w:t>
      </w:r>
      <w:r>
        <w:rPr>
          <w:rFonts w:hint="eastAsia" w:ascii="Times New Roman"/>
          <w:snapToGrid w:val="0"/>
          <w:color w:val="000000"/>
          <w:kern w:val="0"/>
          <w:szCs w:val="24"/>
        </w:rPr>
        <w:t>，招标人为</w:t>
      </w:r>
      <w:r>
        <w:rPr>
          <w:rFonts w:hint="eastAsia"/>
          <w:snapToGrid w:val="0"/>
          <w:color w:val="000000"/>
          <w:kern w:val="0"/>
          <w:u w:val="single"/>
          <w:lang w:eastAsia="zh-CN"/>
        </w:rPr>
        <w:t>韶关市武江区江湾镇人民政府</w:t>
      </w:r>
      <w:r>
        <w:rPr>
          <w:rFonts w:hint="eastAsia" w:ascii="Times New Roman"/>
          <w:snapToGrid w:val="0"/>
          <w:color w:val="000000"/>
          <w:kern w:val="0"/>
          <w:szCs w:val="24"/>
        </w:rPr>
        <w:t>，招标代理机构为</w:t>
      </w:r>
      <w:r>
        <w:rPr>
          <w:rFonts w:hint="eastAsia"/>
          <w:snapToGrid w:val="0"/>
          <w:color w:val="000000"/>
          <w:kern w:val="0"/>
          <w:u w:val="single"/>
          <w:lang w:eastAsia="zh-CN"/>
        </w:rPr>
        <w:t>深圳市腾达工程顾问有限公司</w:t>
      </w:r>
      <w:r>
        <w:rPr>
          <w:rFonts w:hint="eastAsia" w:ascii="Times New Roman"/>
          <w:snapToGrid w:val="0"/>
          <w:kern w:val="0"/>
          <w:szCs w:val="24"/>
        </w:rPr>
        <w:t>。项目已具备招标条件，现对该项目的</w:t>
      </w:r>
      <w:r>
        <w:rPr>
          <w:rFonts w:hint="eastAsia" w:ascii="Times New Roman"/>
          <w:snapToGrid w:val="0"/>
          <w:kern w:val="0"/>
          <w:szCs w:val="24"/>
          <w:u w:val="single"/>
          <w:lang w:eastAsia="zh-CN"/>
        </w:rPr>
        <w:t>广东省韶关市武江区农业产业基础设施建设项目-韶关市武江区江湾镇2025年农业产业基础设施建设项目</w:t>
      </w:r>
      <w:r>
        <w:rPr>
          <w:rFonts w:hint="eastAsia" w:ascii="Times New Roman"/>
          <w:snapToGrid w:val="0"/>
          <w:kern w:val="0"/>
          <w:szCs w:val="24"/>
          <w:u w:val="single"/>
          <w:lang w:val="en-US" w:eastAsia="zh-CN"/>
        </w:rPr>
        <w:t>施工</w:t>
      </w:r>
      <w:r>
        <w:rPr>
          <w:rFonts w:hint="eastAsia" w:ascii="Times New Roman"/>
          <w:snapToGrid w:val="0"/>
          <w:kern w:val="0"/>
          <w:szCs w:val="24"/>
        </w:rPr>
        <w:t>进行公开招标。</w:t>
      </w:r>
    </w:p>
    <w:p w14:paraId="434B3291">
      <w:pPr>
        <w:pStyle w:val="3"/>
        <w:wordWrap w:val="0"/>
        <w:autoSpaceDE/>
        <w:autoSpaceDN/>
        <w:snapToGrid w:val="0"/>
        <w:spacing w:line="440" w:lineRule="exact"/>
        <w:ind w:firstLine="480"/>
        <w:jc w:val="both"/>
        <w:rPr>
          <w:rFonts w:hint="eastAsia" w:ascii="Times New Roman"/>
          <w:b/>
          <w:snapToGrid w:val="0"/>
          <w:color w:val="auto"/>
          <w:highlight w:val="none"/>
        </w:rPr>
      </w:pPr>
    </w:p>
    <w:p w14:paraId="75F7684E">
      <w:pPr>
        <w:pStyle w:val="138"/>
        <w:wordWrap w:val="0"/>
        <w:adjustRightInd w:val="0"/>
        <w:snapToGrid w:val="0"/>
        <w:spacing w:line="440" w:lineRule="exact"/>
        <w:ind w:firstLine="480"/>
        <w:jc w:val="left"/>
        <w:rPr>
          <w:rFonts w:hint="eastAsia"/>
          <w:b/>
          <w:bCs/>
          <w:snapToGrid w:val="0"/>
          <w:color w:val="auto"/>
          <w:kern w:val="0"/>
          <w:sz w:val="24"/>
          <w:highlight w:val="none"/>
        </w:rPr>
      </w:pPr>
      <w:r>
        <w:rPr>
          <w:rFonts w:hint="eastAsia"/>
          <w:b/>
          <w:bCs/>
          <w:snapToGrid w:val="0"/>
          <w:color w:val="auto"/>
          <w:kern w:val="0"/>
          <w:sz w:val="24"/>
          <w:highlight w:val="none"/>
        </w:rPr>
        <w:t>1．项目概况、招标范围和标段划分、投标费用</w:t>
      </w:r>
    </w:p>
    <w:p w14:paraId="04C318AC">
      <w:pPr>
        <w:pStyle w:val="138"/>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1.1</w:t>
      </w:r>
      <w:r>
        <w:rPr>
          <w:rFonts w:hint="eastAsia"/>
          <w:snapToGrid w:val="0"/>
          <w:color w:val="auto"/>
          <w:kern w:val="0"/>
          <w:sz w:val="24"/>
          <w:highlight w:val="none"/>
        </w:rPr>
        <w:t xml:space="preserve"> 项目概况</w:t>
      </w:r>
    </w:p>
    <w:p w14:paraId="7B68DA3A">
      <w:pPr>
        <w:pStyle w:val="138"/>
        <w:wordWrap w:val="0"/>
        <w:adjustRightInd w:val="0"/>
        <w:snapToGrid w:val="0"/>
        <w:spacing w:line="440" w:lineRule="atLeast"/>
        <w:ind w:firstLine="480"/>
        <w:jc w:val="left"/>
        <w:rPr>
          <w:rFonts w:hint="eastAsia"/>
          <w:snapToGrid w:val="0"/>
          <w:color w:val="auto"/>
          <w:kern w:val="0"/>
          <w:sz w:val="24"/>
          <w:highlight w:val="none"/>
          <w:u w:val="single"/>
          <w:lang w:val="en-US" w:eastAsia="zh-CN"/>
        </w:rPr>
      </w:pPr>
      <w:r>
        <w:rPr>
          <w:rFonts w:hint="eastAsia"/>
          <w:b/>
          <w:bCs/>
          <w:snapToGrid w:val="0"/>
          <w:color w:val="auto"/>
          <w:kern w:val="0"/>
          <w:sz w:val="24"/>
          <w:highlight w:val="none"/>
        </w:rPr>
        <w:t>1.1.1</w:t>
      </w:r>
      <w:r>
        <w:rPr>
          <w:rFonts w:hint="eastAsia"/>
          <w:snapToGrid w:val="0"/>
          <w:color w:val="auto"/>
          <w:kern w:val="0"/>
          <w:sz w:val="24"/>
          <w:highlight w:val="none"/>
        </w:rPr>
        <w:t xml:space="preserve"> 建设地点</w:t>
      </w:r>
      <w:r>
        <w:rPr>
          <w:snapToGrid w:val="0"/>
          <w:color w:val="auto"/>
          <w:kern w:val="0"/>
          <w:sz w:val="24"/>
          <w:highlight w:val="none"/>
        </w:rPr>
        <w:t>：</w:t>
      </w:r>
      <w:r>
        <w:rPr>
          <w:rFonts w:hint="eastAsia"/>
          <w:snapToGrid w:val="0"/>
          <w:color w:val="auto"/>
          <w:kern w:val="0"/>
          <w:sz w:val="24"/>
          <w:highlight w:val="none"/>
          <w:u w:val="single"/>
          <w:lang w:eastAsia="zh-CN"/>
        </w:rPr>
        <w:t>韶关市武江区江湾镇。</w:t>
      </w:r>
    </w:p>
    <w:p w14:paraId="0A6CA704">
      <w:pPr>
        <w:pStyle w:val="138"/>
        <w:wordWrap w:val="0"/>
        <w:adjustRightInd w:val="0"/>
        <w:snapToGrid w:val="0"/>
        <w:spacing w:line="440" w:lineRule="atLeast"/>
        <w:ind w:firstLine="480"/>
        <w:jc w:val="left"/>
        <w:rPr>
          <w:rFonts w:hint="eastAsia"/>
          <w:snapToGrid w:val="0"/>
          <w:color w:val="auto"/>
          <w:kern w:val="0"/>
          <w:sz w:val="24"/>
          <w:highlight w:val="none"/>
          <w:u w:val="single"/>
        </w:rPr>
      </w:pPr>
      <w:r>
        <w:rPr>
          <w:rFonts w:hint="eastAsia"/>
          <w:b/>
          <w:bCs/>
          <w:snapToGrid w:val="0"/>
          <w:color w:val="auto"/>
          <w:kern w:val="0"/>
          <w:sz w:val="24"/>
          <w:highlight w:val="none"/>
        </w:rPr>
        <w:t>1.1.2</w:t>
      </w:r>
      <w:r>
        <w:rPr>
          <w:rFonts w:hint="eastAsia"/>
          <w:snapToGrid w:val="0"/>
          <w:color w:val="auto"/>
          <w:kern w:val="0"/>
          <w:sz w:val="24"/>
          <w:highlight w:val="none"/>
        </w:rPr>
        <w:t xml:space="preserve"> 建设内容和规模：</w:t>
      </w:r>
      <w:r>
        <w:rPr>
          <w:rFonts w:hint="eastAsia"/>
          <w:snapToGrid w:val="0"/>
          <w:color w:val="auto"/>
          <w:kern w:val="0"/>
          <w:sz w:val="24"/>
          <w:highlight w:val="none"/>
          <w:lang w:val="en-US" w:eastAsia="zh-CN"/>
        </w:rPr>
        <w:t xml:space="preserve"> </w:t>
      </w:r>
      <w:r>
        <w:rPr>
          <w:rFonts w:hint="eastAsia"/>
          <w:snapToGrid w:val="0"/>
          <w:color w:val="auto"/>
          <w:kern w:val="0"/>
          <w:sz w:val="24"/>
          <w:highlight w:val="none"/>
          <w:u w:val="single"/>
          <w:lang w:val="en-US" w:eastAsia="zh-CN"/>
        </w:rPr>
        <w:t>改造提升农田面积86.91亩，包括土地清表约80.46亩，新增水浇地80.46亩，耕作层剥离约1.07万立方米，施撒有机肥约13.95吨，碱性土壤调理剂约20.96吨，新建灌排两用渠道约1.81千米，新建排水沟约137米，新建机耕道约1.054千米，新建暗管约133米，新建沉砂井 3 座，新建进水池 1 座，新建涵管8处，新建涵洞7座。</w:t>
      </w:r>
    </w:p>
    <w:p w14:paraId="6ED55090">
      <w:pPr>
        <w:pStyle w:val="138"/>
        <w:wordWrap w:val="0"/>
        <w:adjustRightInd w:val="0"/>
        <w:snapToGrid w:val="0"/>
        <w:spacing w:line="440" w:lineRule="atLeast"/>
        <w:ind w:firstLine="480"/>
        <w:jc w:val="left"/>
        <w:rPr>
          <w:rFonts w:hint="eastAsia"/>
          <w:snapToGrid w:val="0"/>
          <w:color w:val="auto"/>
          <w:kern w:val="0"/>
          <w:sz w:val="24"/>
          <w:highlight w:val="none"/>
          <w:lang w:val="en-US" w:eastAsia="zh-CN"/>
        </w:rPr>
      </w:pPr>
      <w:r>
        <w:rPr>
          <w:rFonts w:hint="eastAsia"/>
          <w:b/>
          <w:bCs/>
          <w:snapToGrid w:val="0"/>
          <w:color w:val="auto"/>
          <w:kern w:val="0"/>
          <w:sz w:val="24"/>
          <w:highlight w:val="none"/>
        </w:rPr>
        <w:t>1.1.3</w:t>
      </w:r>
      <w:r>
        <w:rPr>
          <w:rFonts w:hint="eastAsia"/>
          <w:snapToGrid w:val="0"/>
          <w:color w:val="auto"/>
          <w:kern w:val="0"/>
          <w:sz w:val="24"/>
          <w:highlight w:val="none"/>
        </w:rPr>
        <w:t xml:space="preserve"> 项目总投资</w:t>
      </w:r>
      <w:r>
        <w:rPr>
          <w:snapToGrid w:val="0"/>
          <w:color w:val="auto"/>
          <w:kern w:val="0"/>
          <w:sz w:val="24"/>
          <w:highlight w:val="none"/>
        </w:rPr>
        <w:t>：</w:t>
      </w:r>
      <w:r>
        <w:rPr>
          <w:rFonts w:hint="eastAsia"/>
          <w:snapToGrid w:val="0"/>
          <w:color w:val="FF0000"/>
          <w:kern w:val="0"/>
          <w:sz w:val="24"/>
          <w:highlight w:val="none"/>
          <w:u w:val="single"/>
          <w:lang w:val="en-US" w:eastAsia="zh-CN"/>
        </w:rPr>
        <w:t>项目概算总投资205.09万元，其中工程费用163.15万元，工程建设其他费用35.96万元，预备费用5.98万元。</w:t>
      </w:r>
    </w:p>
    <w:p w14:paraId="59B8D3C8">
      <w:pPr>
        <w:pStyle w:val="138"/>
        <w:wordWrap w:val="0"/>
        <w:adjustRightInd w:val="0"/>
        <w:snapToGrid w:val="0"/>
        <w:spacing w:line="440" w:lineRule="atLeast"/>
        <w:ind w:firstLine="480"/>
        <w:jc w:val="left"/>
        <w:rPr>
          <w:rFonts w:hint="eastAsia"/>
          <w:b/>
          <w:bCs/>
          <w:snapToGrid w:val="0"/>
          <w:color w:val="auto"/>
          <w:kern w:val="0"/>
          <w:sz w:val="24"/>
          <w:highlight w:val="none"/>
        </w:rPr>
      </w:pPr>
      <w:r>
        <w:rPr>
          <w:rFonts w:hint="eastAsia"/>
          <w:b/>
          <w:bCs/>
          <w:snapToGrid w:val="0"/>
          <w:color w:val="auto"/>
          <w:kern w:val="0"/>
          <w:sz w:val="24"/>
          <w:highlight w:val="none"/>
        </w:rPr>
        <w:t xml:space="preserve">1.2 </w:t>
      </w:r>
      <w:r>
        <w:rPr>
          <w:rFonts w:hint="eastAsia"/>
          <w:snapToGrid w:val="0"/>
          <w:color w:val="auto"/>
          <w:kern w:val="0"/>
          <w:sz w:val="24"/>
          <w:highlight w:val="none"/>
        </w:rPr>
        <w:t>招标范围和标段划分</w:t>
      </w:r>
    </w:p>
    <w:p w14:paraId="3A29C26A">
      <w:pPr>
        <w:pStyle w:val="138"/>
        <w:wordWrap w:val="0"/>
        <w:adjustRightInd w:val="0"/>
        <w:snapToGrid w:val="0"/>
        <w:spacing w:line="440" w:lineRule="atLeast"/>
        <w:ind w:firstLine="480"/>
        <w:jc w:val="left"/>
        <w:rPr>
          <w:rFonts w:hint="eastAsia"/>
          <w:snapToGrid w:val="0"/>
          <w:color w:val="auto"/>
          <w:kern w:val="0"/>
          <w:sz w:val="24"/>
          <w:highlight w:val="none"/>
          <w:u w:val="none"/>
        </w:rPr>
      </w:pPr>
      <w:r>
        <w:rPr>
          <w:rFonts w:hint="eastAsia"/>
          <w:b/>
          <w:bCs/>
          <w:snapToGrid w:val="0"/>
          <w:color w:val="auto"/>
          <w:kern w:val="0"/>
          <w:sz w:val="24"/>
          <w:highlight w:val="none"/>
        </w:rPr>
        <w:t>1.2.1</w:t>
      </w:r>
      <w:r>
        <w:rPr>
          <w:rFonts w:hint="eastAsia"/>
          <w:snapToGrid w:val="0"/>
          <w:color w:val="auto"/>
          <w:kern w:val="0"/>
          <w:sz w:val="24"/>
          <w:highlight w:val="none"/>
        </w:rPr>
        <w:t xml:space="preserve"> 招标范围：</w:t>
      </w:r>
      <w:r>
        <w:rPr>
          <w:rFonts w:hint="eastAsia"/>
          <w:snapToGrid w:val="0"/>
          <w:color w:val="auto"/>
          <w:kern w:val="0"/>
          <w:sz w:val="24"/>
          <w:highlight w:val="none"/>
          <w:u w:val="single"/>
          <w:lang w:val="en-US" w:eastAsia="zh-CN"/>
        </w:rPr>
        <w:t>工程量清单及施工图纸范围内的所有工程及配套附属工程等施工。</w:t>
      </w:r>
      <w:r>
        <w:rPr>
          <w:rFonts w:hint="eastAsia"/>
          <w:snapToGrid w:val="0"/>
          <w:color w:val="auto"/>
          <w:kern w:val="0"/>
          <w:sz w:val="24"/>
          <w:highlight w:val="none"/>
          <w:u w:val="none"/>
        </w:rPr>
        <w:t xml:space="preserve">       </w:t>
      </w:r>
    </w:p>
    <w:p w14:paraId="7340CEBF">
      <w:pPr>
        <w:pStyle w:val="3"/>
        <w:wordWrap w:val="0"/>
        <w:autoSpaceDE/>
        <w:autoSpaceDN/>
        <w:snapToGrid w:val="0"/>
        <w:spacing w:line="440" w:lineRule="exact"/>
        <w:ind w:firstLine="480"/>
        <w:jc w:val="both"/>
        <w:rPr>
          <w:rFonts w:ascii="Times New Roman"/>
          <w:b/>
          <w:snapToGrid w:val="0"/>
          <w:color w:val="auto"/>
          <w:highlight w:val="none"/>
        </w:rPr>
      </w:pPr>
      <w:bookmarkStart w:id="33" w:name="_Toc8627"/>
      <w:bookmarkStart w:id="34" w:name="_Toc19421"/>
      <w:r>
        <w:rPr>
          <w:rFonts w:hint="eastAsia" w:ascii="Times New Roman"/>
          <w:b/>
          <w:bCs/>
          <w:snapToGrid w:val="0"/>
          <w:color w:val="auto"/>
          <w:highlight w:val="none"/>
        </w:rPr>
        <w:t>1.2.2</w:t>
      </w:r>
      <w:r>
        <w:rPr>
          <w:rFonts w:hint="eastAsia" w:ascii="Times New Roman"/>
          <w:snapToGrid w:val="0"/>
          <w:color w:val="auto"/>
          <w:highlight w:val="none"/>
        </w:rPr>
        <w:t xml:space="preserve"> 标段划分：本招标项目不划分标段。</w:t>
      </w:r>
      <w:bookmarkEnd w:id="32"/>
      <w:bookmarkEnd w:id="33"/>
      <w:bookmarkEnd w:id="34"/>
    </w:p>
    <w:p w14:paraId="1790216C">
      <w:pPr>
        <w:tabs>
          <w:tab w:val="left" w:pos="7020"/>
        </w:tabs>
        <w:wordWrap w:val="0"/>
        <w:adjustRightInd w:val="0"/>
        <w:snapToGrid w:val="0"/>
        <w:spacing w:line="440" w:lineRule="exact"/>
        <w:ind w:firstLine="532" w:firstLineChars="221"/>
        <w:rPr>
          <w:rFonts w:hint="eastAsia" w:ascii="Times New Roman"/>
          <w:b/>
          <w:bCs/>
          <w:snapToGrid w:val="0"/>
          <w:color w:val="auto"/>
          <w:kern w:val="0"/>
          <w:szCs w:val="24"/>
          <w:highlight w:val="none"/>
        </w:rPr>
      </w:pPr>
    </w:p>
    <w:p w14:paraId="2F7AEC7A">
      <w:pPr>
        <w:tabs>
          <w:tab w:val="left" w:pos="7020"/>
        </w:tabs>
        <w:wordWrap w:val="0"/>
        <w:adjustRightInd w:val="0"/>
        <w:snapToGrid w:val="0"/>
        <w:spacing w:line="440" w:lineRule="exact"/>
        <w:ind w:firstLine="532" w:firstLineChars="221"/>
        <w:rPr>
          <w:rFonts w:hint="eastAsia" w:ascii="Times New Roman"/>
          <w:snapToGrid w:val="0"/>
          <w:color w:val="auto"/>
          <w:kern w:val="0"/>
          <w:highlight w:val="none"/>
        </w:rPr>
      </w:pPr>
      <w:r>
        <w:rPr>
          <w:rFonts w:hint="eastAsia" w:ascii="Times New Roman"/>
          <w:b/>
          <w:bCs/>
          <w:snapToGrid w:val="0"/>
          <w:color w:val="auto"/>
          <w:kern w:val="0"/>
          <w:szCs w:val="24"/>
          <w:highlight w:val="none"/>
        </w:rPr>
        <w:t>1.3</w:t>
      </w:r>
      <w:r>
        <w:rPr>
          <w:rFonts w:hint="eastAsia" w:ascii="Times New Roman"/>
          <w:snapToGrid w:val="0"/>
          <w:color w:val="auto"/>
          <w:kern w:val="0"/>
          <w:szCs w:val="24"/>
          <w:highlight w:val="none"/>
        </w:rPr>
        <w:t xml:space="preserve"> 投标费用</w:t>
      </w:r>
      <w:r>
        <w:rPr>
          <w:rFonts w:hint="eastAsia" w:ascii="Times New Roman"/>
          <w:snapToGrid w:val="0"/>
          <w:color w:val="auto"/>
          <w:kern w:val="0"/>
          <w:highlight w:val="none"/>
        </w:rPr>
        <w:t>：投标人应承担所有准备和参加投标的相关费用，不论投标结果如何，招标人均无义务和责任承担这些费用。</w:t>
      </w:r>
    </w:p>
    <w:p w14:paraId="60A637B6">
      <w:pPr>
        <w:wordWrap w:val="0"/>
        <w:adjustRightInd w:val="0"/>
        <w:snapToGrid w:val="0"/>
        <w:spacing w:line="440" w:lineRule="exact"/>
        <w:ind w:firstLine="530" w:firstLineChars="221"/>
        <w:rPr>
          <w:rFonts w:hint="eastAsia" w:ascii="Times New Roman"/>
          <w:snapToGrid w:val="0"/>
          <w:color w:val="auto"/>
          <w:kern w:val="0"/>
          <w:highlight w:val="none"/>
        </w:rPr>
      </w:pPr>
    </w:p>
    <w:p w14:paraId="2DF52BCC">
      <w:pPr>
        <w:pStyle w:val="3"/>
        <w:wordWrap w:val="0"/>
        <w:autoSpaceDE/>
        <w:autoSpaceDN/>
        <w:snapToGrid w:val="0"/>
        <w:spacing w:line="440" w:lineRule="exact"/>
        <w:ind w:firstLine="480"/>
        <w:jc w:val="both"/>
        <w:rPr>
          <w:rFonts w:hint="eastAsia" w:ascii="Times New Roman"/>
          <w:b/>
          <w:snapToGrid w:val="0"/>
          <w:color w:val="auto"/>
          <w:highlight w:val="none"/>
        </w:rPr>
      </w:pPr>
      <w:bookmarkStart w:id="35" w:name="_Toc2772"/>
      <w:bookmarkStart w:id="36" w:name="_Toc7343"/>
      <w:r>
        <w:rPr>
          <w:rFonts w:hint="eastAsia" w:ascii="Times New Roman"/>
          <w:b/>
          <w:snapToGrid w:val="0"/>
          <w:color w:val="auto"/>
          <w:highlight w:val="none"/>
        </w:rPr>
        <w:t>2．投标人资格要求</w:t>
      </w:r>
      <w:bookmarkEnd w:id="35"/>
      <w:bookmarkEnd w:id="36"/>
      <w:bookmarkStart w:id="37" w:name="_Hlt74496495"/>
      <w:bookmarkEnd w:id="37"/>
    </w:p>
    <w:p w14:paraId="24340525">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2.1</w:t>
      </w:r>
      <w:r>
        <w:rPr>
          <w:rFonts w:hint="eastAsia" w:ascii="Times New Roman"/>
          <w:snapToGrid w:val="0"/>
          <w:color w:val="auto"/>
          <w:kern w:val="0"/>
          <w:highlight w:val="none"/>
        </w:rPr>
        <w:t xml:space="preserve"> </w:t>
      </w:r>
      <w:r>
        <w:rPr>
          <w:rFonts w:ascii="Times New Roman"/>
          <w:snapToGrid w:val="0"/>
          <w:color w:val="auto"/>
          <w:kern w:val="0"/>
          <w:highlight w:val="none"/>
        </w:rPr>
        <w:t>本</w:t>
      </w:r>
      <w:r>
        <w:rPr>
          <w:rFonts w:hint="eastAsia" w:ascii="Times New Roman"/>
          <w:snapToGrid w:val="0"/>
          <w:color w:val="auto"/>
          <w:kern w:val="0"/>
          <w:highlight w:val="none"/>
        </w:rPr>
        <w:t>次招标不接受</w:t>
      </w:r>
      <w:r>
        <w:rPr>
          <w:rFonts w:ascii="Times New Roman"/>
          <w:snapToGrid w:val="0"/>
          <w:color w:val="auto"/>
          <w:kern w:val="0"/>
          <w:highlight w:val="none"/>
        </w:rPr>
        <w:t>联合体投标。</w:t>
      </w:r>
    </w:p>
    <w:p w14:paraId="7B25290C">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highlight w:val="none"/>
        </w:rPr>
        <w:t xml:space="preserve"> 资格资质要求</w:t>
      </w:r>
    </w:p>
    <w:p w14:paraId="2CCAC6EE">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2.2.1</w:t>
      </w:r>
      <w:r>
        <w:rPr>
          <w:rFonts w:hint="eastAsia"/>
          <w:snapToGrid w:val="0"/>
          <w:color w:val="auto"/>
          <w:kern w:val="0"/>
          <w:sz w:val="24"/>
          <w:highlight w:val="none"/>
        </w:rPr>
        <w:t xml:space="preserve"> 投标人须具备独立法人资格，按国家法律经营。</w:t>
      </w:r>
    </w:p>
    <w:p w14:paraId="4433C1E8">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2.2.2</w:t>
      </w:r>
      <w:r>
        <w:rPr>
          <w:rFonts w:hint="eastAsia"/>
          <w:snapToGrid w:val="0"/>
          <w:color w:val="auto"/>
          <w:kern w:val="0"/>
          <w:sz w:val="24"/>
          <w:highlight w:val="none"/>
        </w:rPr>
        <w:t xml:space="preserve"> 投标人须持有建设行政主管部门颁发的企业资质证书及安全生产许可证。</w:t>
      </w:r>
    </w:p>
    <w:p w14:paraId="4D459B90">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2.2.3</w:t>
      </w:r>
      <w:r>
        <w:rPr>
          <w:rFonts w:hint="eastAsia"/>
          <w:snapToGrid w:val="0"/>
          <w:color w:val="auto"/>
          <w:kern w:val="0"/>
          <w:sz w:val="24"/>
          <w:highlight w:val="none"/>
        </w:rPr>
        <w:t xml:space="preserve"> 投标人须具备以下资质：</w:t>
      </w:r>
      <w:r>
        <w:rPr>
          <w:rFonts w:hint="eastAsia"/>
          <w:snapToGrid w:val="0"/>
          <w:color w:val="auto"/>
          <w:kern w:val="0"/>
          <w:sz w:val="24"/>
          <w:szCs w:val="24"/>
          <w:highlight w:val="none"/>
          <w:u w:val="single"/>
          <w:lang w:val="en-US" w:eastAsia="zh-CN"/>
        </w:rPr>
        <w:t>市政公用工程施工总承包三级以上（含三级）资质</w:t>
      </w:r>
      <w:r>
        <w:rPr>
          <w:rFonts w:hint="eastAsia"/>
          <w:snapToGrid w:val="0"/>
          <w:color w:val="auto"/>
          <w:kern w:val="0"/>
          <w:sz w:val="24"/>
          <w:highlight w:val="none"/>
        </w:rPr>
        <w:t>。</w:t>
      </w:r>
    </w:p>
    <w:p w14:paraId="4E828821">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2.2.4</w:t>
      </w:r>
      <w:r>
        <w:rPr>
          <w:rFonts w:hint="eastAsia"/>
          <w:snapToGrid w:val="0"/>
          <w:color w:val="auto"/>
          <w:kern w:val="0"/>
          <w:sz w:val="24"/>
          <w:highlight w:val="none"/>
        </w:rPr>
        <w:t xml:space="preserve"> 根据有关文件精神，投标人的企业相关证书、人员资质、资格有效期到期的，均按该证书的发证机构相关行业主管部门最新文件执行（如自动顺延或推迟办理延期业务的通知），投标人必须将相关文件附在该证书后面中，证明在开标日继续有效的。</w:t>
      </w:r>
    </w:p>
    <w:p w14:paraId="09D7ADA9">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w:t>
      </w:r>
      <w:r>
        <w:rPr>
          <w:rFonts w:hint="eastAsia"/>
          <w:snapToGrid w:val="0"/>
          <w:color w:val="auto"/>
          <w:kern w:val="0"/>
          <w:sz w:val="24"/>
          <w:highlight w:val="none"/>
        </w:rPr>
        <w:t xml:space="preserve"> 相关人员要求</w:t>
      </w:r>
    </w:p>
    <w:p w14:paraId="078034CB">
      <w:pPr>
        <w:wordWrap w:val="0"/>
        <w:adjustRightInd w:val="0"/>
        <w:snapToGrid w:val="0"/>
        <w:spacing w:line="400" w:lineRule="exact"/>
        <w:ind w:firstLine="482" w:firstLineChars="200"/>
        <w:rPr>
          <w:rFonts w:hint="eastAsia" w:ascii="Times New Roman"/>
          <w:snapToGrid w:val="0"/>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2.3.1</w:t>
      </w:r>
      <w:r>
        <w:rPr>
          <w:rFonts w:hint="eastAsia" w:ascii="Times New Roman"/>
          <w:snapToGrid w:val="0"/>
          <w:color w:val="auto"/>
          <w:kern w:val="0"/>
          <w:sz w:val="24"/>
          <w:szCs w:val="24"/>
          <w:highlight w:val="none"/>
        </w:rPr>
        <w:t xml:space="preserve"> 拟派项目经理为</w:t>
      </w:r>
      <w:r>
        <w:rPr>
          <w:rFonts w:hint="eastAsia" w:ascii="Times New Roman"/>
          <w:snapToGrid w:val="0"/>
          <w:color w:val="auto"/>
          <w:kern w:val="0"/>
          <w:sz w:val="24"/>
          <w:szCs w:val="24"/>
          <w:highlight w:val="none"/>
          <w:u w:val="single"/>
        </w:rPr>
        <w:t xml:space="preserve">  </w:t>
      </w:r>
      <w:r>
        <w:rPr>
          <w:rFonts w:hint="eastAsia" w:hAnsi="宋体" w:cs="宋体"/>
          <w:snapToGrid w:val="0"/>
          <w:color w:val="auto"/>
          <w:kern w:val="0"/>
          <w:sz w:val="24"/>
          <w:szCs w:val="24"/>
          <w:highlight w:val="none"/>
          <w:u w:val="single"/>
          <w:lang w:val="en-US" w:eastAsia="zh-CN"/>
        </w:rPr>
        <w:t>市政公用工程</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rPr>
        <w:t>专业一级或二级注册建造师，</w:t>
      </w:r>
      <w:r>
        <w:rPr>
          <w:rFonts w:hint="eastAsia" w:ascii="Times New Roman"/>
          <w:snapToGrid w:val="0"/>
          <w:color w:val="auto"/>
          <w:kern w:val="0"/>
          <w:sz w:val="24"/>
          <w:szCs w:val="24"/>
          <w:highlight w:val="none"/>
          <w:lang w:eastAsia="zh-CN"/>
        </w:rPr>
        <w:t>应持有住建部门印发的在使用有效期内的有效电子注册证书，</w:t>
      </w:r>
      <w:r>
        <w:rPr>
          <w:rFonts w:hint="eastAsia" w:ascii="Times New Roman"/>
          <w:snapToGrid w:val="0"/>
          <w:color w:val="auto"/>
          <w:kern w:val="0"/>
          <w:sz w:val="24"/>
          <w:szCs w:val="24"/>
          <w:highlight w:val="none"/>
        </w:rPr>
        <w:t>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6D741B63">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 xml:space="preserve">   2.3.2</w:t>
      </w:r>
      <w:r>
        <w:rPr>
          <w:rFonts w:hint="eastAsia" w:ascii="Times New Roman"/>
          <w:snapToGrid w:val="0"/>
          <w:color w:val="auto"/>
          <w:kern w:val="0"/>
          <w:sz w:val="24"/>
          <w:szCs w:val="24"/>
          <w:highlight w:val="none"/>
        </w:rPr>
        <w:t xml:space="preserve"> </w:t>
      </w:r>
      <w:r>
        <w:rPr>
          <w:rFonts w:hint="eastAsia" w:ascii="Times New Roman"/>
          <w:snapToGrid w:val="0"/>
          <w:color w:val="auto"/>
          <w:kern w:val="0"/>
          <w:sz w:val="24"/>
          <w:szCs w:val="24"/>
          <w:highlight w:val="none"/>
          <w:lang w:eastAsia="zh-CN"/>
        </w:rPr>
        <w:t>投标人拟派项目技术负责人须具备中级或以上技术职称</w:t>
      </w:r>
      <w:r>
        <w:rPr>
          <w:rFonts w:hint="eastAsia" w:ascii="Times New Roman"/>
          <w:snapToGrid w:val="0"/>
          <w:color w:val="auto"/>
          <w:kern w:val="0"/>
          <w:sz w:val="24"/>
          <w:szCs w:val="24"/>
          <w:highlight w:val="none"/>
        </w:rPr>
        <w:t>。</w:t>
      </w:r>
    </w:p>
    <w:p w14:paraId="457DF3B3">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2.3.3</w:t>
      </w:r>
      <w:r>
        <w:rPr>
          <w:rFonts w:hint="eastAsia" w:ascii="Times New Roman"/>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u w:val="single"/>
          <w:lang w:val="en-US" w:eastAsia="zh-CN"/>
        </w:rPr>
        <w:t>1</w:t>
      </w:r>
      <w:r>
        <w:rPr>
          <w:rFonts w:hint="eastAsia" w:ascii="Times New Roman"/>
          <w:snapToGrid w:val="0"/>
          <w:color w:val="auto"/>
          <w:kern w:val="0"/>
          <w:sz w:val="24"/>
          <w:szCs w:val="24"/>
          <w:highlight w:val="none"/>
          <w:u w:val="single"/>
        </w:rPr>
        <w:t xml:space="preserve">  </w:t>
      </w:r>
      <w:r>
        <w:rPr>
          <w:rFonts w:hint="eastAsia" w:ascii="Times New Roman"/>
          <w:snapToGrid w:val="0"/>
          <w:color w:val="auto"/>
          <w:kern w:val="0"/>
          <w:sz w:val="24"/>
          <w:szCs w:val="24"/>
          <w:highlight w:val="none"/>
        </w:rPr>
        <w:t xml:space="preserve">人。 </w:t>
      </w:r>
    </w:p>
    <w:p w14:paraId="3931C0C3">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2.3.4</w:t>
      </w:r>
      <w:r>
        <w:rPr>
          <w:rFonts w:hint="eastAsia"/>
          <w:snapToGrid w:val="0"/>
          <w:color w:val="auto"/>
          <w:kern w:val="0"/>
          <w:sz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w:t>
      </w:r>
    </w:p>
    <w:p w14:paraId="117DD1CC">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 xml:space="preserve"> 禁止投标条款</w:t>
      </w:r>
    </w:p>
    <w:p w14:paraId="767D7543">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2.4.1</w:t>
      </w:r>
      <w:r>
        <w:rPr>
          <w:rFonts w:hint="eastAsia"/>
          <w:snapToGrid w:val="0"/>
          <w:color w:val="auto"/>
          <w:kern w:val="0"/>
          <w:sz w:val="24"/>
          <w:highlight w:val="none"/>
        </w:rPr>
        <w:t xml:space="preserve"> 投标人不得存在下列情形之一：</w:t>
      </w:r>
    </w:p>
    <w:p w14:paraId="33326A6B">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（1）为招标人不具有独立法人资格的附属机构（单位）；</w:t>
      </w:r>
    </w:p>
    <w:p w14:paraId="1D862C45">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（2）为本招标项目前期准备提供设计或咨询服务的；</w:t>
      </w:r>
    </w:p>
    <w:p w14:paraId="5CF9B042">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（3）与本招标项目的其他投标人为同一个单位负责人；</w:t>
      </w:r>
    </w:p>
    <w:p w14:paraId="2AFEE39F">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（4）与本招标项目的其他投标人存在控股、管理关系；</w:t>
      </w:r>
    </w:p>
    <w:p w14:paraId="5BB4E2AE">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（5）为本招标项目的监理人；</w:t>
      </w:r>
    </w:p>
    <w:p w14:paraId="6C7EB3B7">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（6）为本招标项目的代建人；</w:t>
      </w:r>
    </w:p>
    <w:p w14:paraId="7F84A2ED">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（7）为本招标项目的招标代理机构；</w:t>
      </w:r>
    </w:p>
    <w:p w14:paraId="31AF94A8">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（8）与本招标项目的监理人或代建人或招标代理机构同为一个法定代表人；</w:t>
      </w:r>
    </w:p>
    <w:p w14:paraId="11768A5B">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（9）与本招标项目的监理人或代建人或招标代理机构存在控股或参股关系；</w:t>
      </w:r>
    </w:p>
    <w:p w14:paraId="4FA047B7">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（10）与本招标项目的监理人或代建人或招标代理机构存在相互任职或工作关系；</w:t>
      </w:r>
    </w:p>
    <w:p w14:paraId="62334266">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（11）被依法暂停或者取消投标资格；</w:t>
      </w:r>
    </w:p>
    <w:p w14:paraId="394EDD7C">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（12）被责令停产停业、暂扣或者吊销许可证、暂扣或者吊销执照；</w:t>
      </w:r>
    </w:p>
    <w:p w14:paraId="279D3C49">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（13）进入清算程序，或被宣告破产，或其他丧失履约能力的情形；</w:t>
      </w:r>
    </w:p>
    <w:p w14:paraId="54805C56">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（14）在最近三年内发生重大工程质量或安全问题（以相关行业主管部门的行政处罚决定或司法机关出具的有关法律文书为准）；</w:t>
      </w:r>
    </w:p>
    <w:p w14:paraId="08EBCB5F">
      <w:pPr>
        <w:wordWrap w:val="0"/>
        <w:adjustRightInd w:val="0"/>
        <w:snapToGrid w:val="0"/>
        <w:spacing w:line="400" w:lineRule="exact"/>
        <w:ind w:firstLine="480" w:firstLineChars="200"/>
        <w:rPr>
          <w:rFonts w:hint="eastAsia" w:ascii="Times New Roman" w:hAnsi="Times New Roman" w:eastAsia="宋体" w:cs="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snapToGrid w:val="0"/>
          <w:color w:val="auto"/>
          <w:kern w:val="0"/>
          <w:sz w:val="24"/>
          <w:szCs w:val="24"/>
          <w:highlight w:val="none"/>
        </w:rPr>
        <w:t>（15）被“信用中国”网站（https://www.creditchina.gov.cn）发布的《</w:t>
      </w:r>
      <w:r>
        <w:rPr>
          <w:rFonts w:hint="eastAsia" w:ascii="Times New Roman" w:hAnsi="Times New Roman" w:eastAsia="宋体" w:cs="Times New Roman"/>
          <w:snapToGrid w:val="0"/>
          <w:color w:val="auto"/>
          <w:kern w:val="0"/>
          <w:sz w:val="24"/>
          <w:szCs w:val="24"/>
          <w:highlight w:val="none"/>
          <w:lang w:eastAsia="zh-CN"/>
        </w:rPr>
        <w:t>法人和非法人组织公共信用信息报告</w:t>
      </w:r>
      <w:r>
        <w:rPr>
          <w:rFonts w:hint="eastAsia" w:ascii="Times New Roman" w:hAnsi="Times New Roman" w:eastAsia="宋体" w:cs="Times New Roman"/>
          <w:snapToGrid w:val="0"/>
          <w:color w:val="auto"/>
          <w:kern w:val="0"/>
          <w:sz w:val="24"/>
          <w:szCs w:val="24"/>
          <w:highlight w:val="none"/>
        </w:rPr>
        <w:t>》列为严重失信主体名单的。</w:t>
      </w:r>
    </w:p>
    <w:p w14:paraId="6CCC7862">
      <w:pPr>
        <w:wordWrap w:val="0"/>
        <w:adjustRightInd w:val="0"/>
        <w:snapToGrid w:val="0"/>
        <w:spacing w:line="400" w:lineRule="exact"/>
        <w:ind w:firstLine="480" w:firstLineChars="200"/>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lang w:val="en-US" w:eastAsia="zh-CN"/>
        </w:rPr>
        <w:t>2.4.2</w:t>
      </w:r>
      <w:r>
        <w:rPr>
          <w:rFonts w:hint="eastAsia" w:ascii="Times New Roman"/>
          <w:snapToGrid w:val="0"/>
          <w:color w:val="auto"/>
          <w:kern w:val="0"/>
          <w:sz w:val="24"/>
          <w:szCs w:val="24"/>
          <w:highlight w:val="none"/>
        </w:rPr>
        <w:t xml:space="preserve"> 招标人拒绝以下名单中的单位参加本次投标：</w:t>
      </w:r>
    </w:p>
    <w:tbl>
      <w:tblPr>
        <w:tblStyle w:val="3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194"/>
        <w:gridCol w:w="4145"/>
      </w:tblGrid>
      <w:tr w14:paraId="5090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19" w:type="dxa"/>
            <w:noWrap w:val="0"/>
            <w:vAlign w:val="center"/>
          </w:tcPr>
          <w:p w14:paraId="5B1655D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194" w:type="dxa"/>
            <w:noWrap w:val="0"/>
            <w:vAlign w:val="center"/>
          </w:tcPr>
          <w:p w14:paraId="29D31D3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145" w:type="dxa"/>
            <w:noWrap w:val="0"/>
            <w:vAlign w:val="center"/>
          </w:tcPr>
          <w:p w14:paraId="59AF847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77C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19" w:type="dxa"/>
            <w:noWrap w:val="0"/>
            <w:vAlign w:val="center"/>
          </w:tcPr>
          <w:p w14:paraId="20AA704B">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4194" w:type="dxa"/>
            <w:noWrap w:val="0"/>
            <w:vAlign w:val="center"/>
          </w:tcPr>
          <w:p w14:paraId="50EF56FC">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韶关市武江区江湾镇人民政府</w:t>
            </w:r>
          </w:p>
        </w:tc>
        <w:tc>
          <w:tcPr>
            <w:tcW w:w="4145" w:type="dxa"/>
            <w:noWrap w:val="0"/>
            <w:vAlign w:val="center"/>
          </w:tcPr>
          <w:p w14:paraId="44673F13">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049B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9" w:type="dxa"/>
            <w:noWrap w:val="0"/>
            <w:vAlign w:val="center"/>
          </w:tcPr>
          <w:p w14:paraId="3F5486BD">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4194" w:type="dxa"/>
            <w:noWrap w:val="0"/>
            <w:vAlign w:val="center"/>
          </w:tcPr>
          <w:p w14:paraId="141B699F">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广东智铭设计有限公司</w:t>
            </w:r>
          </w:p>
        </w:tc>
        <w:tc>
          <w:tcPr>
            <w:tcW w:w="4145" w:type="dxa"/>
            <w:noWrap w:val="0"/>
            <w:vAlign w:val="center"/>
          </w:tcPr>
          <w:p w14:paraId="7C1ABC53">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6B3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7875E8B9">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4194" w:type="dxa"/>
            <w:noWrap w:val="0"/>
            <w:vAlign w:val="center"/>
          </w:tcPr>
          <w:p w14:paraId="4BAC7006">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广东方川工程咨询有限公司</w:t>
            </w:r>
          </w:p>
        </w:tc>
        <w:tc>
          <w:tcPr>
            <w:tcW w:w="4145" w:type="dxa"/>
            <w:noWrap w:val="0"/>
            <w:vAlign w:val="center"/>
          </w:tcPr>
          <w:p w14:paraId="7CE8B717">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FF0000"/>
                <w:kern w:val="0"/>
                <w:sz w:val="24"/>
                <w:szCs w:val="24"/>
                <w:highlight w:val="none"/>
                <w:lang w:eastAsia="zh-CN"/>
              </w:rPr>
              <w:t>为本招标项目的</w:t>
            </w:r>
            <w:r>
              <w:rPr>
                <w:rFonts w:hint="eastAsia" w:ascii="宋体" w:hAnsi="宋体" w:cs="宋体"/>
                <w:snapToGrid w:val="0"/>
                <w:color w:val="FF0000"/>
                <w:kern w:val="0"/>
                <w:sz w:val="24"/>
                <w:szCs w:val="24"/>
                <w:highlight w:val="none"/>
                <w:lang w:val="en-US" w:eastAsia="zh-CN"/>
              </w:rPr>
              <w:t>全过程造价咨询</w:t>
            </w:r>
            <w:r>
              <w:rPr>
                <w:rFonts w:hint="eastAsia" w:ascii="宋体" w:hAnsi="宋体" w:eastAsia="宋体" w:cs="宋体"/>
                <w:snapToGrid w:val="0"/>
                <w:color w:val="FF0000"/>
                <w:kern w:val="0"/>
                <w:sz w:val="24"/>
                <w:szCs w:val="24"/>
                <w:highlight w:val="none"/>
                <w:lang w:eastAsia="zh-CN"/>
              </w:rPr>
              <w:t>单位</w:t>
            </w:r>
          </w:p>
        </w:tc>
      </w:tr>
      <w:tr w14:paraId="5990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27185083">
            <w:pPr>
              <w:pStyle w:val="138"/>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4194" w:type="dxa"/>
            <w:noWrap w:val="0"/>
            <w:vAlign w:val="center"/>
          </w:tcPr>
          <w:p w14:paraId="7625F760">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color w:val="auto"/>
                <w:sz w:val="24"/>
                <w:szCs w:val="24"/>
                <w:highlight w:val="none"/>
                <w:lang w:val="en-US" w:eastAsia="zh-CN"/>
              </w:rPr>
              <w:t>华伦中建建设股份有限公司</w:t>
            </w:r>
          </w:p>
        </w:tc>
        <w:tc>
          <w:tcPr>
            <w:tcW w:w="4145" w:type="dxa"/>
            <w:noWrap w:val="0"/>
            <w:vAlign w:val="center"/>
          </w:tcPr>
          <w:p w14:paraId="0B7A9989">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184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19" w:type="dxa"/>
            <w:noWrap w:val="0"/>
            <w:vAlign w:val="center"/>
          </w:tcPr>
          <w:p w14:paraId="66BEACF6">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4194" w:type="dxa"/>
            <w:noWrap w:val="0"/>
            <w:vAlign w:val="center"/>
          </w:tcPr>
          <w:p w14:paraId="1C0A944B">
            <w:pPr>
              <w:pStyle w:val="138"/>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FF0000"/>
                <w:kern w:val="0"/>
                <w:sz w:val="24"/>
                <w:szCs w:val="24"/>
                <w:highlight w:val="none"/>
                <w:lang w:val="en-US" w:eastAsia="zh-CN"/>
              </w:rPr>
              <w:t>永信建设管理有限公司</w:t>
            </w:r>
          </w:p>
        </w:tc>
        <w:tc>
          <w:tcPr>
            <w:tcW w:w="4145" w:type="dxa"/>
            <w:noWrap w:val="0"/>
            <w:vAlign w:val="center"/>
          </w:tcPr>
          <w:p w14:paraId="2BCD4F50">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3952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19" w:type="dxa"/>
            <w:noWrap w:val="0"/>
            <w:vAlign w:val="center"/>
          </w:tcPr>
          <w:p w14:paraId="55010D8A">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4194" w:type="dxa"/>
            <w:noWrap w:val="0"/>
            <w:vAlign w:val="center"/>
          </w:tcPr>
          <w:p w14:paraId="47C158D8">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深圳市腾达工程顾问有限公司</w:t>
            </w:r>
          </w:p>
        </w:tc>
        <w:tc>
          <w:tcPr>
            <w:tcW w:w="4145" w:type="dxa"/>
            <w:noWrap w:val="0"/>
            <w:vAlign w:val="center"/>
          </w:tcPr>
          <w:p w14:paraId="62953A01">
            <w:pPr>
              <w:pStyle w:val="138"/>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69A9FCA3">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14:paraId="3A1FB3A4">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67EFE8D4">
      <w:pPr>
        <w:pStyle w:val="3"/>
        <w:wordWrap w:val="0"/>
        <w:autoSpaceDE/>
        <w:autoSpaceDN/>
        <w:snapToGrid w:val="0"/>
        <w:ind w:firstLine="480"/>
        <w:jc w:val="both"/>
        <w:rPr>
          <w:rFonts w:hint="eastAsia" w:hAnsi="宋体" w:cs="宋体"/>
          <w:b/>
          <w:snapToGrid w:val="0"/>
          <w:color w:val="auto"/>
          <w:szCs w:val="24"/>
          <w:highlight w:val="none"/>
        </w:rPr>
      </w:pPr>
      <w:bookmarkStart w:id="38" w:name="_Toc9145"/>
      <w:bookmarkStart w:id="39" w:name="_Toc786"/>
      <w:bookmarkStart w:id="40" w:name="_Toc7546"/>
      <w:r>
        <w:rPr>
          <w:rFonts w:hint="eastAsia" w:hAnsi="宋体" w:cs="宋体"/>
          <w:b/>
          <w:snapToGrid w:val="0"/>
          <w:color w:val="auto"/>
          <w:szCs w:val="24"/>
          <w:highlight w:val="none"/>
        </w:rPr>
        <w:t>3．招标文件的获取、提问和答疑</w:t>
      </w:r>
      <w:bookmarkEnd w:id="38"/>
      <w:bookmarkEnd w:id="39"/>
      <w:bookmarkEnd w:id="40"/>
    </w:p>
    <w:p w14:paraId="2EB66745">
      <w:pPr>
        <w:tabs>
          <w:tab w:val="left" w:pos="7020"/>
        </w:tabs>
        <w:wordWrap w:val="0"/>
        <w:adjustRightInd w:val="0"/>
        <w:snapToGrid w:val="0"/>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3.1 </w:t>
      </w:r>
      <w:r>
        <w:rPr>
          <w:rFonts w:hint="eastAsia" w:hAnsi="宋体" w:cs="宋体"/>
          <w:snapToGrid w:val="0"/>
          <w:color w:val="auto"/>
          <w:kern w:val="0"/>
          <w:szCs w:val="24"/>
          <w:highlight w:val="none"/>
        </w:rPr>
        <w:t>本次招标实行电子投标。</w:t>
      </w:r>
    </w:p>
    <w:p w14:paraId="0EF45E69">
      <w:pPr>
        <w:tabs>
          <w:tab w:val="left" w:pos="7020"/>
        </w:tabs>
        <w:wordWrap w:val="0"/>
        <w:adjustRightInd w:val="0"/>
        <w:snapToGrid w:val="0"/>
        <w:ind w:firstLine="480" w:firstLineChars="200"/>
        <w:rPr>
          <w:rFonts w:hint="eastAsia" w:hAnsi="宋体" w:cs="宋体"/>
          <w:b/>
          <w:bCs/>
          <w:snapToGrid w:val="0"/>
          <w:color w:val="auto"/>
          <w:kern w:val="0"/>
          <w:szCs w:val="24"/>
          <w:highlight w:val="none"/>
        </w:rPr>
      </w:pPr>
      <w:r>
        <w:rPr>
          <w:rFonts w:hint="eastAsia" w:hAnsi="宋体" w:cs="宋体"/>
          <w:snapToGrid w:val="0"/>
          <w:color w:val="auto"/>
          <w:kern w:val="0"/>
          <w:szCs w:val="24"/>
          <w:highlight w:val="none"/>
        </w:rPr>
        <w:t>本次招标实行电子投标。本项目招标文件随招标公告一并在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网站发布。招标文件一经在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发布，视为</w:t>
      </w:r>
      <w:r>
        <w:rPr>
          <w:rFonts w:hint="eastAsia" w:hAnsi="宋体" w:cs="宋体"/>
          <w:snapToGrid w:val="0"/>
          <w:color w:val="auto"/>
          <w:kern w:val="0"/>
          <w:szCs w:val="24"/>
          <w:highlight w:val="none"/>
          <w:lang w:eastAsia="zh-CN"/>
        </w:rPr>
        <w:t>发送</w:t>
      </w:r>
      <w:r>
        <w:rPr>
          <w:rFonts w:hint="eastAsia" w:hAnsi="宋体" w:cs="宋体"/>
          <w:snapToGrid w:val="0"/>
          <w:color w:val="auto"/>
          <w:kern w:val="0"/>
          <w:szCs w:val="24"/>
          <w:highlight w:val="none"/>
        </w:rPr>
        <w:t>投标人，招标文件及相关附件由投标人自行在</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网站下载。请于招标文件获取期间,（见本公告第10条“重要事项时间地点一览表”）招标文件获取期间与招标公告发布时间一致，投标人须登录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，使用新建设工程交易系统进行下载招标文件及相关附件，并于电子投标截止时间（见本公告第10条“重要事项时间地点一览表”）前完成电子投标。投标人可登录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，在【交易指引】栏目中建设工程交易中下载《</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整合建设项目建设工程交易（投标人）用户手册》（附件2），了解网上获取招标文件操作流程。技术咨询电话：18819797080/0751-8379671 伍先生，业务咨询电话：0751-8633211、8633071。</w:t>
      </w:r>
    </w:p>
    <w:p w14:paraId="41520B37">
      <w:pPr>
        <w:tabs>
          <w:tab w:val="left" w:pos="7020"/>
        </w:tabs>
        <w:wordWrap w:val="0"/>
        <w:adjustRightInd w:val="0"/>
        <w:snapToGrid w:val="0"/>
        <w:spacing w:line="440" w:lineRule="exact"/>
        <w:ind w:firstLine="482" w:firstLineChars="20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 xml:space="preserve">3.2 </w:t>
      </w:r>
      <w:r>
        <w:rPr>
          <w:rFonts w:hint="eastAsia" w:hAnsi="宋体" w:cs="宋体"/>
          <w:snapToGrid w:val="0"/>
          <w:color w:val="auto"/>
          <w:kern w:val="0"/>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F940CE7">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首次在韶关市参与建设工程招标投标活动的投标人，必须在平台系统上传企业相关资料办理企业入库事宜。投标人可登录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办理办理企业入库、数字证书及电子印章事宜，具体请在平台查阅相应的交易指引。</w:t>
      </w:r>
    </w:p>
    <w:p w14:paraId="69DE598D">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已入库企业有关信息（如单位名称、基本账号、资质、人员等）发生变化的，须及时在交易系统进行相应变更。投标人未及时变更信息而造成的损失和后果，由投标人自行承担。</w:t>
      </w:r>
    </w:p>
    <w:p w14:paraId="6EF5E9FD">
      <w:pPr>
        <w:tabs>
          <w:tab w:val="left" w:pos="7020"/>
        </w:tabs>
        <w:wordWrap w:val="0"/>
        <w:adjustRightInd w:val="0"/>
        <w:snapToGrid w:val="0"/>
        <w:spacing w:line="440" w:lineRule="exact"/>
        <w:ind w:firstLine="480" w:firstLineChars="20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5C5291">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6B62519D">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投标保证</w:t>
      </w:r>
    </w:p>
    <w:p w14:paraId="6E46E118">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3.3.1</w:t>
      </w:r>
      <w:r>
        <w:rPr>
          <w:rFonts w:hint="eastAsia" w:ascii="Times New Roman"/>
          <w:snapToGrid w:val="0"/>
          <w:color w:val="auto"/>
          <w:kern w:val="0"/>
          <w:highlight w:val="none"/>
        </w:rPr>
        <w:t xml:space="preserve"> 投标人须缴纳金额为人民币</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eastAsia="zh-CN"/>
        </w:rPr>
        <w:t>2万元</w:t>
      </w:r>
      <w:r>
        <w:rPr>
          <w:rFonts w:hint="eastAsia" w:ascii="Times New Roman"/>
          <w:snapToGrid w:val="0"/>
          <w:color w:val="auto"/>
          <w:kern w:val="0"/>
          <w:highlight w:val="none"/>
          <w:u w:val="single"/>
          <w:lang w:val="en-US" w:eastAsia="zh-CN"/>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 xml:space="preserve">的投标保证。 </w:t>
      </w:r>
    </w:p>
    <w:p w14:paraId="73ADE99E">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3.3.2</w:t>
      </w:r>
      <w:r>
        <w:rPr>
          <w:rFonts w:hint="eastAsia" w:ascii="Times New Roman"/>
          <w:snapToGrid w:val="0"/>
          <w:color w:val="auto"/>
          <w:kern w:val="0"/>
          <w:highlight w:val="none"/>
        </w:rPr>
        <w:t xml:space="preserve"> 投标保证的形式包括投标保证金、投标保证担保、投标保证保险三种，由投标人自主选择。</w:t>
      </w:r>
    </w:p>
    <w:p w14:paraId="7765F5E3">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（1）采用投标保证金的，投标人在建设工程交易系统</w:t>
      </w:r>
      <w:r>
        <w:rPr>
          <w:rFonts w:hint="eastAsia" w:hAnsi="宋体" w:cs="宋体"/>
          <w:snapToGrid w:val="0"/>
          <w:color w:val="auto"/>
          <w:kern w:val="0"/>
          <w:szCs w:val="24"/>
          <w:highlight w:val="none"/>
        </w:rPr>
        <w:t>获取招标文件</w:t>
      </w:r>
      <w:r>
        <w:rPr>
          <w:rFonts w:hint="eastAsia" w:ascii="Times New Roman"/>
          <w:snapToGrid w:val="0"/>
          <w:color w:val="auto"/>
          <w:kern w:val="0"/>
          <w:highlight w:val="none"/>
        </w:rPr>
        <w:t>完毕后，即可在系统申请缴纳投标保证金，获取本次招标投标保证金缴纳账号。投标人必须于投标保证金到账截止时间（见</w:t>
      </w:r>
      <w:r>
        <w:rPr>
          <w:rFonts w:hint="eastAsia" w:hAnsi="宋体" w:cs="宋体"/>
          <w:snapToGrid w:val="0"/>
          <w:color w:val="auto"/>
          <w:kern w:val="0"/>
          <w:szCs w:val="24"/>
          <w:highlight w:val="none"/>
        </w:rPr>
        <w:t>本公告第10条</w:t>
      </w:r>
      <w:r>
        <w:rPr>
          <w:rFonts w:hint="eastAsia" w:ascii="Times New Roman"/>
          <w:snapToGrid w:val="0"/>
          <w:color w:val="auto"/>
          <w:kern w:val="0"/>
          <w:highlight w:val="none"/>
        </w:rPr>
        <w:t>“重要事项时间地点一览表”）前，从其基本账户将投标保证金转账到指定的缴纳账号。逾期到账的、从非投标人基本账户转出的，其投标无效。</w:t>
      </w:r>
    </w:p>
    <w:p w14:paraId="478B05F4">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7A9E6213">
      <w:pPr>
        <w:tabs>
          <w:tab w:val="left" w:pos="7020"/>
        </w:tabs>
        <w:wordWrap w:val="0"/>
        <w:adjustRightInd w:val="0"/>
        <w:snapToGrid w:val="0"/>
        <w:spacing w:line="440" w:lineRule="exact"/>
        <w:ind w:firstLine="480" w:firstLineChars="200"/>
        <w:rPr>
          <w:rFonts w:hint="eastAsia" w:hAnsi="宋体" w:cs="宋体"/>
          <w:color w:val="auto"/>
          <w:szCs w:val="24"/>
          <w:highlight w:val="none"/>
        </w:rPr>
      </w:pPr>
      <w:r>
        <w:rPr>
          <w:rFonts w:hint="eastAsia" w:ascii="Times New Roman"/>
          <w:snapToGrid w:val="0"/>
          <w:color w:val="auto"/>
          <w:kern w:val="0"/>
          <w:highlight w:val="none"/>
        </w:rPr>
        <w:t>（3）采用投标保证保险的，投标人须在投标保证保险投保截止时间（见</w:t>
      </w:r>
      <w:r>
        <w:rPr>
          <w:rFonts w:hint="eastAsia" w:hAnsi="宋体" w:cs="宋体"/>
          <w:snapToGrid w:val="0"/>
          <w:color w:val="auto"/>
          <w:kern w:val="0"/>
          <w:szCs w:val="24"/>
          <w:highlight w:val="none"/>
        </w:rPr>
        <w:t>本公告第10条</w:t>
      </w:r>
      <w:r>
        <w:rPr>
          <w:rFonts w:hint="eastAsia" w:ascii="Times New Roman"/>
          <w:snapToGrid w:val="0"/>
          <w:color w:val="auto"/>
          <w:kern w:val="0"/>
          <w:highlight w:val="none"/>
        </w:rPr>
        <w:t>“重要事项时间地点一览表”）前，使用建设工程交易系统完成网上投保。投标人可在系统选择保险机构、录入投保信息、支付保费、打印电子保单，电子保单的有效期不得短于投标有效期。投标人可登录</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color w:val="auto"/>
          <w:szCs w:val="24"/>
          <w:highlight w:val="none"/>
        </w:rPr>
        <w:t>，</w:t>
      </w:r>
      <w:r>
        <w:rPr>
          <w:rFonts w:hint="eastAsia" w:hAnsi="宋体" w:cs="宋体"/>
          <w:color w:val="auto"/>
          <w:szCs w:val="24"/>
          <w:highlight w:val="none"/>
          <w:lang w:eastAsia="zh-CN"/>
        </w:rPr>
        <w:t>在【服务指南】栏目中下载《韶关市公共资源建设工程交易系统-投标人操作指南》，了解网上投保具体操作流程。逾期投保的，其投标无效。</w:t>
      </w:r>
      <w:r>
        <w:rPr>
          <w:rFonts w:hint="eastAsia" w:hAnsi="宋体" w:cs="宋体"/>
          <w:color w:val="auto"/>
          <w:szCs w:val="24"/>
          <w:highlight w:val="none"/>
        </w:rPr>
        <w:t xml:space="preserve">    </w:t>
      </w:r>
    </w:p>
    <w:p w14:paraId="76F3468D">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温馨提醒：1.投标人采用投标保证担保或投标保证保险的，为避免在评标过程中因有效期发生争议，建议投标人将银行保函或电子保单有效期设置为较招标文件规定的投标有效期延长不少于20个日历天。</w:t>
      </w:r>
    </w:p>
    <w:p w14:paraId="6C77FC41">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07C329B4">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3.4</w:t>
      </w:r>
      <w:r>
        <w:rPr>
          <w:rFonts w:hint="eastAsia" w:ascii="Times New Roman"/>
          <w:snapToGrid w:val="0"/>
          <w:color w:val="auto"/>
          <w:kern w:val="0"/>
          <w:highlight w:val="none"/>
        </w:rPr>
        <w:t xml:space="preserve"> 若投标人因自身原因未能正确完成</w:t>
      </w:r>
      <w:r>
        <w:rPr>
          <w:rFonts w:hint="eastAsia" w:ascii="Times New Roman"/>
          <w:snapToGrid w:val="0"/>
          <w:color w:val="auto"/>
          <w:kern w:val="0"/>
          <w:highlight w:val="none"/>
          <w:lang w:eastAsia="zh-CN"/>
        </w:rPr>
        <w:t>获取招标文件</w:t>
      </w:r>
      <w:r>
        <w:rPr>
          <w:rFonts w:hint="eastAsia" w:ascii="Times New Roman"/>
          <w:snapToGrid w:val="0"/>
          <w:color w:val="auto"/>
          <w:kern w:val="0"/>
          <w:highlight w:val="none"/>
        </w:rPr>
        <w:t>、电子投标、缴纳投标保证的，其投标无效。</w:t>
      </w:r>
    </w:p>
    <w:p w14:paraId="5CEC48C5">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4A963D71">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4．工期要求</w:t>
      </w:r>
    </w:p>
    <w:p w14:paraId="632DBF02">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本招标项目施工工期为90个日历天</w:t>
      </w:r>
      <w:r>
        <w:rPr>
          <w:rFonts w:hint="eastAsia" w:ascii="Times New Roman"/>
          <w:snapToGrid w:val="0"/>
          <w:color w:val="auto"/>
          <w:kern w:val="0"/>
          <w:highlight w:val="none"/>
        </w:rPr>
        <w:t>。中标人必须在招标工期内完成招标范围内的全部内容。</w:t>
      </w:r>
      <w:bookmarkStart w:id="41" w:name="_Toc7508"/>
    </w:p>
    <w:p w14:paraId="0A32A177">
      <w:pPr>
        <w:pStyle w:val="5"/>
        <w:spacing w:before="0" w:after="0" w:line="240" w:lineRule="auto"/>
        <w:rPr>
          <w:color w:val="auto"/>
          <w:highlight w:val="none"/>
        </w:rPr>
      </w:pPr>
    </w:p>
    <w:p w14:paraId="6A40A4F7">
      <w:pPr>
        <w:pStyle w:val="3"/>
        <w:wordWrap w:val="0"/>
        <w:autoSpaceDE/>
        <w:autoSpaceDN/>
        <w:snapToGrid w:val="0"/>
        <w:ind w:firstLine="480"/>
        <w:jc w:val="both"/>
        <w:rPr>
          <w:rFonts w:hint="eastAsia" w:ascii="宋体" w:hAnsi="宋体" w:eastAsia="宋体" w:cs="宋体"/>
          <w:b/>
          <w:snapToGrid w:val="0"/>
          <w:color w:val="auto"/>
          <w:szCs w:val="24"/>
          <w:highlight w:val="none"/>
        </w:rPr>
      </w:pPr>
      <w:bookmarkStart w:id="42" w:name="_Toc22628"/>
      <w:bookmarkStart w:id="43" w:name="_Toc24080"/>
      <w:r>
        <w:rPr>
          <w:rFonts w:hint="eastAsia" w:ascii="宋体" w:hAnsi="宋体" w:eastAsia="宋体" w:cs="宋体"/>
          <w:b/>
          <w:snapToGrid w:val="0"/>
          <w:color w:val="auto"/>
          <w:szCs w:val="24"/>
          <w:highlight w:val="none"/>
        </w:rPr>
        <w:t>5．质量标准和材料、机械要求</w:t>
      </w:r>
      <w:bookmarkEnd w:id="41"/>
      <w:bookmarkEnd w:id="42"/>
      <w:bookmarkEnd w:id="43"/>
    </w:p>
    <w:p w14:paraId="78476BD8">
      <w:pPr>
        <w:wordWrap w:val="0"/>
        <w:adjustRightInd w:val="0"/>
        <w:snapToGrid w:val="0"/>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 5.1</w:t>
      </w:r>
      <w:r>
        <w:rPr>
          <w:rFonts w:hint="eastAsia" w:ascii="Times New Roman"/>
          <w:snapToGrid w:val="0"/>
          <w:color w:val="auto"/>
          <w:kern w:val="0"/>
          <w:highlight w:val="none"/>
        </w:rPr>
        <w:t xml:space="preserve"> 施工工艺严格按照国家和广东省的有关现行施工技术规范及标准执行，工程质量标准须达到</w:t>
      </w:r>
      <w:r>
        <w:rPr>
          <w:rFonts w:hint="eastAsia" w:hAnsi="宋体" w:eastAsia="宋体" w:cs="宋体"/>
          <w:snapToGrid w:val="0"/>
          <w:color w:val="auto"/>
          <w:kern w:val="0"/>
          <w:highlight w:val="none"/>
          <w:u w:val="single"/>
          <w:lang w:val="en-US" w:eastAsia="zh-CN"/>
        </w:rPr>
        <w:t>合格标准</w:t>
      </w:r>
      <w:r>
        <w:rPr>
          <w:rFonts w:hAnsi="宋体" w:cs="宋体"/>
          <w:snapToGrid w:val="0"/>
          <w:color w:val="auto"/>
          <w:kern w:val="0"/>
          <w:highlight w:val="none"/>
          <w:u w:val="single"/>
        </w:rPr>
        <w:t>。如未达到合格标准，则按合同价款的 1 %向招标人返纳质量违约金，并由中标人负责返修至合格标准，返修费用由中标人承担，同时承担所有的责任及经济损失。</w:t>
      </w:r>
    </w:p>
    <w:p w14:paraId="5FBB540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14:paraId="46EEF64D">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b/>
          <w:bCs/>
          <w:snapToGrid w:val="0"/>
          <w:color w:val="auto"/>
          <w:kern w:val="0"/>
          <w:highlight w:val="none"/>
        </w:rPr>
        <w:t>5.3</w:t>
      </w:r>
      <w:r>
        <w:rPr>
          <w:rFonts w:hint="eastAsia" w:ascii="Times New Roman"/>
          <w:snapToGrid w:val="0"/>
          <w:color w:val="auto"/>
          <w:kern w:val="0"/>
          <w:highlight w:val="none"/>
        </w:rPr>
        <w:t xml:space="preserve"> 保修期限按《</w:t>
      </w:r>
      <w:r>
        <w:rPr>
          <w:rFonts w:ascii="Times New Roman"/>
          <w:snapToGrid w:val="0"/>
          <w:color w:val="auto"/>
          <w:kern w:val="0"/>
          <w:highlight w:val="none"/>
        </w:rPr>
        <w:t>建设工程质量管理条例</w:t>
      </w:r>
      <w:r>
        <w:rPr>
          <w:rFonts w:hint="eastAsia" w:ascii="Times New Roman"/>
          <w:snapToGrid w:val="0"/>
          <w:color w:val="auto"/>
          <w:kern w:val="0"/>
          <w:highlight w:val="none"/>
        </w:rPr>
        <w:t>》（</w:t>
      </w:r>
      <w:r>
        <w:rPr>
          <w:rFonts w:ascii="Times New Roman"/>
          <w:snapToGrid w:val="0"/>
          <w:color w:val="auto"/>
          <w:kern w:val="0"/>
          <w:highlight w:val="none"/>
        </w:rPr>
        <w:t>中华人民共和国国务院令第279号</w:t>
      </w:r>
      <w:r>
        <w:rPr>
          <w:rFonts w:hint="eastAsia" w:ascii="Times New Roman"/>
          <w:snapToGrid w:val="0"/>
          <w:color w:val="auto"/>
          <w:kern w:val="0"/>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9DDC72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5.4</w:t>
      </w:r>
      <w:r>
        <w:rPr>
          <w:rFonts w:hint="eastAsia" w:ascii="Times New Roman"/>
          <w:snapToGrid w:val="0"/>
          <w:color w:val="auto"/>
          <w:kern w:val="0"/>
          <w:highlight w:val="none"/>
        </w:rPr>
        <w:t xml:space="preserve"> 工程使用的主要材料质量要求不低于招标工程量清单所列的要求。主要材料必须先提供样板给招标人确定其颜色、等级等，</w:t>
      </w:r>
      <w:r>
        <w:rPr>
          <w:rFonts w:hint="eastAsia" w:ascii="Times New Roman"/>
          <w:snapToGrid w:val="0"/>
          <w:color w:val="auto"/>
          <w:kern w:val="0"/>
          <w:highlight w:val="none"/>
          <w:lang w:val="zh-CN"/>
        </w:rPr>
        <w:t>并经检测部门检测合格</w:t>
      </w:r>
      <w:r>
        <w:rPr>
          <w:rFonts w:hint="eastAsia" w:ascii="Times New Roman"/>
          <w:snapToGrid w:val="0"/>
          <w:color w:val="auto"/>
          <w:kern w:val="0"/>
          <w:highlight w:val="none"/>
        </w:rPr>
        <w:t>方可使用，所有材料必须使用合格产品。</w:t>
      </w:r>
    </w:p>
    <w:p w14:paraId="7C056194">
      <w:pPr>
        <w:wordWrap w:val="0"/>
        <w:adjustRightInd w:val="0"/>
        <w:snapToGrid w:val="0"/>
        <w:spacing w:line="440" w:lineRule="exact"/>
        <w:ind w:firstLine="560"/>
        <w:rPr>
          <w:rFonts w:hint="eastAsia" w:ascii="Times New Roman"/>
          <w:i/>
          <w:iCs/>
          <w:snapToGrid w:val="0"/>
          <w:color w:val="auto"/>
          <w:kern w:val="0"/>
          <w:highlight w:val="none"/>
        </w:rPr>
      </w:pPr>
      <w:r>
        <w:rPr>
          <w:rFonts w:hint="eastAsia" w:ascii="Times New Roman"/>
          <w:b/>
          <w:bCs/>
          <w:snapToGrid w:val="0"/>
          <w:color w:val="auto"/>
          <w:kern w:val="0"/>
          <w:highlight w:val="none"/>
        </w:rPr>
        <w:t>5.5</w:t>
      </w:r>
      <w:r>
        <w:rPr>
          <w:rFonts w:hint="eastAsia" w:ascii="Times New Roman"/>
          <w:snapToGrid w:val="0"/>
          <w:color w:val="auto"/>
          <w:kern w:val="0"/>
          <w:highlight w:val="none"/>
        </w:rPr>
        <w:t xml:space="preserve"> </w:t>
      </w:r>
      <w:r>
        <w:rPr>
          <w:rFonts w:hAnsi="宋体" w:cs="宋体"/>
          <w:snapToGrid w:val="0"/>
          <w:color w:val="auto"/>
          <w:kern w:val="0"/>
          <w:highlight w:val="none"/>
        </w:rPr>
        <w:t>根据韶关市人民政府《关于加快推进全市绿色建筑发展工作的通知》（韶府办明电〔2013〕277号）有关规定，本招标项目不纳入绿色建筑实施范围。</w:t>
      </w:r>
    </w:p>
    <w:p w14:paraId="6EADCAC1">
      <w:pPr>
        <w:wordWrap w:val="0"/>
        <w:adjustRightInd w:val="0"/>
        <w:snapToGrid w:val="0"/>
        <w:spacing w:line="440" w:lineRule="exact"/>
        <w:ind w:firstLine="560"/>
        <w:rPr>
          <w:rFonts w:hint="eastAsia" w:ascii="Times New Roman" w:eastAsia="宋体"/>
          <w:snapToGrid w:val="0"/>
          <w:color w:val="auto"/>
          <w:kern w:val="0"/>
          <w:highlight w:val="none"/>
          <w:u w:val="single"/>
          <w:lang w:eastAsia="zh-CN"/>
        </w:rPr>
      </w:pPr>
      <w:r>
        <w:rPr>
          <w:rFonts w:hint="eastAsia" w:ascii="Times New Roman"/>
          <w:b/>
          <w:bCs/>
          <w:snapToGrid w:val="0"/>
          <w:color w:val="auto"/>
          <w:kern w:val="0"/>
          <w:highlight w:val="none"/>
        </w:rPr>
        <w:t>5.6</w:t>
      </w:r>
      <w:r>
        <w:rPr>
          <w:rFonts w:hint="eastAsia" w:ascii="Times New Roman"/>
          <w:snapToGrid w:val="0"/>
          <w:color w:val="auto"/>
          <w:kern w:val="0"/>
          <w:highlight w:val="none"/>
        </w:rPr>
        <w:t xml:space="preserve"> 其它：</w:t>
      </w:r>
      <w:r>
        <w:rPr>
          <w:rFonts w:hAnsi="宋体" w:cs="宋体"/>
          <w:snapToGrid w:val="0"/>
          <w:color w:val="auto"/>
          <w:kern w:val="0"/>
          <w:highlight w:val="none"/>
        </w:rPr>
        <w:t>本招标项目不纳入装配式建造建设实施范围</w:t>
      </w:r>
      <w:r>
        <w:rPr>
          <w:rFonts w:hint="eastAsia" w:hAnsi="宋体" w:cs="宋体"/>
          <w:snapToGrid w:val="0"/>
          <w:color w:val="auto"/>
          <w:kern w:val="0"/>
          <w:highlight w:val="none"/>
          <w:lang w:eastAsia="zh-CN"/>
        </w:rPr>
        <w:t>。</w:t>
      </w:r>
    </w:p>
    <w:p w14:paraId="6BB83919">
      <w:pPr>
        <w:wordWrap w:val="0"/>
        <w:adjustRightInd w:val="0"/>
        <w:snapToGrid w:val="0"/>
        <w:spacing w:line="420" w:lineRule="exact"/>
        <w:ind w:firstLine="560"/>
        <w:rPr>
          <w:rFonts w:hint="eastAsia"/>
          <w:snapToGrid w:val="0"/>
          <w:color w:val="auto"/>
          <w:kern w:val="0"/>
          <w:highlight w:val="none"/>
        </w:rPr>
      </w:pPr>
      <w:bookmarkStart w:id="44" w:name="_Hlt111690342"/>
      <w:bookmarkEnd w:id="44"/>
      <w:bookmarkStart w:id="45" w:name="_Hlt74496537"/>
      <w:bookmarkEnd w:id="45"/>
      <w:bookmarkStart w:id="46" w:name="_Hlt120502666"/>
      <w:bookmarkEnd w:id="46"/>
      <w:bookmarkStart w:id="47" w:name="_Hlt74493474"/>
      <w:bookmarkEnd w:id="47"/>
      <w:bookmarkStart w:id="48" w:name="_Hlt121563076"/>
      <w:bookmarkEnd w:id="48"/>
      <w:bookmarkStart w:id="49" w:name="_Hlt88974078"/>
      <w:bookmarkEnd w:id="49"/>
      <w:bookmarkStart w:id="50" w:name="_Hlt69699204"/>
      <w:bookmarkEnd w:id="50"/>
      <w:bookmarkStart w:id="51" w:name="_Hlt69356505"/>
      <w:bookmarkEnd w:id="51"/>
      <w:bookmarkStart w:id="52" w:name="_Toc2679"/>
      <w:r>
        <w:rPr>
          <w:rFonts w:hint="eastAsia" w:ascii="Times New Roman"/>
          <w:b/>
          <w:bCs/>
          <w:snapToGrid w:val="0"/>
          <w:color w:val="auto"/>
          <w:kern w:val="0"/>
          <w:highlight w:val="none"/>
        </w:rPr>
        <w:t>5.7</w:t>
      </w:r>
      <w:r>
        <w:rPr>
          <w:rFonts w:hint="eastAsia" w:ascii="Times New Roman"/>
          <w:snapToGrid w:val="0"/>
          <w:color w:val="auto"/>
          <w:kern w:val="0"/>
          <w:highlight w:val="none"/>
        </w:rPr>
        <w:t xml:space="preserve"> 其它：</w:t>
      </w:r>
      <w:r>
        <w:rPr>
          <w:rFonts w:hint="eastAsia"/>
          <w:snapToGrid w:val="0"/>
          <w:color w:val="auto"/>
          <w:kern w:val="0"/>
          <w:highlight w:val="none"/>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1375B448">
      <w:pPr>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5.8</w:t>
      </w:r>
      <w:r>
        <w:rPr>
          <w:rFonts w:hint="eastAsia" w:ascii="Times New Roman"/>
          <w:snapToGrid w:val="0"/>
          <w:color w:val="auto"/>
          <w:kern w:val="0"/>
          <w:highlight w:val="none"/>
        </w:rPr>
        <w:t xml:space="preserve"> </w:t>
      </w:r>
      <w:r>
        <w:rPr>
          <w:rFonts w:hint="eastAsia" w:hAnsi="宋体"/>
          <w:color w:val="auto"/>
          <w:highlight w:val="none"/>
        </w:rPr>
        <w:t>工程使用的主要材料质量要求：不低于强制标准所列的要求，主要材料必须先提供样板或相关资料给招标人同意确定其规格、型号、颜色、等级等，</w:t>
      </w:r>
      <w:r>
        <w:rPr>
          <w:rFonts w:hint="eastAsia" w:hAnsi="宋体" w:cs="宋体"/>
          <w:color w:val="auto"/>
          <w:highlight w:val="none"/>
          <w:lang w:val="zh-CN"/>
        </w:rPr>
        <w:t>并经发包人委托的第三方检测部门检测合格</w:t>
      </w:r>
      <w:r>
        <w:rPr>
          <w:rFonts w:hint="eastAsia" w:hAnsi="宋体"/>
          <w:color w:val="auto"/>
          <w:highlight w:val="none"/>
        </w:rPr>
        <w:t>方可使用，所有材料必须使用合格产品。</w:t>
      </w:r>
    </w:p>
    <w:p w14:paraId="07251584">
      <w:pPr>
        <w:pStyle w:val="3"/>
        <w:wordWrap w:val="0"/>
        <w:autoSpaceDE/>
        <w:autoSpaceDN/>
        <w:snapToGrid w:val="0"/>
        <w:spacing w:line="440" w:lineRule="exact"/>
        <w:ind w:firstLine="480"/>
        <w:jc w:val="both"/>
        <w:rPr>
          <w:rFonts w:hint="eastAsia" w:ascii="Times New Roman"/>
          <w:b/>
          <w:snapToGrid w:val="0"/>
          <w:color w:val="auto"/>
          <w:highlight w:val="none"/>
        </w:rPr>
      </w:pPr>
    </w:p>
    <w:p w14:paraId="37C91A6F">
      <w:pPr>
        <w:pStyle w:val="3"/>
        <w:wordWrap w:val="0"/>
        <w:autoSpaceDE/>
        <w:autoSpaceDN/>
        <w:snapToGrid w:val="0"/>
        <w:spacing w:line="440" w:lineRule="exact"/>
        <w:ind w:firstLine="480"/>
        <w:jc w:val="both"/>
        <w:rPr>
          <w:rFonts w:ascii="Times New Roman"/>
          <w:b/>
          <w:snapToGrid w:val="0"/>
          <w:color w:val="auto"/>
          <w:highlight w:val="none"/>
        </w:rPr>
      </w:pPr>
      <w:bookmarkStart w:id="53" w:name="_Toc21373"/>
      <w:bookmarkStart w:id="54" w:name="_Toc19673"/>
      <w:r>
        <w:rPr>
          <w:rFonts w:hint="eastAsia" w:ascii="Times New Roman"/>
          <w:b/>
          <w:snapToGrid w:val="0"/>
          <w:color w:val="auto"/>
          <w:highlight w:val="none"/>
        </w:rPr>
        <w:t>6．施工条件及现场踏勘</w:t>
      </w:r>
      <w:bookmarkEnd w:id="52"/>
      <w:bookmarkEnd w:id="53"/>
      <w:bookmarkEnd w:id="54"/>
    </w:p>
    <w:p w14:paraId="1465404F">
      <w:pPr>
        <w:pStyle w:val="12"/>
        <w:keepNext w:val="0"/>
        <w:keepLines w:val="0"/>
        <w:pageBreakBefore w:val="0"/>
        <w:widowControl w:val="0"/>
        <w:kinsoku/>
        <w:wordWrap w:val="0"/>
        <w:overflowPunct/>
        <w:topLinePunct w:val="0"/>
        <w:autoSpaceDE/>
        <w:autoSpaceDN/>
        <w:bidi w:val="0"/>
        <w:adjustRightInd w:val="0"/>
        <w:snapToGrid w:val="0"/>
        <w:spacing w:line="440" w:lineRule="exact"/>
        <w:ind w:firstLine="561" w:firstLineChars="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6.1</w:t>
      </w:r>
      <w:r>
        <w:rPr>
          <w:rFonts w:hint="eastAsia" w:ascii="Times New Roman"/>
          <w:snapToGrid w:val="0"/>
          <w:color w:val="auto"/>
          <w:kern w:val="0"/>
          <w:highlight w:val="none"/>
        </w:rPr>
        <w:t xml:space="preserve"> 招标人仅在本招标项目征地红线范围内提供场地，其他一切场地费用由中标人自行负责（含临时道路）。</w:t>
      </w:r>
    </w:p>
    <w:p w14:paraId="248ED61F">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6.2</w:t>
      </w:r>
      <w:r>
        <w:rPr>
          <w:rFonts w:hint="eastAsia" w:ascii="Times New Roman"/>
          <w:snapToGrid w:val="0"/>
          <w:color w:val="auto"/>
          <w:kern w:val="0"/>
          <w:highlight w:val="none"/>
        </w:rPr>
        <w:t xml:space="preserve"> 施工用水：</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14:paraId="02EDD8E2">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6.3</w:t>
      </w:r>
      <w:r>
        <w:rPr>
          <w:rFonts w:hint="eastAsia" w:ascii="Times New Roman"/>
          <w:snapToGrid w:val="0"/>
          <w:color w:val="auto"/>
          <w:kern w:val="0"/>
          <w:highlight w:val="none"/>
        </w:rPr>
        <w:t xml:space="preserve"> 施工用电：</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14:paraId="1EFEC844">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6.4</w:t>
      </w:r>
      <w:r>
        <w:rPr>
          <w:rFonts w:hint="eastAsia" w:ascii="Times New Roman"/>
          <w:snapToGrid w:val="0"/>
          <w:color w:val="auto"/>
          <w:kern w:val="0"/>
          <w:highlight w:val="none"/>
        </w:rPr>
        <w:t xml:space="preserve"> 施工用水、用电各提供一驳接点到现场边缘。要求中标人单独安装水表、电表，其水、电费按项目所在地</w:t>
      </w:r>
      <w:r>
        <w:rPr>
          <w:rFonts w:hint="eastAsia" w:ascii="Times New Roman"/>
          <w:snapToGrid w:val="0"/>
          <w:color w:val="auto"/>
          <w:kern w:val="0"/>
          <w:highlight w:val="none"/>
          <w:u w:val="single"/>
        </w:rPr>
        <w:t xml:space="preserve"> </w:t>
      </w:r>
      <w:r>
        <w:rPr>
          <w:rFonts w:hAnsi="宋体" w:cs="宋体"/>
          <w:snapToGrid w:val="0"/>
          <w:color w:val="auto"/>
          <w:kern w:val="0"/>
          <w:highlight w:val="none"/>
          <w:u w:val="single"/>
        </w:rPr>
        <w:t>韶关市</w:t>
      </w:r>
      <w:r>
        <w:rPr>
          <w:rFonts w:hint="eastAsia" w:hAnsi="宋体" w:cs="宋体"/>
          <w:snapToGrid w:val="0"/>
          <w:color w:val="auto"/>
          <w:kern w:val="0"/>
          <w:highlight w:val="none"/>
          <w:u w:val="single"/>
          <w:lang w:val="en-US" w:eastAsia="zh-CN"/>
        </w:rPr>
        <w:t xml:space="preserve"> </w:t>
      </w:r>
      <w:r>
        <w:rPr>
          <w:rFonts w:hint="eastAsia" w:ascii="Times New Roman"/>
          <w:snapToGrid w:val="0"/>
          <w:color w:val="auto"/>
          <w:kern w:val="0"/>
          <w:highlight w:val="none"/>
        </w:rPr>
        <w:t>基建工程水、电计费标准计算并由中标人缴纳。</w:t>
      </w:r>
    </w:p>
    <w:p w14:paraId="0C5243C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6.5</w:t>
      </w:r>
      <w:r>
        <w:rPr>
          <w:rFonts w:hint="eastAsia" w:ascii="Times New Roman"/>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059DB5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6.6</w:t>
      </w:r>
      <w:r>
        <w:rPr>
          <w:rFonts w:hint="eastAsia" w:ascii="Times New Roman"/>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0A26DDDB">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6.7</w:t>
      </w:r>
      <w:r>
        <w:rPr>
          <w:rFonts w:hint="eastAsia" w:ascii="Times New Roman"/>
          <w:snapToGrid w:val="0"/>
          <w:color w:val="auto"/>
          <w:kern w:val="0"/>
          <w:highlight w:val="none"/>
        </w:rPr>
        <w:t xml:space="preserve"> 现场踏勘期间的交通、食宿由投标人自行安排，费用自理。</w:t>
      </w:r>
    </w:p>
    <w:p w14:paraId="5CB5D00B">
      <w:pPr>
        <w:pStyle w:val="3"/>
        <w:wordWrap w:val="0"/>
        <w:autoSpaceDE/>
        <w:autoSpaceDN/>
        <w:snapToGrid w:val="0"/>
        <w:spacing w:line="440" w:lineRule="exact"/>
        <w:ind w:firstLine="480"/>
        <w:jc w:val="both"/>
        <w:rPr>
          <w:rFonts w:hint="eastAsia" w:ascii="Times New Roman"/>
          <w:b/>
          <w:snapToGrid w:val="0"/>
          <w:color w:val="auto"/>
          <w:highlight w:val="none"/>
        </w:rPr>
      </w:pPr>
      <w:bookmarkStart w:id="55" w:name="_Toc18204"/>
    </w:p>
    <w:p w14:paraId="6B6ED470">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56" w:name="_Toc17021"/>
      <w:bookmarkStart w:id="57" w:name="_Toc4473"/>
      <w:r>
        <w:rPr>
          <w:rFonts w:hint="eastAsia" w:ascii="Times New Roman"/>
          <w:b/>
          <w:snapToGrid w:val="0"/>
          <w:color w:val="auto"/>
          <w:highlight w:val="none"/>
        </w:rPr>
        <w:t>7．招标文件的提问和答疑</w:t>
      </w:r>
      <w:bookmarkEnd w:id="55"/>
      <w:bookmarkEnd w:id="56"/>
      <w:bookmarkEnd w:id="57"/>
      <w:bookmarkStart w:id="58" w:name="_Hlt74496410"/>
      <w:bookmarkEnd w:id="58"/>
    </w:p>
    <w:p w14:paraId="59299D51">
      <w:pPr>
        <w:wordWrap w:val="0"/>
        <w:adjustRightInd w:val="0"/>
        <w:snapToGrid w:val="0"/>
        <w:spacing w:line="440" w:lineRule="exact"/>
        <w:ind w:firstLine="482" w:firstLineChars="200"/>
        <w:rPr>
          <w:rFonts w:hint="eastAsia" w:ascii="Times New Roman"/>
          <w:snapToGrid w:val="0"/>
          <w:color w:val="auto"/>
          <w:kern w:val="0"/>
          <w:szCs w:val="24"/>
          <w:highlight w:val="none"/>
          <w:lang w:bidi="ar"/>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Times New Roman"/>
          <w:snapToGrid w:val="0"/>
          <w:color w:val="auto"/>
          <w:kern w:val="0"/>
          <w:szCs w:val="24"/>
          <w:highlight w:val="none"/>
          <w:lang w:bidi="ar"/>
        </w:rPr>
        <w:t>。</w:t>
      </w:r>
    </w:p>
    <w:p w14:paraId="39C0DE3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 xml:space="preserve">7.2 </w:t>
      </w:r>
      <w:r>
        <w:rPr>
          <w:rFonts w:hint="eastAsia" w:ascii="Times New Roman"/>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963237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招标人对招标文件所作的答疑（或修改）公告，构成招标文件的组成部分。</w:t>
      </w:r>
    </w:p>
    <w:p w14:paraId="65E09FD8">
      <w:pPr>
        <w:wordWrap w:val="0"/>
        <w:adjustRightInd w:val="0"/>
        <w:snapToGrid w:val="0"/>
        <w:spacing w:line="440" w:lineRule="exact"/>
        <w:ind w:firstLine="560"/>
        <w:rPr>
          <w:rFonts w:hint="eastAsia" w:ascii="Times New Roman"/>
          <w:snapToGrid w:val="0"/>
          <w:color w:val="auto"/>
          <w:kern w:val="0"/>
          <w:highlight w:val="none"/>
        </w:rPr>
      </w:pPr>
    </w:p>
    <w:p w14:paraId="0AE4E144">
      <w:pPr>
        <w:pStyle w:val="3"/>
        <w:wordWrap w:val="0"/>
        <w:autoSpaceDE/>
        <w:autoSpaceDN/>
        <w:snapToGrid w:val="0"/>
        <w:spacing w:line="440" w:lineRule="exact"/>
        <w:ind w:firstLine="480"/>
        <w:jc w:val="both"/>
        <w:rPr>
          <w:rFonts w:ascii="Times New Roman"/>
          <w:b/>
          <w:snapToGrid w:val="0"/>
          <w:color w:val="auto"/>
          <w:highlight w:val="none"/>
        </w:rPr>
      </w:pPr>
      <w:bookmarkStart w:id="59" w:name="_Hlt92513715"/>
      <w:bookmarkEnd w:id="59"/>
      <w:bookmarkStart w:id="60" w:name="_Hlt69699188"/>
      <w:bookmarkEnd w:id="60"/>
      <w:bookmarkStart w:id="61" w:name="_Hlt92513711"/>
      <w:bookmarkEnd w:id="61"/>
      <w:bookmarkStart w:id="62" w:name="_Toc10334"/>
      <w:bookmarkStart w:id="63" w:name="_Toc2371"/>
      <w:bookmarkStart w:id="64" w:name="_Toc29680"/>
      <w:r>
        <w:rPr>
          <w:rFonts w:hint="eastAsia" w:ascii="Times New Roman"/>
          <w:b/>
          <w:snapToGrid w:val="0"/>
          <w:color w:val="auto"/>
          <w:highlight w:val="none"/>
        </w:rPr>
        <w:t>8．招标控制价</w:t>
      </w:r>
      <w:bookmarkEnd w:id="62"/>
      <w:bookmarkEnd w:id="63"/>
    </w:p>
    <w:p w14:paraId="7411742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8.1</w:t>
      </w:r>
      <w:r>
        <w:rPr>
          <w:rFonts w:hint="eastAsia" w:ascii="Times New Roman"/>
          <w:snapToGrid w:val="0"/>
          <w:color w:val="auto"/>
          <w:kern w:val="0"/>
          <w:highlight w:val="none"/>
        </w:rPr>
        <w:t xml:space="preserve"> 本招标项目按照以下依据编制招标控制价：</w:t>
      </w:r>
    </w:p>
    <w:p w14:paraId="5375B4B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18166A3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05C69404">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（3）施工图及相关资料；</w:t>
      </w:r>
    </w:p>
    <w:p w14:paraId="599BF03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（4）招标文件及招标工程量清单；</w:t>
      </w:r>
    </w:p>
    <w:p w14:paraId="775454F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（5）施工现场情况、工程特点及常规施工方案；</w:t>
      </w:r>
    </w:p>
    <w:p w14:paraId="518BF0E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（6）项目所在地工程造价管理机构发布的工程造价信息，工程造价信息缺项的，参照市场价格；</w:t>
      </w:r>
    </w:p>
    <w:p w14:paraId="4A20671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（7）与建设项目相关的标准、规范、技术资料。</w:t>
      </w:r>
    </w:p>
    <w:p w14:paraId="50DA9618">
      <w:pPr>
        <w:wordWrap w:val="0"/>
        <w:adjustRightInd w:val="0"/>
        <w:snapToGrid w:val="0"/>
        <w:spacing w:line="400" w:lineRule="exact"/>
        <w:ind w:firstLine="241" w:firstLineChars="100"/>
        <w:rPr>
          <w:rFonts w:hint="default" w:asciiTheme="minorEastAsia" w:hAnsiTheme="minorEastAsia" w:eastAsiaTheme="minorEastAsia" w:cstheme="minorEastAsia"/>
          <w:i w:val="0"/>
          <w:color w:val="FF0000"/>
          <w:sz w:val="24"/>
          <w:szCs w:val="24"/>
          <w:highlight w:val="none"/>
          <w:u w:val="none"/>
          <w:lang w:val="en-US" w:eastAsia="zh-CN"/>
        </w:rPr>
      </w:pPr>
      <w:r>
        <w:rPr>
          <w:rFonts w:hint="eastAsia" w:ascii="Times New Roman"/>
          <w:b/>
          <w:bCs/>
          <w:snapToGrid w:val="0"/>
          <w:color w:val="auto"/>
          <w:kern w:val="0"/>
          <w:szCs w:val="22"/>
          <w:highlight w:val="none"/>
        </w:rPr>
        <w:t xml:space="preserve"> 8.2</w:t>
      </w:r>
      <w:r>
        <w:rPr>
          <w:rFonts w:hint="eastAsia" w:asciiTheme="minorEastAsia" w:hAnsiTheme="minorEastAsia" w:eastAsiaTheme="minorEastAsia" w:cstheme="minorEastAsia"/>
          <w:i w:val="0"/>
          <w:color w:val="FF0000"/>
          <w:sz w:val="24"/>
          <w:szCs w:val="24"/>
          <w:highlight w:val="none"/>
          <w:u w:val="none"/>
          <w:lang w:val="en-US" w:eastAsia="zh-CN"/>
        </w:rPr>
        <w:t>本项目招标控制价为人民币（大写）：壹佰叁拾柒万柒仟叁佰零玖元叁角柒分（¥1377309.37</w:t>
      </w:r>
      <w:r>
        <w:rPr>
          <w:rFonts w:hint="eastAsia" w:ascii="Times New Roman"/>
          <w:snapToGrid w:val="0"/>
          <w:color w:val="FF0000"/>
          <w:kern w:val="0"/>
          <w:szCs w:val="22"/>
          <w:highlight w:val="none"/>
          <w:lang w:eastAsia="zh-CN"/>
        </w:rPr>
        <w:t>元）。</w:t>
      </w:r>
    </w:p>
    <w:p w14:paraId="7B9DAE02">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highlight w:val="none"/>
        </w:rPr>
        <w:t>8.3</w:t>
      </w:r>
      <w:r>
        <w:rPr>
          <w:rFonts w:hint="eastAsia" w:ascii="Times New Roman"/>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259DB52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8.4</w:t>
      </w:r>
      <w:r>
        <w:rPr>
          <w:rFonts w:hint="eastAsia" w:ascii="Times New Roman"/>
          <w:snapToGrid w:val="0"/>
          <w:color w:val="auto"/>
          <w:kern w:val="0"/>
          <w:highlight w:val="none"/>
        </w:rPr>
        <w:t xml:space="preserve"> 本招标项目以暂估价形式列入招标工程量清单中的材料、工程设备、专业工程（以下统称“暂估价项目”）包括：</w:t>
      </w:r>
      <w:r>
        <w:rPr>
          <w:rFonts w:hint="eastAsia" w:ascii="Times New Roman"/>
          <w:snapToGrid w:val="0"/>
          <w:color w:val="auto"/>
          <w:kern w:val="0"/>
          <w:highlight w:val="none"/>
          <w:u w:val="single"/>
        </w:rPr>
        <w:t xml:space="preserve"> </w:t>
      </w:r>
      <w:r>
        <w:rPr>
          <w:rFonts w:hAnsi="宋体" w:cs="宋体"/>
          <w:snapToGrid w:val="0"/>
          <w:color w:val="auto"/>
          <w:kern w:val="0"/>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14:paraId="2E3E902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8.5</w:t>
      </w:r>
      <w:r>
        <w:rPr>
          <w:rFonts w:hint="eastAsia" w:ascii="Times New Roman"/>
          <w:snapToGrid w:val="0"/>
          <w:color w:val="auto"/>
          <w:kern w:val="0"/>
          <w:highlight w:val="none"/>
        </w:rPr>
        <w:t xml:space="preserve"> 当暂估价项目的内容、标准、要求在项目实施过程中得以深化、明确、固定后，按以下原则发包：</w:t>
      </w:r>
    </w:p>
    <w:p w14:paraId="087403B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（1）暂估价项目按工程、货物（指材料或工程设备，下同）的类别分类汇总的金额，达到必须招标规模标准的，由</w:t>
      </w:r>
      <w:r>
        <w:rPr>
          <w:rFonts w:hint="eastAsia" w:ascii="Times New Roman"/>
          <w:snapToGrid w:val="0"/>
          <w:color w:val="auto"/>
          <w:kern w:val="0"/>
          <w:highlight w:val="none"/>
          <w:u w:val="single"/>
        </w:rPr>
        <w:t xml:space="preserve"> 中标人招标，招标人参与管理 </w:t>
      </w:r>
      <w:r>
        <w:rPr>
          <w:rFonts w:hint="eastAsia" w:ascii="Times New Roman"/>
          <w:snapToGrid w:val="0"/>
          <w:color w:val="auto"/>
          <w:kern w:val="0"/>
          <w:highlight w:val="none"/>
        </w:rPr>
        <w:t>，确定专业工程承包人（或材料、工程设备供应商）和合同价格。</w:t>
      </w:r>
    </w:p>
    <w:p w14:paraId="12485E3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247C6D5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568635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3633051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5638F86F">
      <w:pPr>
        <w:wordWrap w:val="0"/>
        <w:adjustRightInd w:val="0"/>
        <w:snapToGrid w:val="0"/>
        <w:spacing w:line="440" w:lineRule="exact"/>
        <w:ind w:firstLine="482" w:firstLineChars="200"/>
        <w:rPr>
          <w:rFonts w:hint="eastAsia"/>
          <w:snapToGrid w:val="0"/>
          <w:color w:val="auto"/>
          <w:highlight w:val="none"/>
        </w:rPr>
      </w:pPr>
      <w:r>
        <w:rPr>
          <w:rFonts w:hint="eastAsia" w:ascii="Times New Roman"/>
          <w:b/>
          <w:bCs/>
          <w:snapToGrid w:val="0"/>
          <w:color w:val="auto"/>
          <w:kern w:val="0"/>
          <w:highlight w:val="none"/>
        </w:rPr>
        <w:t>8.6</w:t>
      </w:r>
      <w:r>
        <w:rPr>
          <w:rFonts w:hint="eastAsia" w:ascii="Times New Roman"/>
          <w:snapToGrid w:val="0"/>
          <w:color w:val="auto"/>
          <w:kern w:val="0"/>
          <w:highlight w:val="none"/>
        </w:rPr>
        <w:t xml:space="preserve"> 本招标项目以</w:t>
      </w:r>
      <w:r>
        <w:rPr>
          <w:rFonts w:hint="eastAsia"/>
          <w:snapToGrid w:val="0"/>
          <w:color w:val="auto"/>
          <w:highlight w:val="none"/>
        </w:rPr>
        <w:t>暂列金额</w:t>
      </w:r>
      <w:r>
        <w:rPr>
          <w:rFonts w:hint="eastAsia" w:ascii="Times New Roman"/>
          <w:snapToGrid w:val="0"/>
          <w:color w:val="auto"/>
          <w:kern w:val="0"/>
          <w:highlight w:val="none"/>
        </w:rPr>
        <w:t>形式列入招标工程量清单中的</w:t>
      </w:r>
      <w:r>
        <w:rPr>
          <w:rFonts w:hint="eastAsia"/>
          <w:snapToGrid w:val="0"/>
          <w:color w:val="auto"/>
          <w:highlight w:val="none"/>
        </w:rPr>
        <w:t>所需货物和服务的采购</w:t>
      </w:r>
      <w:r>
        <w:rPr>
          <w:rFonts w:hint="eastAsia" w:ascii="Times New Roman"/>
          <w:snapToGrid w:val="0"/>
          <w:color w:val="auto"/>
          <w:kern w:val="0"/>
          <w:highlight w:val="none"/>
        </w:rPr>
        <w:t>（以下统称“暂列金额项目”）若有</w:t>
      </w:r>
      <w:r>
        <w:rPr>
          <w:rFonts w:hint="eastAsia"/>
          <w:snapToGrid w:val="0"/>
          <w:color w:val="auto"/>
          <w:highlight w:val="none"/>
        </w:rPr>
        <w:t>发生，按照本节第</w:t>
      </w:r>
      <w:r>
        <w:rPr>
          <w:rFonts w:hint="eastAsia" w:ascii="Times New Roman"/>
          <w:b/>
          <w:bCs/>
          <w:snapToGrid w:val="0"/>
          <w:color w:val="auto"/>
          <w:kern w:val="0"/>
          <w:highlight w:val="none"/>
        </w:rPr>
        <w:t>8.5</w:t>
      </w:r>
      <w:r>
        <w:rPr>
          <w:rFonts w:hint="eastAsia"/>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3A209C95">
      <w:pPr>
        <w:wordWrap w:val="0"/>
        <w:adjustRightInd w:val="0"/>
        <w:snapToGrid w:val="0"/>
        <w:spacing w:line="440" w:lineRule="exact"/>
        <w:ind w:firstLine="480" w:firstLineChars="200"/>
        <w:rPr>
          <w:rFonts w:hint="eastAsia"/>
          <w:snapToGrid w:val="0"/>
          <w:color w:val="auto"/>
          <w:highlight w:val="none"/>
        </w:rPr>
      </w:pPr>
    </w:p>
    <w:p w14:paraId="7B16E0F3">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65" w:name="_Toc13520"/>
      <w:bookmarkStart w:id="66" w:name="_Toc5396"/>
      <w:r>
        <w:rPr>
          <w:rFonts w:hint="eastAsia" w:ascii="Times New Roman"/>
          <w:b/>
          <w:snapToGrid w:val="0"/>
          <w:color w:val="auto"/>
          <w:highlight w:val="none"/>
        </w:rPr>
        <w:t>9．投标报价</w:t>
      </w:r>
      <w:bookmarkEnd w:id="64"/>
      <w:bookmarkEnd w:id="65"/>
      <w:bookmarkEnd w:id="66"/>
      <w:bookmarkStart w:id="67" w:name="_Hlt74498519"/>
      <w:bookmarkEnd w:id="67"/>
    </w:p>
    <w:p w14:paraId="4A525E4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9.1</w:t>
      </w:r>
      <w:r>
        <w:rPr>
          <w:rFonts w:hint="eastAsia" w:ascii="Times New Roman"/>
          <w:snapToGrid w:val="0"/>
          <w:color w:val="auto"/>
          <w:kern w:val="0"/>
          <w:highlight w:val="none"/>
        </w:rPr>
        <w:t xml:space="preserve"> 投标人应按照以下依据编制投标报价：</w:t>
      </w:r>
    </w:p>
    <w:p w14:paraId="0D5A738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21FFD0F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111095F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（3）企业定额；</w:t>
      </w:r>
    </w:p>
    <w:p w14:paraId="59DE31C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（4）招标文件及其答疑（或修改）公告、招标工程量清单；</w:t>
      </w:r>
    </w:p>
    <w:p w14:paraId="668C1E3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（5）施工图及相关资料；</w:t>
      </w:r>
    </w:p>
    <w:p w14:paraId="38BF2F8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（6）施工现场情况、工程特点及投标时拟定的施工组织设计或施工方案；</w:t>
      </w:r>
    </w:p>
    <w:p w14:paraId="53BEC09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（7）市场价格信息或项目所在地工程造价管理机构发布的工程造价信息；</w:t>
      </w:r>
    </w:p>
    <w:p w14:paraId="2FB9329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（8）与建设项目相关的标准、规范、技术资料。</w:t>
      </w:r>
    </w:p>
    <w:p w14:paraId="1C2632C4">
      <w:pPr>
        <w:wordWrap w:val="0"/>
        <w:adjustRightInd w:val="0"/>
        <w:snapToGrid w:val="0"/>
        <w:spacing w:line="440" w:lineRule="exact"/>
        <w:ind w:firstLine="560"/>
        <w:rPr>
          <w:rFonts w:hint="eastAsia" w:ascii="Times New Roman"/>
          <w:snapToGrid w:val="0"/>
          <w:color w:val="auto"/>
          <w:kern w:val="0"/>
          <w:highlight w:val="none"/>
        </w:rPr>
      </w:pPr>
    </w:p>
    <w:p w14:paraId="769786B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9.2</w:t>
      </w:r>
      <w:r>
        <w:rPr>
          <w:rFonts w:hint="eastAsia" w:ascii="Times New Roman"/>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68" w:name="_Hlt66594003"/>
      <w:bookmarkEnd w:id="68"/>
      <w:r>
        <w:rPr>
          <w:rFonts w:hint="eastAsia" w:ascii="Times New Roman"/>
          <w:snapToGrid w:val="0"/>
          <w:color w:val="auto"/>
          <w:kern w:val="0"/>
          <w:highlight w:val="none"/>
        </w:rPr>
        <w:t>所谓“一定范围内的风险”是指合同约定的风险。</w:t>
      </w:r>
    </w:p>
    <w:p w14:paraId="71E1928F">
      <w:pPr>
        <w:wordWrap w:val="0"/>
        <w:adjustRightInd w:val="0"/>
        <w:snapToGrid w:val="0"/>
        <w:spacing w:line="440" w:lineRule="exact"/>
        <w:ind w:firstLine="560"/>
        <w:rPr>
          <w:rFonts w:hint="eastAsia" w:ascii="Times New Roman"/>
          <w:snapToGrid w:val="0"/>
          <w:color w:val="auto"/>
          <w:kern w:val="0"/>
          <w:highlight w:val="none"/>
        </w:rPr>
      </w:pPr>
      <w:bookmarkStart w:id="69" w:name="_Hlt69335755"/>
      <w:bookmarkEnd w:id="69"/>
    </w:p>
    <w:p w14:paraId="1A86D67F">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9.3</w:t>
      </w:r>
      <w:r>
        <w:rPr>
          <w:rFonts w:hint="eastAsia" w:ascii="Times New Roman"/>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70" w:name="_Hlt66509056"/>
      <w:bookmarkEnd w:id="70"/>
      <w:r>
        <w:rPr>
          <w:rFonts w:hint="eastAsia" w:ascii="Times New Roman"/>
          <w:snapToGrid w:val="0"/>
          <w:color w:val="auto"/>
          <w:kern w:val="0"/>
          <w:highlight w:val="none"/>
        </w:rPr>
        <w:t>接资料。投标人应针对现场情况编制施工组织设计，并在编制投标报价时考虑现场情况的影响。</w:t>
      </w:r>
    </w:p>
    <w:p w14:paraId="72663967">
      <w:pPr>
        <w:pStyle w:val="26"/>
        <w:wordWrap w:val="0"/>
        <w:adjustRightInd w:val="0"/>
        <w:snapToGrid w:val="0"/>
        <w:spacing w:line="440" w:lineRule="exact"/>
        <w:rPr>
          <w:rFonts w:hint="eastAsia" w:ascii="Times New Roman"/>
          <w:snapToGrid w:val="0"/>
          <w:color w:val="auto"/>
          <w:kern w:val="0"/>
          <w:highlight w:val="none"/>
        </w:rPr>
      </w:pPr>
    </w:p>
    <w:p w14:paraId="6F3C9AA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9.4</w:t>
      </w:r>
      <w:r>
        <w:rPr>
          <w:rFonts w:hint="eastAsia" w:ascii="Times New Roman"/>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7E269E7E">
      <w:pPr>
        <w:wordWrap w:val="0"/>
        <w:adjustRightInd w:val="0"/>
        <w:snapToGrid w:val="0"/>
        <w:spacing w:line="440" w:lineRule="exact"/>
        <w:ind w:firstLine="560"/>
        <w:rPr>
          <w:rFonts w:hint="eastAsia" w:ascii="Times New Roman"/>
          <w:snapToGrid w:val="0"/>
          <w:color w:val="auto"/>
          <w:kern w:val="0"/>
          <w:highlight w:val="none"/>
        </w:rPr>
      </w:pPr>
    </w:p>
    <w:p w14:paraId="395DC92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9.5</w:t>
      </w:r>
      <w:r>
        <w:rPr>
          <w:rFonts w:hint="eastAsia" w:ascii="Times New Roman"/>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F0FED57">
      <w:pPr>
        <w:wordWrap w:val="0"/>
        <w:adjustRightInd w:val="0"/>
        <w:snapToGrid w:val="0"/>
        <w:spacing w:line="440" w:lineRule="exact"/>
        <w:ind w:firstLine="560"/>
        <w:rPr>
          <w:rFonts w:hint="eastAsia" w:ascii="Times New Roman"/>
          <w:snapToGrid w:val="0"/>
          <w:color w:val="auto"/>
          <w:kern w:val="0"/>
          <w:highlight w:val="none"/>
        </w:rPr>
      </w:pPr>
    </w:p>
    <w:p w14:paraId="0FEB9F4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9.6</w:t>
      </w:r>
      <w:r>
        <w:rPr>
          <w:rFonts w:hint="eastAsia" w:ascii="Times New Roman"/>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CDA8EA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9.7</w:t>
      </w:r>
      <w:r>
        <w:rPr>
          <w:rFonts w:hint="eastAsia" w:ascii="Times New Roman"/>
          <w:snapToGrid w:val="0"/>
          <w:color w:val="auto"/>
          <w:kern w:val="0"/>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Times New Roman"/>
          <w:b/>
          <w:snapToGrid w:val="0"/>
          <w:color w:val="auto"/>
          <w:kern w:val="0"/>
          <w:highlight w:val="none"/>
        </w:rPr>
        <w:t>如果投标人的投标总价下浮率（投标总价下浮率＝100%－投标总价÷招标控制价×</w:t>
      </w:r>
      <w:r>
        <w:rPr>
          <w:rFonts w:ascii="Times New Roman"/>
          <w:b/>
          <w:snapToGrid w:val="0"/>
          <w:color w:val="auto"/>
          <w:kern w:val="0"/>
          <w:highlight w:val="none"/>
        </w:rPr>
        <w:t>100%</w:t>
      </w:r>
      <w:r>
        <w:rPr>
          <w:rFonts w:hint="eastAsia" w:ascii="Times New Roman"/>
          <w:b/>
          <w:snapToGrid w:val="0"/>
          <w:color w:val="auto"/>
          <w:kern w:val="0"/>
          <w:highlight w:val="none"/>
        </w:rPr>
        <w:t>）高于15%时，投标人必须在投标文件中专项作出详细合理的书面说明并提供以往类似工程详细成本分析报告供评标委员会审查。</w:t>
      </w:r>
    </w:p>
    <w:p w14:paraId="2E16E15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9.8</w:t>
      </w:r>
      <w:r>
        <w:rPr>
          <w:rFonts w:hint="eastAsia" w:ascii="Times New Roman"/>
          <w:snapToGrid w:val="0"/>
          <w:color w:val="auto"/>
          <w:kern w:val="0"/>
          <w:highlight w:val="none"/>
        </w:rPr>
        <w:t xml:space="preserve"> 投标人的绿色施工安全防护措施费报价必须达到或超过招标工程量清单中提供的绿色施工安全防护措施费。</w:t>
      </w:r>
    </w:p>
    <w:p w14:paraId="26944B2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9.9</w:t>
      </w:r>
      <w:r>
        <w:rPr>
          <w:rFonts w:hint="eastAsia" w:ascii="Times New Roman"/>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2B8A88AC">
      <w:pPr>
        <w:pStyle w:val="3"/>
        <w:wordWrap w:val="0"/>
        <w:autoSpaceDE/>
        <w:autoSpaceDN/>
        <w:snapToGrid w:val="0"/>
        <w:spacing w:line="440" w:lineRule="exact"/>
        <w:ind w:firstLine="480"/>
        <w:jc w:val="both"/>
        <w:rPr>
          <w:rFonts w:hint="eastAsia" w:ascii="Times New Roman"/>
          <w:b/>
          <w:snapToGrid w:val="0"/>
          <w:color w:val="auto"/>
          <w:highlight w:val="none"/>
        </w:rPr>
      </w:pPr>
      <w:bookmarkStart w:id="71" w:name="_（十）投标文件的编制、包装、密封"/>
      <w:bookmarkEnd w:id="71"/>
      <w:bookmarkStart w:id="72" w:name="_Toc28889"/>
    </w:p>
    <w:p w14:paraId="759FF2E8">
      <w:pPr>
        <w:pStyle w:val="3"/>
        <w:wordWrap w:val="0"/>
        <w:autoSpaceDE/>
        <w:autoSpaceDN/>
        <w:snapToGrid w:val="0"/>
        <w:spacing w:line="440" w:lineRule="exact"/>
        <w:ind w:firstLine="480"/>
        <w:jc w:val="both"/>
        <w:rPr>
          <w:rFonts w:hint="eastAsia" w:ascii="Times New Roman"/>
          <w:b/>
          <w:strike/>
          <w:snapToGrid w:val="0"/>
          <w:color w:val="auto"/>
          <w:highlight w:val="none"/>
        </w:rPr>
      </w:pPr>
      <w:bookmarkStart w:id="73" w:name="_Toc3820"/>
      <w:bookmarkStart w:id="74" w:name="_Toc3522"/>
      <w:r>
        <w:rPr>
          <w:rFonts w:hint="eastAsia" w:ascii="Times New Roman"/>
          <w:b/>
          <w:snapToGrid w:val="0"/>
          <w:color w:val="auto"/>
          <w:highlight w:val="none"/>
        </w:rPr>
        <w:t>10．投标文件的编制</w:t>
      </w:r>
      <w:bookmarkStart w:id="75" w:name="_Hlt69208262"/>
      <w:bookmarkEnd w:id="75"/>
      <w:bookmarkStart w:id="76" w:name="_Hlt69332370"/>
      <w:bookmarkEnd w:id="76"/>
      <w:r>
        <w:rPr>
          <w:rFonts w:hint="eastAsia" w:ascii="Times New Roman"/>
          <w:b/>
          <w:snapToGrid w:val="0"/>
          <w:color w:val="auto"/>
          <w:highlight w:val="none"/>
        </w:rPr>
        <w:t>要求</w:t>
      </w:r>
      <w:bookmarkEnd w:id="72"/>
      <w:bookmarkEnd w:id="73"/>
      <w:bookmarkEnd w:id="74"/>
      <w:bookmarkStart w:id="77" w:name="_Hlt74495594"/>
      <w:bookmarkEnd w:id="77"/>
      <w:bookmarkStart w:id="78" w:name="_Hlt78768224"/>
      <w:bookmarkEnd w:id="78"/>
      <w:bookmarkStart w:id="79" w:name="_Hlt74497202"/>
      <w:bookmarkEnd w:id="79"/>
      <w:bookmarkStart w:id="80" w:name="_Toc17114"/>
    </w:p>
    <w:p w14:paraId="02990D3B">
      <w:pPr>
        <w:pStyle w:val="4"/>
        <w:keepNext w:val="0"/>
        <w:keepLines w:val="0"/>
        <w:wordWrap w:val="0"/>
        <w:adjustRightInd w:val="0"/>
        <w:snapToGrid w:val="0"/>
        <w:spacing w:before="0" w:after="0" w:line="440" w:lineRule="exact"/>
        <w:ind w:firstLine="482" w:firstLineChars="200"/>
        <w:jc w:val="both"/>
        <w:rPr>
          <w:rFonts w:hint="eastAsia" w:ascii="Times New Roman"/>
          <w:b/>
          <w:snapToGrid w:val="0"/>
          <w:color w:val="auto"/>
          <w:kern w:val="0"/>
          <w:highlight w:val="none"/>
        </w:rPr>
      </w:pPr>
      <w:bookmarkStart w:id="81" w:name="_Toc9447"/>
      <w:bookmarkStart w:id="82" w:name="_Toc7825"/>
      <w:r>
        <w:rPr>
          <w:rFonts w:hint="eastAsia" w:ascii="Times New Roman"/>
          <w:b/>
          <w:bCs/>
          <w:snapToGrid w:val="0"/>
          <w:color w:val="auto"/>
          <w:kern w:val="0"/>
          <w:highlight w:val="none"/>
        </w:rPr>
        <w:t>10.1</w:t>
      </w:r>
      <w:r>
        <w:rPr>
          <w:rFonts w:hint="eastAsia" w:ascii="Times New Roman"/>
          <w:bCs/>
          <w:snapToGrid w:val="0"/>
          <w:color w:val="auto"/>
          <w:kern w:val="0"/>
          <w:highlight w:val="none"/>
        </w:rPr>
        <w:t xml:space="preserve"> 一般要求</w:t>
      </w:r>
      <w:bookmarkEnd w:id="80"/>
      <w:bookmarkEnd w:id="81"/>
      <w:bookmarkEnd w:id="82"/>
    </w:p>
    <w:p w14:paraId="24E0EF5F">
      <w:pPr>
        <w:pStyle w:val="12"/>
        <w:wordWrap w:val="0"/>
        <w:adjustRightInd w:val="0"/>
        <w:snapToGrid w:val="0"/>
        <w:spacing w:line="400" w:lineRule="exact"/>
        <w:ind w:firstLine="480"/>
        <w:rPr>
          <w:rFonts w:hint="eastAsia" w:hAnsi="宋体" w:cs="宋体"/>
          <w:snapToGrid w:val="0"/>
          <w:color w:val="auto"/>
          <w:kern w:val="0"/>
          <w:szCs w:val="24"/>
          <w:highlight w:val="none"/>
        </w:rPr>
      </w:pPr>
      <w:r>
        <w:rPr>
          <w:rFonts w:hint="eastAsia" w:hAnsi="宋体" w:cs="宋体"/>
          <w:snapToGrid w:val="0"/>
          <w:color w:val="auto"/>
          <w:kern w:val="0"/>
          <w:szCs w:val="24"/>
          <w:highlight w:val="none"/>
        </w:rPr>
        <w:t>投标文件应按第六章 投标文件格式规定的内容，投标人提交的投标文件应当使用招标文件所提供的投标文件全部格式。</w:t>
      </w:r>
    </w:p>
    <w:p w14:paraId="57EA9D81">
      <w:pPr>
        <w:pStyle w:val="12"/>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10.1.1</w:t>
      </w:r>
      <w:r>
        <w:rPr>
          <w:rFonts w:hint="eastAsia" w:ascii="Times New Roman"/>
          <w:snapToGrid w:val="0"/>
          <w:color w:val="auto"/>
          <w:kern w:val="0"/>
          <w:highlight w:val="none"/>
        </w:rPr>
        <w:t xml:space="preserve"> 投标人必须响应招标文件，并在充分理解招标人提供的全部文件、设计图纸、资料及现场条件的基础</w:t>
      </w:r>
      <w:bookmarkStart w:id="83" w:name="_Hlt78709790"/>
      <w:bookmarkEnd w:id="83"/>
      <w:r>
        <w:rPr>
          <w:rFonts w:hint="eastAsia" w:ascii="Times New Roman"/>
          <w:snapToGrid w:val="0"/>
          <w:color w:val="auto"/>
          <w:kern w:val="0"/>
          <w:highlight w:val="none"/>
        </w:rPr>
        <w:t>上编制投标文件。因投标文件不符合招标文件的要求而造成的损失和后果，由投标人自行承担。</w:t>
      </w:r>
      <w:bookmarkStart w:id="84" w:name="_Hlt74496890"/>
      <w:bookmarkEnd w:id="84"/>
    </w:p>
    <w:p w14:paraId="1F628DA0">
      <w:pPr>
        <w:pStyle w:val="12"/>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hAnsi="宋体" w:cs="宋体"/>
          <w:snapToGrid w:val="0"/>
          <w:color w:val="auto"/>
          <w:kern w:val="0"/>
          <w:szCs w:val="24"/>
          <w:highlight w:val="none"/>
          <w:lang w:eastAsia="zh-CN"/>
        </w:rPr>
        <w:t>全国公共资源交易平台（广东省·韶关市）（https://ygp.gdzwfw.gov.cn/ggzy-portal/#/440200/index）</w:t>
      </w:r>
      <w:r>
        <w:rPr>
          <w:rFonts w:hint="eastAsia" w:hAnsi="宋体" w:cs="宋体"/>
          <w:snapToGrid w:val="0"/>
          <w:color w:val="auto"/>
          <w:kern w:val="0"/>
          <w:szCs w:val="24"/>
          <w:highlight w:val="none"/>
        </w:rPr>
        <w:t>交易指引。</w:t>
      </w:r>
    </w:p>
    <w:p w14:paraId="366B3645">
      <w:pPr>
        <w:pStyle w:val="12"/>
        <w:wordWrap w:val="0"/>
        <w:adjustRightInd w:val="0"/>
        <w:snapToGrid w:val="0"/>
        <w:spacing w:line="400" w:lineRule="exact"/>
        <w:ind w:firstLineChars="0"/>
        <w:rPr>
          <w:rFonts w:hint="eastAsia" w:hAnsi="宋体" w:cs="宋体"/>
          <w:snapToGrid w:val="0"/>
          <w:color w:val="auto"/>
          <w:kern w:val="0"/>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highlight w:val="none"/>
        </w:rPr>
        <w:t>投标文件需按以下要求签字、盖章：电子投标文件：</w:t>
      </w:r>
    </w:p>
    <w:p w14:paraId="14C44B3B">
      <w:pPr>
        <w:pStyle w:val="12"/>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10.1.3.1</w:t>
      </w:r>
      <w:r>
        <w:rPr>
          <w:rFonts w:hint="eastAsia" w:hAnsi="宋体" w:cs="宋体"/>
          <w:snapToGrid w:val="0"/>
          <w:color w:val="auto"/>
          <w:kern w:val="0"/>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E6A75AB">
      <w:pPr>
        <w:pStyle w:val="12"/>
        <w:wordWrap w:val="0"/>
        <w:adjustRightInd w:val="0"/>
        <w:snapToGrid w:val="0"/>
        <w:spacing w:line="400" w:lineRule="exact"/>
        <w:ind w:firstLineChars="0"/>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10.1.3.2</w:t>
      </w:r>
      <w:r>
        <w:rPr>
          <w:rFonts w:hint="eastAsia" w:hAnsi="宋体" w:cs="宋体"/>
          <w:snapToGrid w:val="0"/>
          <w:color w:val="auto"/>
          <w:kern w:val="0"/>
          <w:szCs w:val="24"/>
          <w:highlight w:val="none"/>
        </w:rPr>
        <w:t>投标文件封套、封面、组成内容中凡要求录入投标人名称且注明“盖单位章”处盖单位法人公章（电子印章）。</w:t>
      </w:r>
    </w:p>
    <w:p w14:paraId="02254FC2">
      <w:pPr>
        <w:pStyle w:val="12"/>
        <w:wordWrap w:val="0"/>
        <w:adjustRightInd w:val="0"/>
        <w:snapToGrid w:val="0"/>
        <w:spacing w:line="440" w:lineRule="exact"/>
        <w:ind w:firstLineChars="0"/>
        <w:rPr>
          <w:rFonts w:ascii="Times New Roman"/>
          <w:snapToGrid w:val="0"/>
          <w:color w:val="auto"/>
          <w:kern w:val="0"/>
          <w:highlight w:val="none"/>
        </w:rPr>
      </w:pPr>
      <w:r>
        <w:rPr>
          <w:rFonts w:hint="eastAsia" w:ascii="Times New Roman"/>
          <w:snapToGrid w:val="0"/>
          <w:color w:val="auto"/>
          <w:kern w:val="0"/>
          <w:highlight w:val="none"/>
        </w:rPr>
        <w:t xml:space="preserve">10.1.3.3 </w:t>
      </w:r>
      <w:r>
        <w:rPr>
          <w:rFonts w:hint="eastAsia" w:hAnsi="宋体" w:cs="宋体"/>
          <w:snapToGrid w:val="0"/>
          <w:color w:val="auto"/>
          <w:kern w:val="0"/>
          <w:szCs w:val="24"/>
          <w:highlight w:val="none"/>
        </w:rPr>
        <w:t>投标文件的签字均为签字人本人亲笔署名或签章（电子印章），其余部分的复印件无须另行签字、盖章。</w:t>
      </w:r>
    </w:p>
    <w:p w14:paraId="23299B4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10.1.3.4</w:t>
      </w:r>
      <w:r>
        <w:rPr>
          <w:rFonts w:hint="eastAsia" w:ascii="Times New Roman"/>
          <w:snapToGrid w:val="0"/>
          <w:color w:val="auto"/>
          <w:kern w:val="0"/>
          <w:highlight w:val="none"/>
        </w:rPr>
        <w:t xml:space="preserve"> 联合体投标的，除</w:t>
      </w:r>
      <w:r>
        <w:rPr>
          <w:rFonts w:hint="eastAsia" w:ascii="Times New Roman"/>
          <w:snapToGrid w:val="0"/>
          <w:color w:val="auto"/>
          <w:kern w:val="0"/>
          <w:szCs w:val="18"/>
          <w:highlight w:val="none"/>
        </w:rPr>
        <w:t>《联合体协议书》外</w:t>
      </w:r>
      <w:r>
        <w:rPr>
          <w:rFonts w:hint="eastAsia" w:ascii="Times New Roman"/>
          <w:snapToGrid w:val="0"/>
          <w:color w:val="auto"/>
          <w:kern w:val="0"/>
          <w:highlight w:val="none"/>
        </w:rPr>
        <w:t>，由联合体牵头人按以上要求签</w:t>
      </w:r>
      <w:r>
        <w:rPr>
          <w:rFonts w:hint="eastAsia" w:hAnsi="宋体" w:cs="宋体"/>
          <w:snapToGrid w:val="0"/>
          <w:color w:val="auto"/>
          <w:kern w:val="0"/>
          <w:szCs w:val="24"/>
          <w:highlight w:val="none"/>
        </w:rPr>
        <w:t>亲笔署名或签章（电子印章）</w:t>
      </w:r>
      <w:r>
        <w:rPr>
          <w:rFonts w:hint="eastAsia" w:ascii="Times New Roman"/>
          <w:snapToGrid w:val="0"/>
          <w:color w:val="auto"/>
          <w:kern w:val="0"/>
          <w:highlight w:val="none"/>
        </w:rPr>
        <w:t>即可。</w:t>
      </w:r>
    </w:p>
    <w:p w14:paraId="098BE642">
      <w:pPr>
        <w:pStyle w:val="4"/>
        <w:keepNext w:val="0"/>
        <w:keepLines w:val="0"/>
        <w:wordWrap w:val="0"/>
        <w:adjustRightInd w:val="0"/>
        <w:snapToGrid w:val="0"/>
        <w:spacing w:before="0" w:after="0" w:line="440" w:lineRule="exact"/>
        <w:jc w:val="both"/>
        <w:rPr>
          <w:rFonts w:hint="eastAsia" w:ascii="Times New Roman"/>
          <w:bCs/>
          <w:snapToGrid w:val="0"/>
          <w:color w:val="auto"/>
          <w:kern w:val="0"/>
          <w:highlight w:val="none"/>
        </w:rPr>
      </w:pPr>
      <w:bookmarkStart w:id="85" w:name="_Toc257031159"/>
      <w:bookmarkStart w:id="86" w:name="_Toc274313880"/>
      <w:bookmarkStart w:id="87" w:name="_Toc29774"/>
    </w:p>
    <w:p w14:paraId="7C0B4A40">
      <w:pPr>
        <w:pStyle w:val="4"/>
        <w:keepNext w:val="0"/>
        <w:keepLines w:val="0"/>
        <w:wordWrap w:val="0"/>
        <w:adjustRightInd w:val="0"/>
        <w:snapToGrid w:val="0"/>
        <w:spacing w:before="0" w:after="0" w:line="440" w:lineRule="exact"/>
        <w:ind w:firstLine="480" w:firstLineChars="200"/>
        <w:jc w:val="both"/>
        <w:rPr>
          <w:rFonts w:ascii="Times New Roman"/>
          <w:b w:val="0"/>
          <w:bCs w:val="0"/>
          <w:snapToGrid w:val="0"/>
          <w:color w:val="auto"/>
          <w:kern w:val="0"/>
          <w:highlight w:val="none"/>
        </w:rPr>
      </w:pPr>
      <w:bookmarkStart w:id="88" w:name="_Toc19938"/>
      <w:bookmarkStart w:id="89" w:name="_Toc20002"/>
      <w:r>
        <w:rPr>
          <w:rFonts w:hint="eastAsia" w:ascii="Times New Roman"/>
          <w:b w:val="0"/>
          <w:bCs w:val="0"/>
          <w:snapToGrid w:val="0"/>
          <w:color w:val="auto"/>
          <w:kern w:val="0"/>
          <w:highlight w:val="none"/>
        </w:rPr>
        <w:t>10.2 商务标书的编制要求</w:t>
      </w:r>
      <w:bookmarkEnd w:id="85"/>
      <w:bookmarkEnd w:id="86"/>
      <w:bookmarkEnd w:id="87"/>
      <w:bookmarkEnd w:id="88"/>
      <w:bookmarkEnd w:id="89"/>
    </w:p>
    <w:p w14:paraId="0A03AAB7">
      <w:pPr>
        <w:wordWrap w:val="0"/>
        <w:adjustRightInd w:val="0"/>
        <w:snapToGrid w:val="0"/>
        <w:spacing w:line="440" w:lineRule="exact"/>
        <w:ind w:firstLine="561"/>
        <w:rPr>
          <w:rFonts w:ascii="Times New Roman"/>
          <w:snapToGrid w:val="0"/>
          <w:color w:val="auto"/>
          <w:kern w:val="0"/>
          <w:highlight w:val="none"/>
          <w:u w:val="single"/>
        </w:rPr>
      </w:pPr>
      <w:r>
        <w:rPr>
          <w:rFonts w:hint="eastAsia" w:ascii="Times New Roman"/>
          <w:b/>
          <w:bCs/>
          <w:snapToGrid w:val="0"/>
          <w:color w:val="auto"/>
          <w:kern w:val="0"/>
          <w:highlight w:val="none"/>
        </w:rPr>
        <w:t>10.2.1</w:t>
      </w:r>
      <w:r>
        <w:rPr>
          <w:rFonts w:hint="eastAsia" w:ascii="Times New Roman"/>
          <w:snapToGrid w:val="0"/>
          <w:color w:val="auto"/>
          <w:kern w:val="0"/>
          <w:highlight w:val="none"/>
        </w:rPr>
        <w:t xml:space="preserve"> </w:t>
      </w:r>
      <w:r>
        <w:rPr>
          <w:rFonts w:hint="eastAsia" w:ascii="Times New Roman"/>
          <w:bCs/>
          <w:snapToGrid w:val="0"/>
          <w:color w:val="auto"/>
          <w:kern w:val="0"/>
          <w:highlight w:val="none"/>
        </w:rPr>
        <w:t>商务标书</w:t>
      </w:r>
      <w:r>
        <w:rPr>
          <w:rFonts w:hint="eastAsia" w:ascii="Times New Roman"/>
          <w:snapToGrid w:val="0"/>
          <w:color w:val="auto"/>
          <w:kern w:val="0"/>
          <w:highlight w:val="none"/>
        </w:rPr>
        <w:t>包括但不限于以下内容：</w:t>
      </w:r>
    </w:p>
    <w:p w14:paraId="70A355AA">
      <w:pPr>
        <w:wordWrap w:val="0"/>
        <w:adjustRightInd w:val="0"/>
        <w:snapToGrid w:val="0"/>
        <w:spacing w:line="440" w:lineRule="exact"/>
        <w:rPr>
          <w:rFonts w:hint="eastAsia" w:ascii="Times New Roman"/>
          <w:snapToGrid w:val="0"/>
          <w:color w:val="auto"/>
          <w:kern w:val="0"/>
          <w:szCs w:val="18"/>
          <w:highlight w:val="none"/>
        </w:rPr>
      </w:pPr>
      <w:r>
        <w:rPr>
          <w:rFonts w:hint="eastAsia" w:ascii="Times New Roman"/>
          <w:snapToGrid w:val="0"/>
          <w:color w:val="auto"/>
          <w:kern w:val="0"/>
          <w:highlight w:val="none"/>
        </w:rPr>
        <w:t xml:space="preserve">    </w:t>
      </w:r>
      <w:r>
        <w:rPr>
          <w:rFonts w:hint="eastAsia" w:ascii="Times New Roman"/>
          <w:snapToGrid w:val="0"/>
          <w:color w:val="auto"/>
          <w:kern w:val="0"/>
          <w:szCs w:val="18"/>
          <w:highlight w:val="none"/>
        </w:rPr>
        <w:t>（1）封面（格式一）；</w:t>
      </w:r>
    </w:p>
    <w:p w14:paraId="42E6AC2B">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（2）目录；</w:t>
      </w:r>
      <w:r>
        <w:rPr>
          <w:rFonts w:hint="eastAsia" w:ascii="Times New Roman"/>
          <w:snapToGrid w:val="0"/>
          <w:color w:val="auto"/>
          <w:kern w:val="0"/>
          <w:highlight w:val="none"/>
        </w:rPr>
        <w:t xml:space="preserve"> </w:t>
      </w:r>
    </w:p>
    <w:p w14:paraId="15CFD57D">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（3）《</w:t>
      </w:r>
      <w:r>
        <w:rPr>
          <w:rFonts w:hint="eastAsia" w:ascii="Times New Roman"/>
          <w:snapToGrid w:val="0"/>
          <w:color w:val="auto"/>
          <w:kern w:val="0"/>
          <w:highlight w:val="none"/>
        </w:rPr>
        <w:t>投标函</w:t>
      </w:r>
      <w:r>
        <w:rPr>
          <w:rFonts w:hint="eastAsia" w:ascii="Times New Roman"/>
          <w:snapToGrid w:val="0"/>
          <w:color w:val="auto"/>
          <w:kern w:val="0"/>
          <w:szCs w:val="18"/>
          <w:highlight w:val="none"/>
        </w:rPr>
        <w:t>》（格式二）；</w:t>
      </w:r>
    </w:p>
    <w:p w14:paraId="6FB7516E">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highlight w:val="none"/>
        </w:rPr>
        <w:t>（4）《</w:t>
      </w:r>
      <w:r>
        <w:rPr>
          <w:rFonts w:hint="eastAsia" w:ascii="Times New Roman"/>
          <w:snapToGrid w:val="0"/>
          <w:color w:val="auto"/>
          <w:kern w:val="0"/>
          <w:szCs w:val="22"/>
          <w:highlight w:val="none"/>
        </w:rPr>
        <w:t>各项</w:t>
      </w:r>
      <w:r>
        <w:rPr>
          <w:rFonts w:hint="eastAsia" w:ascii="Times New Roman"/>
          <w:snapToGrid w:val="0"/>
          <w:color w:val="auto"/>
          <w:kern w:val="0"/>
          <w:highlight w:val="none"/>
        </w:rPr>
        <w:t>承诺一览表》（格式三）；</w:t>
      </w:r>
    </w:p>
    <w:p w14:paraId="4213E49D">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（5）《授权委托书》（格式四）；</w:t>
      </w:r>
    </w:p>
    <w:p w14:paraId="116E805B">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（6）《法定代表人身份证明》（格式五）；</w:t>
      </w:r>
    </w:p>
    <w:p w14:paraId="3D23E3F7">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（7）《联合体协议书》（格式六）及所附资料；</w:t>
      </w:r>
    </w:p>
    <w:p w14:paraId="223EEF86">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8）投标保证缴纳证明（投标人采用投标保证金的，附建设工程交易系统《缴纳投标保证金通知书》页面截图打印件和银行转账单复印件；采用投标保证担保的，附银行保函复印件；采用投标保证保险的，附电子保单和</w:t>
      </w:r>
      <w:r>
        <w:rPr>
          <w:rFonts w:hAnsi="宋体" w:cs="宋体"/>
          <w:b/>
          <w:bCs/>
          <w:color w:val="auto"/>
          <w:szCs w:val="24"/>
          <w:highlight w:val="none"/>
        </w:rPr>
        <w:t>《</w:t>
      </w:r>
      <w:r>
        <w:rPr>
          <w:rFonts w:hint="eastAsia" w:hAnsi="宋体" w:cs="宋体"/>
          <w:b/>
          <w:bCs/>
          <w:color w:val="auto"/>
          <w:szCs w:val="24"/>
          <w:highlight w:val="none"/>
          <w:lang w:val="en-US" w:eastAsia="zh-CN"/>
        </w:rPr>
        <w:t>韶关市公共资源交易一体化平台保证金缴纳信息</w:t>
      </w:r>
      <w:r>
        <w:rPr>
          <w:rFonts w:hAnsi="宋体" w:cs="宋体"/>
          <w:b/>
          <w:bCs/>
          <w:color w:val="auto"/>
          <w:szCs w:val="24"/>
          <w:highlight w:val="none"/>
        </w:rPr>
        <w:t>》</w:t>
      </w:r>
      <w:r>
        <w:rPr>
          <w:rFonts w:hint="eastAsia" w:ascii="Times New Roman"/>
          <w:b/>
          <w:bCs/>
          <w:snapToGrid w:val="0"/>
          <w:color w:val="auto"/>
          <w:kern w:val="0"/>
          <w:szCs w:val="18"/>
          <w:highlight w:val="none"/>
        </w:rPr>
        <w:t>页面截图打印页</w:t>
      </w:r>
      <w:r>
        <w:rPr>
          <w:rFonts w:hint="eastAsia" w:ascii="Times New Roman"/>
          <w:snapToGrid w:val="0"/>
          <w:color w:val="auto"/>
          <w:kern w:val="0"/>
          <w:szCs w:val="18"/>
          <w:highlight w:val="none"/>
        </w:rPr>
        <w:t>）；</w:t>
      </w:r>
    </w:p>
    <w:p w14:paraId="3EE6C4B8">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（9）《投标人基本情况表》（格式七）及所附资料；</w:t>
      </w:r>
    </w:p>
    <w:p w14:paraId="11B3E792">
      <w:pPr>
        <w:wordWrap w:val="0"/>
        <w:adjustRightInd w:val="0"/>
        <w:snapToGrid w:val="0"/>
        <w:spacing w:line="440" w:lineRule="exact"/>
        <w:ind w:firstLine="480" w:firstLineChars="200"/>
        <w:rPr>
          <w:rFonts w:hint="eastAsia" w:ascii="Times New Roman"/>
          <w:strike/>
          <w:snapToGrid w:val="0"/>
          <w:color w:val="auto"/>
          <w:kern w:val="0"/>
          <w:szCs w:val="18"/>
          <w:highlight w:val="none"/>
        </w:rPr>
      </w:pPr>
      <w:r>
        <w:rPr>
          <w:rFonts w:hint="eastAsia" w:ascii="Times New Roman"/>
          <w:snapToGrid w:val="0"/>
          <w:color w:val="auto"/>
          <w:kern w:val="0"/>
          <w:szCs w:val="18"/>
          <w:highlight w:val="none"/>
        </w:rPr>
        <w:t>（10）《项目经理简历表》（格式八）及所附资料；</w:t>
      </w:r>
    </w:p>
    <w:p w14:paraId="16BE2B73">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（11）《项目经理任职声明》（格式九）；</w:t>
      </w:r>
    </w:p>
    <w:p w14:paraId="51A6D9E5">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（12）《项目技术负责人简历表》（格式十）及所附资料；</w:t>
      </w:r>
    </w:p>
    <w:p w14:paraId="45A9DC36">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（13）《项目管理机构组成表》（格式十一）及所附资料；</w:t>
      </w:r>
    </w:p>
    <w:p w14:paraId="53973D3E">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（14）本节第</w:t>
      </w:r>
      <w:r>
        <w:rPr>
          <w:rFonts w:hint="eastAsia" w:ascii="Times New Roman"/>
          <w:b/>
          <w:bCs/>
          <w:snapToGrid w:val="0"/>
          <w:color w:val="auto"/>
          <w:kern w:val="0"/>
          <w:szCs w:val="18"/>
          <w:highlight w:val="none"/>
        </w:rPr>
        <w:t>15.5.1</w:t>
      </w:r>
      <w:r>
        <w:rPr>
          <w:rFonts w:hint="eastAsia" w:ascii="Times New Roman"/>
          <w:snapToGrid w:val="0"/>
          <w:color w:val="auto"/>
          <w:kern w:val="0"/>
          <w:szCs w:val="18"/>
          <w:highlight w:val="none"/>
        </w:rPr>
        <w:t>目“评标方法”要求提供的评审资料；</w:t>
      </w:r>
    </w:p>
    <w:p w14:paraId="1A213EE6">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15）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116E1FF8">
      <w:pPr>
        <w:wordWrap w:val="0"/>
        <w:adjustRightInd w:val="0"/>
        <w:snapToGrid w:val="0"/>
        <w:spacing w:line="440" w:lineRule="exact"/>
        <w:ind w:firstLine="482" w:firstLineChars="20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10.2.1</w:t>
      </w:r>
      <w:r>
        <w:rPr>
          <w:rFonts w:hint="eastAsia" w:ascii="Times New Roman"/>
          <w:snapToGrid w:val="0"/>
          <w:color w:val="auto"/>
          <w:kern w:val="0"/>
          <w:szCs w:val="18"/>
          <w:highlight w:val="none"/>
        </w:rPr>
        <w:t>目中所列出的商务标书组成内容中，第（1）至第（13）项所有投标人均应提供，</w:t>
      </w:r>
      <w:r>
        <w:rPr>
          <w:rFonts w:hint="eastAsia" w:ascii="Times New Roman"/>
          <w:b/>
          <w:bCs/>
          <w:snapToGrid w:val="0"/>
          <w:color w:val="auto"/>
          <w:kern w:val="0"/>
          <w:szCs w:val="18"/>
          <w:highlight w:val="none"/>
        </w:rPr>
        <w:t>但非联合体投标的，无需提供第（7）项内容。</w:t>
      </w:r>
    </w:p>
    <w:p w14:paraId="327C314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10.2.</w:t>
      </w:r>
      <w:r>
        <w:rPr>
          <w:rFonts w:hint="eastAsia" w:ascii="Times New Roman"/>
          <w:b/>
          <w:bCs/>
          <w:snapToGrid w:val="0"/>
          <w:color w:val="auto"/>
          <w:kern w:val="0"/>
          <w:highlight w:val="none"/>
          <w:lang w:val="en-US" w:eastAsia="zh-CN"/>
        </w:rPr>
        <w:t>3</w:t>
      </w:r>
      <w:r>
        <w:rPr>
          <w:rFonts w:hint="eastAsia" w:ascii="Times New Roman"/>
          <w:bCs/>
          <w:snapToGrid w:val="0"/>
          <w:color w:val="auto"/>
          <w:kern w:val="0"/>
          <w:highlight w:val="none"/>
        </w:rPr>
        <w:t>商务标书</w:t>
      </w:r>
      <w:r>
        <w:rPr>
          <w:rFonts w:hint="eastAsia" w:ascii="Times New Roman"/>
          <w:snapToGrid w:val="0"/>
          <w:color w:val="auto"/>
          <w:kern w:val="0"/>
          <w:highlight w:val="none"/>
        </w:rPr>
        <w:t>电子文件制作要求</w:t>
      </w:r>
    </w:p>
    <w:p w14:paraId="0275A588">
      <w:pPr>
        <w:wordWrap w:val="0"/>
        <w:adjustRightInd w:val="0"/>
        <w:snapToGrid w:val="0"/>
        <w:spacing w:line="440" w:lineRule="exact"/>
        <w:ind w:firstLine="480" w:firstLineChars="200"/>
        <w:rPr>
          <w:rFonts w:hint="eastAsia" w:ascii="Times New Roman"/>
          <w:strike/>
          <w:snapToGrid w:val="0"/>
          <w:color w:val="auto"/>
          <w:kern w:val="0"/>
          <w:highlight w:val="none"/>
        </w:rPr>
      </w:pPr>
      <w:r>
        <w:rPr>
          <w:rFonts w:hint="eastAsia" w:ascii="Times New Roman"/>
          <w:snapToGrid w:val="0"/>
          <w:color w:val="auto"/>
          <w:kern w:val="0"/>
          <w:highlight w:val="none"/>
        </w:rPr>
        <w:t>投标人应将</w:t>
      </w:r>
      <w:r>
        <w:rPr>
          <w:rFonts w:hint="eastAsia" w:ascii="Times New Roman"/>
          <w:bCs/>
          <w:snapToGrid w:val="0"/>
          <w:color w:val="auto"/>
          <w:kern w:val="0"/>
          <w:highlight w:val="none"/>
        </w:rPr>
        <w:t>商务标书正本的</w:t>
      </w:r>
      <w:r>
        <w:rPr>
          <w:rFonts w:hint="eastAsia" w:ascii="Times New Roman"/>
          <w:snapToGrid w:val="0"/>
          <w:color w:val="auto"/>
          <w:kern w:val="0"/>
          <w:highlight w:val="none"/>
        </w:rPr>
        <w:t>所有内容按本节第</w:t>
      </w:r>
      <w:r>
        <w:rPr>
          <w:rFonts w:hint="eastAsia" w:ascii="Times New Roman"/>
          <w:b/>
          <w:bCs/>
          <w:snapToGrid w:val="0"/>
          <w:color w:val="auto"/>
          <w:kern w:val="0"/>
          <w:highlight w:val="none"/>
        </w:rPr>
        <w:t>10.2.1</w:t>
      </w:r>
      <w:r>
        <w:rPr>
          <w:rFonts w:hint="eastAsia" w:ascii="Times New Roman"/>
          <w:snapToGrid w:val="0"/>
          <w:color w:val="auto"/>
          <w:kern w:val="0"/>
          <w:highlight w:val="none"/>
        </w:rPr>
        <w:t>目规定的顺序整理、编排后，从封面开始标记页码，作成一个PDF格式电子文件</w:t>
      </w:r>
      <w:r>
        <w:rPr>
          <w:rFonts w:hint="eastAsia" w:ascii="Times New Roman"/>
          <w:snapToGrid w:val="0"/>
          <w:color w:val="auto"/>
          <w:kern w:val="0"/>
          <w:highlight w:val="none"/>
          <w:lang w:eastAsia="zh-CN"/>
        </w:rPr>
        <w:t>。</w:t>
      </w:r>
    </w:p>
    <w:p w14:paraId="3A401469">
      <w:pPr>
        <w:pStyle w:val="4"/>
        <w:keepNext w:val="0"/>
        <w:keepLines w:val="0"/>
        <w:wordWrap w:val="0"/>
        <w:adjustRightInd w:val="0"/>
        <w:snapToGrid w:val="0"/>
        <w:spacing w:before="0" w:after="0" w:line="440" w:lineRule="exact"/>
        <w:ind w:firstLine="482" w:firstLineChars="200"/>
        <w:jc w:val="both"/>
        <w:rPr>
          <w:rFonts w:hint="eastAsia" w:ascii="Times New Roman"/>
          <w:b/>
          <w:strike/>
          <w:snapToGrid w:val="0"/>
          <w:color w:val="auto"/>
          <w:kern w:val="0"/>
          <w:highlight w:val="none"/>
        </w:rPr>
      </w:pPr>
      <w:bookmarkStart w:id="90" w:name="_Hlt87783273"/>
      <w:bookmarkEnd w:id="90"/>
      <w:bookmarkStart w:id="91" w:name="_Hlt69670029"/>
      <w:bookmarkEnd w:id="91"/>
      <w:bookmarkStart w:id="92" w:name="_Toc274313881"/>
      <w:bookmarkStart w:id="93" w:name="_Toc23486"/>
    </w:p>
    <w:p w14:paraId="2D83B749">
      <w:pPr>
        <w:pStyle w:val="4"/>
        <w:keepNext w:val="0"/>
        <w:keepLines w:val="0"/>
        <w:wordWrap w:val="0"/>
        <w:adjustRightInd w:val="0"/>
        <w:snapToGrid w:val="0"/>
        <w:spacing w:before="0" w:after="0" w:line="440" w:lineRule="exact"/>
        <w:ind w:firstLine="482" w:firstLineChars="200"/>
        <w:jc w:val="both"/>
        <w:rPr>
          <w:rFonts w:ascii="Times New Roman"/>
          <w:b/>
          <w:bCs/>
          <w:snapToGrid w:val="0"/>
          <w:color w:val="auto"/>
          <w:kern w:val="0"/>
          <w:highlight w:val="none"/>
        </w:rPr>
      </w:pPr>
      <w:bookmarkStart w:id="94" w:name="_Toc15520"/>
      <w:bookmarkStart w:id="95" w:name="_Toc28638"/>
      <w:r>
        <w:rPr>
          <w:rFonts w:hint="eastAsia" w:ascii="Times New Roman"/>
          <w:b/>
          <w:bCs/>
          <w:snapToGrid w:val="0"/>
          <w:color w:val="auto"/>
          <w:kern w:val="0"/>
          <w:highlight w:val="none"/>
        </w:rPr>
        <w:t>10.3</w:t>
      </w:r>
      <w:bookmarkStart w:id="96" w:name="_Hlt69670035"/>
      <w:bookmarkEnd w:id="96"/>
      <w:r>
        <w:rPr>
          <w:rFonts w:hint="eastAsia" w:ascii="Times New Roman"/>
          <w:b/>
          <w:bCs/>
          <w:snapToGrid w:val="0"/>
          <w:color w:val="auto"/>
          <w:kern w:val="0"/>
          <w:highlight w:val="none"/>
        </w:rPr>
        <w:t xml:space="preserve"> 经济标书的编制要求</w:t>
      </w:r>
      <w:bookmarkEnd w:id="92"/>
      <w:bookmarkEnd w:id="93"/>
      <w:bookmarkEnd w:id="94"/>
      <w:bookmarkEnd w:id="95"/>
    </w:p>
    <w:p w14:paraId="7C114E1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10.3.1</w:t>
      </w:r>
      <w:r>
        <w:rPr>
          <w:rFonts w:hint="eastAsia" w:ascii="Times New Roman"/>
          <w:snapToGrid w:val="0"/>
          <w:color w:val="auto"/>
          <w:kern w:val="0"/>
          <w:highlight w:val="none"/>
        </w:rPr>
        <w:t xml:space="preserve"> 经济标书包括以下内容：</w:t>
      </w:r>
    </w:p>
    <w:p w14:paraId="09381B8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64747E11">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（2）目录；</w:t>
      </w:r>
    </w:p>
    <w:p w14:paraId="09D9851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（3）《投标总价》；</w:t>
      </w:r>
    </w:p>
    <w:p w14:paraId="12682EA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说明：《投标总价》的格式按照《建设工程工程量清单计价规范》（GB50500—2013）执行，并应满足以下要求：</w:t>
      </w:r>
    </w:p>
    <w:p w14:paraId="650F31CB">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a</w:t>
      </w:r>
      <w:r>
        <w:rPr>
          <w:rFonts w:hint="eastAsia" w:ascii="Times New Roman"/>
          <w:snapToGrid w:val="0"/>
          <w:color w:val="auto"/>
          <w:kern w:val="0"/>
          <w:highlight w:val="none"/>
        </w:rPr>
        <w:t>．《投标总价扉页》（即扉—3）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14:paraId="02DFAAE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．《总说明》（即表—01）中的填写内容除按照《建设工程工程量清单计价规范》（GB50500—2013）第</w:t>
      </w:r>
      <w:r>
        <w:rPr>
          <w:rFonts w:hint="eastAsia" w:ascii="Times New Roman"/>
          <w:b/>
          <w:bCs/>
          <w:snapToGrid w:val="0"/>
          <w:color w:val="auto"/>
          <w:kern w:val="0"/>
          <w:highlight w:val="none"/>
        </w:rPr>
        <w:t>16.0.4</w:t>
      </w:r>
      <w:r>
        <w:rPr>
          <w:rFonts w:hint="eastAsia" w:ascii="Times New Roman"/>
          <w:snapToGrid w:val="0"/>
          <w:color w:val="auto"/>
          <w:kern w:val="0"/>
          <w:highlight w:val="none"/>
        </w:rPr>
        <w:t>条第</w:t>
      </w:r>
      <w:r>
        <w:rPr>
          <w:rFonts w:hint="eastAsia" w:ascii="Times New Roman"/>
          <w:b/>
          <w:bCs/>
          <w:snapToGrid w:val="0"/>
          <w:color w:val="auto"/>
          <w:kern w:val="0"/>
          <w:highlight w:val="none"/>
        </w:rPr>
        <w:t>3</w:t>
      </w:r>
      <w:r>
        <w:rPr>
          <w:rFonts w:hint="eastAsia" w:ascii="Times New Roman"/>
          <w:snapToGrid w:val="0"/>
          <w:color w:val="auto"/>
          <w:kern w:val="0"/>
          <w:highlight w:val="none"/>
        </w:rPr>
        <w:t>项执行外，尚应就造价软件的名称、版本、加密锁编号作出专项说明。</w:t>
      </w:r>
      <w:bookmarkStart w:id="97" w:name="_Hlt69699579"/>
      <w:bookmarkEnd w:id="97"/>
    </w:p>
    <w:p w14:paraId="004E14FB">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szCs w:val="18"/>
          <w:highlight w:val="none"/>
        </w:rPr>
        <w:t>（4）投标人认为有必要补充的其他资料（例如关于投标总价下浮率超过15%的书面说明和佐证材料）。</w:t>
      </w:r>
    </w:p>
    <w:p w14:paraId="69E227E3">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10.3.1</w:t>
      </w:r>
      <w:r>
        <w:rPr>
          <w:rFonts w:hint="eastAsia" w:ascii="Times New Roman"/>
          <w:snapToGrid w:val="0"/>
          <w:color w:val="auto"/>
          <w:kern w:val="0"/>
          <w:szCs w:val="18"/>
          <w:highlight w:val="none"/>
        </w:rPr>
        <w:t>目中所列出的经济标书组成内容中，第（1）至第（3）项所有投标人均应提供</w:t>
      </w:r>
      <w:bookmarkStart w:id="98" w:name="_Hlt145127239"/>
      <w:bookmarkEnd w:id="98"/>
      <w:bookmarkStart w:id="99" w:name="_Toc7035"/>
      <w:r>
        <w:rPr>
          <w:rFonts w:hint="eastAsia" w:ascii="Times New Roman"/>
          <w:snapToGrid w:val="0"/>
          <w:color w:val="auto"/>
          <w:kern w:val="0"/>
          <w:szCs w:val="18"/>
          <w:highlight w:val="none"/>
        </w:rPr>
        <w:t>。</w:t>
      </w:r>
    </w:p>
    <w:p w14:paraId="79CF356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10.3.3</w:t>
      </w:r>
      <w:r>
        <w:rPr>
          <w:rFonts w:hint="eastAsia" w:ascii="Times New Roman"/>
          <w:snapToGrid w:val="0"/>
          <w:color w:val="auto"/>
          <w:kern w:val="0"/>
          <w:highlight w:val="none"/>
        </w:rPr>
        <w:t xml:space="preserve"> </w:t>
      </w:r>
      <w:r>
        <w:rPr>
          <w:color w:val="auto"/>
          <w:highlight w:val="none"/>
        </w:rPr>
        <w:t>经济标书的组成内容按本节第10.3.1目规定的顺序整理、编排后，逐页（页码起始从封面开始）连续标记页码。</w:t>
      </w:r>
    </w:p>
    <w:p w14:paraId="07BEF873">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bCs/>
          <w:snapToGrid w:val="0"/>
          <w:color w:val="auto"/>
          <w:kern w:val="0"/>
          <w:highlight w:val="none"/>
        </w:rPr>
        <w:t>10.4</w:t>
      </w:r>
      <w:r>
        <w:rPr>
          <w:rFonts w:hint="eastAsia" w:ascii="Times New Roman"/>
          <w:bCs/>
          <w:snapToGrid w:val="0"/>
          <w:color w:val="auto"/>
          <w:kern w:val="0"/>
          <w:highlight w:val="none"/>
        </w:rPr>
        <w:t xml:space="preserve"> 施工组织设计的编制要求</w:t>
      </w:r>
    </w:p>
    <w:p w14:paraId="4023BD1A">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snapToGrid w:val="0"/>
          <w:color w:val="auto"/>
          <w:kern w:val="0"/>
          <w:highlight w:val="none"/>
        </w:rPr>
        <w:t>10.4.1</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施工组织设计的编制依据包括且不限于</w:t>
      </w:r>
      <w:r>
        <w:rPr>
          <w:rFonts w:hint="eastAsia" w:ascii="Times New Roman"/>
          <w:bCs/>
          <w:snapToGrid w:val="0"/>
          <w:color w:val="auto"/>
          <w:kern w:val="0"/>
          <w:highlight w:val="none"/>
        </w:rPr>
        <w:t>：</w:t>
      </w:r>
    </w:p>
    <w:p w14:paraId="273D5776">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（1）招标文件及</w:t>
      </w:r>
      <w:r>
        <w:rPr>
          <w:rFonts w:hint="eastAsia" w:ascii="Times New Roman"/>
          <w:snapToGrid w:val="0"/>
          <w:color w:val="auto"/>
          <w:kern w:val="0"/>
          <w:highlight w:val="none"/>
        </w:rPr>
        <w:t>其答疑（或修改）公告；</w:t>
      </w:r>
    </w:p>
    <w:p w14:paraId="5678AB36">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（2）施工图及相关资料；</w:t>
      </w:r>
    </w:p>
    <w:p w14:paraId="7BC082D6">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（3）施工现场情况、工程特点；</w:t>
      </w:r>
    </w:p>
    <w:p w14:paraId="516F7CBF">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（4）相关法律、法规、规定；</w:t>
      </w:r>
    </w:p>
    <w:p w14:paraId="6682FF6F">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54B00B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Cs/>
          <w:snapToGrid w:val="0"/>
          <w:color w:val="auto"/>
          <w:kern w:val="0"/>
          <w:highlight w:val="none"/>
        </w:rPr>
        <w:t>（6）企业内部标准、工法。</w:t>
      </w:r>
    </w:p>
    <w:p w14:paraId="7E66062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10.4.2</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施工组织设计包括但不限于以下内容：</w:t>
      </w:r>
    </w:p>
    <w:p w14:paraId="0B60100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0755A50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（2）目录；</w:t>
      </w:r>
    </w:p>
    <w:p w14:paraId="563C9D0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（3）总体概述（包括施工程序总体设想及施工段划分等内容）；</w:t>
      </w:r>
    </w:p>
    <w:p w14:paraId="2E9DBD5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2FD7B18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（5）质量保证措施（包括质量管理目标；相应保证措施；违约责任承诺等内容）；</w:t>
      </w:r>
    </w:p>
    <w:p w14:paraId="31631BC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（6）施工技术措施（包括关键施工技术、工艺及工程项目实施的重点、难点分析和解决方案；新技术应用与承诺等内容）；</w:t>
      </w:r>
    </w:p>
    <w:p w14:paraId="7B2016B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（7）绿色施工、安全防护、文明施工措施计划；</w:t>
      </w:r>
    </w:p>
    <w:p w14:paraId="2E54BAB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E35D31D">
      <w:pPr>
        <w:wordWrap w:val="0"/>
        <w:adjustRightInd w:val="0"/>
        <w:snapToGrid w:val="0"/>
        <w:spacing w:line="440" w:lineRule="exact"/>
        <w:ind w:firstLine="480" w:firstLineChars="200"/>
        <w:rPr>
          <w:rFonts w:hint="eastAsia" w:ascii="Times New Roman"/>
          <w:i/>
          <w:iCs/>
          <w:snapToGrid w:val="0"/>
          <w:color w:val="auto"/>
          <w:kern w:val="0"/>
          <w:highlight w:val="none"/>
        </w:rPr>
      </w:pPr>
      <w:r>
        <w:rPr>
          <w:rFonts w:hint="eastAsia" w:ascii="Times New Roman"/>
          <w:snapToGrid w:val="0"/>
          <w:color w:val="auto"/>
          <w:kern w:val="0"/>
          <w:highlight w:val="none"/>
        </w:rPr>
        <w:t>（9）项目管理机构。</w:t>
      </w:r>
    </w:p>
    <w:p w14:paraId="6535481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（10）投标人认为有必要补充的其他内容（例如对总包管理的认识以及对专业分包工程的管理、协调、配合、服务方案）。</w:t>
      </w:r>
    </w:p>
    <w:p w14:paraId="6BD00D8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10.4.3</w:t>
      </w:r>
      <w:r>
        <w:rPr>
          <w:rFonts w:hint="eastAsia" w:ascii="Times New Roman"/>
          <w:snapToGrid w:val="0"/>
          <w:color w:val="auto"/>
          <w:kern w:val="0"/>
          <w:highlight w:val="none"/>
        </w:rPr>
        <w:t xml:space="preserve"> 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目中所列出的施工组织设计组成内容中，第（1）至第（9）项</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w:t>
      </w:r>
    </w:p>
    <w:p w14:paraId="3E0FDED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10.4.4</w:t>
      </w:r>
      <w:r>
        <w:rPr>
          <w:rFonts w:hint="eastAsia" w:ascii="Times New Roman"/>
          <w:snapToGrid w:val="0"/>
          <w:color w:val="auto"/>
          <w:kern w:val="0"/>
          <w:highlight w:val="none"/>
        </w:rPr>
        <w:t xml:space="preserve"> </w:t>
      </w:r>
      <w:r>
        <w:rPr>
          <w:color w:val="auto"/>
          <w:highlight w:val="none"/>
        </w:rPr>
        <w:t>施工组织设计的组成内容按本节第10.4.2目规定的顺序整理、编排后，逐页（页码起始从封面开始）连续标记页码。</w:t>
      </w:r>
    </w:p>
    <w:p w14:paraId="1DE9F47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10.4.5</w:t>
      </w:r>
      <w:r>
        <w:rPr>
          <w:rFonts w:hint="eastAsia" w:ascii="Times New Roman"/>
          <w:snapToGrid w:val="0"/>
          <w:color w:val="auto"/>
          <w:kern w:val="0"/>
          <w:highlight w:val="none"/>
        </w:rPr>
        <w:t xml:space="preserve"> 施工组织设计的正文除施工现场平面布置图和进度计划图用白色标准A3纸设置外，其他内容一律用白色标准A4纸设置。</w:t>
      </w:r>
    </w:p>
    <w:p w14:paraId="51D8C177">
      <w:pPr>
        <w:wordWrap w:val="0"/>
        <w:adjustRightInd w:val="0"/>
        <w:snapToGrid w:val="0"/>
        <w:spacing w:line="440" w:lineRule="exact"/>
        <w:rPr>
          <w:rFonts w:hint="eastAsia" w:ascii="Times New Roman"/>
          <w:snapToGrid w:val="0"/>
          <w:color w:val="auto"/>
          <w:kern w:val="0"/>
          <w:highlight w:val="none"/>
        </w:rPr>
      </w:pPr>
    </w:p>
    <w:bookmarkEnd w:id="99"/>
    <w:p w14:paraId="5632C36F">
      <w:pPr>
        <w:ind w:firstLine="482" w:firstLineChars="200"/>
        <w:outlineLvl w:val="1"/>
        <w:rPr>
          <w:rFonts w:hint="eastAsia" w:ascii="Times New Roman"/>
          <w:bCs/>
          <w:snapToGrid w:val="0"/>
          <w:color w:val="auto"/>
          <w:highlight w:val="none"/>
        </w:rPr>
      </w:pPr>
      <w:bookmarkStart w:id="100" w:name="_Toc21636"/>
      <w:bookmarkStart w:id="101" w:name="_Toc32203"/>
      <w:r>
        <w:rPr>
          <w:rFonts w:hint="eastAsia" w:ascii="Times New Roman"/>
          <w:b/>
          <w:snapToGrid w:val="0"/>
          <w:color w:val="auto"/>
          <w:highlight w:val="none"/>
        </w:rPr>
        <w:t>11.</w:t>
      </w:r>
      <w:r>
        <w:rPr>
          <w:rFonts w:hint="eastAsia" w:ascii="Times New Roman"/>
          <w:bCs/>
          <w:snapToGrid w:val="0"/>
          <w:color w:val="auto"/>
          <w:highlight w:val="none"/>
        </w:rPr>
        <w:t>电子投标：</w:t>
      </w:r>
      <w:bookmarkEnd w:id="100"/>
    </w:p>
    <w:p w14:paraId="1D411EA3">
      <w:pPr>
        <w:wordWrap w:val="0"/>
        <w:adjustRightInd w:val="0"/>
        <w:spacing w:line="400" w:lineRule="exact"/>
        <w:ind w:firstLine="480" w:firstLineChars="200"/>
        <w:rPr>
          <w:rFonts w:hint="eastAsia" w:hAnsi="宋体" w:cs="宋体"/>
          <w:b/>
          <w:snapToGrid w:val="0"/>
          <w:color w:val="auto"/>
          <w:szCs w:val="24"/>
          <w:highlight w:val="none"/>
        </w:rPr>
      </w:pPr>
      <w:bookmarkStart w:id="102" w:name="_Hlt88627590"/>
      <w:bookmarkEnd w:id="102"/>
      <w:r>
        <w:rPr>
          <w:rFonts w:hint="eastAsia" w:hAnsi="宋体" w:cs="宋体"/>
          <w:bCs/>
          <w:snapToGrid w:val="0"/>
          <w:color w:val="auto"/>
          <w:szCs w:val="24"/>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hAnsi="宋体" w:cs="宋体"/>
          <w:bCs/>
          <w:snapToGrid w:val="0"/>
          <w:color w:val="auto"/>
          <w:szCs w:val="24"/>
          <w:highlight w:val="none"/>
          <w:lang w:val="en-US" w:eastAsia="zh-CN"/>
        </w:rPr>
        <w:t>-招标人</w:t>
      </w:r>
      <w:r>
        <w:rPr>
          <w:rFonts w:hint="eastAsia" w:hAnsi="宋体" w:cs="宋体"/>
          <w:bCs/>
          <w:snapToGrid w:val="0"/>
          <w:color w:val="auto"/>
          <w:szCs w:val="24"/>
          <w:highlight w:val="none"/>
        </w:rPr>
        <w:t>操作指引》。本项目评标采用全流程电子化进行招标投标（投标人应根据韶关市公共资源建设工程交易系统</w:t>
      </w:r>
      <w:r>
        <w:rPr>
          <w:rFonts w:hint="eastAsia" w:hAnsi="宋体" w:cs="宋体"/>
          <w:bCs/>
          <w:snapToGrid w:val="0"/>
          <w:color w:val="auto"/>
          <w:szCs w:val="24"/>
          <w:highlight w:val="none"/>
          <w:lang w:val="en-US" w:eastAsia="zh-CN"/>
        </w:rPr>
        <w:t>-招标人</w:t>
      </w:r>
      <w:r>
        <w:rPr>
          <w:rFonts w:hint="eastAsia" w:hAnsi="宋体" w:cs="宋体"/>
          <w:bCs/>
          <w:snapToGrid w:val="0"/>
          <w:color w:val="auto"/>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34C0FDB6">
      <w:pPr>
        <w:wordWrap w:val="0"/>
        <w:adjustRightInd w:val="0"/>
        <w:spacing w:line="400" w:lineRule="exact"/>
        <w:ind w:firstLine="480" w:firstLineChars="200"/>
        <w:rPr>
          <w:rFonts w:hint="eastAsia" w:hAnsi="宋体" w:cs="宋体"/>
          <w:bCs/>
          <w:snapToGrid w:val="0"/>
          <w:color w:val="auto"/>
          <w:szCs w:val="24"/>
          <w:highlight w:val="none"/>
        </w:rPr>
      </w:pPr>
      <w:bookmarkStart w:id="103" w:name="_Hlt127590288"/>
      <w:bookmarkEnd w:id="103"/>
      <w:r>
        <w:rPr>
          <w:rFonts w:hint="eastAsia" w:hAnsi="宋体" w:cs="宋体"/>
          <w:bCs/>
          <w:snapToGrid w:val="0"/>
          <w:color w:val="auto"/>
          <w:szCs w:val="24"/>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54DCE6F8">
      <w:pPr>
        <w:pStyle w:val="3"/>
        <w:wordWrap w:val="0"/>
        <w:autoSpaceDE/>
        <w:autoSpaceDN/>
        <w:snapToGrid w:val="0"/>
        <w:spacing w:line="440" w:lineRule="exact"/>
        <w:ind w:firstLine="480"/>
        <w:jc w:val="both"/>
        <w:rPr>
          <w:rFonts w:hint="eastAsia" w:ascii="Times New Roman"/>
          <w:b/>
          <w:snapToGrid w:val="0"/>
          <w:color w:val="auto"/>
          <w:highlight w:val="none"/>
        </w:rPr>
      </w:pPr>
    </w:p>
    <w:bookmarkEnd w:id="101"/>
    <w:p w14:paraId="4E28952F">
      <w:pPr>
        <w:pStyle w:val="138"/>
        <w:wordWrap w:val="0"/>
        <w:adjustRightInd w:val="0"/>
        <w:snapToGrid w:val="0"/>
        <w:spacing w:line="440" w:lineRule="exact"/>
        <w:ind w:firstLine="482" w:firstLineChars="200"/>
        <w:jc w:val="left"/>
        <w:rPr>
          <w:rFonts w:hint="eastAsia"/>
          <w:b/>
          <w:bCs/>
          <w:snapToGrid w:val="0"/>
          <w:color w:val="auto"/>
          <w:kern w:val="0"/>
          <w:sz w:val="24"/>
          <w:highlight w:val="none"/>
        </w:rPr>
      </w:pPr>
      <w:r>
        <w:rPr>
          <w:rFonts w:hint="eastAsia"/>
          <w:b/>
          <w:bCs/>
          <w:snapToGrid w:val="0"/>
          <w:color w:val="auto"/>
          <w:kern w:val="0"/>
          <w:sz w:val="24"/>
          <w:highlight w:val="none"/>
        </w:rPr>
        <w:t>12电子投标及投标解密失败及突发情况的补救方案</w:t>
      </w:r>
    </w:p>
    <w:p w14:paraId="49FA8585">
      <w:pPr>
        <w:wordWrap w:val="0"/>
        <w:adjustRightInd w:val="0"/>
        <w:spacing w:line="400" w:lineRule="exact"/>
        <w:ind w:firstLine="482" w:firstLineChars="200"/>
        <w:rPr>
          <w:rFonts w:hint="eastAsia" w:hAnsi="宋体" w:cs="宋体"/>
          <w:bCs/>
          <w:snapToGrid w:val="0"/>
          <w:color w:val="auto"/>
          <w:szCs w:val="24"/>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12.1</w:t>
      </w:r>
      <w:r>
        <w:rPr>
          <w:rFonts w:hint="eastAsia" w:hAnsi="宋体" w:cs="宋体"/>
          <w:bCs/>
          <w:snapToGrid w:val="0"/>
          <w:color w:val="auto"/>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25695619">
      <w:pPr>
        <w:wordWrap w:val="0"/>
        <w:adjustRightInd w:val="0"/>
        <w:spacing w:line="400" w:lineRule="exact"/>
        <w:ind w:firstLine="482" w:firstLineChars="200"/>
        <w:rPr>
          <w:rFonts w:hint="eastAsia" w:hAnsi="宋体" w:cs="宋体"/>
          <w:bCs/>
          <w:snapToGrid w:val="0"/>
          <w:color w:val="auto"/>
          <w:szCs w:val="24"/>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12.2</w:t>
      </w:r>
      <w:r>
        <w:rPr>
          <w:rFonts w:hint="eastAsia" w:hAnsi="宋体" w:cs="宋体"/>
          <w:bCs/>
          <w:snapToGrid w:val="0"/>
          <w:color w:val="auto"/>
          <w:szCs w:val="24"/>
          <w:highlight w:val="none"/>
        </w:rPr>
        <w:t>补救方案：</w:t>
      </w:r>
    </w:p>
    <w:p w14:paraId="05EBEED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bCs/>
          <w:snapToGrid w:val="0"/>
          <w:color w:val="auto"/>
          <w:szCs w:val="24"/>
          <w:highlight w:val="none"/>
        </w:rPr>
      </w:pPr>
      <w:r>
        <w:rPr>
          <w:rFonts w:hint="eastAsia" w:hAnsi="宋体" w:cs="宋体"/>
          <w:bCs/>
          <w:snapToGrid w:val="0"/>
          <w:color w:val="auto"/>
          <w:szCs w:val="24"/>
          <w:highlight w:val="none"/>
        </w:rPr>
        <w:t>投标文件解密失败的补救方案：</w:t>
      </w:r>
    </w:p>
    <w:p w14:paraId="0363C629">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6768551E">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（2）评标时突发情况的补救方案</w:t>
      </w:r>
    </w:p>
    <w:p w14:paraId="49C56600">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A8AF0A1">
      <w:pPr>
        <w:pStyle w:val="138"/>
        <w:numPr>
          <w:ilvl w:val="0"/>
          <w:numId w:val="1"/>
        </w:numPr>
        <w:wordWrap w:val="0"/>
        <w:adjustRightInd w:val="0"/>
        <w:snapToGrid w:val="0"/>
        <w:spacing w:line="440" w:lineRule="exact"/>
        <w:ind w:left="0" w:leftChars="0" w:firstLine="480" w:firstLineChars="200"/>
        <w:jc w:val="left"/>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4998313A">
      <w:pPr>
        <w:pStyle w:val="138"/>
        <w:numPr>
          <w:ilvl w:val="0"/>
          <w:numId w:val="0"/>
        </w:numPr>
        <w:wordWrap w:val="0"/>
        <w:adjustRightInd w:val="0"/>
        <w:snapToGrid w:val="0"/>
        <w:spacing w:line="440" w:lineRule="exact"/>
        <w:ind w:leftChars="200"/>
        <w:jc w:val="left"/>
        <w:rPr>
          <w:rFonts w:hint="eastAsia"/>
          <w:snapToGrid w:val="0"/>
          <w:color w:val="auto"/>
          <w:kern w:val="0"/>
          <w:sz w:val="24"/>
          <w:highlight w:val="none"/>
        </w:rPr>
      </w:pPr>
      <w:r>
        <w:rPr>
          <w:rFonts w:hint="eastAsia"/>
          <w:b/>
          <w:bCs/>
          <w:snapToGrid w:val="0"/>
          <w:color w:val="auto"/>
          <w:kern w:val="0"/>
          <w:sz w:val="24"/>
          <w:szCs w:val="20"/>
          <w:highlight w:val="none"/>
        </w:rPr>
        <w:t>12.4</w:t>
      </w:r>
      <w:r>
        <w:rPr>
          <w:rFonts w:hint="eastAsia"/>
          <w:snapToGrid w:val="0"/>
          <w:color w:val="auto"/>
          <w:kern w:val="0"/>
          <w:sz w:val="24"/>
          <w:highlight w:val="none"/>
        </w:rPr>
        <w:t xml:space="preserve"> 联合体投标的，由联合体牵头人按以上要求递交投标文件和相关资料。</w:t>
      </w:r>
    </w:p>
    <w:p w14:paraId="737B12F5">
      <w:pPr>
        <w:wordWrap w:val="0"/>
        <w:adjustRightInd w:val="0"/>
        <w:snapToGrid w:val="0"/>
        <w:spacing w:line="440" w:lineRule="exact"/>
        <w:ind w:firstLine="480" w:firstLineChars="200"/>
        <w:rPr>
          <w:rFonts w:hint="eastAsia" w:ascii="Times New Roman"/>
          <w:snapToGrid w:val="0"/>
          <w:color w:val="auto"/>
          <w:kern w:val="0"/>
          <w:highlight w:val="none"/>
        </w:rPr>
      </w:pPr>
    </w:p>
    <w:p w14:paraId="4F37F32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12.5</w:t>
      </w:r>
      <w:r>
        <w:rPr>
          <w:rFonts w:hint="eastAsia" w:ascii="Times New Roman"/>
          <w:snapToGrid w:val="0"/>
          <w:color w:val="auto"/>
          <w:kern w:val="0"/>
          <w:highlight w:val="none"/>
        </w:rPr>
        <w:t xml:space="preserve"> 招标人或其授权的招标代理机构核对、接收投标人递交的投标文件和相关资料后，应向投标人出具标明签收人和签收时间的凭证，并妥善保管。</w:t>
      </w:r>
    </w:p>
    <w:p w14:paraId="6A865F72">
      <w:pPr>
        <w:wordWrap w:val="0"/>
        <w:adjustRightInd w:val="0"/>
        <w:snapToGrid w:val="0"/>
        <w:spacing w:line="440" w:lineRule="exact"/>
        <w:rPr>
          <w:rFonts w:hint="eastAsia" w:ascii="Times New Roman"/>
          <w:snapToGrid w:val="0"/>
          <w:color w:val="auto"/>
          <w:kern w:val="0"/>
          <w:szCs w:val="22"/>
          <w:highlight w:val="none"/>
        </w:rPr>
      </w:pPr>
    </w:p>
    <w:p w14:paraId="1A0C84C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13．</w:t>
      </w:r>
      <w:r>
        <w:rPr>
          <w:rFonts w:hint="eastAsia" w:ascii="Times New Roman"/>
          <w:b/>
          <w:snapToGrid w:val="0"/>
          <w:color w:val="auto"/>
          <w:highlight w:val="none"/>
        </w:rPr>
        <w:t>投标文件的提交</w:t>
      </w:r>
    </w:p>
    <w:p w14:paraId="2AD7AA1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13.1在投标文件提交截止时间前，投标人通过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将予以拒收。</w:t>
      </w:r>
    </w:p>
    <w:p w14:paraId="2907CBA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13.2提交时间和地点：见本章第二节“重要事项时间地点一览表”</w:t>
      </w:r>
    </w:p>
    <w:p w14:paraId="2F324F07">
      <w:pPr>
        <w:pStyle w:val="10"/>
        <w:keepNext w:val="0"/>
        <w:keepLines w:val="0"/>
        <w:pageBreakBefore w:val="0"/>
        <w:widowControl w:val="0"/>
        <w:kinsoku/>
        <w:overflowPunct/>
        <w:topLinePunct w:val="0"/>
        <w:autoSpaceDE/>
        <w:autoSpaceDN/>
        <w:bidi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highlight w:val="none"/>
        </w:rPr>
        <w:t xml:space="preserve">13.3 </w:t>
      </w:r>
      <w:r>
        <w:rPr>
          <w:rFonts w:hint="eastAsia" w:hAnsi="宋体" w:cs="宋体"/>
          <w:bCs/>
          <w:snapToGrid w:val="0"/>
          <w:color w:val="auto"/>
          <w:szCs w:val="24"/>
          <w:highlight w:val="none"/>
        </w:rPr>
        <w:t>投标人法定代表人或其委托代理人（以下简称“投标人代表”）应在指定的时间和地点递交投标相关资料（如有）。</w:t>
      </w:r>
    </w:p>
    <w:p w14:paraId="2F39337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rPr>
          <w:rFonts w:hint="eastAsia" w:ascii="Times New Roman"/>
          <w:strike/>
          <w:dstrike w:val="0"/>
          <w:snapToGrid w:val="0"/>
          <w:color w:val="auto"/>
          <w:kern w:val="0"/>
          <w:highlight w:val="none"/>
        </w:rPr>
      </w:pPr>
      <w:r>
        <w:rPr>
          <w:rFonts w:hint="eastAsia" w:ascii="Times New Roman"/>
          <w:snapToGrid w:val="0"/>
          <w:color w:val="auto"/>
          <w:kern w:val="0"/>
          <w:highlight w:val="none"/>
        </w:rPr>
        <w:t>13.4在投标文件提交截止时间前，投标人通过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建设工程交易系统提交已加密投标文件。逾期提交的电子投标文件，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建设工程交易系统将予以拒收</w:t>
      </w:r>
      <w:r>
        <w:rPr>
          <w:rFonts w:hint="eastAsia" w:ascii="Times New Roman"/>
          <w:snapToGrid w:val="0"/>
          <w:color w:val="auto"/>
          <w:kern w:val="0"/>
          <w:highlight w:val="none"/>
          <w:lang w:eastAsia="zh-CN"/>
        </w:rPr>
        <w:t>。</w:t>
      </w:r>
    </w:p>
    <w:p w14:paraId="432D4D73">
      <w:pPr>
        <w:keepNext w:val="0"/>
        <w:keepLines w:val="0"/>
        <w:pageBreakBefore w:val="0"/>
        <w:widowControl w:val="0"/>
        <w:kinsoku/>
        <w:overflowPunct/>
        <w:topLinePunct w:val="0"/>
        <w:autoSpaceDE/>
        <w:autoSpaceDN/>
        <w:bidi w:val="0"/>
        <w:spacing w:line="440" w:lineRule="exact"/>
        <w:ind w:firstLine="480" w:firstLineChars="200"/>
        <w:rPr>
          <w:rFonts w:hint="eastAsia" w:ascii="Times New Roman"/>
          <w:snapToGrid w:val="0"/>
          <w:color w:val="auto"/>
          <w:kern w:val="0"/>
          <w:highlight w:val="none"/>
        </w:rPr>
      </w:pPr>
      <w:r>
        <w:rPr>
          <w:rFonts w:hint="eastAsia"/>
          <w:color w:val="auto"/>
          <w:highlight w:val="none"/>
        </w:rPr>
        <w:t>1</w:t>
      </w:r>
      <w:r>
        <w:rPr>
          <w:rFonts w:hint="eastAsia" w:ascii="Times New Roman"/>
          <w:snapToGrid w:val="0"/>
          <w:color w:val="auto"/>
          <w:kern w:val="0"/>
          <w:highlight w:val="none"/>
        </w:rPr>
        <w:t>3.5递交时间和地点：投标人如有招标文件要求提交的用于评审的证书、证件、证明原件（附一式两份清单），由投标人法定代表人或其委托代理人在指定的时间和地点递交（见“重要事项时间地点一览表”）</w:t>
      </w:r>
    </w:p>
    <w:p w14:paraId="4738BD6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13.6</w:t>
      </w:r>
      <w:r>
        <w:rPr>
          <w:rFonts w:hint="eastAsia" w:ascii="Times New Roman"/>
          <w:snapToGrid w:val="0"/>
          <w:color w:val="auto"/>
          <w:kern w:val="0"/>
          <w:highlight w:val="none"/>
        </w:rPr>
        <w:t>代理机构对因不可抗力事件造成的投标文件的损坏、丢失的，不承担责任。</w:t>
      </w:r>
    </w:p>
    <w:p w14:paraId="3D3AA3A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13.</w:t>
      </w:r>
      <w:r>
        <w:rPr>
          <w:rFonts w:hint="eastAsia" w:ascii="Times New Roman"/>
          <w:snapToGrid w:val="0"/>
          <w:color w:val="auto"/>
          <w:kern w:val="0"/>
          <w:highlight w:val="none"/>
          <w:lang w:val="en-US" w:eastAsia="zh-CN"/>
        </w:rPr>
        <w:t>7</w:t>
      </w:r>
      <w:r>
        <w:rPr>
          <w:rFonts w:hint="eastAsia" w:ascii="Times New Roman"/>
          <w:snapToGrid w:val="0"/>
          <w:color w:val="auto"/>
          <w:kern w:val="0"/>
          <w:highlight w:val="none"/>
        </w:rPr>
        <w:t>出现下述情形之一，属于未成功提交投标文件，按无效投标处理：</w:t>
      </w:r>
    </w:p>
    <w:p w14:paraId="6A6C722F">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lang w:val="en-US" w:eastAsia="zh-CN"/>
        </w:rPr>
        <w:t>)</w:t>
      </w:r>
      <w:r>
        <w:rPr>
          <w:rFonts w:hint="eastAsia" w:ascii="Times New Roman"/>
          <w:snapToGrid w:val="0"/>
          <w:color w:val="auto"/>
          <w:kern w:val="0"/>
          <w:highlight w:val="none"/>
        </w:rPr>
        <w:t>至提交投标文件截止时，投标文件未完整上传及提交标书；</w:t>
      </w:r>
    </w:p>
    <w:p w14:paraId="3CB6D906">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投标文件未按投标格式中注明需签字盖章的要求进行签名（含电子签名）和加盖电子印章，或签名（含电子签名）或电子印章不完整的；</w:t>
      </w:r>
    </w:p>
    <w:p w14:paraId="0982E867">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解密失败且在规定时间内未重新提交投标文件的</w:t>
      </w:r>
      <w:r>
        <w:rPr>
          <w:rFonts w:hint="eastAsia" w:ascii="Times New Roman"/>
          <w:snapToGrid w:val="0"/>
          <w:color w:val="auto"/>
          <w:kern w:val="0"/>
          <w:highlight w:val="none"/>
          <w:lang w:eastAsia="zh-CN"/>
        </w:rPr>
        <w:t>；</w:t>
      </w:r>
    </w:p>
    <w:p w14:paraId="2FB872FE">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Times New Roman"/>
          <w:snapToGrid w:val="0"/>
          <w:color w:val="auto"/>
          <w:kern w:val="0"/>
          <w:highlight w:val="none"/>
        </w:rPr>
      </w:pPr>
      <w:r>
        <w:rPr>
          <w:rFonts w:hint="eastAsia" w:ascii="Times New Roman"/>
          <w:snapToGrid w:val="0"/>
          <w:color w:val="auto"/>
          <w:kern w:val="0"/>
          <w:highlight w:val="none"/>
        </w:rPr>
        <w:t>投标文件损坏或格式不正确的；</w:t>
      </w:r>
    </w:p>
    <w:p w14:paraId="3A20CB77">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ascii="Times New Roman"/>
          <w:snapToGrid w:val="0"/>
          <w:color w:val="auto"/>
          <w:kern w:val="0"/>
          <w:highlight w:val="none"/>
        </w:rPr>
        <w:t>未在指定的时间递交相关资料的（如有）；</w:t>
      </w:r>
    </w:p>
    <w:p w14:paraId="7ABD2704">
      <w:pPr>
        <w:keepNext w:val="0"/>
        <w:keepLines w:val="0"/>
        <w:pageBreakBefore w:val="0"/>
        <w:widowControl w:val="0"/>
        <w:numPr>
          <w:ilvl w:val="0"/>
          <w:numId w:val="0"/>
        </w:numPr>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13.</w:t>
      </w:r>
      <w:r>
        <w:rPr>
          <w:rFonts w:hint="eastAsia"/>
          <w:color w:val="auto"/>
          <w:highlight w:val="none"/>
          <w:lang w:val="en-US" w:eastAsia="zh-CN"/>
        </w:rPr>
        <w:t>8</w:t>
      </w:r>
      <w:r>
        <w:rPr>
          <w:rFonts w:hint="eastAsia"/>
          <w:color w:val="auto"/>
          <w:highlight w:val="none"/>
        </w:rPr>
        <w:t xml:space="preserve"> 投标人代表尚应递交以下的资料（如有）：</w:t>
      </w:r>
    </w:p>
    <w:p w14:paraId="0979B43B">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 xml:space="preserve"> 招标文件要求提交的用于评审的证书、证件、证明原件（附一式</w:t>
      </w:r>
      <w:r>
        <w:rPr>
          <w:rFonts w:hint="eastAsia"/>
          <w:color w:val="auto"/>
          <w:highlight w:val="none"/>
          <w:lang w:val="en-US" w:eastAsia="zh-CN"/>
        </w:rPr>
        <w:t>两</w:t>
      </w:r>
      <w:r>
        <w:rPr>
          <w:rFonts w:hint="eastAsia"/>
          <w:color w:val="auto"/>
          <w:highlight w:val="none"/>
        </w:rPr>
        <w:t>份清单）。</w:t>
      </w:r>
    </w:p>
    <w:p w14:paraId="1EB3F455">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rPr>
      </w:pPr>
      <w:r>
        <w:rPr>
          <w:rFonts w:hint="eastAsia"/>
          <w:color w:val="auto"/>
          <w:highlight w:val="none"/>
        </w:rPr>
        <w:t>13.9招标人或其授权的招标代理机构核对、接收投标人递交的投标相关资料后，应向投标人出具标明签收人和签收时间的凭证，并妥善保管。</w:t>
      </w:r>
    </w:p>
    <w:p w14:paraId="4B60F702">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color w:val="auto"/>
          <w:highlight w:val="none"/>
          <w:lang w:val="en-US" w:eastAsia="zh-CN"/>
        </w:rPr>
      </w:pPr>
      <w:r>
        <w:rPr>
          <w:rFonts w:hint="eastAsia"/>
          <w:color w:val="auto"/>
          <w:highlight w:val="none"/>
        </w:rPr>
        <w:t>备注：递交相应资料地址与开标地址一致。</w:t>
      </w:r>
    </w:p>
    <w:p w14:paraId="0AE57974">
      <w:pPr>
        <w:pStyle w:val="10"/>
        <w:rPr>
          <w:rFonts w:hint="eastAsia"/>
          <w:color w:val="auto"/>
          <w:highlight w:val="none"/>
          <w:lang w:val="en-US" w:eastAsia="zh-CN"/>
        </w:rPr>
      </w:pPr>
    </w:p>
    <w:p w14:paraId="25123DE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14．开标</w:t>
      </w:r>
    </w:p>
    <w:p w14:paraId="32DC0B8E">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14.1</w:t>
      </w:r>
      <w:r>
        <w:rPr>
          <w:rFonts w:hint="eastAsia"/>
          <w:snapToGrid w:val="0"/>
          <w:color w:val="auto"/>
          <w:kern w:val="0"/>
          <w:sz w:val="24"/>
          <w:highlight w:val="none"/>
        </w:rPr>
        <w:t xml:space="preserve"> 招标人邀请所有正确</w:t>
      </w:r>
      <w:r>
        <w:rPr>
          <w:rFonts w:hint="eastAsia" w:ascii="宋体" w:hAnsi="宋体" w:cs="宋体"/>
          <w:snapToGrid w:val="0"/>
          <w:color w:val="auto"/>
          <w:kern w:val="0"/>
          <w:sz w:val="24"/>
          <w:highlight w:val="none"/>
        </w:rPr>
        <w:t>获取招标文件、</w:t>
      </w:r>
      <w:r>
        <w:rPr>
          <w:rFonts w:hint="eastAsia"/>
          <w:snapToGrid w:val="0"/>
          <w:color w:val="auto"/>
          <w:kern w:val="0"/>
          <w:sz w:val="24"/>
          <w:highlight w:val="none"/>
        </w:rPr>
        <w:t>电子投标、缴纳投标保证的投标人参加开标，投标人可自主决定是否参加。</w:t>
      </w:r>
      <w:r>
        <w:rPr>
          <w:rFonts w:hint="eastAsia" w:ascii="宋体" w:hAnsi="宋体" w:cs="宋体"/>
          <w:snapToGrid w:val="0"/>
          <w:color w:val="auto"/>
          <w:kern w:val="0"/>
          <w:sz w:val="24"/>
          <w:highlight w:val="none"/>
        </w:rPr>
        <w:t>投标人可登陆交易平台观看开标实况、提出异议或进行澄清、确认等操作（具体按招标文件和系统操作手册为准）。</w:t>
      </w:r>
      <w:r>
        <w:rPr>
          <w:rFonts w:hint="eastAsia"/>
          <w:snapToGrid w:val="0"/>
          <w:color w:val="auto"/>
          <w:kern w:val="0"/>
          <w:sz w:val="24"/>
          <w:highlight w:val="none"/>
        </w:rPr>
        <w:t>投标人不参加开标的，视其默认开标结果，以及放弃在开标期间见证、监督、投诉、申辩的权利。</w:t>
      </w:r>
    </w:p>
    <w:p w14:paraId="2A413AAF">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14.1.1</w:t>
      </w:r>
      <w:r>
        <w:rPr>
          <w:rFonts w:hint="eastAsia"/>
          <w:snapToGrid w:val="0"/>
          <w:color w:val="auto"/>
          <w:kern w:val="0"/>
          <w:sz w:val="24"/>
          <w:highlight w:val="none"/>
        </w:rPr>
        <w:t xml:space="preserve"> 开标时间和地点：见本章第二节“重要事项时间地点一览表”。</w:t>
      </w:r>
    </w:p>
    <w:p w14:paraId="2EF7C9EC">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szCs w:val="20"/>
          <w:highlight w:val="none"/>
        </w:rPr>
        <w:t>14.1.2</w:t>
      </w:r>
      <w:r>
        <w:rPr>
          <w:rFonts w:hint="eastAsia"/>
          <w:snapToGrid w:val="0"/>
          <w:color w:val="auto"/>
          <w:kern w:val="0"/>
          <w:sz w:val="24"/>
          <w:highlight w:val="none"/>
        </w:rPr>
        <w:t xml:space="preserve"> </w:t>
      </w:r>
      <w:r>
        <w:rPr>
          <w:rFonts w:hint="eastAsia" w:ascii="宋体" w:hAnsi="宋体" w:cs="宋体"/>
          <w:snapToGrid w:val="0"/>
          <w:color w:val="auto"/>
          <w:kern w:val="0"/>
          <w:sz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cs="宋体"/>
          <w:snapToGrid w:val="0"/>
          <w:color w:val="auto"/>
          <w:kern w:val="0"/>
          <w:sz w:val="24"/>
          <w:highlight w:val="none"/>
          <w:lang w:eastAsia="zh-CN"/>
        </w:rPr>
        <w:t>全国公共资源交易平台（广东省·韶关市）（https://ygp.gdzwfw.gov.cn/ggzy-portal/#/440200/index）</w:t>
      </w:r>
      <w:r>
        <w:rPr>
          <w:rFonts w:hint="eastAsia" w:ascii="宋体" w:hAnsi="宋体" w:cs="宋体"/>
          <w:snapToGrid w:val="0"/>
          <w:color w:val="auto"/>
          <w:kern w:val="0"/>
          <w:sz w:val="24"/>
          <w:highlight w:val="none"/>
        </w:rPr>
        <w:t>查询是否发布了取消开标活动的相关信息。</w:t>
      </w:r>
    </w:p>
    <w:p w14:paraId="0818BA43">
      <w:pPr>
        <w:wordWrap w:val="0"/>
        <w:adjustRightInd w:val="0"/>
        <w:snapToGrid w:val="0"/>
        <w:spacing w:line="440" w:lineRule="exact"/>
        <w:ind w:firstLine="480"/>
        <w:rPr>
          <w:rFonts w:hint="eastAsia"/>
          <w:color w:val="auto"/>
          <w:highlight w:val="none"/>
        </w:rPr>
      </w:pPr>
      <w:r>
        <w:rPr>
          <w:rFonts w:hint="eastAsia" w:hAnsi="宋体" w:cs="宋体"/>
          <w:b/>
          <w:bCs/>
          <w:snapToGrid w:val="0"/>
          <w:color w:val="auto"/>
          <w:kern w:val="0"/>
          <w:highlight w:val="none"/>
        </w:rPr>
        <w:t>14.1.3</w:t>
      </w:r>
      <w:r>
        <w:rPr>
          <w:rFonts w:hint="eastAsia" w:hAnsi="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03587D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14.2</w:t>
      </w:r>
      <w:r>
        <w:rPr>
          <w:rFonts w:hint="eastAsia" w:ascii="Times New Roman"/>
          <w:snapToGrid w:val="0"/>
          <w:color w:val="auto"/>
          <w:kern w:val="0"/>
          <w:highlight w:val="none"/>
        </w:rPr>
        <w:t xml:space="preserve"> 开标程序</w:t>
      </w:r>
    </w:p>
    <w:p w14:paraId="0755F8B1">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（1）主持人（招标人代表或招标人授权的招标代理机构人员）宣读开标纪律。</w:t>
      </w:r>
    </w:p>
    <w:p w14:paraId="3D6368B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（2）主持人宣布唱标人、记录人、见证人、监督人等有关人员姓名。</w:t>
      </w:r>
    </w:p>
    <w:p w14:paraId="4FAED4C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（3）唱标人公布在投标截止时间前进行投标文件的投标人数量和名称，并现场核实参加开标的投标人数量和名称。投标人未参加开标的，招标代理机构应将有关情形在《开标一览表》“备注”栏中注明。</w:t>
      </w:r>
    </w:p>
    <w:p w14:paraId="43EAEFE8">
      <w:pPr>
        <w:pStyle w:val="5"/>
        <w:spacing w:before="0" w:after="0" w:line="360" w:lineRule="auto"/>
        <w:ind w:firstLine="480" w:firstLineChars="200"/>
        <w:rPr>
          <w:rFonts w:hint="eastAsia" w:ascii="Times New Roman"/>
          <w:snapToGrid w:val="0"/>
          <w:color w:val="auto"/>
          <w:kern w:val="0"/>
          <w:highlight w:val="none"/>
        </w:rPr>
      </w:pPr>
      <w:bookmarkStart w:id="104" w:name="_Toc21901"/>
      <w:r>
        <w:rPr>
          <w:rFonts w:hint="eastAsia" w:ascii="Times New Roman"/>
          <w:snapToGrid w:val="0"/>
          <w:color w:val="auto"/>
          <w:kern w:val="0"/>
          <w:highlight w:val="none"/>
        </w:rPr>
        <w:t>（4）招标代理机构会同交易场所工作人员对投标人的电子投标信息进行解密，建设工程交易系统自动生成《投标保证缴纳情况表》和《开标一览表》。</w:t>
      </w:r>
      <w:bookmarkEnd w:id="104"/>
    </w:p>
    <w:p w14:paraId="23B8F56E">
      <w:pPr>
        <w:pStyle w:val="10"/>
        <w:rPr>
          <w:rFonts w:hint="eastAsia"/>
          <w:color w:val="auto"/>
          <w:highlight w:val="none"/>
        </w:rPr>
      </w:pPr>
    </w:p>
    <w:p w14:paraId="7106E6E5">
      <w:pPr>
        <w:pStyle w:val="5"/>
        <w:spacing w:before="0" w:after="0" w:line="360" w:lineRule="auto"/>
        <w:ind w:firstLine="482" w:firstLineChars="200"/>
        <w:rPr>
          <w:rFonts w:hint="eastAsia"/>
          <w:color w:val="auto"/>
          <w:highlight w:val="none"/>
        </w:rPr>
      </w:pPr>
      <w:bookmarkStart w:id="105" w:name="_Toc6730"/>
      <w:r>
        <w:rPr>
          <w:rFonts w:hint="eastAsia"/>
          <w:b/>
          <w:bCs/>
          <w:color w:val="auto"/>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105"/>
    </w:p>
    <w:p w14:paraId="50981F5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14.3</w:t>
      </w:r>
      <w:r>
        <w:rPr>
          <w:rFonts w:hint="eastAsia" w:ascii="Times New Roman"/>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4EA13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14.4</w:t>
      </w:r>
      <w:r>
        <w:rPr>
          <w:rFonts w:hint="eastAsia" w:ascii="Times New Roman"/>
          <w:snapToGrid w:val="0"/>
          <w:color w:val="auto"/>
          <w:kern w:val="0"/>
          <w:highlight w:val="none"/>
        </w:rPr>
        <w:t xml:space="preserve"> 施工组织设计采用“暗标”方式进行评审的，在开标结束并清场后，由招标人代表在见证人或监督人见证下对施工组织设计文本及对应保密信封进行编号。号码可为随机数字或字母，但应确保同一投标人的施工组织设计文本编号与保密信封编号保持一致。招标人代表编号完毕后，将所有投标人的保密信封取出并装入同一个密封袋，并用封条密封。</w:t>
      </w:r>
    </w:p>
    <w:p w14:paraId="50AFD688">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14.5</w:t>
      </w:r>
      <w:r>
        <w:rPr>
          <w:rFonts w:hint="eastAsia" w:ascii="Times New Roman"/>
          <w:snapToGrid w:val="0"/>
          <w:color w:val="auto"/>
          <w:kern w:val="0"/>
          <w:highlight w:val="none"/>
        </w:rPr>
        <w:t xml:space="preserve"> </w:t>
      </w:r>
      <w:bookmarkStart w:id="106" w:name="_Hlt127093805"/>
      <w:bookmarkEnd w:id="106"/>
      <w:r>
        <w:rPr>
          <w:rFonts w:hint="eastAsia" w:ascii="Times New Roman"/>
          <w:snapToGrid w:val="0"/>
          <w:color w:val="auto"/>
          <w:kern w:val="0"/>
          <w:highlight w:val="none"/>
        </w:rPr>
        <w:t>招标代理机构将资料原件</w:t>
      </w:r>
      <w:r>
        <w:rPr>
          <w:rFonts w:hint="eastAsia" w:ascii="Times New Roman"/>
          <w:snapToGrid w:val="0"/>
          <w:color w:val="auto"/>
          <w:kern w:val="0"/>
          <w:highlight w:val="none"/>
          <w:lang w:eastAsia="zh-CN"/>
        </w:rPr>
        <w:t>（如有）</w:t>
      </w:r>
      <w:r>
        <w:rPr>
          <w:rFonts w:hint="eastAsia" w:ascii="Times New Roman"/>
          <w:snapToGrid w:val="0"/>
          <w:color w:val="auto"/>
          <w:kern w:val="0"/>
          <w:highlight w:val="none"/>
        </w:rPr>
        <w:t>、《开标一览表》以及其他有关资料移交评标委员会。</w:t>
      </w:r>
    </w:p>
    <w:p w14:paraId="1747D886">
      <w:pPr>
        <w:wordWrap w:val="0"/>
        <w:adjustRightInd w:val="0"/>
        <w:snapToGrid w:val="0"/>
        <w:spacing w:line="440" w:lineRule="exact"/>
        <w:ind w:firstLine="480" w:firstLineChars="200"/>
        <w:rPr>
          <w:rFonts w:hint="eastAsia" w:ascii="Times New Roman"/>
          <w:snapToGrid w:val="0"/>
          <w:color w:val="auto"/>
          <w:kern w:val="0"/>
          <w:highlight w:val="none"/>
        </w:rPr>
      </w:pPr>
    </w:p>
    <w:p w14:paraId="0AF63F67">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15．评标</w:t>
      </w:r>
    </w:p>
    <w:p w14:paraId="02C60BE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Times New Roman"/>
          <w:snapToGrid w:val="0"/>
          <w:color w:val="auto"/>
          <w:kern w:val="0"/>
          <w:highlight w:val="none"/>
          <w:u w:val="single"/>
        </w:rPr>
        <w:t xml:space="preserve"> 3 </w:t>
      </w:r>
      <w:r>
        <w:rPr>
          <w:rFonts w:hint="eastAsia" w:ascii="Times New Roman"/>
          <w:snapToGrid w:val="0"/>
          <w:color w:val="auto"/>
          <w:kern w:val="0"/>
          <w:highlight w:val="none"/>
        </w:rPr>
        <w:t>个中标候选人，并向招标人提交由全体评标委员会成员签字的评标报告。</w:t>
      </w:r>
    </w:p>
    <w:p w14:paraId="4E6A1F19">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评标委员会</w:t>
      </w:r>
    </w:p>
    <w:p w14:paraId="4E047FE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15.1.1</w:t>
      </w:r>
      <w:r>
        <w:rPr>
          <w:rFonts w:hint="eastAsia" w:ascii="Times New Roman"/>
          <w:snapToGrid w:val="0"/>
          <w:color w:val="auto"/>
          <w:kern w:val="0"/>
          <w:highlight w:val="none"/>
        </w:rPr>
        <w:t xml:space="preserve"> </w:t>
      </w:r>
      <w:r>
        <w:rPr>
          <w:rFonts w:hAnsi="宋体" w:cs="宋体"/>
          <w:snapToGrid w:val="0"/>
          <w:color w:val="auto"/>
          <w:kern w:val="0"/>
          <w:highlight w:val="none"/>
        </w:rPr>
        <w:t>评标委员会由</w:t>
      </w:r>
      <w:r>
        <w:rPr>
          <w:rFonts w:hAnsi="宋体" w:cs="宋体"/>
          <w:snapToGrid w:val="0"/>
          <w:color w:val="auto"/>
          <w:kern w:val="0"/>
          <w:highlight w:val="none"/>
          <w:u w:val="single"/>
        </w:rPr>
        <w:t>5</w:t>
      </w:r>
      <w:r>
        <w:rPr>
          <w:rFonts w:hAnsi="宋体" w:cs="宋体"/>
          <w:snapToGrid w:val="0"/>
          <w:color w:val="auto"/>
          <w:kern w:val="0"/>
          <w:highlight w:val="none"/>
        </w:rPr>
        <w:t>人组成，其中招标人代表</w:t>
      </w:r>
      <w:r>
        <w:rPr>
          <w:rFonts w:hAnsi="宋体" w:cs="宋体"/>
          <w:snapToGrid w:val="0"/>
          <w:color w:val="auto"/>
          <w:kern w:val="0"/>
          <w:highlight w:val="none"/>
          <w:u w:val="single"/>
        </w:rPr>
        <w:t>0</w:t>
      </w:r>
      <w:r>
        <w:rPr>
          <w:rFonts w:hAnsi="宋体" w:cs="宋体"/>
          <w:snapToGrid w:val="0"/>
          <w:color w:val="auto"/>
          <w:kern w:val="0"/>
          <w:highlight w:val="none"/>
        </w:rPr>
        <w:t>人，专家</w:t>
      </w:r>
      <w:r>
        <w:rPr>
          <w:rFonts w:hAnsi="宋体" w:cs="宋体"/>
          <w:snapToGrid w:val="0"/>
          <w:color w:val="auto"/>
          <w:kern w:val="0"/>
          <w:highlight w:val="none"/>
          <w:u w:val="single"/>
        </w:rPr>
        <w:t>5</w:t>
      </w:r>
      <w:r>
        <w:rPr>
          <w:rFonts w:hAnsi="宋体" w:cs="宋体"/>
          <w:snapToGrid w:val="0"/>
          <w:color w:val="auto"/>
          <w:kern w:val="0"/>
          <w:highlight w:val="none"/>
        </w:rPr>
        <w:t>人。</w:t>
      </w:r>
      <w:r>
        <w:rPr>
          <w:rFonts w:hAnsi="宋体" w:cs="宋体"/>
          <w:b/>
          <w:bCs/>
          <w:snapToGrid w:val="0"/>
          <w:color w:val="auto"/>
          <w:kern w:val="0"/>
          <w:highlight w:val="none"/>
        </w:rPr>
        <w:t>专家从广东省综合评标评审专家库-韶关市区域中随机抽取</w:t>
      </w:r>
      <w:r>
        <w:rPr>
          <w:rFonts w:hAnsi="宋体" w:cs="宋体"/>
          <w:snapToGrid w:val="0"/>
          <w:color w:val="auto"/>
          <w:kern w:val="0"/>
          <w:highlight w:val="none"/>
        </w:rPr>
        <w:t>，其中技术类专家</w:t>
      </w:r>
      <w:r>
        <w:rPr>
          <w:rFonts w:hAnsi="宋体" w:cs="宋体"/>
          <w:snapToGrid w:val="0"/>
          <w:color w:val="auto"/>
          <w:kern w:val="0"/>
          <w:highlight w:val="none"/>
          <w:u w:val="single"/>
        </w:rPr>
        <w:t>3</w:t>
      </w:r>
      <w:r>
        <w:rPr>
          <w:rFonts w:hAnsi="宋体" w:cs="宋体"/>
          <w:snapToGrid w:val="0"/>
          <w:color w:val="auto"/>
          <w:kern w:val="0"/>
          <w:highlight w:val="none"/>
        </w:rPr>
        <w:t>人，经济类专家</w:t>
      </w:r>
      <w:r>
        <w:rPr>
          <w:rFonts w:hAnsi="宋体" w:cs="宋体"/>
          <w:snapToGrid w:val="0"/>
          <w:color w:val="auto"/>
          <w:kern w:val="0"/>
          <w:highlight w:val="none"/>
          <w:u w:val="single"/>
        </w:rPr>
        <w:t xml:space="preserve"> 2 </w:t>
      </w:r>
      <w:r>
        <w:rPr>
          <w:rFonts w:hAnsi="宋体" w:cs="宋体"/>
          <w:snapToGrid w:val="0"/>
          <w:color w:val="auto"/>
          <w:kern w:val="0"/>
          <w:highlight w:val="none"/>
        </w:rPr>
        <w:t>人。评标委员会设负责人，由评标委员会成员推举产生。评标委员会负责人与评标委员会的其他成员有同等的表决权。</w:t>
      </w:r>
    </w:p>
    <w:p w14:paraId="0672B9BE">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15.1.2</w:t>
      </w:r>
      <w:r>
        <w:rPr>
          <w:rFonts w:hint="eastAsia" w:ascii="Times New Roman"/>
          <w:snapToGrid w:val="0"/>
          <w:color w:val="auto"/>
          <w:kern w:val="0"/>
          <w:highlight w:val="none"/>
        </w:rPr>
        <w:t xml:space="preserve"> 评标委员会应认真、公正、诚实、廉洁地履行职责。有下列情形之一的，不得担任评标委员会成员：</w:t>
      </w:r>
    </w:p>
    <w:p w14:paraId="6C542C3E">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（1）投标人或投标人主要负责人的近亲属；</w:t>
      </w:r>
    </w:p>
    <w:p w14:paraId="203F0F73">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（2）项目主管部门或者行政监督部门的人员；</w:t>
      </w:r>
    </w:p>
    <w:p w14:paraId="4A47B64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（3）与投标人有经济利益关系，可能影响对投标公正评审的；</w:t>
      </w:r>
    </w:p>
    <w:p w14:paraId="0E9A0A28">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（4）曾因在招标、评标以及其他与招标投标有关活动中从事违法行为而受过行政处罚或刑事处罚的。</w:t>
      </w:r>
    </w:p>
    <w:p w14:paraId="5E32E14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评标委员会成员有以上情形之一的，应主动提出回避。</w:t>
      </w:r>
    </w:p>
    <w:p w14:paraId="39EC674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15.1.3</w:t>
      </w:r>
      <w:r>
        <w:rPr>
          <w:rFonts w:hint="eastAsia" w:ascii="Times New Roman"/>
          <w:snapToGrid w:val="0"/>
          <w:color w:val="auto"/>
          <w:kern w:val="0"/>
          <w:highlight w:val="none"/>
        </w:rPr>
        <w:t xml:space="preserve"> 评标全过程实行封闭式管理，在中标结果公布前，禁止评标委员会成员以任何方式私下接触投标人。</w:t>
      </w:r>
    </w:p>
    <w:p w14:paraId="0E49B97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15.1.4</w:t>
      </w:r>
      <w:r>
        <w:rPr>
          <w:rFonts w:hint="eastAsia" w:ascii="Times New Roman"/>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26701710">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15.1.5</w:t>
      </w:r>
      <w:r>
        <w:rPr>
          <w:rFonts w:hint="eastAsia" w:ascii="Times New Roman"/>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65018471">
      <w:pPr>
        <w:wordWrap w:val="0"/>
        <w:adjustRightInd w:val="0"/>
        <w:snapToGrid w:val="0"/>
        <w:spacing w:line="440" w:lineRule="exact"/>
        <w:ind w:firstLine="561"/>
        <w:rPr>
          <w:rFonts w:hint="eastAsia" w:ascii="Times New Roman"/>
          <w:b/>
          <w:snapToGrid w:val="0"/>
          <w:color w:val="auto"/>
          <w:kern w:val="0"/>
          <w:szCs w:val="22"/>
          <w:highlight w:val="none"/>
        </w:rPr>
      </w:pPr>
    </w:p>
    <w:p w14:paraId="0E6A53F6">
      <w:pPr>
        <w:wordWrap w:val="0"/>
        <w:adjustRightInd w:val="0"/>
        <w:snapToGrid w:val="0"/>
        <w:spacing w:line="440" w:lineRule="exact"/>
        <w:ind w:firstLine="561"/>
        <w:rPr>
          <w:rFonts w:hint="eastAsia"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szCs w:val="22"/>
          <w:highlight w:val="none"/>
        </w:rPr>
        <w:t xml:space="preserve"> 评标方法</w:t>
      </w:r>
    </w:p>
    <w:p w14:paraId="0CEDBAD7">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根据有关法律、法规的相关规定，结合本招标项目资金来源和规模特点，本次招标采用</w:t>
      </w:r>
      <w:r>
        <w:rPr>
          <w:rFonts w:hint="eastAsia" w:ascii="Times New Roman"/>
          <w:snapToGrid w:val="0"/>
          <w:color w:val="auto"/>
          <w:kern w:val="0"/>
          <w:highlight w:val="none"/>
          <w:u w:val="single"/>
        </w:rPr>
        <w:t xml:space="preserve"> </w:t>
      </w:r>
      <w:r>
        <w:rPr>
          <w:rFonts w:hAnsi="宋体" w:cs="宋体"/>
          <w:b/>
          <w:bCs/>
          <w:snapToGrid w:val="0"/>
          <w:color w:val="auto"/>
          <w:kern w:val="0"/>
          <w:highlight w:val="none"/>
          <w:u w:val="single"/>
        </w:rPr>
        <w:t>综合评估法</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进行评标。</w:t>
      </w:r>
    </w:p>
    <w:p w14:paraId="5269E142">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15.3 </w:t>
      </w:r>
      <w:r>
        <w:rPr>
          <w:rFonts w:hint="eastAsia" w:ascii="Times New Roman"/>
          <w:snapToGrid w:val="0"/>
          <w:color w:val="auto"/>
          <w:kern w:val="0"/>
          <w:highlight w:val="none"/>
        </w:rPr>
        <w:t>评审范围：评标委员会应对所有投标人的投标文件进行评审。</w:t>
      </w:r>
    </w:p>
    <w:p w14:paraId="1AA3D20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15.4</w:t>
      </w:r>
      <w:r>
        <w:rPr>
          <w:rFonts w:hint="eastAsia" w:ascii="Times New Roman"/>
          <w:snapToGrid w:val="0"/>
          <w:color w:val="auto"/>
          <w:kern w:val="0"/>
          <w:highlight w:val="none"/>
        </w:rPr>
        <w:t xml:space="preserve"> 初步评审阶段</w:t>
      </w:r>
    </w:p>
    <w:p w14:paraId="126DB42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初步评审阶段分为资格评审、形式评审和响应性评审三个环节。</w:t>
      </w:r>
    </w:p>
    <w:p w14:paraId="6B916C7F">
      <w:pPr>
        <w:keepNext w:val="0"/>
        <w:keepLines w:val="0"/>
        <w:pageBreakBefore w:val="0"/>
        <w:widowControl w:val="0"/>
        <w:kinsoku/>
        <w:wordWrap w:val="0"/>
        <w:overflowPunct/>
        <w:topLinePunct w:val="0"/>
        <w:autoSpaceDE/>
        <w:autoSpaceDN/>
        <w:bidi w:val="0"/>
        <w:adjustRightInd w:val="0"/>
        <w:snapToGrid w:val="0"/>
        <w:spacing w:line="420" w:lineRule="exact"/>
        <w:ind w:firstLine="482" w:firstLineChars="2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15.4.1</w:t>
      </w:r>
      <w:r>
        <w:rPr>
          <w:rFonts w:hint="eastAsia" w:ascii="Times New Roman"/>
          <w:snapToGrid w:val="0"/>
          <w:color w:val="auto"/>
          <w:kern w:val="0"/>
          <w:highlight w:val="none"/>
        </w:rPr>
        <w:t xml:space="preserve"> 资格评审环节</w:t>
      </w:r>
    </w:p>
    <w:p w14:paraId="1BEE5C3E">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资格评审事项包括：</w:t>
      </w:r>
    </w:p>
    <w:p w14:paraId="1D4021C6">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投标人是否符合本章第三节第2.4条“禁止投标条款”规定。</w:t>
      </w:r>
    </w:p>
    <w:p w14:paraId="629FD089">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（2）</w:t>
      </w:r>
      <w:r>
        <w:rPr>
          <w:rFonts w:hint="eastAsia" w:ascii="Times New Roman"/>
          <w:snapToGrid w:val="0"/>
          <w:color w:val="auto"/>
          <w:kern w:val="0"/>
          <w:highlight w:val="none"/>
        </w:rPr>
        <w:t>投标人名称是否与营业执照、资质证书、安全生产许可证一致。</w:t>
      </w:r>
    </w:p>
    <w:p w14:paraId="48E6F43B">
      <w:pPr>
        <w:wordWrap w:val="0"/>
        <w:adjustRightInd w:val="0"/>
        <w:snapToGrid w:val="0"/>
        <w:spacing w:line="400" w:lineRule="exact"/>
        <w:ind w:firstLine="480" w:firstLineChars="200"/>
        <w:jc w:val="left"/>
        <w:rPr>
          <w:rFonts w:hint="eastAsia" w:ascii="Times New Roman"/>
          <w:snapToGrid w:val="0"/>
          <w:color w:val="auto"/>
          <w:kern w:val="0"/>
          <w:highlight w:val="none"/>
        </w:rPr>
      </w:pPr>
      <w:r>
        <w:rPr>
          <w:rFonts w:ascii="Times New Roman"/>
          <w:snapToGrid w:val="0"/>
          <w:color w:val="auto"/>
          <w:kern w:val="0"/>
          <w:highlight w:val="none"/>
        </w:rPr>
        <w:t>（3）</w:t>
      </w:r>
      <w:r>
        <w:rPr>
          <w:rFonts w:hint="eastAsia" w:ascii="Times New Roman"/>
          <w:snapToGrid w:val="0"/>
          <w:color w:val="auto"/>
          <w:kern w:val="0"/>
          <w:highlight w:val="none"/>
        </w:rPr>
        <w:t>投标人的资质是否符合招标文件规定；其营业执照、资质证书、安全生产许可证是否合法、有效、准确。</w:t>
      </w:r>
    </w:p>
    <w:p w14:paraId="43796943">
      <w:pPr>
        <w:wordWrap w:val="0"/>
        <w:adjustRightInd w:val="0"/>
        <w:snapToGrid w:val="0"/>
        <w:spacing w:line="400" w:lineRule="exact"/>
        <w:ind w:firstLine="480" w:firstLineChars="200"/>
        <w:jc w:val="left"/>
        <w:rPr>
          <w:rFonts w:ascii="Times New Roman"/>
          <w:snapToGrid w:val="0"/>
          <w:color w:val="auto"/>
          <w:kern w:val="0"/>
          <w:highlight w:val="none"/>
        </w:rPr>
      </w:pPr>
      <w:r>
        <w:rPr>
          <w:rFonts w:ascii="Times New Roman"/>
          <w:snapToGrid w:val="0"/>
          <w:color w:val="auto"/>
          <w:kern w:val="0"/>
          <w:highlight w:val="none"/>
        </w:rPr>
        <w:t>（4）</w:t>
      </w:r>
      <w:r>
        <w:rPr>
          <w:rFonts w:hint="eastAsia" w:ascii="Times New Roman"/>
          <w:snapToGrid w:val="0"/>
          <w:color w:val="auto"/>
          <w:kern w:val="0"/>
          <w:highlight w:val="none"/>
        </w:rPr>
        <w:t>《项目经理简历表》中拟派项目经理是否与《开标一览表》一致。</w:t>
      </w:r>
    </w:p>
    <w:p w14:paraId="77596687">
      <w:pPr>
        <w:wordWrap w:val="0"/>
        <w:adjustRightInd w:val="0"/>
        <w:snapToGrid w:val="0"/>
        <w:spacing w:line="400" w:lineRule="exact"/>
        <w:ind w:firstLine="480" w:firstLineChars="200"/>
        <w:rPr>
          <w:snapToGrid w:val="0"/>
          <w:color w:val="auto"/>
          <w:kern w:val="0"/>
          <w:szCs w:val="24"/>
          <w:highlight w:val="none"/>
        </w:rPr>
      </w:pPr>
      <w:r>
        <w:rPr>
          <w:rFonts w:ascii="Times New Roman"/>
          <w:snapToGrid w:val="0"/>
          <w:color w:val="auto"/>
          <w:kern w:val="0"/>
          <w:highlight w:val="none"/>
        </w:rPr>
        <w:t>（5）</w:t>
      </w:r>
      <w:r>
        <w:rPr>
          <w:rFonts w:hint="eastAsia" w:ascii="Times New Roman"/>
          <w:snapToGrid w:val="0"/>
          <w:color w:val="auto"/>
          <w:kern w:val="0"/>
          <w:highlight w:val="none"/>
        </w:rPr>
        <w:t>拟派项目经理、项目技术负责人、专职安全员的条件是否符合招标文件规定；项目管理机构组成人员的各类证书、证件、证明是否合法、有效、准确；是否擅自修改、遗漏《项目经理任职声明》的实质性内容。</w:t>
      </w:r>
    </w:p>
    <w:p w14:paraId="12AE6CC8">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48935534">
      <w:pPr>
        <w:pStyle w:val="138"/>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（7）投标人为外省建筑企业的，是否按规定在“进粤企业和人员诚信信息登记平台”录入企业及其拟派人员有关信息并通过数据规范检查。</w:t>
      </w:r>
    </w:p>
    <w:p w14:paraId="436A313F">
      <w:pPr>
        <w:keepNext w:val="0"/>
        <w:keepLines w:val="0"/>
        <w:pageBreakBefore w:val="0"/>
        <w:widowControl w:val="0"/>
        <w:kinsoku/>
        <w:wordWrap w:val="0"/>
        <w:overflowPunct/>
        <w:topLinePunct w:val="0"/>
        <w:autoSpaceDE/>
        <w:autoSpaceDN/>
        <w:bidi w:val="0"/>
        <w:adjustRightInd w:val="0"/>
        <w:snapToGrid w:val="0"/>
        <w:spacing w:line="420" w:lineRule="exact"/>
        <w:ind w:firstLine="241" w:firstLineChars="100"/>
        <w:jc w:val="left"/>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15.4.2</w:t>
      </w:r>
      <w:r>
        <w:rPr>
          <w:rFonts w:hint="eastAsia" w:ascii="Times New Roman"/>
          <w:snapToGrid w:val="0"/>
          <w:color w:val="auto"/>
          <w:kern w:val="0"/>
          <w:highlight w:val="none"/>
        </w:rPr>
        <w:t xml:space="preserve"> 形式评审环节</w:t>
      </w:r>
    </w:p>
    <w:p w14:paraId="54FEDF7D">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形式评审事项包括：</w:t>
      </w:r>
    </w:p>
    <w:p w14:paraId="212CBC39">
      <w:pPr>
        <w:wordWrap w:val="0"/>
        <w:adjustRightInd w:val="0"/>
        <w:snapToGrid w:val="0"/>
        <w:spacing w:line="440" w:lineRule="exact"/>
        <w:ind w:firstLine="480" w:firstLineChars="200"/>
        <w:rPr>
          <w:rFonts w:hint="eastAsia" w:ascii="Times New Roman" w:hAnsi="Times New Roman" w:eastAsia="宋体" w:cs="Times New Roman"/>
          <w:snapToGrid w:val="0"/>
          <w:color w:val="auto"/>
          <w:kern w:val="0"/>
          <w:highlight w:val="none"/>
        </w:rPr>
      </w:pPr>
      <w:r>
        <w:rPr>
          <w:rFonts w:hint="eastAsia" w:ascii="Times New Roman" w:hAnsi="Times New Roman" w:eastAsia="宋体" w:cs="Times New Roman"/>
          <w:snapToGrid w:val="0"/>
          <w:color w:val="auto"/>
          <w:kern w:val="0"/>
          <w:highlight w:val="none"/>
          <w:lang w:eastAsia="zh-CN"/>
        </w:rPr>
        <w:t>（</w:t>
      </w:r>
      <w:r>
        <w:rPr>
          <w:rFonts w:hint="eastAsia" w:ascii="Times New Roman" w:hAnsi="Times New Roman" w:eastAsia="宋体" w:cs="Times New Roman"/>
          <w:snapToGrid w:val="0"/>
          <w:color w:val="auto"/>
          <w:kern w:val="0"/>
          <w:highlight w:val="none"/>
          <w:lang w:val="en-US" w:eastAsia="zh-CN"/>
        </w:rPr>
        <w:t>1</w:t>
      </w:r>
      <w:r>
        <w:rPr>
          <w:rFonts w:hint="eastAsia" w:ascii="Times New Roman" w:hAnsi="Times New Roman" w:eastAsia="宋体" w:cs="Times New Roman"/>
          <w:snapToGrid w:val="0"/>
          <w:color w:val="auto"/>
          <w:kern w:val="0"/>
          <w:highlight w:val="none"/>
          <w:lang w:eastAsia="zh-CN"/>
        </w:rPr>
        <w:t>）各分册是否按招标文件规定加盖电子印章。</w:t>
      </w:r>
    </w:p>
    <w:p w14:paraId="35F96233">
      <w:pPr>
        <w:wordWrap w:val="0"/>
        <w:adjustRightInd w:val="0"/>
        <w:snapToGrid w:val="0"/>
        <w:spacing w:line="440" w:lineRule="exact"/>
        <w:ind w:firstLine="480" w:firstLineChars="200"/>
        <w:rPr>
          <w:rFonts w:hint="eastAsia" w:ascii="Times New Roman" w:hAnsi="Times New Roman" w:eastAsia="宋体" w:cs="Times New Roman"/>
          <w:snapToGrid w:val="0"/>
          <w:color w:val="auto"/>
          <w:kern w:val="0"/>
          <w:highlight w:val="none"/>
          <w:lang w:eastAsia="zh-CN"/>
        </w:rPr>
      </w:pPr>
      <w:r>
        <w:rPr>
          <w:rFonts w:hint="eastAsia" w:ascii="Times New Roman" w:hAnsi="Times New Roman" w:eastAsia="宋体" w:cs="Times New Roman"/>
          <w:snapToGrid w:val="0"/>
          <w:color w:val="auto"/>
          <w:kern w:val="0"/>
          <w:highlight w:val="none"/>
        </w:rPr>
        <w:t>（</w:t>
      </w:r>
      <w:r>
        <w:rPr>
          <w:rFonts w:hint="eastAsia" w:ascii="Times New Roman" w:hAnsi="Times New Roman" w:eastAsia="宋体" w:cs="Times New Roman"/>
          <w:snapToGrid w:val="0"/>
          <w:color w:val="auto"/>
          <w:kern w:val="0"/>
          <w:highlight w:val="none"/>
          <w:lang w:val="en-US" w:eastAsia="zh-CN"/>
        </w:rPr>
        <w:t>2</w:t>
      </w:r>
      <w:r>
        <w:rPr>
          <w:rFonts w:hint="eastAsia" w:ascii="Times New Roman" w:hAnsi="Times New Roman" w:eastAsia="宋体" w:cs="Times New Roman"/>
          <w:snapToGrid w:val="0"/>
          <w:color w:val="auto"/>
          <w:kern w:val="0"/>
          <w:highlight w:val="none"/>
        </w:rPr>
        <w:t>）本节第10.2.2目、第10.3.2目、第10.4.3目中规定的“所有投标人均应提供”的组成内容（包括该组成内容的所附资料）是否完整、齐全.</w:t>
      </w:r>
    </w:p>
    <w:p w14:paraId="0D4162FB">
      <w:pPr>
        <w:keepNext w:val="0"/>
        <w:keepLines w:val="0"/>
        <w:pageBreakBefore w:val="0"/>
        <w:widowControl w:val="0"/>
        <w:kinsoku/>
        <w:wordWrap w:val="0"/>
        <w:overflowPunct/>
        <w:topLinePunct w:val="0"/>
        <w:autoSpaceDE/>
        <w:autoSpaceDN/>
        <w:bidi w:val="0"/>
        <w:adjustRightInd w:val="0"/>
        <w:snapToGrid w:val="0"/>
        <w:spacing w:line="420" w:lineRule="exact"/>
        <w:ind w:firstLine="723" w:firstLineChars="300"/>
        <w:textAlignment w:val="auto"/>
        <w:rPr>
          <w:rFonts w:hint="eastAsia" w:ascii="Times New Roman"/>
          <w:snapToGrid w:val="0"/>
          <w:color w:val="auto"/>
          <w:kern w:val="0"/>
          <w:highlight w:val="none"/>
        </w:rPr>
      </w:pPr>
      <w:r>
        <w:rPr>
          <w:rFonts w:hint="eastAsia" w:ascii="Times New Roman"/>
          <w:b/>
          <w:bCs/>
          <w:snapToGrid w:val="0"/>
          <w:color w:val="auto"/>
          <w:kern w:val="0"/>
          <w:highlight w:val="none"/>
        </w:rPr>
        <w:t>15.4.3</w:t>
      </w:r>
      <w:r>
        <w:rPr>
          <w:rFonts w:hint="eastAsia" w:ascii="Times New Roman"/>
          <w:snapToGrid w:val="0"/>
          <w:color w:val="auto"/>
          <w:kern w:val="0"/>
          <w:highlight w:val="none"/>
        </w:rPr>
        <w:t xml:space="preserve"> 响应性评审环节</w:t>
      </w:r>
    </w:p>
    <w:p w14:paraId="221851ED">
      <w:pPr>
        <w:keepNext w:val="0"/>
        <w:keepLines w:val="0"/>
        <w:pageBreakBefore w:val="0"/>
        <w:widowControl w:val="0"/>
        <w:kinsoku/>
        <w:wordWrap w:val="0"/>
        <w:overflowPunct/>
        <w:topLinePunct w:val="0"/>
        <w:autoSpaceDE/>
        <w:autoSpaceDN/>
        <w:bidi w:val="0"/>
        <w:adjustRightInd w:val="0"/>
        <w:snapToGrid w:val="0"/>
        <w:spacing w:line="420" w:lineRule="exact"/>
        <w:ind w:firstLine="480" w:firstLineChars="200"/>
        <w:textAlignment w:val="auto"/>
        <w:rPr>
          <w:rFonts w:hint="eastAsia" w:ascii="Times New Roman"/>
          <w:snapToGrid w:val="0"/>
          <w:color w:val="auto"/>
          <w:kern w:val="0"/>
          <w:highlight w:val="none"/>
        </w:rPr>
      </w:pPr>
      <w:r>
        <w:rPr>
          <w:rFonts w:hint="eastAsia" w:ascii="Times New Roman"/>
          <w:snapToGrid w:val="0"/>
          <w:color w:val="auto"/>
          <w:kern w:val="0"/>
          <w:highlight w:val="none"/>
        </w:rPr>
        <w:t>响应性评审事项包括：</w:t>
      </w:r>
    </w:p>
    <w:p w14:paraId="3869EA30">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（1）投标有效期、质量标准、工期等是否响应招标文件实质性要求；是否擅自修改、遗漏《投标函》《各项承诺一览表》的实质性内容。</w:t>
      </w:r>
    </w:p>
    <w:p w14:paraId="6784CC24">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（2）编制《投标总价》的造价工程师，其注册证书是否合法、有效。</w:t>
      </w:r>
    </w:p>
    <w:p w14:paraId="402B51C0">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（3）投标人委托造价咨询单位编制《投标总价》的，是否在《投标总价扉页》（即扉—3）“投标人”栏目加盖造价咨询人公章；是否提供造价咨询人的营业执照副本复印件（或打印件）；</w:t>
      </w:r>
    </w:p>
    <w:p w14:paraId="00B0ACB5">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068D408">
      <w:pPr>
        <w:wordWrap w:val="0"/>
        <w:adjustRightInd w:val="0"/>
        <w:snapToGrid w:val="0"/>
        <w:spacing w:line="440" w:lineRule="exact"/>
        <w:ind w:firstLine="562"/>
        <w:rPr>
          <w:rFonts w:hAnsi="宋体" w:cs="宋体"/>
          <w:b/>
          <w:bCs/>
          <w:snapToGrid w:val="0"/>
          <w:color w:val="auto"/>
          <w:kern w:val="0"/>
          <w:highlight w:val="none"/>
        </w:rPr>
      </w:pPr>
      <w:r>
        <w:rPr>
          <w:rFonts w:hAnsi="宋体" w:cs="宋体"/>
          <w:b/>
          <w:bCs/>
          <w:snapToGrid w:val="0"/>
          <w:color w:val="auto"/>
          <w:kern w:val="0"/>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3AFC39BA">
      <w:pPr>
        <w:wordWrap w:val="0"/>
        <w:adjustRightInd w:val="0"/>
        <w:spacing w:line="288" w:lineRule="auto"/>
        <w:ind w:firstLine="562"/>
        <w:rPr>
          <w:rFonts w:hAnsi="宋体" w:cs="宋体"/>
          <w:snapToGrid w:val="0"/>
          <w:color w:val="auto"/>
          <w:kern w:val="0"/>
          <w:highlight w:val="none"/>
        </w:rPr>
      </w:pPr>
      <w:r>
        <w:rPr>
          <w:rFonts w:hAnsi="宋体" w:cs="宋体"/>
          <w:snapToGrid w:val="0"/>
          <w:color w:val="auto"/>
          <w:kern w:val="0"/>
          <w:highlight w:val="none"/>
        </w:rPr>
        <w:t xml:space="preserve">（5）施工组织设计的质量、进度保障措施是否符合国家和省市现行有关规范、规定、标准，是否能实现工程质量、进度管理目标。  </w:t>
      </w:r>
    </w:p>
    <w:p w14:paraId="59D8E18B">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15.4.4</w:t>
      </w:r>
      <w:r>
        <w:rPr>
          <w:rFonts w:hint="eastAsia" w:ascii="Times New Roman"/>
          <w:snapToGrid w:val="0"/>
          <w:color w:val="auto"/>
          <w:kern w:val="0"/>
          <w:highlight w:val="none"/>
        </w:rPr>
        <w:t xml:space="preserve"> 否决投标说明</w:t>
      </w:r>
    </w:p>
    <w:p w14:paraId="1720DBED">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初步评审阶段各个环节否决投标的全部条件，在本章第四节“否决投标条件”第</w:t>
      </w:r>
      <w:r>
        <w:rPr>
          <w:rFonts w:hint="eastAsia" w:ascii="Times New Roman"/>
          <w:b/>
          <w:bCs/>
          <w:snapToGrid w:val="0"/>
          <w:color w:val="auto"/>
          <w:kern w:val="0"/>
          <w:highlight w:val="none"/>
        </w:rPr>
        <w:t>1</w:t>
      </w:r>
      <w:r>
        <w:rPr>
          <w:rFonts w:hint="eastAsia" w:ascii="Times New Roman"/>
          <w:snapToGrid w:val="0"/>
          <w:color w:val="auto"/>
          <w:kern w:val="0"/>
          <w:highlight w:val="none"/>
        </w:rPr>
        <w:t>条至第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2A69DEC3">
      <w:pPr>
        <w:wordWrap w:val="0"/>
        <w:adjustRightInd w:val="0"/>
        <w:snapToGrid w:val="0"/>
        <w:spacing w:line="440" w:lineRule="exact"/>
        <w:ind w:firstLine="562"/>
        <w:rPr>
          <w:rFonts w:hint="eastAsia" w:ascii="Times New Roman"/>
          <w:snapToGrid w:val="0"/>
          <w:color w:val="auto"/>
          <w:kern w:val="0"/>
          <w:highlight w:val="none"/>
        </w:rPr>
      </w:pPr>
    </w:p>
    <w:p w14:paraId="1BF48D88">
      <w:pPr>
        <w:wordWrap w:val="0"/>
        <w:adjustRightInd w:val="0"/>
        <w:snapToGrid w:val="0"/>
        <w:spacing w:line="440" w:lineRule="exact"/>
        <w:ind w:firstLine="562"/>
        <w:rPr>
          <w:rFonts w:hint="eastAsia" w:ascii="Times New Roman"/>
          <w:snapToGrid w:val="0"/>
          <w:color w:val="auto"/>
          <w:kern w:val="0"/>
          <w:szCs w:val="24"/>
          <w:highlight w:val="none"/>
        </w:rPr>
      </w:pPr>
      <w:r>
        <w:rPr>
          <w:rFonts w:hint="eastAsia" w:ascii="Times New Roman"/>
          <w:b/>
          <w:bCs/>
          <w:snapToGrid w:val="0"/>
          <w:color w:val="auto"/>
          <w:kern w:val="0"/>
          <w:highlight w:val="none"/>
        </w:rPr>
        <w:t>15.5</w:t>
      </w:r>
      <w:r>
        <w:rPr>
          <w:rFonts w:hint="eastAsia" w:ascii="Times New Roman"/>
          <w:snapToGrid w:val="0"/>
          <w:color w:val="auto"/>
          <w:kern w:val="0"/>
          <w:highlight w:val="none"/>
        </w:rPr>
        <w:t xml:space="preserve"> 详细评审</w:t>
      </w:r>
      <w:bookmarkStart w:id="107" w:name="_Hlt121629839"/>
      <w:r>
        <w:rPr>
          <w:rFonts w:hint="eastAsia" w:ascii="Times New Roman"/>
          <w:snapToGrid w:val="0"/>
          <w:color w:val="auto"/>
          <w:kern w:val="0"/>
          <w:highlight w:val="none"/>
        </w:rPr>
        <w:t>阶段</w:t>
      </w:r>
    </w:p>
    <w:p w14:paraId="4F0CCEC8">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15.5.1</w:t>
      </w:r>
      <w:r>
        <w:rPr>
          <w:rFonts w:hint="eastAsia" w:ascii="Times New Roman"/>
          <w:bCs/>
          <w:snapToGrid w:val="0"/>
          <w:color w:val="auto"/>
          <w:kern w:val="0"/>
          <w:highlight w:val="none"/>
        </w:rPr>
        <w:t xml:space="preserve"> “综合评估法”评审程序</w:t>
      </w:r>
    </w:p>
    <w:p w14:paraId="3931D3D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评审内容分为商务技术和投标报价两大部分。其中，商务技术合计满分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100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分，权重为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40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%；投标报价满分100分，权重为</w:t>
      </w:r>
      <w:r>
        <w:rPr>
          <w:rFonts w:hint="eastAsia" w:ascii="Times New Roman"/>
          <w:snapToGrid w:val="0"/>
          <w:color w:val="auto"/>
          <w:kern w:val="0"/>
          <w:highlight w:val="none"/>
          <w:u w:val="single"/>
          <w:lang w:val="en-US" w:eastAsia="zh-CN"/>
        </w:rPr>
        <w:t>60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%。两大部分权重之和应为100%。</w:t>
      </w:r>
    </w:p>
    <w:p w14:paraId="0D2831A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除特别注明外，综合得分以及商务技术得分、投标报价得分的中间过程计算值和最终值，均按“四舍五入”原则精确到两位小数。</w:t>
      </w:r>
    </w:p>
    <w:p w14:paraId="6B6C529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（1）商务技术得分M</w:t>
      </w:r>
    </w:p>
    <w:p w14:paraId="529B7B1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．评标委员会按照《综合评分表》商务部分指定的评分标准对各评分因素进行打分。各评分因素得分之和即为某投标人的商务得分M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w:t>
      </w:r>
    </w:p>
    <w:p w14:paraId="7B9E621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w:t>
      </w:r>
    </w:p>
    <w:p w14:paraId="740CD54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c</w:t>
      </w:r>
      <w:r>
        <w:rPr>
          <w:rFonts w:hint="eastAsia" w:ascii="Times New Roman"/>
          <w:snapToGrid w:val="0"/>
          <w:color w:val="auto"/>
          <w:kern w:val="0"/>
          <w:highlight w:val="none"/>
        </w:rPr>
        <w:t>．M＝M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＋M</w:t>
      </w:r>
      <w:r>
        <w:rPr>
          <w:rFonts w:hint="eastAsia" w:ascii="Times New Roman"/>
          <w:snapToGrid w:val="0"/>
          <w:color w:val="auto"/>
          <w:kern w:val="0"/>
          <w:highlight w:val="none"/>
          <w:vertAlign w:val="subscript"/>
        </w:rPr>
        <w:t>2</w:t>
      </w:r>
    </w:p>
    <w:p w14:paraId="7A90B542">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式中：M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为某投标人的商务得分，M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为某投标人的技术得分。</w:t>
      </w:r>
    </w:p>
    <w:p w14:paraId="39F82FB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（2）投标报价得分N</w:t>
      </w:r>
    </w:p>
    <w:p w14:paraId="1E3D1F8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．评标委员会按照《综合评分表》投标报价部分指定的方法计算评标基准价D。</w:t>
      </w:r>
    </w:p>
    <w:p w14:paraId="77277DD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．采用内插法计算某投标人的投标报价得分N，即当投标人的投标总价等于评标基准价时得100分，每高于评标基准价一个百分点扣</w:t>
      </w:r>
      <w:r>
        <w:rPr>
          <w:rFonts w:hint="eastAsia" w:ascii="Times New Roman"/>
          <w:b/>
          <w:bCs/>
          <w:snapToGrid w:val="0"/>
          <w:color w:val="auto"/>
          <w:kern w:val="0"/>
          <w:highlight w:val="none"/>
        </w:rPr>
        <w:t>1分,</w:t>
      </w:r>
      <w:r>
        <w:rPr>
          <w:rFonts w:hint="eastAsia" w:ascii="Times New Roman"/>
          <w:snapToGrid w:val="0"/>
          <w:color w:val="auto"/>
          <w:kern w:val="0"/>
          <w:highlight w:val="none"/>
        </w:rPr>
        <w:t xml:space="preserve"> 每低于评标基准价一个百分点扣</w:t>
      </w:r>
      <w:r>
        <w:rPr>
          <w:rFonts w:hint="eastAsia" w:ascii="Times New Roman"/>
          <w:b/>
          <w:bCs/>
          <w:snapToGrid w:val="0"/>
          <w:color w:val="auto"/>
          <w:kern w:val="0"/>
          <w:highlight w:val="none"/>
        </w:rPr>
        <w:t>0.5分</w:t>
      </w:r>
      <w:r>
        <w:rPr>
          <w:rFonts w:hint="eastAsia" w:ascii="Times New Roman"/>
          <w:snapToGrid w:val="0"/>
          <w:color w:val="auto"/>
          <w:kern w:val="0"/>
          <w:highlight w:val="none"/>
        </w:rPr>
        <w:t>，扣完为止。公式如下：</w:t>
      </w:r>
    </w:p>
    <w:p w14:paraId="7CC8AE92">
      <w:pPr>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N＝100－（| Di－D | ÷D）×100×E</w:t>
      </w:r>
    </w:p>
    <w:p w14:paraId="4B2BF5E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式中：D为评标基准价；Di为某投标人的投标总价；E为扣分因子，当Di＞D时，E＝</w:t>
      </w:r>
      <w:r>
        <w:rPr>
          <w:rFonts w:hint="eastAsia" w:ascii="Times New Roman"/>
          <w:b/>
          <w:bCs/>
          <w:snapToGrid w:val="0"/>
          <w:color w:val="auto"/>
          <w:kern w:val="0"/>
          <w:highlight w:val="none"/>
        </w:rPr>
        <w:t>1；</w:t>
      </w:r>
      <w:r>
        <w:rPr>
          <w:rFonts w:hint="eastAsia" w:ascii="Times New Roman"/>
          <w:snapToGrid w:val="0"/>
          <w:color w:val="auto"/>
          <w:kern w:val="0"/>
          <w:highlight w:val="none"/>
        </w:rPr>
        <w:t>当Di＜D时，E</w:t>
      </w:r>
      <w:r>
        <w:rPr>
          <w:rFonts w:hint="eastAsia" w:ascii="Times New Roman"/>
          <w:b/>
          <w:bCs/>
          <w:snapToGrid w:val="0"/>
          <w:color w:val="auto"/>
          <w:kern w:val="0"/>
          <w:highlight w:val="none"/>
        </w:rPr>
        <w:t>＝0.5。</w:t>
      </w:r>
    </w:p>
    <w:p w14:paraId="76C3C88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（3）综合得分</w:t>
      </w:r>
    </w:p>
    <w:p w14:paraId="76371804">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综合得分换算为百分制，满分100分，公式如下：</w:t>
      </w:r>
    </w:p>
    <w:p w14:paraId="3CECE884">
      <w:pPr>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综合得分＝M÷商务技术合计满分×100×商务技术权重＋N×投标报价权重</w:t>
      </w:r>
    </w:p>
    <w:p w14:paraId="056DE91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式中：M为商务技术得分，N为投标报价得分。</w:t>
      </w:r>
    </w:p>
    <w:p w14:paraId="1FCFA249">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ascii="Times New Roman"/>
          <w:snapToGrid w:val="0"/>
          <w:color w:val="auto"/>
          <w:kern w:val="0"/>
          <w:szCs w:val="24"/>
          <w:highlight w:val="none"/>
        </w:rPr>
        <w:t>由评标委员会投票确定</w:t>
      </w:r>
    </w:p>
    <w:p w14:paraId="24B96CEC">
      <w:pPr>
        <w:snapToGrid w:val="0"/>
        <w:spacing w:line="240" w:lineRule="auto"/>
        <w:ind w:firstLine="602" w:firstLineChars="200"/>
        <w:jc w:val="center"/>
        <w:rPr>
          <w:rStyle w:val="151"/>
          <w:rFonts w:ascii="Times New Roman" w:cs="Times New Roman"/>
          <w:color w:val="auto"/>
          <w:kern w:val="0"/>
          <w:highlight w:val="none"/>
        </w:rPr>
      </w:pPr>
      <w:r>
        <w:rPr>
          <w:rStyle w:val="151"/>
          <w:rFonts w:hint="eastAsia" w:ascii="Times New Roman"/>
          <w:b/>
          <w:bCs/>
          <w:color w:val="auto"/>
          <w:kern w:val="0"/>
          <w:sz w:val="30"/>
          <w:szCs w:val="30"/>
          <w:highlight w:val="none"/>
        </w:rPr>
        <w:t>综合评分表</w:t>
      </w:r>
    </w:p>
    <w:tbl>
      <w:tblPr>
        <w:tblStyle w:val="32"/>
        <w:tblW w:w="9892" w:type="dxa"/>
        <w:jc w:val="center"/>
        <w:tblLayout w:type="fixed"/>
        <w:tblCellMar>
          <w:top w:w="0" w:type="dxa"/>
          <w:left w:w="108" w:type="dxa"/>
          <w:bottom w:w="0" w:type="dxa"/>
          <w:right w:w="108" w:type="dxa"/>
        </w:tblCellMar>
      </w:tblPr>
      <w:tblGrid>
        <w:gridCol w:w="1230"/>
        <w:gridCol w:w="4024"/>
        <w:gridCol w:w="4638"/>
      </w:tblGrid>
      <w:tr w14:paraId="0674D07C">
        <w:tblPrEx>
          <w:tblCellMar>
            <w:top w:w="0" w:type="dxa"/>
            <w:left w:w="108" w:type="dxa"/>
            <w:bottom w:w="0" w:type="dxa"/>
            <w:right w:w="108" w:type="dxa"/>
          </w:tblCellMar>
        </w:tblPrEx>
        <w:trPr>
          <w:trHeight w:val="642" w:hRule="exact"/>
          <w:jc w:val="center"/>
        </w:trPr>
        <w:tc>
          <w:tcPr>
            <w:tcW w:w="9892" w:type="dxa"/>
            <w:gridSpan w:val="3"/>
            <w:tcBorders>
              <w:top w:val="single" w:color="auto" w:sz="4" w:space="0"/>
              <w:left w:val="single" w:color="auto" w:sz="4" w:space="0"/>
              <w:bottom w:val="single" w:color="auto" w:sz="4" w:space="0"/>
              <w:right w:val="single" w:color="auto" w:sz="4" w:space="0"/>
            </w:tcBorders>
            <w:shd w:val="clear" w:color="auto" w:fill="F1F1F1"/>
            <w:noWrap w:val="0"/>
            <w:vAlign w:val="center"/>
          </w:tcPr>
          <w:p w14:paraId="1F6687AB">
            <w:pPr>
              <w:pStyle w:val="11"/>
              <w:tabs>
                <w:tab w:val="left" w:pos="1354"/>
                <w:tab w:val="left" w:pos="1459"/>
                <w:tab w:val="center" w:pos="3902"/>
                <w:tab w:val="right" w:pos="7805"/>
              </w:tabs>
              <w:wordWrap w:val="0"/>
              <w:adjustRightInd w:val="0"/>
              <w:snapToGrid w:val="0"/>
              <w:spacing w:after="0" w:line="24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rPr>
              <w:t>分。</w:t>
            </w:r>
          </w:p>
        </w:tc>
      </w:tr>
      <w:tr w14:paraId="13041397">
        <w:tblPrEx>
          <w:tblCellMar>
            <w:top w:w="0" w:type="dxa"/>
            <w:left w:w="108" w:type="dxa"/>
            <w:bottom w:w="0" w:type="dxa"/>
            <w:right w:w="108" w:type="dxa"/>
          </w:tblCellMar>
        </w:tblPrEx>
        <w:trPr>
          <w:trHeight w:val="602" w:hRule="exac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1AFDE03B">
            <w:pPr>
              <w:pStyle w:val="11"/>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C28819F">
            <w:pPr>
              <w:pStyle w:val="11"/>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243DB776">
            <w:pPr>
              <w:pStyle w:val="11"/>
              <w:tabs>
                <w:tab w:val="left" w:pos="1354"/>
                <w:tab w:val="left" w:pos="1459"/>
                <w:tab w:val="center" w:pos="3902"/>
                <w:tab w:val="right" w:pos="7805"/>
              </w:tabs>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4842DD10">
        <w:tblPrEx>
          <w:tblCellMar>
            <w:top w:w="0" w:type="dxa"/>
            <w:left w:w="108" w:type="dxa"/>
            <w:bottom w:w="0" w:type="dxa"/>
            <w:right w:w="108" w:type="dxa"/>
          </w:tblCellMar>
        </w:tblPrEx>
        <w:trPr>
          <w:trHeight w:val="90"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6FA0EC93">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企业奖项</w:t>
            </w:r>
          </w:p>
          <w:p w14:paraId="79220197">
            <w:pPr>
              <w:widowControl w:val="0"/>
              <w:spacing w:line="36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rPr>
              <w:t>（10分）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5D521B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企业近</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年来</w:t>
            </w:r>
            <w:r>
              <w:rPr>
                <w:rFonts w:hint="eastAsia" w:ascii="宋体" w:hAnsi="宋体" w:eastAsia="宋体" w:cs="宋体"/>
                <w:color w:val="0000FF"/>
                <w:sz w:val="24"/>
                <w:szCs w:val="24"/>
              </w:rPr>
              <w:t>（</w:t>
            </w:r>
            <w:r>
              <w:rPr>
                <w:rFonts w:hint="eastAsia" w:ascii="宋体" w:hAnsi="宋体" w:eastAsia="宋体" w:cs="宋体"/>
                <w:color w:val="0000FF"/>
                <w:sz w:val="24"/>
                <w:szCs w:val="24"/>
                <w:lang w:val="en-US" w:eastAsia="zh-CN"/>
              </w:rPr>
              <w:t>2020</w:t>
            </w:r>
            <w:r>
              <w:rPr>
                <w:rFonts w:hint="eastAsia" w:ascii="宋体" w:hAnsi="宋体" w:eastAsia="宋体" w:cs="宋体"/>
                <w:color w:val="0000FF"/>
                <w:sz w:val="24"/>
                <w:szCs w:val="24"/>
              </w:rPr>
              <w:t>年</w:t>
            </w:r>
            <w:r>
              <w:rPr>
                <w:rFonts w:hint="eastAsia" w:ascii="宋体" w:hAnsi="宋体" w:eastAsia="宋体" w:cs="宋体"/>
                <w:color w:val="0000FF"/>
                <w:sz w:val="24"/>
                <w:szCs w:val="24"/>
                <w:lang w:val="en-US" w:eastAsia="zh-CN"/>
              </w:rPr>
              <w:t>1</w:t>
            </w:r>
            <w:r>
              <w:rPr>
                <w:rFonts w:hint="eastAsia" w:ascii="宋体" w:hAnsi="宋体" w:eastAsia="宋体" w:cs="宋体"/>
                <w:color w:val="0000FF"/>
                <w:sz w:val="24"/>
                <w:szCs w:val="24"/>
              </w:rPr>
              <w:t>月1日</w:t>
            </w:r>
            <w:r>
              <w:rPr>
                <w:rFonts w:hint="eastAsia" w:ascii="宋体" w:hAnsi="宋体" w:eastAsia="宋体" w:cs="宋体"/>
                <w:color w:val="0000FF"/>
                <w:sz w:val="24"/>
                <w:szCs w:val="24"/>
                <w:lang w:eastAsia="zh-CN"/>
              </w:rPr>
              <w:t>至今</w:t>
            </w:r>
            <w:r>
              <w:rPr>
                <w:rFonts w:hint="eastAsia" w:ascii="宋体" w:hAnsi="宋体" w:eastAsia="宋体" w:cs="宋体"/>
                <w:color w:val="0000FF"/>
                <w:sz w:val="24"/>
                <w:szCs w:val="24"/>
              </w:rPr>
              <w:t>）</w:t>
            </w:r>
            <w:r>
              <w:rPr>
                <w:rFonts w:hint="eastAsia" w:ascii="宋体" w:hAnsi="宋体" w:eastAsia="宋体" w:cs="宋体"/>
                <w:color w:val="auto"/>
                <w:sz w:val="24"/>
                <w:szCs w:val="24"/>
              </w:rPr>
              <w:t>获得</w:t>
            </w:r>
            <w:r>
              <w:rPr>
                <w:rFonts w:hint="eastAsia" w:hAnsi="宋体" w:cs="宋体"/>
                <w:color w:val="0323C7"/>
                <w:sz w:val="24"/>
                <w:szCs w:val="24"/>
                <w:u w:val="single"/>
                <w:lang w:val="en-US" w:eastAsia="zh-CN"/>
              </w:rPr>
              <w:t xml:space="preserve"> 工程类 </w:t>
            </w:r>
            <w:r>
              <w:rPr>
                <w:rFonts w:hint="eastAsia" w:ascii="宋体" w:hAnsi="宋体" w:eastAsia="宋体" w:cs="宋体"/>
                <w:color w:val="auto"/>
                <w:sz w:val="24"/>
                <w:szCs w:val="24"/>
              </w:rPr>
              <w:t>奖项情况：</w:t>
            </w:r>
          </w:p>
          <w:p w14:paraId="0D19141A">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获得国家级奖项的，每个得</w:t>
            </w:r>
            <w:r>
              <w:rPr>
                <w:rFonts w:hint="eastAsia" w:ascii="宋体" w:hAnsi="宋体" w:eastAsia="宋体" w:cs="宋体"/>
                <w:color w:val="auto"/>
                <w:sz w:val="24"/>
                <w:szCs w:val="24"/>
                <w:u w:val="single"/>
              </w:rPr>
              <w:t>8</w:t>
            </w:r>
            <w:r>
              <w:rPr>
                <w:rFonts w:hint="eastAsia" w:ascii="宋体" w:hAnsi="宋体" w:eastAsia="宋体" w:cs="宋体"/>
                <w:color w:val="auto"/>
                <w:sz w:val="24"/>
                <w:szCs w:val="24"/>
              </w:rPr>
              <w:t>分。</w:t>
            </w:r>
          </w:p>
          <w:p w14:paraId="2A1EC53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获得省级奖项的，每个得</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分。</w:t>
            </w:r>
          </w:p>
          <w:p w14:paraId="6D2B872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获得地市级奖项的，每个得</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rPr>
              <w:t>分。</w:t>
            </w:r>
          </w:p>
          <w:p w14:paraId="714AD28B">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4．以上奖项均未获得的，不予计分。</w:t>
            </w:r>
          </w:p>
          <w:p w14:paraId="1BDC3D5D">
            <w:pPr>
              <w:widowControl w:val="0"/>
              <w:spacing w:line="360" w:lineRule="auto"/>
              <w:jc w:val="both"/>
              <w:rPr>
                <w:rFonts w:hint="eastAsia" w:ascii="宋体" w:hAnsi="宋体" w:eastAsia="宋体" w:cs="宋体"/>
                <w:b w:val="0"/>
                <w:bCs w:val="0"/>
                <w:snapToGrid w:val="0"/>
                <w:color w:val="auto"/>
                <w:kern w:val="0"/>
                <w:sz w:val="24"/>
                <w:szCs w:val="24"/>
                <w:highlight w:val="none"/>
                <w:shd w:val="clear" w:color="auto" w:fill="auto"/>
                <w:lang w:val="en-US" w:eastAsia="zh-CN" w:bidi="ar-SA"/>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本项最高得10分。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0AD5715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允许投标人提交多个业绩，但同一业绩只按最高级别奖项计分一次。</w:t>
            </w:r>
          </w:p>
          <w:p w14:paraId="6AD77EA3">
            <w:pPr>
              <w:widowControl w:val="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需附有关奖项证明彩色扫描件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同时提供原件供核对（奖项为电子证书的除外）。</w:t>
            </w:r>
          </w:p>
          <w:p w14:paraId="4A23FE5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颁发机构限定以下范围：</w:t>
            </w:r>
          </w:p>
          <w:p w14:paraId="280A450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①国家级奖项：国务院、住建部、中国建筑业协会、中国建筑安全协会；</w:t>
            </w:r>
            <w:r>
              <w:rPr>
                <w:rFonts w:hint="eastAsia" w:ascii="宋体" w:hAnsi="宋体" w:eastAsia="宋体" w:cs="宋体"/>
                <w:color w:val="auto"/>
                <w:sz w:val="24"/>
                <w:szCs w:val="24"/>
                <w:highlight w:val="none"/>
              </w:rPr>
              <w:t>（相关协会需经民政部门备案）</w:t>
            </w:r>
          </w:p>
          <w:p w14:paraId="4D73EDF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②省级奖项：省级人民政府、省级建设行政主管部门、省级建筑业协会、省级建筑安全协会；（相关协会需经民政部门备案）</w:t>
            </w:r>
          </w:p>
          <w:p w14:paraId="403205D4">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③地市级奖项：地市级人民政府、地市级建设行政主管部门、地市级建筑协会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地市级建筑安全协会。（相关协会需经民政部门备案）</w:t>
            </w:r>
          </w:p>
          <w:p w14:paraId="7791480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获奖时间以奖项证明的落款日期为准。</w:t>
            </w:r>
          </w:p>
          <w:p w14:paraId="15809A64">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任一奖项有以下情形之一的，该奖项视为无效，不予计分：</w:t>
            </w:r>
          </w:p>
          <w:p w14:paraId="4282E944">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①未提供奖项原件的；</w:t>
            </w:r>
          </w:p>
          <w:p w14:paraId="03D05B4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②奖项不属于指定类别的；</w:t>
            </w:r>
          </w:p>
          <w:p w14:paraId="2565BCFA">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③颁发机构不符合要求的；</w:t>
            </w:r>
          </w:p>
          <w:p w14:paraId="15C812C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④获奖时间不符合要求的。</w:t>
            </w:r>
          </w:p>
          <w:p w14:paraId="5C76AE81">
            <w:pPr>
              <w:widowControl w:val="0"/>
              <w:bidi w:val="0"/>
              <w:spacing w:line="360" w:lineRule="auto"/>
              <w:jc w:val="both"/>
              <w:rPr>
                <w:rFonts w:hint="eastAsia" w:ascii="宋体" w:hAnsi="宋体" w:eastAsia="宋体" w:cs="宋体"/>
                <w:b w:val="0"/>
                <w:bCs w:val="0"/>
                <w:color w:val="auto"/>
                <w:kern w:val="2"/>
                <w:sz w:val="24"/>
                <w:szCs w:val="24"/>
                <w:highlight w:val="none"/>
                <w:shd w:val="clear" w:color="auto" w:fill="auto"/>
                <w:lang w:val="en-US" w:eastAsia="zh-CN" w:bidi="ar-SA"/>
              </w:rPr>
            </w:pPr>
            <w:r>
              <w:rPr>
                <w:rFonts w:hint="eastAsia" w:ascii="宋体" w:hAnsi="宋体" w:eastAsia="宋体" w:cs="宋体"/>
                <w:b/>
                <w:bCs/>
                <w:color w:val="auto"/>
                <w:sz w:val="24"/>
                <w:szCs w:val="24"/>
                <w:lang w:val="en-US" w:eastAsia="zh-CN"/>
              </w:rPr>
              <w:t>说明：以上所称“要求”均指本表评分标准及备注的要求，下同。</w:t>
            </w:r>
          </w:p>
        </w:tc>
      </w:tr>
      <w:tr w14:paraId="655C2C34">
        <w:tblPrEx>
          <w:tblCellMar>
            <w:top w:w="0" w:type="dxa"/>
            <w:left w:w="108" w:type="dxa"/>
            <w:bottom w:w="0" w:type="dxa"/>
            <w:right w:w="108" w:type="dxa"/>
          </w:tblCellMar>
        </w:tblPrEx>
        <w:trPr>
          <w:trHeight w:val="2113"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54BBF244">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p w14:paraId="52A0D473">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综合素质</w:t>
            </w:r>
          </w:p>
          <w:p w14:paraId="7938736E">
            <w:pPr>
              <w:widowControl w:val="0"/>
              <w:spacing w:line="36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sz w:val="24"/>
                <w:szCs w:val="24"/>
              </w:rPr>
              <w:t>（10分）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2D21DD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项目经理工程类技术职称情况：</w:t>
            </w:r>
          </w:p>
          <w:p w14:paraId="5268ABE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具</w:t>
            </w:r>
            <w:r>
              <w:rPr>
                <w:rFonts w:hint="eastAsia" w:ascii="宋体" w:hAnsi="宋体" w:eastAsia="宋体" w:cs="宋体"/>
                <w:color w:val="auto"/>
                <w:sz w:val="24"/>
                <w:szCs w:val="24"/>
                <w:highlight w:val="none"/>
              </w:rPr>
              <w:t>备工程师或以上</w:t>
            </w:r>
            <w:r>
              <w:rPr>
                <w:rFonts w:hint="eastAsia" w:ascii="宋体" w:hAnsi="宋体" w:eastAsia="宋体" w:cs="宋体"/>
                <w:color w:val="auto"/>
                <w:sz w:val="24"/>
                <w:szCs w:val="24"/>
              </w:rPr>
              <w:t>职称的，得</w:t>
            </w:r>
            <w:r>
              <w:rPr>
                <w:rFonts w:hint="eastAsia" w:ascii="宋体" w:hAnsi="宋体" w:eastAsia="宋体" w:cs="宋体"/>
                <w:color w:val="auto"/>
                <w:sz w:val="24"/>
                <w:szCs w:val="24"/>
                <w:u w:val="single"/>
              </w:rPr>
              <w:t>10</w:t>
            </w:r>
            <w:r>
              <w:rPr>
                <w:rFonts w:hint="eastAsia" w:ascii="宋体" w:hAnsi="宋体" w:eastAsia="宋体" w:cs="宋体"/>
                <w:color w:val="auto"/>
                <w:sz w:val="24"/>
                <w:szCs w:val="24"/>
              </w:rPr>
              <w:t>分。</w:t>
            </w:r>
          </w:p>
          <w:p w14:paraId="4439908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具备</w:t>
            </w:r>
            <w:r>
              <w:rPr>
                <w:rFonts w:hint="eastAsia" w:ascii="宋体" w:hAnsi="宋体" w:eastAsia="宋体" w:cs="宋体"/>
                <w:color w:val="auto"/>
                <w:sz w:val="24"/>
                <w:szCs w:val="24"/>
                <w:highlight w:val="none"/>
                <w:lang w:val="en-US" w:eastAsia="zh-CN"/>
              </w:rPr>
              <w:t>助理工程师</w:t>
            </w:r>
            <w:r>
              <w:rPr>
                <w:rFonts w:hint="eastAsia" w:ascii="宋体" w:hAnsi="宋体" w:eastAsia="宋体" w:cs="宋体"/>
                <w:color w:val="auto"/>
                <w:sz w:val="24"/>
                <w:szCs w:val="24"/>
                <w:highlight w:val="none"/>
              </w:rPr>
              <w:t>职称</w:t>
            </w:r>
            <w:r>
              <w:rPr>
                <w:rFonts w:hint="eastAsia" w:ascii="宋体" w:hAnsi="宋体" w:eastAsia="宋体" w:cs="宋体"/>
                <w:color w:val="auto"/>
                <w:sz w:val="24"/>
                <w:szCs w:val="24"/>
              </w:rPr>
              <w:t>的，得</w:t>
            </w:r>
            <w:r>
              <w:rPr>
                <w:rFonts w:hint="eastAsia" w:ascii="宋体" w:hAnsi="宋体" w:eastAsia="宋体" w:cs="宋体"/>
                <w:color w:val="auto"/>
                <w:sz w:val="24"/>
                <w:szCs w:val="24"/>
                <w:u w:val="single"/>
              </w:rPr>
              <w:t>5</w:t>
            </w:r>
            <w:r>
              <w:rPr>
                <w:rFonts w:hint="eastAsia" w:ascii="宋体" w:hAnsi="宋体" w:eastAsia="宋体" w:cs="宋体"/>
                <w:color w:val="auto"/>
                <w:sz w:val="24"/>
                <w:szCs w:val="24"/>
              </w:rPr>
              <w:t>分。</w:t>
            </w:r>
          </w:p>
          <w:p w14:paraId="194C2968">
            <w:pPr>
              <w:widowControl w:val="0"/>
              <w:spacing w:line="360" w:lineRule="auto"/>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不具备以上职称的，或未提供职称证原件的，不予计分。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776E6536">
            <w:pPr>
              <w:widowControl w:val="0"/>
              <w:spacing w:line="360" w:lineRule="auto"/>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color w:val="auto"/>
                <w:sz w:val="24"/>
                <w:szCs w:val="24"/>
              </w:rPr>
              <w:t>需附职称证彩色扫描件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同时提供原件供核对（职称证为电子证书的除外）。</w:t>
            </w:r>
          </w:p>
        </w:tc>
      </w:tr>
      <w:tr w14:paraId="63D1F16F">
        <w:tblPrEx>
          <w:tblCellMar>
            <w:top w:w="0" w:type="dxa"/>
            <w:left w:w="108" w:type="dxa"/>
            <w:bottom w:w="0" w:type="dxa"/>
            <w:right w:w="108" w:type="dxa"/>
          </w:tblCellMar>
        </w:tblPrEx>
        <w:trPr>
          <w:trHeight w:val="493"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7A4EBD0A">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p w14:paraId="1B6DFCFB">
            <w:pPr>
              <w:widowControl w:val="0"/>
              <w:spacing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color w:val="auto"/>
                <w:sz w:val="24"/>
                <w:szCs w:val="24"/>
              </w:rPr>
              <w:t>（10分）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D74825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企业近</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年来</w:t>
            </w:r>
            <w:r>
              <w:rPr>
                <w:rFonts w:hint="eastAsia" w:ascii="宋体" w:hAnsi="宋体" w:eastAsia="宋体" w:cs="宋体"/>
                <w:color w:val="0000FF"/>
                <w:sz w:val="24"/>
                <w:szCs w:val="24"/>
              </w:rPr>
              <w:t>（</w:t>
            </w:r>
            <w:r>
              <w:rPr>
                <w:rFonts w:hint="eastAsia" w:ascii="宋体" w:hAnsi="宋体" w:eastAsia="宋体" w:cs="宋体"/>
                <w:color w:val="0000FF"/>
                <w:sz w:val="24"/>
                <w:szCs w:val="24"/>
                <w:lang w:val="en-US" w:eastAsia="zh-CN"/>
              </w:rPr>
              <w:t>2020</w:t>
            </w:r>
            <w:r>
              <w:rPr>
                <w:rFonts w:hint="eastAsia" w:ascii="宋体" w:hAnsi="宋体" w:eastAsia="宋体" w:cs="宋体"/>
                <w:color w:val="0000FF"/>
                <w:sz w:val="24"/>
                <w:szCs w:val="24"/>
              </w:rPr>
              <w:t>年</w:t>
            </w:r>
            <w:r>
              <w:rPr>
                <w:rFonts w:hint="eastAsia" w:ascii="宋体" w:hAnsi="宋体" w:eastAsia="宋体" w:cs="宋体"/>
                <w:color w:val="0000FF"/>
                <w:sz w:val="24"/>
                <w:szCs w:val="24"/>
                <w:lang w:val="en-US" w:eastAsia="zh-CN"/>
              </w:rPr>
              <w:t>1</w:t>
            </w:r>
            <w:r>
              <w:rPr>
                <w:rFonts w:hint="eastAsia" w:ascii="宋体" w:hAnsi="宋体" w:eastAsia="宋体" w:cs="宋体"/>
                <w:color w:val="0000FF"/>
                <w:sz w:val="24"/>
                <w:szCs w:val="24"/>
              </w:rPr>
              <w:t>月1日</w:t>
            </w:r>
            <w:r>
              <w:rPr>
                <w:rFonts w:hint="eastAsia" w:ascii="宋体" w:hAnsi="宋体" w:eastAsia="宋体" w:cs="宋体"/>
                <w:color w:val="0000FF"/>
                <w:sz w:val="24"/>
                <w:szCs w:val="24"/>
                <w:lang w:eastAsia="zh-CN"/>
              </w:rPr>
              <w:t>至今</w:t>
            </w:r>
            <w:r>
              <w:rPr>
                <w:rFonts w:hint="eastAsia" w:ascii="宋体" w:hAnsi="宋体" w:eastAsia="宋体" w:cs="宋体"/>
                <w:color w:val="0000FF"/>
                <w:sz w:val="24"/>
                <w:szCs w:val="24"/>
              </w:rPr>
              <w:t>）</w:t>
            </w:r>
            <w:r>
              <w:rPr>
                <w:rFonts w:hint="eastAsia" w:ascii="宋体" w:hAnsi="宋体" w:eastAsia="宋体" w:cs="宋体"/>
                <w:color w:val="auto"/>
                <w:sz w:val="24"/>
                <w:szCs w:val="24"/>
              </w:rPr>
              <w:t>业绩情况：</w:t>
            </w:r>
          </w:p>
          <w:p w14:paraId="4FC963F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u w:val="single"/>
              </w:rPr>
              <w:t>承接</w:t>
            </w:r>
            <w:r>
              <w:rPr>
                <w:rFonts w:hint="eastAsia" w:ascii="宋体" w:hAnsi="宋体" w:eastAsia="宋体" w:cs="宋体"/>
                <w:color w:val="auto"/>
                <w:sz w:val="24"/>
                <w:szCs w:val="24"/>
              </w:rPr>
              <w:t>过类似工程的，每个得</w:t>
            </w:r>
            <w:r>
              <w:rPr>
                <w:rFonts w:hint="eastAsia" w:ascii="宋体" w:hAnsi="宋体" w:eastAsia="宋体" w:cs="宋体"/>
                <w:color w:val="auto"/>
                <w:sz w:val="24"/>
                <w:szCs w:val="24"/>
                <w:u w:val="single"/>
              </w:rPr>
              <w:t>5</w:t>
            </w:r>
            <w:r>
              <w:rPr>
                <w:rFonts w:hint="eastAsia" w:ascii="宋体" w:hAnsi="宋体" w:eastAsia="宋体" w:cs="宋体"/>
                <w:color w:val="auto"/>
                <w:sz w:val="24"/>
                <w:szCs w:val="24"/>
              </w:rPr>
              <w:t>分。</w:t>
            </w:r>
          </w:p>
          <w:p w14:paraId="21C34DA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未</w:t>
            </w:r>
            <w:r>
              <w:rPr>
                <w:rFonts w:hint="eastAsia" w:ascii="宋体" w:hAnsi="宋体" w:eastAsia="宋体" w:cs="宋体"/>
                <w:color w:val="auto"/>
                <w:sz w:val="24"/>
                <w:szCs w:val="24"/>
                <w:u w:val="single"/>
              </w:rPr>
              <w:t>承接</w:t>
            </w:r>
            <w:r>
              <w:rPr>
                <w:rFonts w:hint="eastAsia" w:ascii="宋体" w:hAnsi="宋体" w:eastAsia="宋体" w:cs="宋体"/>
                <w:color w:val="auto"/>
                <w:sz w:val="24"/>
                <w:szCs w:val="24"/>
              </w:rPr>
              <w:t>过类似工程的，不予计分。</w:t>
            </w:r>
          </w:p>
          <w:p w14:paraId="7575C9CF">
            <w:pPr>
              <w:widowControl w:val="0"/>
              <w:spacing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本项最高得10分。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424B47F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类似工程指：</w:t>
            </w:r>
            <w:r>
              <w:rPr>
                <w:rFonts w:hint="eastAsia" w:ascii="宋体" w:hAnsi="宋体" w:eastAsia="宋体" w:cs="宋体"/>
                <w:color w:val="auto"/>
                <w:sz w:val="24"/>
                <w:szCs w:val="24"/>
                <w:highlight w:val="none"/>
                <w:u w:val="single"/>
              </w:rPr>
              <w:t>合同金额≥</w:t>
            </w:r>
            <w:r>
              <w:rPr>
                <w:rFonts w:hint="eastAsia" w:hAnsi="宋体" w:cs="宋体"/>
                <w:color w:val="auto"/>
                <w:sz w:val="24"/>
                <w:szCs w:val="24"/>
                <w:highlight w:val="none"/>
                <w:u w:val="single"/>
                <w:lang w:val="en-US" w:eastAsia="zh-CN"/>
              </w:rPr>
              <w:t>200</w:t>
            </w:r>
            <w:r>
              <w:rPr>
                <w:rFonts w:hint="eastAsia" w:ascii="宋体" w:hAnsi="宋体" w:eastAsia="宋体" w:cs="宋体"/>
                <w:color w:val="auto"/>
                <w:sz w:val="24"/>
                <w:szCs w:val="24"/>
                <w:highlight w:val="none"/>
                <w:u w:val="single"/>
              </w:rPr>
              <w:t>万</w:t>
            </w:r>
            <w:r>
              <w:rPr>
                <w:rFonts w:hint="eastAsia" w:ascii="宋体" w:hAnsi="宋体" w:eastAsia="宋体" w:cs="宋体"/>
                <w:color w:val="auto"/>
                <w:sz w:val="24"/>
                <w:szCs w:val="24"/>
              </w:rPr>
              <w:t>元的</w:t>
            </w:r>
            <w:r>
              <w:rPr>
                <w:rFonts w:hint="eastAsia" w:hAnsi="宋体" w:cs="宋体"/>
                <w:color w:val="0323C7"/>
                <w:sz w:val="24"/>
                <w:szCs w:val="24"/>
                <w:u w:val="single"/>
                <w:lang w:val="en-US" w:eastAsia="zh-CN"/>
              </w:rPr>
              <w:t>农田类</w:t>
            </w:r>
            <w:r>
              <w:rPr>
                <w:rFonts w:hint="eastAsia" w:ascii="宋体" w:hAnsi="宋体" w:eastAsia="宋体" w:cs="宋体"/>
                <w:color w:val="auto"/>
                <w:sz w:val="24"/>
                <w:szCs w:val="24"/>
                <w:u w:val="none"/>
                <w:lang w:eastAsia="zh-CN"/>
              </w:rPr>
              <w:t>施工项目</w:t>
            </w:r>
            <w:r>
              <w:rPr>
                <w:rFonts w:hint="eastAsia" w:ascii="宋体" w:hAnsi="宋体" w:eastAsia="宋体" w:cs="宋体"/>
                <w:color w:val="auto"/>
                <w:sz w:val="24"/>
                <w:szCs w:val="24"/>
              </w:rPr>
              <w:t>。</w:t>
            </w:r>
          </w:p>
          <w:p w14:paraId="5911F68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需附有关业绩（仅限于以施工总承包单位身份参建的项目）合同协议书</w:t>
            </w:r>
            <w:r>
              <w:rPr>
                <w:rFonts w:hint="eastAsia" w:ascii="宋体" w:hAnsi="宋体" w:eastAsia="宋体" w:cs="宋体"/>
                <w:color w:val="auto"/>
                <w:sz w:val="24"/>
                <w:szCs w:val="24"/>
                <w:lang w:eastAsia="zh-CN"/>
              </w:rPr>
              <w:t>关键页</w:t>
            </w:r>
            <w:r>
              <w:rPr>
                <w:rFonts w:hint="eastAsia" w:ascii="宋体" w:hAnsi="宋体" w:eastAsia="宋体" w:cs="宋体"/>
                <w:color w:val="auto"/>
                <w:sz w:val="24"/>
                <w:szCs w:val="24"/>
              </w:rPr>
              <w:t>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w:t>
            </w:r>
            <w:r>
              <w:rPr>
                <w:rFonts w:hint="eastAsia" w:ascii="宋体" w:hAnsi="宋体" w:eastAsia="宋体" w:cs="宋体"/>
                <w:b/>
                <w:bCs/>
                <w:color w:val="auto"/>
                <w:sz w:val="24"/>
                <w:szCs w:val="24"/>
              </w:rPr>
              <w:t>。</w:t>
            </w:r>
          </w:p>
          <w:p w14:paraId="5B9BD15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业绩时间以合同协议书日期为准。</w:t>
            </w:r>
          </w:p>
          <w:p w14:paraId="1A5EE2B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任一业绩有以下情形之一的，该业绩视为无效，不予计分：</w:t>
            </w:r>
          </w:p>
          <w:p w14:paraId="671E1CC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①未提供业绩证明材料原件的；</w:t>
            </w:r>
          </w:p>
          <w:p w14:paraId="44C6ABD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②业绩不属于类似工程的；</w:t>
            </w:r>
          </w:p>
          <w:p w14:paraId="180900E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③不是以指定身份参建的；</w:t>
            </w:r>
          </w:p>
          <w:p w14:paraId="1B703EBF">
            <w:pPr>
              <w:widowControl w:val="0"/>
              <w:spacing w:line="360" w:lineRule="auto"/>
              <w:jc w:val="both"/>
              <w:rPr>
                <w:rFonts w:hint="eastAsia" w:ascii="宋体" w:eastAsia="宋体"/>
                <w:b w:val="0"/>
                <w:bCs w:val="0"/>
                <w:color w:val="auto"/>
                <w:kern w:val="2"/>
                <w:sz w:val="24"/>
                <w:szCs w:val="24"/>
                <w:lang w:val="en-US" w:eastAsia="zh-CN" w:bidi="ar-SA"/>
              </w:rPr>
            </w:pPr>
            <w:r>
              <w:rPr>
                <w:rFonts w:hint="eastAsia" w:ascii="宋体" w:hAnsi="宋体" w:eastAsia="宋体" w:cs="宋体"/>
                <w:color w:val="auto"/>
                <w:sz w:val="24"/>
                <w:szCs w:val="24"/>
              </w:rPr>
              <w:t>④业绩时间不符合要求的；</w:t>
            </w:r>
          </w:p>
        </w:tc>
      </w:tr>
      <w:tr w14:paraId="53D4B625">
        <w:tblPrEx>
          <w:tblCellMar>
            <w:top w:w="0" w:type="dxa"/>
            <w:left w:w="108" w:type="dxa"/>
            <w:bottom w:w="0" w:type="dxa"/>
            <w:right w:w="108" w:type="dxa"/>
          </w:tblCellMar>
        </w:tblPrEx>
        <w:trPr>
          <w:trHeight w:val="3270"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4A7EEAC5">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企业银行</w:t>
            </w:r>
          </w:p>
          <w:p w14:paraId="0548DB81">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资信评级</w:t>
            </w:r>
          </w:p>
          <w:p w14:paraId="6039E32F">
            <w:pPr>
              <w:widowControl w:val="0"/>
              <w:spacing w:line="36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804CBA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银行资信评级AAA的，得</w:t>
            </w:r>
            <w:r>
              <w:rPr>
                <w:rFonts w:hint="eastAsia" w:ascii="宋体" w:hAnsi="宋体" w:eastAsia="宋体" w:cs="宋体"/>
                <w:color w:val="auto"/>
                <w:sz w:val="24"/>
                <w:szCs w:val="24"/>
                <w:u w:val="single"/>
                <w:lang w:val="en-US" w:eastAsia="zh-CN"/>
              </w:rPr>
              <w:t>10</w:t>
            </w:r>
            <w:r>
              <w:rPr>
                <w:rFonts w:hint="eastAsia" w:ascii="宋体" w:hAnsi="宋体" w:eastAsia="宋体" w:cs="宋体"/>
                <w:color w:val="auto"/>
                <w:sz w:val="24"/>
                <w:szCs w:val="24"/>
                <w:u w:val="none"/>
              </w:rPr>
              <w:t>分</w:t>
            </w:r>
            <w:r>
              <w:rPr>
                <w:rFonts w:hint="eastAsia" w:ascii="宋体" w:hAnsi="宋体" w:eastAsia="宋体" w:cs="宋体"/>
                <w:color w:val="auto"/>
                <w:sz w:val="24"/>
                <w:szCs w:val="24"/>
              </w:rPr>
              <w:t>；</w:t>
            </w:r>
          </w:p>
          <w:p w14:paraId="0E8DE08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银行资信评级AA（含AA＋、AA－）的，得</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rPr>
              <w:t>分。</w:t>
            </w:r>
          </w:p>
          <w:p w14:paraId="6307EB0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银行资信评级A（含A＋、A－）的，得</w:t>
            </w:r>
            <w:r>
              <w:rPr>
                <w:rFonts w:hint="eastAsia" w:ascii="宋体" w:hAnsi="宋体" w:eastAsia="宋体" w:cs="宋体"/>
                <w:color w:val="auto"/>
                <w:sz w:val="24"/>
                <w:szCs w:val="24"/>
                <w:u w:val="single"/>
                <w:lang w:val="en-US" w:eastAsia="zh-CN"/>
              </w:rPr>
              <w:t>2</w:t>
            </w:r>
            <w:r>
              <w:rPr>
                <w:rFonts w:hint="eastAsia" w:ascii="宋体" w:hAnsi="宋体" w:eastAsia="宋体" w:cs="宋体"/>
                <w:color w:val="auto"/>
                <w:sz w:val="24"/>
                <w:szCs w:val="24"/>
              </w:rPr>
              <w:t>分。</w:t>
            </w:r>
          </w:p>
          <w:p w14:paraId="76499DCE">
            <w:pPr>
              <w:widowControl w:val="0"/>
              <w:spacing w:line="360" w:lineRule="auto"/>
              <w:jc w:val="both"/>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未获得过以上评级的，或评级证书（证明）无效的，不予计分。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11206A74">
            <w:pPr>
              <w:widowControl w:val="0"/>
              <w:spacing w:line="360" w:lineRule="auto"/>
              <w:jc w:val="both"/>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需附在有效期内的资信评级证书（证明）彩色扫描件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同时提供原件供核对（电子证书、证明除外）</w:t>
            </w:r>
            <w:r>
              <w:rPr>
                <w:rFonts w:hint="eastAsia" w:ascii="宋体" w:hAnsi="宋体" w:eastAsia="宋体" w:cs="宋体"/>
                <w:color w:val="auto"/>
                <w:sz w:val="24"/>
                <w:szCs w:val="24"/>
                <w:lang w:eastAsia="zh-CN"/>
              </w:rPr>
              <w:t>。</w:t>
            </w:r>
          </w:p>
          <w:p w14:paraId="0CFC82C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评级证书（证明）须由</w:t>
            </w:r>
            <w:r>
              <w:rPr>
                <w:rFonts w:hint="eastAsia" w:ascii="宋体" w:hAnsi="宋体" w:eastAsia="宋体" w:cs="宋体"/>
                <w:color w:val="auto"/>
                <w:sz w:val="24"/>
                <w:szCs w:val="24"/>
                <w:u w:val="single"/>
                <w:lang w:val="en-US" w:eastAsia="zh-CN"/>
              </w:rPr>
              <w:t>市级或以上银行</w:t>
            </w:r>
            <w:r>
              <w:rPr>
                <w:rFonts w:hint="eastAsia" w:ascii="宋体" w:hAnsi="宋体" w:eastAsia="宋体" w:cs="宋体"/>
                <w:color w:val="auto"/>
                <w:sz w:val="24"/>
                <w:szCs w:val="24"/>
              </w:rPr>
              <w:t>出具。</w:t>
            </w:r>
          </w:p>
          <w:p w14:paraId="76005FC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评级证书（证明）有以下情形之一的，视为无效：</w:t>
            </w:r>
          </w:p>
          <w:p w14:paraId="59BFEE7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①未提供评级证书（证明）原件的；</w:t>
            </w:r>
          </w:p>
          <w:p w14:paraId="60AD2E8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②评级证书（证明）不在有效期内的；</w:t>
            </w:r>
          </w:p>
          <w:p w14:paraId="4A0845D6">
            <w:pPr>
              <w:widowControl w:val="0"/>
              <w:spacing w:line="360" w:lineRule="auto"/>
              <w:jc w:val="both"/>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sz w:val="24"/>
                <w:szCs w:val="24"/>
              </w:rPr>
              <w:t>③出具机构不符合要求的。</w:t>
            </w:r>
          </w:p>
        </w:tc>
      </w:tr>
      <w:tr w14:paraId="6836C4CB">
        <w:tblPrEx>
          <w:tblCellMar>
            <w:top w:w="0" w:type="dxa"/>
            <w:left w:w="108" w:type="dxa"/>
            <w:bottom w:w="0" w:type="dxa"/>
            <w:right w:w="108" w:type="dxa"/>
          </w:tblCellMar>
        </w:tblPrEx>
        <w:trPr>
          <w:trHeight w:val="624"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3FACE5EF">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企业管理</w:t>
            </w:r>
          </w:p>
          <w:p w14:paraId="2F11FAA3">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体系认证</w:t>
            </w:r>
          </w:p>
          <w:p w14:paraId="25E7B996">
            <w:pPr>
              <w:widowControl w:val="0"/>
              <w:spacing w:line="36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32E0489">
            <w:pPr>
              <w:widowControl w:val="0"/>
              <w:numPr>
                <w:ilvl w:val="0"/>
                <w:numId w:val="0"/>
              </w:numPr>
              <w:spacing w:before="65" w:line="334" w:lineRule="auto"/>
              <w:ind w:right="105" w:rightChars="0"/>
              <w:jc w:val="both"/>
              <w:rPr>
                <w:rFonts w:hint="eastAsia" w:ascii="宋体" w:hAnsi="宋体" w:eastAsia="宋体" w:cs="宋体"/>
                <w:snapToGrid w:val="0"/>
                <w:color w:val="auto"/>
                <w:sz w:val="24"/>
                <w:szCs w:val="24"/>
                <w:lang w:val="en-US" w:eastAsia="en-US" w:bidi="ar-SA"/>
              </w:rPr>
            </w:pPr>
            <w:r>
              <w:rPr>
                <w:rFonts w:hint="eastAsia" w:ascii="宋体" w:hAnsi="宋体" w:eastAsia="宋体" w:cs="宋体"/>
                <w:snapToGrid w:val="0"/>
                <w:color w:val="auto"/>
                <w:kern w:val="2"/>
                <w:sz w:val="24"/>
                <w:szCs w:val="24"/>
                <w:lang w:val="en-US" w:eastAsia="en-US" w:bidi="ar-SA"/>
              </w:rPr>
              <w:t>1.</w:t>
            </w:r>
            <w:r>
              <w:rPr>
                <w:rFonts w:hint="eastAsia" w:ascii="宋体" w:hAnsi="宋体" w:eastAsia="宋体" w:cs="宋体"/>
                <w:snapToGrid w:val="0"/>
                <w:color w:val="auto"/>
                <w:sz w:val="24"/>
                <w:szCs w:val="24"/>
                <w:lang w:val="en-US" w:eastAsia="en-US" w:bidi="ar-SA"/>
              </w:rPr>
              <w:t xml:space="preserve">质量管理体系认证、职业健康安 全管理体系认证、环境管理体系认证中，每获得 1 项认证得 </w:t>
            </w:r>
            <w:r>
              <w:rPr>
                <w:rFonts w:hint="eastAsia" w:ascii="宋体" w:hAnsi="宋体" w:eastAsia="宋体" w:cs="宋体"/>
                <w:snapToGrid w:val="0"/>
                <w:color w:val="auto"/>
                <w:sz w:val="24"/>
                <w:szCs w:val="24"/>
                <w:lang w:val="en-US" w:eastAsia="zh-CN" w:bidi="ar-SA"/>
              </w:rPr>
              <w:t>4</w:t>
            </w:r>
            <w:r>
              <w:rPr>
                <w:rFonts w:hint="eastAsia" w:ascii="宋体" w:hAnsi="宋体" w:eastAsia="宋体" w:cs="宋体"/>
                <w:snapToGrid w:val="0"/>
                <w:color w:val="auto"/>
                <w:sz w:val="24"/>
                <w:szCs w:val="24"/>
                <w:lang w:val="en-US" w:eastAsia="en-US" w:bidi="ar-SA"/>
              </w:rPr>
              <w:t xml:space="preserve"> 分，最高得 </w:t>
            </w:r>
            <w:r>
              <w:rPr>
                <w:rFonts w:hint="eastAsia" w:ascii="宋体" w:hAnsi="宋体" w:eastAsia="宋体" w:cs="宋体"/>
                <w:snapToGrid w:val="0"/>
                <w:color w:val="auto"/>
                <w:sz w:val="24"/>
                <w:szCs w:val="24"/>
                <w:lang w:val="en-US" w:eastAsia="zh-CN" w:bidi="ar-SA"/>
              </w:rPr>
              <w:t>10</w:t>
            </w:r>
            <w:r>
              <w:rPr>
                <w:rFonts w:hint="eastAsia" w:ascii="宋体" w:hAnsi="宋体" w:eastAsia="宋体" w:cs="宋体"/>
                <w:snapToGrid w:val="0"/>
                <w:color w:val="auto"/>
                <w:sz w:val="24"/>
                <w:szCs w:val="24"/>
                <w:lang w:val="en-US" w:eastAsia="en-US" w:bidi="ar-SA"/>
              </w:rPr>
              <w:t xml:space="preserve"> 分。</w:t>
            </w:r>
          </w:p>
          <w:p w14:paraId="31C57D5F">
            <w:pPr>
              <w:widowControl w:val="0"/>
              <w:numPr>
                <w:ilvl w:val="0"/>
                <w:numId w:val="0"/>
              </w:numPr>
              <w:spacing w:before="65" w:line="334" w:lineRule="auto"/>
              <w:ind w:right="105" w:rightChars="0"/>
              <w:jc w:val="both"/>
              <w:rPr>
                <w:rFonts w:hint="default" w:eastAsia="宋体"/>
                <w:color w:val="auto"/>
                <w:sz w:val="24"/>
                <w:szCs w:val="24"/>
                <w:highlight w:val="none"/>
                <w:lang w:val="en-US" w:eastAsia="zh-CN"/>
              </w:rPr>
            </w:pPr>
            <w:r>
              <w:rPr>
                <w:rFonts w:hint="eastAsia" w:ascii="宋体" w:hAnsi="宋体" w:eastAsia="宋体" w:cs="宋体"/>
                <w:snapToGrid w:val="0"/>
                <w:color w:val="auto"/>
                <w:sz w:val="24"/>
                <w:szCs w:val="24"/>
                <w:lang w:val="en-US" w:eastAsia="en-US" w:bidi="ar-SA"/>
              </w:rPr>
              <w:t>2</w:t>
            </w:r>
            <w:r>
              <w:rPr>
                <w:rFonts w:hint="eastAsia" w:ascii="宋体" w:hAnsi="宋体" w:eastAsia="宋体" w:cs="宋体"/>
                <w:snapToGrid w:val="0"/>
                <w:color w:val="auto"/>
                <w:sz w:val="24"/>
                <w:szCs w:val="24"/>
                <w:lang w:val="en-US" w:eastAsia="zh-CN" w:bidi="ar-SA"/>
              </w:rPr>
              <w:t>.</w:t>
            </w:r>
            <w:r>
              <w:rPr>
                <w:rFonts w:hint="eastAsia" w:ascii="宋体" w:hAnsi="宋体" w:eastAsia="宋体" w:cs="宋体"/>
                <w:snapToGrid w:val="0"/>
                <w:color w:val="auto"/>
                <w:sz w:val="24"/>
                <w:szCs w:val="24"/>
                <w:lang w:val="en-US" w:eastAsia="en-US" w:bidi="ar-SA"/>
              </w:rPr>
              <w:t>未获得以上认证的，不予计分。</w:t>
            </w:r>
          </w:p>
        </w:tc>
        <w:tc>
          <w:tcPr>
            <w:tcW w:w="4638" w:type="dxa"/>
            <w:tcBorders>
              <w:top w:val="single" w:color="auto" w:sz="4" w:space="0"/>
              <w:left w:val="single" w:color="auto" w:sz="4" w:space="0"/>
              <w:bottom w:val="single" w:color="auto" w:sz="4" w:space="0"/>
              <w:right w:val="single" w:color="auto" w:sz="4" w:space="0"/>
            </w:tcBorders>
            <w:noWrap w:val="0"/>
            <w:vAlign w:val="top"/>
          </w:tcPr>
          <w:p w14:paraId="17F4AFD2">
            <w:pPr>
              <w:keepNext w:val="0"/>
              <w:keepLines w:val="0"/>
              <w:pageBreakBefore w:val="0"/>
              <w:widowControl w:val="0"/>
              <w:kinsoku/>
              <w:wordWrap/>
              <w:overflowPunct/>
              <w:topLinePunct w:val="0"/>
              <w:autoSpaceDE/>
              <w:autoSpaceDN/>
              <w:bidi w:val="0"/>
              <w:adjustRightInd w:val="0"/>
              <w:snapToGrid w:val="0"/>
              <w:spacing w:line="360" w:lineRule="auto"/>
              <w:ind w:left="123" w:right="37" w:firstLine="6"/>
              <w:jc w:val="both"/>
              <w:textAlignment w:val="auto"/>
              <w:rPr>
                <w:rFonts w:hint="eastAsia" w:ascii="宋体" w:hAnsi="宋体" w:eastAsia="宋体" w:cs="宋体"/>
                <w:snapToGrid w:val="0"/>
                <w:color w:val="auto"/>
                <w:sz w:val="24"/>
                <w:szCs w:val="24"/>
                <w:lang w:val="en-US" w:eastAsia="en-US" w:bidi="ar-SA"/>
              </w:rPr>
            </w:pPr>
            <w:r>
              <w:rPr>
                <w:rFonts w:hint="eastAsia" w:ascii="宋体" w:hAnsi="宋体" w:eastAsia="宋体" w:cs="宋体"/>
                <w:snapToGrid w:val="0"/>
                <w:color w:val="auto"/>
                <w:sz w:val="24"/>
                <w:szCs w:val="24"/>
                <w:lang w:val="en-US" w:eastAsia="en-US" w:bidi="ar-SA"/>
              </w:rPr>
              <w:t>1</w:t>
            </w:r>
            <w:r>
              <w:rPr>
                <w:rFonts w:hint="eastAsia" w:ascii="宋体" w:hAnsi="宋体" w:eastAsia="宋体" w:cs="宋体"/>
                <w:snapToGrid w:val="0"/>
                <w:color w:val="auto"/>
                <w:sz w:val="24"/>
                <w:szCs w:val="24"/>
                <w:lang w:val="en-US" w:eastAsia="zh-CN" w:bidi="ar-SA"/>
              </w:rPr>
              <w:t>.</w:t>
            </w:r>
            <w:r>
              <w:rPr>
                <w:rFonts w:hint="eastAsia" w:ascii="宋体" w:hAnsi="宋体" w:eastAsia="宋体" w:cs="宋体"/>
                <w:snapToGrid w:val="0"/>
                <w:color w:val="auto"/>
                <w:sz w:val="24"/>
                <w:szCs w:val="24"/>
                <w:lang w:val="en-US" w:eastAsia="en-US" w:bidi="ar-SA"/>
              </w:rPr>
              <w:t>需附在有效期内的认证证书彩色扫描件</w:t>
            </w:r>
            <w:r>
              <w:rPr>
                <w:rFonts w:hint="eastAsia" w:ascii="宋体" w:hAnsi="宋体" w:eastAsia="宋体" w:cs="宋体"/>
                <w:color w:val="auto"/>
                <w:sz w:val="24"/>
                <w:szCs w:val="24"/>
                <w:lang w:eastAsia="zh-CN"/>
              </w:rPr>
              <w:t>，</w:t>
            </w:r>
            <w:r>
              <w:rPr>
                <w:rFonts w:hint="eastAsia" w:ascii="宋体" w:hAnsi="宋体" w:eastAsia="宋体" w:cs="宋体"/>
                <w:b/>
                <w:bCs/>
                <w:color w:val="auto"/>
                <w:sz w:val="24"/>
                <w:szCs w:val="24"/>
                <w:lang w:eastAsia="zh-CN"/>
              </w:rPr>
              <w:t>同时提供原件供核对（证书为电子证书的除外）</w:t>
            </w:r>
            <w:r>
              <w:rPr>
                <w:rFonts w:hint="eastAsia" w:ascii="宋体" w:hAnsi="宋体" w:eastAsia="宋体" w:cs="宋体"/>
                <w:snapToGrid w:val="0"/>
                <w:color w:val="auto"/>
                <w:sz w:val="24"/>
                <w:szCs w:val="24"/>
                <w:lang w:val="en-US" w:eastAsia="en-US" w:bidi="ar-SA"/>
              </w:rPr>
              <w:t>。</w:t>
            </w:r>
          </w:p>
          <w:p w14:paraId="1E82E96A">
            <w:pPr>
              <w:keepNext w:val="0"/>
              <w:keepLines w:val="0"/>
              <w:pageBreakBefore w:val="0"/>
              <w:widowControl w:val="0"/>
              <w:kinsoku/>
              <w:wordWrap/>
              <w:overflowPunct/>
              <w:topLinePunct w:val="0"/>
              <w:autoSpaceDE/>
              <w:autoSpaceDN/>
              <w:bidi w:val="0"/>
              <w:adjustRightInd w:val="0"/>
              <w:snapToGrid w:val="0"/>
              <w:spacing w:line="360" w:lineRule="auto"/>
              <w:ind w:left="116" w:right="109" w:hanging="7"/>
              <w:jc w:val="both"/>
              <w:textAlignment w:val="auto"/>
              <w:rPr>
                <w:rFonts w:hint="eastAsia" w:ascii="宋体" w:hAnsi="宋体" w:eastAsia="宋体" w:cs="宋体"/>
                <w:snapToGrid w:val="0"/>
                <w:color w:val="auto"/>
                <w:sz w:val="24"/>
                <w:szCs w:val="24"/>
                <w:lang w:val="en-US" w:eastAsia="en-US" w:bidi="ar-SA"/>
              </w:rPr>
            </w:pPr>
            <w:r>
              <w:rPr>
                <w:rFonts w:hint="eastAsia" w:ascii="宋体" w:hAnsi="宋体" w:eastAsia="宋体" w:cs="宋体"/>
                <w:snapToGrid w:val="0"/>
                <w:color w:val="auto"/>
                <w:sz w:val="24"/>
                <w:szCs w:val="24"/>
                <w:lang w:val="en-US" w:eastAsia="zh-CN" w:bidi="ar-SA"/>
              </w:rPr>
              <w:t>2.</w:t>
            </w:r>
            <w:r>
              <w:rPr>
                <w:rFonts w:hint="eastAsia" w:ascii="宋体" w:hAnsi="宋体" w:eastAsia="宋体" w:cs="宋体"/>
                <w:snapToGrid w:val="0"/>
                <w:color w:val="auto"/>
                <w:sz w:val="24"/>
                <w:szCs w:val="24"/>
                <w:lang w:val="en-US" w:eastAsia="en-US" w:bidi="ar-SA"/>
              </w:rPr>
              <w:t>任一认证证书有以下情形之一的，该认证证书视为无效，不予计分：</w:t>
            </w:r>
          </w:p>
          <w:p w14:paraId="59E9C7B1">
            <w:pPr>
              <w:keepNext w:val="0"/>
              <w:keepLines w:val="0"/>
              <w:pageBreakBefore w:val="0"/>
              <w:widowControl w:val="0"/>
              <w:kinsoku/>
              <w:wordWrap/>
              <w:overflowPunct/>
              <w:topLinePunct w:val="0"/>
              <w:autoSpaceDE/>
              <w:autoSpaceDN/>
              <w:bidi w:val="0"/>
              <w:adjustRightInd w:val="0"/>
              <w:snapToGrid w:val="0"/>
              <w:spacing w:line="360" w:lineRule="auto"/>
              <w:ind w:left="116" w:right="109" w:hanging="7"/>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①未提供认证证书原件的；</w:t>
            </w:r>
          </w:p>
          <w:p w14:paraId="713C5948">
            <w:pPr>
              <w:keepNext w:val="0"/>
              <w:keepLines w:val="0"/>
              <w:pageBreakBefore w:val="0"/>
              <w:widowControl w:val="0"/>
              <w:kinsoku/>
              <w:wordWrap/>
              <w:overflowPunct/>
              <w:topLinePunct w:val="0"/>
              <w:autoSpaceDE/>
              <w:autoSpaceDN/>
              <w:bidi w:val="0"/>
              <w:adjustRightInd w:val="0"/>
              <w:snapToGrid w:val="0"/>
              <w:spacing w:line="360" w:lineRule="auto"/>
              <w:ind w:left="116" w:right="109" w:hanging="7"/>
              <w:jc w:val="both"/>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②认证证书不在有效期内的。</w:t>
            </w:r>
          </w:p>
        </w:tc>
      </w:tr>
      <w:tr w14:paraId="7F194FBB">
        <w:tblPrEx>
          <w:tblCellMar>
            <w:top w:w="0" w:type="dxa"/>
            <w:left w:w="108" w:type="dxa"/>
            <w:bottom w:w="0" w:type="dxa"/>
            <w:right w:w="108" w:type="dxa"/>
          </w:tblCellMar>
        </w:tblPrEx>
        <w:trPr>
          <w:trHeight w:val="1046"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459350D4">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w:t>
            </w:r>
          </w:p>
          <w:p w14:paraId="46A6DF22">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财务状况</w:t>
            </w:r>
          </w:p>
          <w:p w14:paraId="7D77902B">
            <w:pPr>
              <w:widowControl w:val="0"/>
              <w:spacing w:line="360" w:lineRule="auto"/>
              <w:jc w:val="center"/>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A9F00FB">
            <w:pPr>
              <w:widowControl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提供不</w:t>
            </w:r>
            <w:r>
              <w:rPr>
                <w:rFonts w:hint="eastAsia" w:ascii="宋体" w:hAnsi="宋体" w:eastAsia="宋体" w:cs="宋体"/>
                <w:color w:val="auto"/>
                <w:sz w:val="24"/>
                <w:szCs w:val="24"/>
                <w:highlight w:val="none"/>
              </w:rPr>
              <w:t>少于</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u w:val="single"/>
              </w:rPr>
              <w:t>万元</w:t>
            </w:r>
            <w:r>
              <w:rPr>
                <w:rFonts w:hint="eastAsia" w:ascii="宋体" w:hAnsi="宋体" w:eastAsia="宋体" w:cs="宋体"/>
                <w:color w:val="auto"/>
                <w:sz w:val="24"/>
                <w:szCs w:val="24"/>
                <w:highlight w:val="none"/>
              </w:rPr>
              <w:t>银行授信证明的，得</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分。</w:t>
            </w:r>
          </w:p>
          <w:p w14:paraId="7DDC58BB">
            <w:pPr>
              <w:widowControl w:val="0"/>
              <w:spacing w:line="360" w:lineRule="auto"/>
              <w:jc w:val="both"/>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提供投标人基本账户在本项目招标公告发布之日起至投标截止时间期间出现过至少连续3日不少于</w:t>
            </w:r>
            <w:r>
              <w:rPr>
                <w:rFonts w:hint="eastAsia" w:ascii="宋体" w:hAnsi="宋体" w:eastAsia="宋体" w:cs="宋体"/>
                <w:color w:val="auto"/>
                <w:sz w:val="24"/>
                <w:szCs w:val="24"/>
                <w:highlight w:val="none"/>
                <w:u w:val="single"/>
                <w:lang w:val="en-US" w:eastAsia="zh-CN"/>
              </w:rPr>
              <w:t>50</w:t>
            </w:r>
            <w:r>
              <w:rPr>
                <w:rFonts w:hint="eastAsia" w:hAnsi="宋体" w:cs="宋体"/>
                <w:color w:val="auto"/>
                <w:sz w:val="24"/>
                <w:szCs w:val="24"/>
                <w:highlight w:val="none"/>
                <w:u w:val="single"/>
                <w:lang w:val="en-US" w:eastAsia="zh-CN"/>
              </w:rPr>
              <w:t>万</w:t>
            </w:r>
            <w:r>
              <w:rPr>
                <w:rFonts w:hint="eastAsia" w:ascii="宋体" w:hAnsi="宋体" w:eastAsia="宋体" w:cs="宋体"/>
                <w:color w:val="auto"/>
                <w:sz w:val="24"/>
                <w:szCs w:val="24"/>
                <w:highlight w:val="none"/>
                <w:u w:val="single"/>
              </w:rPr>
              <w:t>元</w:t>
            </w:r>
            <w:r>
              <w:rPr>
                <w:rFonts w:hint="eastAsia" w:ascii="宋体" w:hAnsi="宋体" w:eastAsia="宋体" w:cs="宋体"/>
                <w:color w:val="auto"/>
                <w:sz w:val="24"/>
                <w:szCs w:val="24"/>
                <w:highlight w:val="none"/>
              </w:rPr>
              <w:t>存款余额资金流水</w:t>
            </w:r>
            <w:r>
              <w:rPr>
                <w:rFonts w:hint="eastAsia" w:ascii="宋体" w:hAnsi="宋体" w:eastAsia="宋体" w:cs="宋体"/>
                <w:color w:val="auto"/>
                <w:sz w:val="24"/>
                <w:szCs w:val="24"/>
              </w:rPr>
              <w:t>证明的，得</w:t>
            </w:r>
            <w:r>
              <w:rPr>
                <w:rFonts w:hint="eastAsia" w:ascii="宋体" w:hAnsi="宋体" w:eastAsia="宋体" w:cs="宋体"/>
                <w:color w:val="auto"/>
                <w:sz w:val="24"/>
                <w:szCs w:val="24"/>
                <w:u w:val="single"/>
              </w:rPr>
              <w:t>5</w:t>
            </w:r>
            <w:r>
              <w:rPr>
                <w:rFonts w:hint="eastAsia" w:ascii="宋体" w:hAnsi="宋体" w:eastAsia="宋体" w:cs="宋体"/>
                <w:color w:val="auto"/>
                <w:sz w:val="24"/>
                <w:szCs w:val="24"/>
              </w:rPr>
              <w:t>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2B5659A2">
            <w:pPr>
              <w:widowControl w:val="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需附在有效期内的有关证明</w:t>
            </w:r>
            <w:r>
              <w:rPr>
                <w:rFonts w:hint="eastAsia" w:ascii="宋体" w:hAnsi="宋体" w:eastAsia="宋体" w:cs="宋体"/>
                <w:color w:val="auto"/>
                <w:sz w:val="24"/>
                <w:szCs w:val="24"/>
                <w:lang w:eastAsia="zh-CN"/>
              </w:rPr>
              <w:t>电子</w:t>
            </w:r>
            <w:r>
              <w:rPr>
                <w:rFonts w:hint="eastAsia" w:ascii="宋体" w:hAnsi="宋体" w:eastAsia="宋体" w:cs="宋体"/>
                <w:color w:val="auto"/>
                <w:sz w:val="24"/>
                <w:szCs w:val="24"/>
              </w:rPr>
              <w:t>扫描件</w:t>
            </w:r>
            <w:r>
              <w:rPr>
                <w:rFonts w:hint="eastAsia" w:ascii="宋体" w:hAnsi="宋体" w:eastAsia="宋体" w:cs="宋体"/>
                <w:color w:val="auto"/>
                <w:sz w:val="24"/>
                <w:szCs w:val="24"/>
                <w:lang w:eastAsia="zh-CN"/>
              </w:rPr>
              <w:t>。</w:t>
            </w:r>
          </w:p>
          <w:p w14:paraId="65162F7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银行授信证明有以下情形之一的，视为无效，不予计分：</w:t>
            </w:r>
          </w:p>
          <w:p w14:paraId="24DB276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①授信证明不在有效期内的；</w:t>
            </w:r>
          </w:p>
          <w:p w14:paraId="7F7B772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②授信额度不符合要求的；</w:t>
            </w:r>
          </w:p>
          <w:p w14:paraId="195630F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存款余额资金流水证明有以下情形之一的，视为无效，不予计分：</w:t>
            </w:r>
          </w:p>
          <w:p w14:paraId="43BAC1A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①存款账户不是基本账户的；</w:t>
            </w:r>
          </w:p>
          <w:p w14:paraId="7326B6A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②存款时间不符合要求的；</w:t>
            </w:r>
          </w:p>
          <w:p w14:paraId="4F883A6B">
            <w:pPr>
              <w:widowControl w:val="0"/>
              <w:spacing w:line="360" w:lineRule="auto"/>
              <w:jc w:val="both"/>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color w:val="auto"/>
                <w:sz w:val="24"/>
                <w:szCs w:val="24"/>
              </w:rPr>
              <w:t>③存款额度不符合要求的。</w:t>
            </w:r>
          </w:p>
        </w:tc>
      </w:tr>
      <w:tr w14:paraId="20DE2D53">
        <w:tblPrEx>
          <w:tblCellMar>
            <w:top w:w="0" w:type="dxa"/>
            <w:left w:w="108" w:type="dxa"/>
            <w:bottom w:w="0" w:type="dxa"/>
            <w:right w:w="108" w:type="dxa"/>
          </w:tblCellMar>
        </w:tblPrEx>
        <w:trPr>
          <w:trHeight w:val="1210" w:hRule="atLeast"/>
          <w:jc w:val="center"/>
        </w:trPr>
        <w:tc>
          <w:tcPr>
            <w:tcW w:w="1230" w:type="dxa"/>
            <w:vMerge w:val="restart"/>
            <w:tcBorders>
              <w:left w:val="single" w:color="auto" w:sz="4" w:space="0"/>
              <w:right w:val="single" w:color="auto" w:sz="4" w:space="0"/>
            </w:tcBorders>
            <w:noWrap w:val="0"/>
            <w:vAlign w:val="center"/>
          </w:tcPr>
          <w:p w14:paraId="1C80C5B3">
            <w:pPr>
              <w:pStyle w:val="60"/>
              <w:wordWrap w:val="0"/>
              <w:adjustRightInd w:val="0"/>
              <w:snapToGrid w:val="0"/>
              <w:spacing w:line="240" w:lineRule="auto"/>
              <w:jc w:val="center"/>
              <w:rPr>
                <w:rFonts w:hint="default"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招标人自选项</w:t>
            </w:r>
            <w:r>
              <w:rPr>
                <w:rFonts w:hint="eastAsia" w:ascii="宋体" w:hAnsi="宋体" w:eastAsia="宋体" w:cs="宋体"/>
                <w:b w:val="0"/>
                <w:bCs w:val="0"/>
                <w:color w:val="auto"/>
                <w:kern w:val="0"/>
                <w:sz w:val="24"/>
                <w:szCs w:val="24"/>
                <w:highlight w:val="none"/>
                <w:lang w:val="en-US" w:eastAsia="zh-CN" w:bidi="ar"/>
              </w:rPr>
              <w:t>（20分）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237D486">
            <w:pPr>
              <w:pStyle w:val="5"/>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left="0" w:leftChars="0" w:firstLine="0" w:firstLineChars="0"/>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1.企业近5年来（2020年1月1日至今）获得过省级或以上商业联合会颁发的诚信兴商企业证书的得2分，连续2年获得过的得4分；连续3年以上（含3年）获得过的,得8分，本项最高得8分。</w:t>
            </w:r>
          </w:p>
          <w:p w14:paraId="3968BB64">
            <w:pPr>
              <w:pStyle w:val="5"/>
              <w:pageBreakBefore w:val="0"/>
              <w:widowControl w:val="0"/>
              <w:numPr>
                <w:ilvl w:val="0"/>
                <w:numId w:val="0"/>
              </w:numPr>
              <w:kinsoku/>
              <w:wordWrap/>
              <w:overflowPunct/>
              <w:topLinePunct w:val="0"/>
              <w:autoSpaceDE/>
              <w:autoSpaceDN/>
              <w:bidi w:val="0"/>
              <w:adjustRightInd w:val="0"/>
              <w:snapToGrid w:val="0"/>
              <w:spacing w:before="0" w:beforeLines="0" w:after="0" w:afterLines="0" w:line="360" w:lineRule="auto"/>
              <w:ind w:left="0" w:leftChars="0" w:firstLine="0" w:firstLineChars="0"/>
              <w:textAlignment w:val="auto"/>
              <w:rPr>
                <w:rFonts w:hint="default" w:hAnsi="宋体" w:eastAsia="宋体" w:cs="宋体"/>
                <w:b w:val="0"/>
                <w:bCs w:val="0"/>
                <w:color w:val="0000FF"/>
                <w:kern w:val="0"/>
                <w:sz w:val="24"/>
                <w:szCs w:val="24"/>
                <w:highlight w:val="none"/>
                <w:lang w:val="en-US" w:eastAsia="zh-CN" w:bidi="ar"/>
              </w:rPr>
            </w:pPr>
            <w:r>
              <w:rPr>
                <w:rFonts w:hint="eastAsia" w:ascii="宋体" w:hAnsi="宋体" w:eastAsia="宋体" w:cs="宋体"/>
                <w:color w:val="0000FF"/>
                <w:kern w:val="2"/>
                <w:sz w:val="24"/>
                <w:szCs w:val="24"/>
                <w:lang w:val="en-US" w:eastAsia="zh-CN" w:bidi="ar-SA"/>
              </w:rPr>
              <w:t>2.</w:t>
            </w:r>
            <w:r>
              <w:rPr>
                <w:rFonts w:hint="eastAsia" w:ascii="宋体" w:hAnsi="宋体" w:eastAsia="宋体" w:cs="宋体"/>
                <w:color w:val="0000FF"/>
                <w:sz w:val="24"/>
                <w:szCs w:val="24"/>
                <w:lang w:val="en-US" w:eastAsia="zh-CN"/>
              </w:rPr>
              <w:t>其他情形的，不予计分。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590792A4">
            <w:pPr>
              <w:widowControl w:val="0"/>
              <w:numPr>
                <w:ilvl w:val="0"/>
                <w:numId w:val="3"/>
              </w:numPr>
              <w:spacing w:line="360" w:lineRule="auto"/>
              <w:jc w:val="both"/>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证书由省级或以上商业联合会（需经民政局备案）</w:t>
            </w:r>
            <w:r>
              <w:rPr>
                <w:rFonts w:hint="eastAsia" w:ascii="宋体" w:hAnsi="宋体" w:eastAsia="宋体" w:cs="宋体"/>
                <w:color w:val="FF0000"/>
                <w:sz w:val="24"/>
                <w:szCs w:val="24"/>
                <w:highlight w:val="none"/>
              </w:rPr>
              <w:t>在本项目招标公告发布之日</w:t>
            </w:r>
            <w:r>
              <w:rPr>
                <w:rFonts w:hint="eastAsia" w:hAnsi="宋体" w:cs="宋体"/>
                <w:color w:val="FF0000"/>
                <w:sz w:val="24"/>
                <w:szCs w:val="24"/>
                <w:highlight w:val="none"/>
                <w:lang w:val="en-US" w:eastAsia="zh-CN"/>
              </w:rPr>
              <w:t>前</w:t>
            </w:r>
            <w:r>
              <w:rPr>
                <w:rFonts w:hint="eastAsia" w:ascii="宋体" w:hAnsi="宋体" w:eastAsia="宋体" w:cs="宋体"/>
                <w:color w:val="0000FF"/>
                <w:sz w:val="24"/>
                <w:szCs w:val="24"/>
                <w:highlight w:val="none"/>
                <w:lang w:val="en-US" w:eastAsia="zh-CN"/>
              </w:rPr>
              <w:t>颁发，须提供有关证书彩色扫描件</w:t>
            </w:r>
            <w:r>
              <w:rPr>
                <w:rFonts w:hint="eastAsia" w:ascii="宋体" w:hAnsi="宋体" w:eastAsia="宋体" w:cs="宋体"/>
                <w:b/>
                <w:bCs/>
                <w:color w:val="0000FF"/>
                <w:sz w:val="24"/>
                <w:szCs w:val="24"/>
                <w:lang w:eastAsia="zh-CN"/>
              </w:rPr>
              <w:t>同时提供原件供核对（证书为电子证书的除外）</w:t>
            </w:r>
            <w:r>
              <w:rPr>
                <w:rFonts w:hint="eastAsia" w:ascii="宋体" w:hAnsi="宋体" w:eastAsia="宋体" w:cs="宋体"/>
                <w:color w:val="0000FF"/>
                <w:sz w:val="24"/>
                <w:szCs w:val="24"/>
                <w:highlight w:val="none"/>
                <w:lang w:val="en-US" w:eastAsia="zh-CN"/>
              </w:rPr>
              <w:t>。</w:t>
            </w:r>
          </w:p>
          <w:p w14:paraId="6D1451F5">
            <w:pPr>
              <w:widowControl w:val="0"/>
              <w:numPr>
                <w:ilvl w:val="0"/>
                <w:numId w:val="3"/>
              </w:numPr>
              <w:spacing w:line="360" w:lineRule="auto"/>
              <w:jc w:val="both"/>
              <w:rPr>
                <w:rFonts w:hint="default" w:hAnsi="宋体" w:eastAsia="宋体" w:cs="宋体"/>
                <w:b w:val="0"/>
                <w:bCs w:val="0"/>
                <w:color w:val="0000FF"/>
                <w:kern w:val="0"/>
                <w:sz w:val="24"/>
                <w:szCs w:val="24"/>
                <w:highlight w:val="none"/>
                <w:lang w:val="en-US" w:eastAsia="zh-CN" w:bidi="ar"/>
              </w:rPr>
            </w:pPr>
            <w:r>
              <w:rPr>
                <w:rFonts w:hint="eastAsia" w:ascii="宋体" w:hAnsi="宋体" w:eastAsia="宋体" w:cs="宋体"/>
                <w:color w:val="0000FF"/>
                <w:sz w:val="24"/>
                <w:szCs w:val="24"/>
                <w:highlight w:val="none"/>
                <w:lang w:val="en-US" w:eastAsia="zh-CN"/>
              </w:rPr>
              <w:t>未提供原件的，颁发机构不符合要求的，按第2项标准处理。</w:t>
            </w:r>
          </w:p>
        </w:tc>
      </w:tr>
      <w:tr w14:paraId="07A311FD">
        <w:tblPrEx>
          <w:tblCellMar>
            <w:top w:w="0" w:type="dxa"/>
            <w:left w:w="108" w:type="dxa"/>
            <w:bottom w:w="0" w:type="dxa"/>
            <w:right w:w="108" w:type="dxa"/>
          </w:tblCellMar>
        </w:tblPrEx>
        <w:trPr>
          <w:trHeight w:val="2351" w:hRule="atLeast"/>
          <w:jc w:val="center"/>
        </w:trPr>
        <w:tc>
          <w:tcPr>
            <w:tcW w:w="1230" w:type="dxa"/>
            <w:vMerge w:val="continue"/>
            <w:tcBorders>
              <w:left w:val="single" w:color="auto" w:sz="4" w:space="0"/>
              <w:right w:val="single" w:color="auto" w:sz="4" w:space="0"/>
            </w:tcBorders>
            <w:noWrap w:val="0"/>
            <w:vAlign w:val="center"/>
          </w:tcPr>
          <w:p w14:paraId="3D3AA729">
            <w:pPr>
              <w:pStyle w:val="60"/>
              <w:wordWrap w:val="0"/>
              <w:adjustRightInd w:val="0"/>
              <w:snapToGrid w:val="0"/>
              <w:spacing w:line="240" w:lineRule="auto"/>
              <w:jc w:val="center"/>
              <w:rPr>
                <w:rFonts w:hint="default" w:ascii="宋体" w:hAnsi="宋体" w:eastAsia="宋体" w:cs="宋体"/>
                <w:b w:val="0"/>
                <w:bCs w:val="0"/>
                <w:snapToGrid w:val="0"/>
                <w:color w:val="auto"/>
                <w:kern w:val="0"/>
                <w:sz w:val="24"/>
                <w:szCs w:val="24"/>
                <w:highlight w:val="none"/>
                <w:lang w:val="en-US" w:eastAsia="zh-CN" w:bidi="ar-SA"/>
              </w:rPr>
            </w:pP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25B30E3">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both"/>
              <w:rPr>
                <w:color w:val="0000FF"/>
                <w:sz w:val="24"/>
                <w:szCs w:val="24"/>
              </w:rPr>
            </w:pPr>
            <w:r>
              <w:rPr>
                <w:rFonts w:hint="eastAsia" w:ascii="宋体" w:hAnsi="宋体" w:eastAsia="宋体" w:cs="宋体"/>
                <w:color w:val="0000FF"/>
                <w:kern w:val="2"/>
                <w:sz w:val="24"/>
                <w:szCs w:val="24"/>
                <w:lang w:val="en-US" w:eastAsia="zh-CN" w:bidi="ar-SA"/>
              </w:rPr>
              <w:t>1.</w:t>
            </w:r>
            <w:r>
              <w:rPr>
                <w:rFonts w:hint="eastAsia" w:ascii="宋体" w:hAnsi="宋体" w:eastAsia="宋体" w:cs="宋体"/>
                <w:color w:val="0000FF"/>
                <w:sz w:val="24"/>
                <w:szCs w:val="24"/>
                <w:highlight w:val="none"/>
                <w:lang w:val="en-US" w:eastAsia="zh-CN"/>
              </w:rPr>
              <w:t>企业近</w:t>
            </w:r>
            <w:r>
              <w:rPr>
                <w:rFonts w:hint="eastAsia" w:ascii="宋体" w:hAnsi="宋体" w:eastAsia="宋体" w:cs="宋体"/>
                <w:color w:val="0000FF"/>
                <w:sz w:val="24"/>
                <w:szCs w:val="24"/>
                <w:highlight w:val="none"/>
                <w:u w:val="none"/>
                <w:lang w:val="en-US" w:eastAsia="zh-CN"/>
              </w:rPr>
              <w:t>5</w:t>
            </w:r>
            <w:r>
              <w:rPr>
                <w:rFonts w:hint="eastAsia" w:ascii="宋体" w:hAnsi="宋体" w:eastAsia="宋体" w:cs="宋体"/>
                <w:color w:val="0000FF"/>
                <w:sz w:val="24"/>
                <w:szCs w:val="24"/>
                <w:highlight w:val="none"/>
                <w:lang w:val="en-US" w:eastAsia="zh-CN"/>
              </w:rPr>
              <w:t>年度</w:t>
            </w:r>
            <w:r>
              <w:rPr>
                <w:rFonts w:hint="eastAsia" w:ascii="宋体" w:hAnsi="宋体" w:eastAsia="宋体" w:cs="宋体"/>
                <w:color w:val="0000FF"/>
                <w:sz w:val="24"/>
                <w:szCs w:val="24"/>
              </w:rPr>
              <w:t>（</w:t>
            </w:r>
            <w:r>
              <w:rPr>
                <w:rFonts w:hint="eastAsia" w:ascii="宋体" w:hAnsi="宋体" w:eastAsia="宋体" w:cs="宋体"/>
                <w:color w:val="0000FF"/>
                <w:sz w:val="24"/>
                <w:szCs w:val="24"/>
                <w:lang w:val="en-US" w:eastAsia="zh-CN"/>
              </w:rPr>
              <w:t>2020</w:t>
            </w:r>
            <w:r>
              <w:rPr>
                <w:rFonts w:hint="eastAsia" w:ascii="宋体" w:hAnsi="宋体" w:eastAsia="宋体" w:cs="宋体"/>
                <w:color w:val="0000FF"/>
                <w:sz w:val="24"/>
                <w:szCs w:val="24"/>
              </w:rPr>
              <w:t>年</w:t>
            </w:r>
            <w:r>
              <w:rPr>
                <w:rFonts w:hint="eastAsia" w:ascii="宋体" w:hAnsi="宋体" w:eastAsia="宋体" w:cs="宋体"/>
                <w:color w:val="0000FF"/>
                <w:sz w:val="24"/>
                <w:szCs w:val="24"/>
                <w:lang w:val="en-US" w:eastAsia="zh-CN"/>
              </w:rPr>
              <w:t>1</w:t>
            </w:r>
            <w:r>
              <w:rPr>
                <w:rFonts w:hint="eastAsia" w:ascii="宋体" w:hAnsi="宋体" w:eastAsia="宋体" w:cs="宋体"/>
                <w:color w:val="0000FF"/>
                <w:sz w:val="24"/>
                <w:szCs w:val="24"/>
              </w:rPr>
              <w:t>月1日</w:t>
            </w:r>
            <w:r>
              <w:rPr>
                <w:rFonts w:hint="eastAsia" w:ascii="宋体" w:hAnsi="宋体" w:eastAsia="宋体" w:cs="宋体"/>
                <w:color w:val="0000FF"/>
                <w:sz w:val="24"/>
                <w:szCs w:val="24"/>
                <w:lang w:eastAsia="zh-CN"/>
              </w:rPr>
              <w:t>至今</w:t>
            </w:r>
            <w:r>
              <w:rPr>
                <w:rFonts w:hint="eastAsia" w:ascii="宋体" w:hAnsi="宋体" w:eastAsia="宋体" w:cs="宋体"/>
                <w:color w:val="0000FF"/>
                <w:sz w:val="24"/>
                <w:szCs w:val="24"/>
              </w:rPr>
              <w:t>）获得过行政部门颁发的城市“绿美”荣誉证书的得</w:t>
            </w:r>
            <w:r>
              <w:rPr>
                <w:rFonts w:hint="eastAsia" w:hAnsi="宋体" w:cs="宋体"/>
                <w:color w:val="0000FF"/>
                <w:sz w:val="24"/>
                <w:szCs w:val="24"/>
                <w:lang w:val="en-US" w:eastAsia="zh-CN"/>
              </w:rPr>
              <w:t>7</w:t>
            </w:r>
            <w:r>
              <w:rPr>
                <w:rFonts w:hint="eastAsia" w:ascii="宋体" w:hAnsi="宋体" w:eastAsia="宋体" w:cs="宋体"/>
                <w:color w:val="0000FF"/>
                <w:sz w:val="24"/>
                <w:szCs w:val="24"/>
              </w:rPr>
              <w:t>分；</w:t>
            </w:r>
          </w:p>
          <w:p w14:paraId="52B95946">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color w:val="0000FF"/>
                <w:sz w:val="24"/>
                <w:szCs w:val="24"/>
                <w:lang w:val="en-US" w:eastAsia="zh-CN"/>
              </w:rPr>
            </w:pPr>
            <w:r>
              <w:rPr>
                <w:rFonts w:hint="eastAsia" w:ascii="宋体" w:hAnsi="宋体" w:eastAsia="宋体" w:cs="宋体"/>
                <w:color w:val="0000FF"/>
                <w:sz w:val="24"/>
                <w:szCs w:val="24"/>
              </w:rPr>
              <w:t>2.其他情形的不予计分。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51DCCDA2">
            <w:pPr>
              <w:pStyle w:val="3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120" w:afterAutospacing="0" w:line="360" w:lineRule="auto"/>
              <w:ind w:left="0" w:leftChars="0" w:right="0" w:rightChars="0"/>
              <w:jc w:val="both"/>
              <w:rPr>
                <w:rFonts w:hint="default" w:ascii="宋体" w:hAnsi="宋体" w:eastAsia="宋体" w:cs="宋体"/>
                <w:b w:val="0"/>
                <w:bCs w:val="0"/>
                <w:color w:val="0000FF"/>
                <w:kern w:val="0"/>
                <w:sz w:val="24"/>
                <w:szCs w:val="24"/>
                <w:highlight w:val="none"/>
                <w:lang w:val="en-US" w:eastAsia="zh-CN" w:bidi="ar"/>
              </w:rPr>
            </w:pPr>
            <w:r>
              <w:rPr>
                <w:rFonts w:hint="eastAsia" w:ascii="宋体" w:hAnsi="宋体" w:eastAsia="宋体" w:cs="宋体"/>
                <w:color w:val="0000FF"/>
                <w:sz w:val="24"/>
                <w:szCs w:val="24"/>
              </w:rPr>
              <w:t>1.证书由市级或以上行政部门颁发，须提供有关证书彩色扫描件，同时提供原件核对。</w:t>
            </w:r>
          </w:p>
        </w:tc>
      </w:tr>
      <w:tr w14:paraId="5949A1D6">
        <w:tblPrEx>
          <w:tblCellMar>
            <w:top w:w="0" w:type="dxa"/>
            <w:left w:w="108" w:type="dxa"/>
            <w:bottom w:w="0" w:type="dxa"/>
            <w:right w:w="108" w:type="dxa"/>
          </w:tblCellMar>
        </w:tblPrEx>
        <w:trPr>
          <w:trHeight w:val="2417" w:hRule="atLeast"/>
          <w:jc w:val="center"/>
        </w:trPr>
        <w:tc>
          <w:tcPr>
            <w:tcW w:w="1230" w:type="dxa"/>
            <w:vMerge w:val="continue"/>
            <w:tcBorders>
              <w:left w:val="single" w:color="auto" w:sz="4" w:space="0"/>
              <w:right w:val="single" w:color="auto" w:sz="4" w:space="0"/>
            </w:tcBorders>
            <w:noWrap w:val="0"/>
            <w:vAlign w:val="center"/>
          </w:tcPr>
          <w:p w14:paraId="7D854CFF">
            <w:pPr>
              <w:pStyle w:val="60"/>
              <w:wordWrap w:val="0"/>
              <w:adjustRightInd w:val="0"/>
              <w:snapToGrid w:val="0"/>
              <w:spacing w:line="240" w:lineRule="auto"/>
              <w:jc w:val="center"/>
              <w:rPr>
                <w:rFonts w:hint="default" w:ascii="宋体" w:hAnsi="宋体" w:eastAsia="宋体" w:cs="宋体"/>
                <w:b w:val="0"/>
                <w:bCs w:val="0"/>
                <w:snapToGrid w:val="0"/>
                <w:color w:val="auto"/>
                <w:kern w:val="0"/>
                <w:sz w:val="24"/>
                <w:szCs w:val="24"/>
                <w:highlight w:val="none"/>
                <w:lang w:val="en-US" w:eastAsia="zh-CN" w:bidi="ar-SA"/>
              </w:rPr>
            </w:pPr>
          </w:p>
        </w:tc>
        <w:tc>
          <w:tcPr>
            <w:tcW w:w="40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494CF1">
            <w:pPr>
              <w:numPr>
                <w:ilvl w:val="0"/>
                <w:numId w:val="0"/>
              </w:numPr>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1.近5年来（2020年1月1日至今）投标人未发生事故等级为一般事故及以上的生产安全事故、一般质量事故及以上的工程质量事故的，得5分；</w:t>
            </w:r>
          </w:p>
          <w:p w14:paraId="5EC8BAB7">
            <w:pPr>
              <w:numPr>
                <w:ilvl w:val="0"/>
                <w:numId w:val="0"/>
              </w:numPr>
              <w:ind w:left="0" w:leftChars="0" w:firstLine="0" w:firstLineChars="0"/>
              <w:rPr>
                <w:rFonts w:hint="eastAsia" w:ascii="宋体" w:hAnsi="宋体" w:eastAsia="宋体" w:cs="宋体"/>
                <w:b w:val="0"/>
                <w:bCs w:val="0"/>
                <w:color w:val="0000FF"/>
                <w:kern w:val="0"/>
                <w:sz w:val="24"/>
                <w:szCs w:val="24"/>
                <w:highlight w:val="none"/>
                <w:lang w:val="en-US" w:eastAsia="zh-CN" w:bidi="ar"/>
              </w:rPr>
            </w:pPr>
            <w:r>
              <w:rPr>
                <w:rFonts w:hint="eastAsia" w:ascii="宋体" w:hAnsi="宋体" w:eastAsia="宋体" w:cs="宋体"/>
                <w:color w:val="0000FF"/>
                <w:sz w:val="24"/>
                <w:szCs w:val="24"/>
                <w:highlight w:val="none"/>
                <w:lang w:val="en-US" w:eastAsia="zh-CN"/>
              </w:rPr>
              <w:t>2.其他情形的，不子计分。</w:t>
            </w:r>
          </w:p>
        </w:tc>
        <w:tc>
          <w:tcPr>
            <w:tcW w:w="4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942FF8">
            <w:pPr>
              <w:rPr>
                <w:rFonts w:hint="eastAsia" w:ascii="宋体" w:hAnsi="宋体" w:eastAsia="宋体" w:cs="宋体"/>
                <w:b w:val="0"/>
                <w:bCs w:val="0"/>
                <w:color w:val="0000FF"/>
                <w:kern w:val="0"/>
                <w:sz w:val="24"/>
                <w:szCs w:val="24"/>
                <w:highlight w:val="none"/>
                <w:lang w:val="en-US" w:eastAsia="zh-CN" w:bidi="ar"/>
              </w:rPr>
            </w:pPr>
            <w:r>
              <w:rPr>
                <w:rFonts w:hint="eastAsia"/>
                <w:color w:val="0000FF"/>
              </w:rPr>
              <w:t>需提供本单位承诺书(格式自定)并加盖本单位公章。未提供本单位承诺书并加盖本单位公章的，按第2项标准处理。</w:t>
            </w:r>
          </w:p>
        </w:tc>
      </w:tr>
      <w:tr w14:paraId="12AC7D51">
        <w:tblPrEx>
          <w:tblCellMar>
            <w:top w:w="0" w:type="dxa"/>
            <w:left w:w="108" w:type="dxa"/>
            <w:bottom w:w="0" w:type="dxa"/>
            <w:right w:w="108" w:type="dxa"/>
          </w:tblCellMar>
        </w:tblPrEx>
        <w:trPr>
          <w:trHeight w:val="657" w:hRule="exact"/>
          <w:jc w:val="center"/>
        </w:trPr>
        <w:tc>
          <w:tcPr>
            <w:tcW w:w="9892" w:type="dxa"/>
            <w:gridSpan w:val="3"/>
            <w:tcBorders>
              <w:top w:val="single" w:color="auto" w:sz="4" w:space="0"/>
              <w:left w:val="single" w:color="auto" w:sz="4" w:space="0"/>
              <w:bottom w:val="single" w:color="auto" w:sz="4" w:space="0"/>
              <w:right w:val="single" w:color="auto" w:sz="4" w:space="0"/>
            </w:tcBorders>
            <w:shd w:val="clear" w:color="auto" w:fill="F1F1F1"/>
            <w:noWrap w:val="0"/>
            <w:vAlign w:val="center"/>
          </w:tcPr>
          <w:p w14:paraId="51B3A3FC">
            <w:pPr>
              <w:pStyle w:val="11"/>
              <w:wordWrap w:val="0"/>
              <w:adjustRightInd w:val="0"/>
              <w:snapToGrid w:val="0"/>
              <w:spacing w:after="0" w:line="24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rPr>
              <w:t>分。</w:t>
            </w:r>
          </w:p>
        </w:tc>
      </w:tr>
      <w:tr w14:paraId="2033B83F">
        <w:tblPrEx>
          <w:tblCellMar>
            <w:top w:w="0" w:type="dxa"/>
            <w:left w:w="108" w:type="dxa"/>
            <w:bottom w:w="0" w:type="dxa"/>
            <w:right w:w="108" w:type="dxa"/>
          </w:tblCellMar>
        </w:tblPrEx>
        <w:trPr>
          <w:trHeight w:val="481" w:hRule="exac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764F914C">
            <w:pPr>
              <w:pStyle w:val="11"/>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评分因素</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9B893D7">
            <w:pPr>
              <w:pStyle w:val="11"/>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评分标准</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3168AD51">
            <w:pPr>
              <w:pStyle w:val="11"/>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备注</w:t>
            </w:r>
          </w:p>
        </w:tc>
      </w:tr>
      <w:tr w14:paraId="17073298">
        <w:tblPrEx>
          <w:tblCellMar>
            <w:top w:w="0" w:type="dxa"/>
            <w:left w:w="108" w:type="dxa"/>
            <w:bottom w:w="0" w:type="dxa"/>
            <w:right w:w="108" w:type="dxa"/>
          </w:tblCellMar>
        </w:tblPrEx>
        <w:trPr>
          <w:trHeight w:val="1498"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1F10BFD5">
            <w:pPr>
              <w:pStyle w:val="120"/>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总体概述</w:t>
            </w:r>
          </w:p>
          <w:p w14:paraId="3E8CA3DA">
            <w:pPr>
              <w:pStyle w:val="11"/>
              <w:widowControl w:val="0"/>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（3分）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02152FEB">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1497DC03">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115F8200">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7FC466A2">
            <w:pPr>
              <w:pStyle w:val="11"/>
              <w:widowControl w:val="0"/>
              <w:wordWrap w:val="0"/>
              <w:adjustRightInd w:val="0"/>
              <w:snapToGrid w:val="0"/>
              <w:spacing w:line="360" w:lineRule="auto"/>
              <w:jc w:val="lef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551A9274">
            <w:pPr>
              <w:pStyle w:val="11"/>
              <w:widowControl w:val="0"/>
              <w:wordWrap w:val="0"/>
              <w:adjustRightInd w:val="0"/>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【优】对项目总体有深刻认识，表述清晰、完整、严谨、合理，措施先进、具体、有效、成熟，采用了新技术、新工艺、新材料、新设备；施工段划分呼应总体表述，划分清晰、合理，符合规范要求。</w:t>
            </w:r>
          </w:p>
          <w:p w14:paraId="41EA4853">
            <w:pPr>
              <w:pStyle w:val="11"/>
              <w:widowControl w:val="0"/>
              <w:wordWrap w:val="0"/>
              <w:adjustRightInd w:val="0"/>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【良】对项目总体有一定认识，表述清晰、完整，措施具体有效；施工段划分呼应总体表述，划分清晰，符合规范要求。</w:t>
            </w:r>
          </w:p>
          <w:p w14:paraId="4387AC14">
            <w:pPr>
              <w:pStyle w:val="11"/>
              <w:widowControl w:val="0"/>
              <w:wordWrap w:val="0"/>
              <w:adjustRightInd w:val="0"/>
              <w:snapToGri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【中】对项目总体有认识，有一定的措施但部分不具体；施工段划分较合理，符合规范要求。</w:t>
            </w:r>
          </w:p>
          <w:p w14:paraId="2C88DF34">
            <w:pPr>
              <w:pStyle w:val="11"/>
              <w:widowControl w:val="0"/>
              <w:wordWrap w:val="0"/>
              <w:adjustRightInd w:val="0"/>
              <w:snapToGrid w:val="0"/>
              <w:spacing w:line="360" w:lineRule="auto"/>
              <w:jc w:val="lef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【差】对项目认识不足，表述不清晰，措施不具体；施工段划分不合理。</w:t>
            </w:r>
          </w:p>
        </w:tc>
      </w:tr>
      <w:tr w14:paraId="6E86BCCB">
        <w:tblPrEx>
          <w:tblCellMar>
            <w:top w:w="0" w:type="dxa"/>
            <w:left w:w="108" w:type="dxa"/>
            <w:bottom w:w="0" w:type="dxa"/>
            <w:right w:w="108" w:type="dxa"/>
          </w:tblCellMar>
        </w:tblPrEx>
        <w:trPr>
          <w:trHeight w:val="90"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070C2B60">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施工总进</w:t>
            </w:r>
          </w:p>
          <w:p w14:paraId="7E975D52">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度计划及</w:t>
            </w:r>
          </w:p>
          <w:p w14:paraId="23DF675E">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保证措施</w:t>
            </w:r>
          </w:p>
          <w:p w14:paraId="572F3BDC">
            <w:pPr>
              <w:pStyle w:val="68"/>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（3分）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72E05556">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434225CC">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6F9F0417">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4CB91C6A">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37073412">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3BB145F2">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66C84450">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59FAD2A9">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【差】关键线路不准确，计划编制不合理。关键节点的控制不可行。人、材、机需求和进场计划与进度计划不相呼应，不能满足施工需要。没有违约责任承诺。</w:t>
            </w:r>
          </w:p>
        </w:tc>
      </w:tr>
      <w:tr w14:paraId="107F70A4">
        <w:tblPrEx>
          <w:tblCellMar>
            <w:top w:w="0" w:type="dxa"/>
            <w:left w:w="108" w:type="dxa"/>
            <w:bottom w:w="0" w:type="dxa"/>
            <w:right w:w="108" w:type="dxa"/>
          </w:tblCellMar>
        </w:tblPrEx>
        <w:trPr>
          <w:trHeight w:val="90"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0CB47ECD">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质量</w:t>
            </w:r>
          </w:p>
          <w:p w14:paraId="3589DA17">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保证措施</w:t>
            </w:r>
          </w:p>
          <w:p w14:paraId="65A351E2">
            <w:pPr>
              <w:pStyle w:val="68"/>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（3分）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1A998B80">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426D84D3">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106647B0">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0ABD51D1">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28D6B5F8">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0BF2F586">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6A985DF4">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【中】具体措施可行。满足招标文件的质量要求。投标人企业注册地或分支机构所在地与项目所在地的距离或全资子公司与项目所在地距离300公里内、投标人在相同地质条件业绩情况等相关证明资料。</w:t>
            </w:r>
          </w:p>
          <w:p w14:paraId="24F3C46D">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【差】措施不可行，没有质量违约责任承诺。</w:t>
            </w:r>
          </w:p>
        </w:tc>
      </w:tr>
      <w:tr w14:paraId="6380D96C">
        <w:tblPrEx>
          <w:tblCellMar>
            <w:top w:w="0" w:type="dxa"/>
            <w:left w:w="108" w:type="dxa"/>
            <w:bottom w:w="0" w:type="dxa"/>
            <w:right w:w="108" w:type="dxa"/>
          </w:tblCellMar>
        </w:tblPrEx>
        <w:trPr>
          <w:trHeight w:val="1820"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30A609C3">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施工</w:t>
            </w:r>
          </w:p>
          <w:p w14:paraId="4FEC4C03">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技术措施</w:t>
            </w:r>
          </w:p>
          <w:p w14:paraId="3D04B264">
            <w:pPr>
              <w:pStyle w:val="68"/>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（3分）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3B7A6073">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368B49AA">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55FB48B7">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31D19711">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56AC794E">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01AFAF28">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2F5D0FE9">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53D63E5">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【差】对项目关键技术有表述，对重点、难点有建议，解决方案不可行。采用的新技术针对性不强或验证材料不可靠，对节约投资、工期没有具体收益。无违约责任承诺。</w:t>
            </w:r>
          </w:p>
        </w:tc>
      </w:tr>
      <w:tr w14:paraId="248D3FDC">
        <w:tblPrEx>
          <w:tblCellMar>
            <w:top w:w="0" w:type="dxa"/>
            <w:left w:w="108" w:type="dxa"/>
            <w:bottom w:w="0" w:type="dxa"/>
            <w:right w:w="108" w:type="dxa"/>
          </w:tblCellMar>
        </w:tblPrEx>
        <w:trPr>
          <w:trHeight w:val="2647"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600B77B0">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绿色施工、安全防护、文明施工措施计划</w:t>
            </w:r>
          </w:p>
          <w:p w14:paraId="66696915">
            <w:pPr>
              <w:pStyle w:val="68"/>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（3分）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4A966DE2">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1C56E942">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09A20541">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33555271">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18C2F486">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【优】针对项目实际情况，有先进、具体、完整、可行的措施，采用规范准确、清晰。</w:t>
            </w:r>
          </w:p>
          <w:p w14:paraId="5963ADB7">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【良】针对项目实际情况，有合理的措施且具体、完整，采用规范准确。</w:t>
            </w:r>
          </w:p>
          <w:p w14:paraId="06495EA5">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【中】有基本合理的措施，采用规范准确。</w:t>
            </w:r>
          </w:p>
          <w:p w14:paraId="29327FB1">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【差】措施不力，采用规范不正确。</w:t>
            </w:r>
          </w:p>
        </w:tc>
      </w:tr>
      <w:tr w14:paraId="4248FB4A">
        <w:tblPrEx>
          <w:tblCellMar>
            <w:top w:w="0" w:type="dxa"/>
            <w:left w:w="108" w:type="dxa"/>
            <w:bottom w:w="0" w:type="dxa"/>
            <w:right w:w="108" w:type="dxa"/>
          </w:tblCellMar>
        </w:tblPrEx>
        <w:trPr>
          <w:trHeight w:val="3065"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3A1DAC53">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施工平面</w:t>
            </w:r>
          </w:p>
          <w:p w14:paraId="787996E6">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布置和临时设施布置</w:t>
            </w:r>
          </w:p>
          <w:p w14:paraId="30BD53E2">
            <w:pPr>
              <w:pStyle w:val="68"/>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（2分）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65F12A2D">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5CCC17F7">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20EFE6ED">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4F97F056">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7D5C10C8">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【优】总体布置有针对性、合理，较好满足施工需要，符合绿色施工、安全防护、文明施工要求。</w:t>
            </w:r>
          </w:p>
          <w:p w14:paraId="197146A5">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【良】总体布置合理，能满足施工需要，基本符合绿色施工、安全防护、文明施工要求。</w:t>
            </w:r>
          </w:p>
          <w:p w14:paraId="76118963">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【中】总体布置基本合理，基本满足施工需要。</w:t>
            </w:r>
          </w:p>
          <w:p w14:paraId="49B0049C">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【差】总体布置不合理，不符合绿色施工、安全防护、文明施工要求。</w:t>
            </w:r>
          </w:p>
        </w:tc>
      </w:tr>
      <w:tr w14:paraId="214FB831">
        <w:tblPrEx>
          <w:tblCellMar>
            <w:top w:w="0" w:type="dxa"/>
            <w:left w:w="108" w:type="dxa"/>
            <w:bottom w:w="0" w:type="dxa"/>
            <w:right w:w="108" w:type="dxa"/>
          </w:tblCellMar>
        </w:tblPrEx>
        <w:trPr>
          <w:trHeight w:val="4336"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37A68434">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项目</w:t>
            </w:r>
          </w:p>
          <w:p w14:paraId="7A69B23B">
            <w:pPr>
              <w:pStyle w:val="68"/>
              <w:wordWrap w:val="0"/>
              <w:adjustRightInd w:val="0"/>
              <w:snapToGrid w:val="0"/>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管理机构</w:t>
            </w:r>
          </w:p>
          <w:p w14:paraId="6D436941">
            <w:pPr>
              <w:pStyle w:val="68"/>
              <w:wordWrap w:val="0"/>
              <w:adjustRightInd w:val="0"/>
              <w:snapToGrid w:val="0"/>
              <w:spacing w:line="360" w:lineRule="auto"/>
              <w:jc w:val="center"/>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（3分）</w:t>
            </w:r>
          </w:p>
        </w:tc>
        <w:tc>
          <w:tcPr>
            <w:tcW w:w="4024" w:type="dxa"/>
            <w:tcBorders>
              <w:top w:val="single" w:color="auto" w:sz="4" w:space="0"/>
              <w:left w:val="single" w:color="auto" w:sz="4" w:space="0"/>
              <w:bottom w:val="single" w:color="auto" w:sz="4" w:space="0"/>
              <w:right w:val="single" w:color="auto" w:sz="4" w:space="0"/>
            </w:tcBorders>
            <w:noWrap w:val="0"/>
            <w:vAlign w:val="center"/>
          </w:tcPr>
          <w:p w14:paraId="565F7A48">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【优】得该项因素分的90%～100%（含90%）；</w:t>
            </w:r>
          </w:p>
          <w:p w14:paraId="2281D6AC">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【良】得该项因素分的80%～90%（含80%）；</w:t>
            </w:r>
          </w:p>
          <w:p w14:paraId="728FF4B7">
            <w:pPr>
              <w:pStyle w:val="135"/>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【中】得该项因素分的70%～80%（含70%）；</w:t>
            </w:r>
          </w:p>
          <w:p w14:paraId="7BDE7133">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【差】得该项因素分的60%～70%（含60%）。</w:t>
            </w:r>
          </w:p>
        </w:tc>
        <w:tc>
          <w:tcPr>
            <w:tcW w:w="4638" w:type="dxa"/>
            <w:tcBorders>
              <w:top w:val="single" w:color="auto" w:sz="4" w:space="0"/>
              <w:left w:val="single" w:color="auto" w:sz="4" w:space="0"/>
              <w:bottom w:val="single" w:color="auto" w:sz="4" w:space="0"/>
              <w:right w:val="single" w:color="auto" w:sz="4" w:space="0"/>
            </w:tcBorders>
            <w:noWrap w:val="0"/>
            <w:vAlign w:val="center"/>
          </w:tcPr>
          <w:p w14:paraId="4C22425B">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优】组织机构形式合理，有完善的指挥系统，生产及质量、绿色施工、安全、文明施工、创优达标监控系统、联络协调系统，项目管理人员内高级职称人员20%（含20%）以上、中级职称人员及以上职称60%（含60%）以上。</w:t>
            </w:r>
          </w:p>
          <w:p w14:paraId="437AC2C8">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良】组织机构形式合理，指挥系统，生产及质量、绿色施工、安全、文明施工、创优达标监控系统、联络协调系统齐全，项目管理人员内高级职称人员15%～20%（含15%）、中级职称人员及以上职称50%～60%（含50%）。</w:t>
            </w:r>
          </w:p>
          <w:p w14:paraId="0B8955DA">
            <w:pPr>
              <w:pStyle w:val="117"/>
              <w:wordWrap w:val="0"/>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中】组织机构形式基本合理，有指挥系统，生产及质量、绿色施工、安全、文明施工、创优达标监控系统、联络协调系统，项目管理人员内高级职称人员10%～15%（含10%）、中级职称人员及以上职称40%～50%（含40%）。</w:t>
            </w:r>
          </w:p>
          <w:p w14:paraId="061EB91E">
            <w:pPr>
              <w:pStyle w:val="117"/>
              <w:wordWrap w:val="0"/>
              <w:adjustRightInd w:val="0"/>
              <w:snapToGrid w:val="0"/>
              <w:spacing w:line="36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kern w:val="0"/>
                <w:sz w:val="24"/>
                <w:szCs w:val="24"/>
              </w:rPr>
              <w:t>【差】组织机构形式合理，指挥系统，生产及质量、绿色施工、安全、文明施工、创优达标监控系统、联络协调系统不齐全，项目管理人员内高级职称人员10%以下、中级职称人员及以上职称40%以下。</w:t>
            </w:r>
          </w:p>
        </w:tc>
      </w:tr>
      <w:tr w14:paraId="06A7EF55">
        <w:tblPrEx>
          <w:tblCellMar>
            <w:top w:w="0" w:type="dxa"/>
            <w:left w:w="108" w:type="dxa"/>
            <w:bottom w:w="0" w:type="dxa"/>
            <w:right w:w="108" w:type="dxa"/>
          </w:tblCellMar>
        </w:tblPrEx>
        <w:trPr>
          <w:trHeight w:val="540" w:hRule="exact"/>
          <w:jc w:val="center"/>
        </w:trPr>
        <w:tc>
          <w:tcPr>
            <w:tcW w:w="9892" w:type="dxa"/>
            <w:gridSpan w:val="3"/>
            <w:tcBorders>
              <w:top w:val="single" w:color="auto" w:sz="4" w:space="0"/>
              <w:left w:val="single" w:color="auto" w:sz="4" w:space="0"/>
              <w:bottom w:val="single" w:color="auto" w:sz="4" w:space="0"/>
              <w:right w:val="single" w:color="auto" w:sz="4" w:space="0"/>
            </w:tcBorders>
            <w:shd w:val="clear" w:color="auto" w:fill="F1F1F1"/>
            <w:noWrap w:val="0"/>
            <w:vAlign w:val="center"/>
          </w:tcPr>
          <w:p w14:paraId="49A95997">
            <w:pPr>
              <w:pStyle w:val="117"/>
              <w:wordWrap w:val="0"/>
              <w:adjustRightInd w:val="0"/>
              <w:snapToGrid w:val="0"/>
              <w:spacing w:line="24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lang w:val="en-US" w:eastAsia="zh-CN"/>
              </w:rPr>
              <w:t>100</w:t>
            </w:r>
            <w:r>
              <w:rPr>
                <w:rFonts w:hint="eastAsia" w:ascii="宋体" w:hAnsi="宋体" w:eastAsia="宋体" w:cs="宋体"/>
                <w:b/>
                <w:bCs/>
                <w:snapToGrid w:val="0"/>
                <w:color w:val="auto"/>
                <w:kern w:val="0"/>
                <w:sz w:val="24"/>
                <w:szCs w:val="24"/>
                <w:highlight w:val="none"/>
              </w:rPr>
              <w:t>分。</w:t>
            </w:r>
          </w:p>
        </w:tc>
      </w:tr>
      <w:tr w14:paraId="0B352EB8">
        <w:tblPrEx>
          <w:tblCellMar>
            <w:top w:w="0" w:type="dxa"/>
            <w:left w:w="108" w:type="dxa"/>
            <w:bottom w:w="0" w:type="dxa"/>
            <w:right w:w="108" w:type="dxa"/>
          </w:tblCellMar>
        </w:tblPrEx>
        <w:trPr>
          <w:trHeight w:val="549" w:hRule="exac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6D4900E2">
            <w:pPr>
              <w:pStyle w:val="11"/>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评分事项</w:t>
            </w:r>
          </w:p>
        </w:tc>
        <w:tc>
          <w:tcPr>
            <w:tcW w:w="8662" w:type="dxa"/>
            <w:gridSpan w:val="2"/>
            <w:tcBorders>
              <w:top w:val="single" w:color="auto" w:sz="4" w:space="0"/>
              <w:left w:val="single" w:color="auto" w:sz="4" w:space="0"/>
              <w:bottom w:val="single" w:color="auto" w:sz="4" w:space="0"/>
              <w:right w:val="single" w:color="auto" w:sz="4" w:space="0"/>
            </w:tcBorders>
            <w:noWrap w:val="0"/>
            <w:vAlign w:val="center"/>
          </w:tcPr>
          <w:p w14:paraId="3D02EC6D">
            <w:pPr>
              <w:pStyle w:val="11"/>
              <w:wordWrap w:val="0"/>
              <w:adjustRightInd w:val="0"/>
              <w:snapToGrid w:val="0"/>
              <w:spacing w:after="0"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评分方法</w:t>
            </w:r>
          </w:p>
        </w:tc>
      </w:tr>
      <w:tr w14:paraId="672D08A7">
        <w:tblPrEx>
          <w:tblCellMar>
            <w:top w:w="0" w:type="dxa"/>
            <w:left w:w="108" w:type="dxa"/>
            <w:bottom w:w="0" w:type="dxa"/>
            <w:right w:w="108" w:type="dxa"/>
          </w:tblCellMar>
        </w:tblPrEx>
        <w:trPr>
          <w:trHeight w:val="5647"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30F7B366">
            <w:pPr>
              <w:pStyle w:val="68"/>
              <w:wordWrap w:val="0"/>
              <w:adjustRightInd w:val="0"/>
              <w:snapToGrid w:val="0"/>
              <w:spacing w:line="24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评标基准价D</w:t>
            </w:r>
          </w:p>
        </w:tc>
        <w:tc>
          <w:tcPr>
            <w:tcW w:w="8662" w:type="dxa"/>
            <w:gridSpan w:val="2"/>
            <w:tcBorders>
              <w:top w:val="single" w:color="auto" w:sz="4" w:space="0"/>
              <w:left w:val="single" w:color="auto" w:sz="4" w:space="0"/>
              <w:bottom w:val="single" w:color="auto" w:sz="4" w:space="0"/>
              <w:right w:val="single" w:color="auto" w:sz="4" w:space="0"/>
            </w:tcBorders>
            <w:noWrap w:val="0"/>
            <w:vAlign w:val="center"/>
          </w:tcPr>
          <w:p w14:paraId="6F40BA29">
            <w:pPr>
              <w:keepNext w:val="0"/>
              <w:keepLines w:val="0"/>
              <w:pageBreakBefore w:val="0"/>
              <w:widowControl w:val="0"/>
              <w:numPr>
                <w:ilvl w:val="0"/>
                <w:numId w:val="4"/>
              </w:numPr>
              <w:kinsoku/>
              <w:wordWrap/>
              <w:overflowPunct/>
              <w:topLinePunct w:val="0"/>
              <w:autoSpaceDE/>
              <w:autoSpaceDN/>
              <w:bidi w:val="0"/>
              <w:adjustRightInd/>
              <w:snapToGrid w:val="0"/>
              <w:spacing w:line="288" w:lineRule="auto"/>
              <w:ind w:firstLine="420"/>
              <w:jc w:val="left"/>
              <w:textAlignment w:val="auto"/>
              <w:rPr>
                <w:rFonts w:hint="eastAsia" w:ascii="宋体" w:hAnsi="宋体" w:eastAsia="宋体" w:cs="宋体"/>
                <w:color w:val="auto"/>
                <w:sz w:val="24"/>
                <w:szCs w:val="24"/>
              </w:rPr>
            </w:pPr>
            <w:r>
              <w:rPr>
                <w:rFonts w:hint="eastAsia" w:ascii="宋体" w:hAnsi="宋体" w:eastAsia="宋体" w:cs="宋体"/>
                <w:b w:val="0"/>
                <w:bCs w:val="0"/>
                <w:color w:val="auto"/>
                <w:kern w:val="0"/>
                <w:sz w:val="24"/>
                <w:szCs w:val="24"/>
                <w:highlight w:val="none"/>
              </w:rPr>
              <w:t>确定</w:t>
            </w:r>
            <w:r>
              <w:rPr>
                <w:rFonts w:hint="eastAsia" w:ascii="宋体" w:hAnsi="宋体" w:eastAsia="宋体" w:cs="宋体"/>
                <w:b/>
                <w:bCs/>
                <w:color w:val="auto"/>
                <w:spacing w:val="6"/>
                <w:sz w:val="24"/>
                <w:szCs w:val="24"/>
              </w:rPr>
              <w:t>最高投标限价</w:t>
            </w:r>
            <w:r>
              <w:rPr>
                <w:rFonts w:hint="eastAsia" w:ascii="宋体" w:hAnsi="宋体" w:eastAsia="宋体" w:cs="宋体"/>
                <w:b w:val="0"/>
                <w:bCs w:val="0"/>
                <w:color w:val="auto"/>
                <w:kern w:val="0"/>
                <w:sz w:val="24"/>
                <w:szCs w:val="24"/>
                <w:highlight w:val="none"/>
              </w:rPr>
              <w:t>下浮系数n：用1～21号球分别代表一个下浮系数，由评委代表从这21个号码中随机抽取</w:t>
            </w:r>
            <w:r>
              <w:rPr>
                <w:rFonts w:hint="eastAsia" w:ascii="宋体" w:hAnsi="宋体" w:eastAsia="宋体" w:cs="宋体"/>
                <w:b w:val="0"/>
                <w:bCs w:val="0"/>
                <w:color w:val="auto"/>
                <w:kern w:val="0"/>
                <w:sz w:val="24"/>
                <w:szCs w:val="24"/>
                <w:highlight w:val="none"/>
                <w:u w:val="single"/>
                <w:lang w:val="en-US" w:eastAsia="zh-CN"/>
              </w:rPr>
              <w:t>3</w:t>
            </w:r>
            <w:r>
              <w:rPr>
                <w:rFonts w:hint="eastAsia" w:ascii="宋体" w:hAnsi="宋体" w:eastAsia="宋体" w:cs="宋体"/>
                <w:b w:val="0"/>
                <w:bCs w:val="0"/>
                <w:color w:val="auto"/>
                <w:sz w:val="24"/>
                <w:szCs w:val="24"/>
                <w:highlight w:val="none"/>
              </w:rPr>
              <w:t>次，每次抽取1个号码，抽出的号球不参与下次抽取。所抽取的</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个号码对应下浮系数的算术平均值作为</w:t>
            </w:r>
            <w:r>
              <w:rPr>
                <w:rFonts w:hint="eastAsia" w:ascii="宋体" w:hAnsi="宋体" w:eastAsia="宋体" w:cs="宋体"/>
                <w:b/>
                <w:bCs/>
                <w:color w:val="auto"/>
                <w:spacing w:val="6"/>
                <w:sz w:val="24"/>
                <w:szCs w:val="24"/>
              </w:rPr>
              <w:t>最高投标限价</w:t>
            </w:r>
            <w:r>
              <w:rPr>
                <w:rFonts w:hint="eastAsia" w:ascii="宋体" w:hAnsi="宋体" w:eastAsia="宋体" w:cs="宋体"/>
                <w:b w:val="0"/>
                <w:bCs w:val="0"/>
                <w:color w:val="auto"/>
                <w:sz w:val="24"/>
                <w:szCs w:val="24"/>
                <w:highlight w:val="none"/>
              </w:rPr>
              <w:t>下浮系数n。具体号码对应的下浮系数可参考下表。</w:t>
            </w:r>
          </w:p>
          <w:tbl>
            <w:tblPr>
              <w:tblStyle w:val="32"/>
              <w:tblW w:w="8156" w:type="dxa"/>
              <w:tblInd w:w="118" w:type="dxa"/>
              <w:tblLayout w:type="fixed"/>
              <w:tblCellMar>
                <w:top w:w="0" w:type="dxa"/>
                <w:left w:w="108" w:type="dxa"/>
                <w:bottom w:w="0" w:type="dxa"/>
                <w:right w:w="108" w:type="dxa"/>
              </w:tblCellMar>
            </w:tblPr>
            <w:tblGrid>
              <w:gridCol w:w="1703"/>
              <w:gridCol w:w="873"/>
              <w:gridCol w:w="913"/>
              <w:gridCol w:w="951"/>
              <w:gridCol w:w="932"/>
              <w:gridCol w:w="971"/>
              <w:gridCol w:w="912"/>
              <w:gridCol w:w="901"/>
            </w:tblGrid>
            <w:tr w14:paraId="68324CC9">
              <w:tblPrEx>
                <w:tblCellMar>
                  <w:top w:w="0" w:type="dxa"/>
                  <w:left w:w="108" w:type="dxa"/>
                  <w:bottom w:w="0" w:type="dxa"/>
                  <w:right w:w="108" w:type="dxa"/>
                </w:tblCellMar>
              </w:tblPrEx>
              <w:trPr>
                <w:trHeight w:val="389" w:hRule="atLeast"/>
              </w:trPr>
              <w:tc>
                <w:tcPr>
                  <w:tcW w:w="170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7B11130">
                  <w:pPr>
                    <w:widowControl/>
                    <w:wordWrap w:val="0"/>
                    <w:snapToGrid w:val="0"/>
                    <w:spacing w:line="360" w:lineRule="auto"/>
                    <w:jc w:val="center"/>
                    <w:textAlignment w:val="baseline"/>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号球</w:t>
                  </w:r>
                </w:p>
              </w:tc>
              <w:tc>
                <w:tcPr>
                  <w:tcW w:w="87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796AD1B">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1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8864FAF">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5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404E270C">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3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5880F4A">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7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31BB19D">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1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018BDEFD">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0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BBA9398">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r>
            <w:tr w14:paraId="69A21A06">
              <w:tblPrEx>
                <w:tblCellMar>
                  <w:top w:w="0" w:type="dxa"/>
                  <w:left w:w="108" w:type="dxa"/>
                  <w:bottom w:w="0" w:type="dxa"/>
                  <w:right w:w="108" w:type="dxa"/>
                </w:tblCellMar>
              </w:tblPrEx>
              <w:trPr>
                <w:trHeight w:val="496" w:hRule="atLeast"/>
              </w:trPr>
              <w:tc>
                <w:tcPr>
                  <w:tcW w:w="1703" w:type="dxa"/>
                  <w:tcBorders>
                    <w:top w:val="single" w:color="000000" w:sz="4" w:space="0"/>
                    <w:left w:val="single" w:color="000000" w:sz="4" w:space="0"/>
                    <w:bottom w:val="single" w:color="000000" w:sz="4" w:space="0"/>
                    <w:right w:val="single" w:color="000000" w:sz="4" w:space="0"/>
                  </w:tcBorders>
                  <w:noWrap w:val="0"/>
                  <w:vAlign w:val="bottom"/>
                </w:tcPr>
                <w:p w14:paraId="5121970E">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下浮系数（%）</w:t>
                  </w:r>
                </w:p>
              </w:tc>
              <w:tc>
                <w:tcPr>
                  <w:tcW w:w="873" w:type="dxa"/>
                  <w:tcBorders>
                    <w:top w:val="single" w:color="000000" w:sz="4" w:space="0"/>
                    <w:left w:val="single" w:color="000000" w:sz="4" w:space="0"/>
                    <w:bottom w:val="single" w:color="000000" w:sz="4" w:space="0"/>
                    <w:right w:val="single" w:color="000000" w:sz="4" w:space="0"/>
                  </w:tcBorders>
                  <w:noWrap w:val="0"/>
                  <w:vAlign w:val="bottom"/>
                </w:tcPr>
                <w:p w14:paraId="064C7999">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13" w:type="dxa"/>
                  <w:tcBorders>
                    <w:top w:val="single" w:color="000000" w:sz="4" w:space="0"/>
                    <w:left w:val="single" w:color="000000" w:sz="4" w:space="0"/>
                    <w:bottom w:val="single" w:color="000000" w:sz="4" w:space="0"/>
                    <w:right w:val="single" w:color="000000" w:sz="4" w:space="0"/>
                  </w:tcBorders>
                  <w:noWrap w:val="0"/>
                  <w:vAlign w:val="bottom"/>
                </w:tcPr>
                <w:p w14:paraId="4CAA4CC4">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51" w:type="dxa"/>
                  <w:tcBorders>
                    <w:top w:val="single" w:color="000000" w:sz="4" w:space="0"/>
                    <w:left w:val="single" w:color="000000" w:sz="4" w:space="0"/>
                    <w:bottom w:val="single" w:color="000000" w:sz="4" w:space="0"/>
                    <w:right w:val="single" w:color="000000" w:sz="4" w:space="0"/>
                  </w:tcBorders>
                  <w:noWrap w:val="0"/>
                  <w:vAlign w:val="bottom"/>
                </w:tcPr>
                <w:p w14:paraId="73A389A1">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32" w:type="dxa"/>
                  <w:tcBorders>
                    <w:top w:val="single" w:color="000000" w:sz="4" w:space="0"/>
                    <w:left w:val="single" w:color="000000" w:sz="4" w:space="0"/>
                    <w:bottom w:val="single" w:color="000000" w:sz="4" w:space="0"/>
                    <w:right w:val="single" w:color="000000" w:sz="4" w:space="0"/>
                  </w:tcBorders>
                  <w:noWrap w:val="0"/>
                  <w:vAlign w:val="bottom"/>
                </w:tcPr>
                <w:p w14:paraId="2F9489A6">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971" w:type="dxa"/>
                  <w:tcBorders>
                    <w:top w:val="single" w:color="000000" w:sz="4" w:space="0"/>
                    <w:left w:val="single" w:color="000000" w:sz="4" w:space="0"/>
                    <w:bottom w:val="single" w:color="000000" w:sz="4" w:space="0"/>
                    <w:right w:val="single" w:color="000000" w:sz="4" w:space="0"/>
                  </w:tcBorders>
                  <w:noWrap w:val="0"/>
                  <w:vAlign w:val="bottom"/>
                </w:tcPr>
                <w:p w14:paraId="2CF37F24">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c>
                <w:tcPr>
                  <w:tcW w:w="912" w:type="dxa"/>
                  <w:tcBorders>
                    <w:top w:val="single" w:color="000000" w:sz="4" w:space="0"/>
                    <w:left w:val="single" w:color="000000" w:sz="4" w:space="0"/>
                    <w:bottom w:val="single" w:color="000000" w:sz="4" w:space="0"/>
                    <w:right w:val="single" w:color="000000" w:sz="4" w:space="0"/>
                  </w:tcBorders>
                  <w:noWrap w:val="0"/>
                  <w:vAlign w:val="bottom"/>
                </w:tcPr>
                <w:p w14:paraId="55797787">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901" w:type="dxa"/>
                  <w:tcBorders>
                    <w:top w:val="single" w:color="000000" w:sz="4" w:space="0"/>
                    <w:left w:val="single" w:color="000000" w:sz="4" w:space="0"/>
                    <w:bottom w:val="single" w:color="000000" w:sz="4" w:space="0"/>
                    <w:right w:val="single" w:color="000000" w:sz="4" w:space="0"/>
                  </w:tcBorders>
                  <w:noWrap w:val="0"/>
                  <w:vAlign w:val="bottom"/>
                </w:tcPr>
                <w:p w14:paraId="1FBBF7BA">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r>
            <w:tr w14:paraId="3A40CDE1">
              <w:tblPrEx>
                <w:tblCellMar>
                  <w:top w:w="0" w:type="dxa"/>
                  <w:left w:w="108" w:type="dxa"/>
                  <w:bottom w:w="0" w:type="dxa"/>
                  <w:right w:w="108" w:type="dxa"/>
                </w:tblCellMar>
              </w:tblPrEx>
              <w:trPr>
                <w:trHeight w:val="402" w:hRule="atLeast"/>
              </w:trPr>
              <w:tc>
                <w:tcPr>
                  <w:tcW w:w="170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0C7AE1A4">
                  <w:pPr>
                    <w:widowControl/>
                    <w:wordWrap w:val="0"/>
                    <w:snapToGrid w:val="0"/>
                    <w:spacing w:line="360" w:lineRule="auto"/>
                    <w:jc w:val="center"/>
                    <w:textAlignment w:val="baseline"/>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号球</w:t>
                  </w:r>
                </w:p>
              </w:tc>
              <w:tc>
                <w:tcPr>
                  <w:tcW w:w="87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40F8B63">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91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049D9935">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5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6C91149">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3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725DF41">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7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4FA8AF7">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1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63A4C39">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p>
              </w:tc>
              <w:tc>
                <w:tcPr>
                  <w:tcW w:w="90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31D0B49C">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p>
              </w:tc>
            </w:tr>
            <w:tr w14:paraId="67184410">
              <w:tblPrEx>
                <w:tblCellMar>
                  <w:top w:w="0" w:type="dxa"/>
                  <w:left w:w="108" w:type="dxa"/>
                  <w:bottom w:w="0" w:type="dxa"/>
                  <w:right w:w="108" w:type="dxa"/>
                </w:tblCellMar>
              </w:tblPrEx>
              <w:trPr>
                <w:trHeight w:val="545" w:hRule="atLeast"/>
              </w:trPr>
              <w:tc>
                <w:tcPr>
                  <w:tcW w:w="1703" w:type="dxa"/>
                  <w:tcBorders>
                    <w:top w:val="single" w:color="000000" w:sz="4" w:space="0"/>
                    <w:left w:val="single" w:color="000000" w:sz="4" w:space="0"/>
                    <w:bottom w:val="single" w:color="000000" w:sz="4" w:space="0"/>
                    <w:right w:val="single" w:color="000000" w:sz="4" w:space="0"/>
                  </w:tcBorders>
                  <w:noWrap w:val="0"/>
                  <w:vAlign w:val="bottom"/>
                </w:tcPr>
                <w:p w14:paraId="1C1BB7E4">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下浮系数（%）</w:t>
                  </w:r>
                </w:p>
              </w:tc>
              <w:tc>
                <w:tcPr>
                  <w:tcW w:w="873" w:type="dxa"/>
                  <w:tcBorders>
                    <w:top w:val="single" w:color="000000" w:sz="4" w:space="0"/>
                    <w:left w:val="single" w:color="000000" w:sz="4" w:space="0"/>
                    <w:bottom w:val="single" w:color="000000" w:sz="4" w:space="0"/>
                    <w:right w:val="single" w:color="000000" w:sz="4" w:space="0"/>
                  </w:tcBorders>
                  <w:noWrap w:val="0"/>
                  <w:vAlign w:val="bottom"/>
                </w:tcPr>
                <w:p w14:paraId="3FEAB2B7">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913" w:type="dxa"/>
                  <w:tcBorders>
                    <w:top w:val="single" w:color="000000" w:sz="4" w:space="0"/>
                    <w:left w:val="single" w:color="000000" w:sz="4" w:space="0"/>
                    <w:bottom w:val="single" w:color="000000" w:sz="4" w:space="0"/>
                    <w:right w:val="single" w:color="000000" w:sz="4" w:space="0"/>
                  </w:tcBorders>
                  <w:noWrap w:val="0"/>
                  <w:vAlign w:val="bottom"/>
                </w:tcPr>
                <w:p w14:paraId="460254E5">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951" w:type="dxa"/>
                  <w:tcBorders>
                    <w:top w:val="single" w:color="000000" w:sz="4" w:space="0"/>
                    <w:left w:val="single" w:color="000000" w:sz="4" w:space="0"/>
                    <w:bottom w:val="single" w:color="000000" w:sz="4" w:space="0"/>
                    <w:right w:val="single" w:color="000000" w:sz="4" w:space="0"/>
                  </w:tcBorders>
                  <w:noWrap w:val="0"/>
                  <w:vAlign w:val="bottom"/>
                </w:tcPr>
                <w:p w14:paraId="17EAB843">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1.9</w:t>
                  </w:r>
                </w:p>
              </w:tc>
              <w:tc>
                <w:tcPr>
                  <w:tcW w:w="932" w:type="dxa"/>
                  <w:tcBorders>
                    <w:top w:val="single" w:color="000000" w:sz="4" w:space="0"/>
                    <w:left w:val="single" w:color="000000" w:sz="4" w:space="0"/>
                    <w:bottom w:val="single" w:color="000000" w:sz="4" w:space="0"/>
                    <w:right w:val="single" w:color="000000" w:sz="4" w:space="0"/>
                  </w:tcBorders>
                  <w:noWrap w:val="0"/>
                  <w:vAlign w:val="bottom"/>
                </w:tcPr>
                <w:p w14:paraId="08D85DDC">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71" w:type="dxa"/>
                  <w:tcBorders>
                    <w:top w:val="single" w:color="000000" w:sz="4" w:space="0"/>
                    <w:left w:val="single" w:color="000000" w:sz="4" w:space="0"/>
                    <w:bottom w:val="single" w:color="000000" w:sz="4" w:space="0"/>
                    <w:right w:val="single" w:color="000000" w:sz="4" w:space="0"/>
                  </w:tcBorders>
                  <w:noWrap w:val="0"/>
                  <w:vAlign w:val="bottom"/>
                </w:tcPr>
                <w:p w14:paraId="098FD359">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w:t>
                  </w:r>
                </w:p>
              </w:tc>
              <w:tc>
                <w:tcPr>
                  <w:tcW w:w="912" w:type="dxa"/>
                  <w:tcBorders>
                    <w:top w:val="single" w:color="000000" w:sz="4" w:space="0"/>
                    <w:left w:val="single" w:color="000000" w:sz="4" w:space="0"/>
                    <w:bottom w:val="single" w:color="000000" w:sz="4" w:space="0"/>
                    <w:right w:val="single" w:color="000000" w:sz="4" w:space="0"/>
                  </w:tcBorders>
                  <w:noWrap w:val="0"/>
                  <w:vAlign w:val="bottom"/>
                </w:tcPr>
                <w:p w14:paraId="45BB2B41">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w:t>
                  </w:r>
                </w:p>
              </w:tc>
              <w:tc>
                <w:tcPr>
                  <w:tcW w:w="901" w:type="dxa"/>
                  <w:tcBorders>
                    <w:top w:val="single" w:color="000000" w:sz="4" w:space="0"/>
                    <w:left w:val="single" w:color="000000" w:sz="4" w:space="0"/>
                    <w:bottom w:val="single" w:color="000000" w:sz="4" w:space="0"/>
                    <w:right w:val="single" w:color="000000" w:sz="4" w:space="0"/>
                  </w:tcBorders>
                  <w:noWrap w:val="0"/>
                  <w:vAlign w:val="bottom"/>
                </w:tcPr>
                <w:p w14:paraId="3025FB4F">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w:t>
                  </w:r>
                </w:p>
              </w:tc>
            </w:tr>
            <w:tr w14:paraId="0FA936E4">
              <w:tblPrEx>
                <w:tblCellMar>
                  <w:top w:w="0" w:type="dxa"/>
                  <w:left w:w="108" w:type="dxa"/>
                  <w:bottom w:w="0" w:type="dxa"/>
                  <w:right w:w="108" w:type="dxa"/>
                </w:tblCellMar>
              </w:tblPrEx>
              <w:trPr>
                <w:trHeight w:val="415" w:hRule="atLeast"/>
              </w:trPr>
              <w:tc>
                <w:tcPr>
                  <w:tcW w:w="170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58F87294">
                  <w:pPr>
                    <w:widowControl/>
                    <w:wordWrap w:val="0"/>
                    <w:snapToGrid w:val="0"/>
                    <w:spacing w:line="360" w:lineRule="auto"/>
                    <w:jc w:val="center"/>
                    <w:textAlignment w:val="baseline"/>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号球</w:t>
                  </w:r>
                </w:p>
              </w:tc>
              <w:tc>
                <w:tcPr>
                  <w:tcW w:w="87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61CE488">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w:t>
                  </w:r>
                </w:p>
              </w:tc>
              <w:tc>
                <w:tcPr>
                  <w:tcW w:w="913"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8333AA4">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w:t>
                  </w:r>
                </w:p>
              </w:tc>
              <w:tc>
                <w:tcPr>
                  <w:tcW w:w="95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6010CFBB">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93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46C634BF">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97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7049A820">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19</w:t>
                  </w:r>
                </w:p>
              </w:tc>
              <w:tc>
                <w:tcPr>
                  <w:tcW w:w="912"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18431C4A">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01" w:type="dxa"/>
                  <w:tcBorders>
                    <w:top w:val="single" w:color="000000" w:sz="4" w:space="0"/>
                    <w:left w:val="single" w:color="000000" w:sz="4" w:space="0"/>
                    <w:bottom w:val="single" w:color="000000" w:sz="4" w:space="0"/>
                    <w:right w:val="single" w:color="000000" w:sz="4" w:space="0"/>
                  </w:tcBorders>
                  <w:shd w:val="clear" w:color="auto" w:fill="BEBEBE"/>
                  <w:noWrap w:val="0"/>
                  <w:vAlign w:val="bottom"/>
                </w:tcPr>
                <w:p w14:paraId="21EC49C8">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w:t>
                  </w:r>
                </w:p>
              </w:tc>
            </w:tr>
            <w:tr w14:paraId="27F0344A">
              <w:tblPrEx>
                <w:tblCellMar>
                  <w:top w:w="0" w:type="dxa"/>
                  <w:left w:w="108" w:type="dxa"/>
                  <w:bottom w:w="0" w:type="dxa"/>
                  <w:right w:w="108" w:type="dxa"/>
                </w:tblCellMar>
              </w:tblPrEx>
              <w:trPr>
                <w:trHeight w:val="551" w:hRule="atLeast"/>
              </w:trPr>
              <w:tc>
                <w:tcPr>
                  <w:tcW w:w="1703" w:type="dxa"/>
                  <w:tcBorders>
                    <w:top w:val="single" w:color="000000" w:sz="4" w:space="0"/>
                    <w:left w:val="single" w:color="000000" w:sz="4" w:space="0"/>
                    <w:bottom w:val="single" w:color="000000" w:sz="4" w:space="0"/>
                    <w:right w:val="single" w:color="000000" w:sz="4" w:space="0"/>
                  </w:tcBorders>
                  <w:noWrap w:val="0"/>
                  <w:vAlign w:val="bottom"/>
                </w:tcPr>
                <w:p w14:paraId="359D89B9">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下浮系数（%）</w:t>
                  </w:r>
                </w:p>
              </w:tc>
              <w:tc>
                <w:tcPr>
                  <w:tcW w:w="873" w:type="dxa"/>
                  <w:tcBorders>
                    <w:top w:val="single" w:color="000000" w:sz="4" w:space="0"/>
                    <w:left w:val="single" w:color="000000" w:sz="4" w:space="0"/>
                    <w:bottom w:val="single" w:color="000000" w:sz="4" w:space="0"/>
                    <w:right w:val="single" w:color="000000" w:sz="4" w:space="0"/>
                  </w:tcBorders>
                  <w:noWrap w:val="0"/>
                  <w:vAlign w:val="bottom"/>
                </w:tcPr>
                <w:p w14:paraId="2DD8E567">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w:t>
                  </w:r>
                </w:p>
              </w:tc>
              <w:tc>
                <w:tcPr>
                  <w:tcW w:w="913" w:type="dxa"/>
                  <w:tcBorders>
                    <w:top w:val="single" w:color="000000" w:sz="4" w:space="0"/>
                    <w:left w:val="single" w:color="000000" w:sz="4" w:space="0"/>
                    <w:bottom w:val="single" w:color="000000" w:sz="4" w:space="0"/>
                    <w:right w:val="single" w:color="000000" w:sz="4" w:space="0"/>
                  </w:tcBorders>
                  <w:noWrap w:val="0"/>
                  <w:vAlign w:val="bottom"/>
                </w:tcPr>
                <w:p w14:paraId="7ABCC288">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951" w:type="dxa"/>
                  <w:tcBorders>
                    <w:top w:val="single" w:color="000000" w:sz="4" w:space="0"/>
                    <w:left w:val="single" w:color="000000" w:sz="4" w:space="0"/>
                    <w:bottom w:val="single" w:color="000000" w:sz="4" w:space="0"/>
                    <w:right w:val="single" w:color="000000" w:sz="4" w:space="0"/>
                  </w:tcBorders>
                  <w:noWrap w:val="0"/>
                  <w:vAlign w:val="bottom"/>
                </w:tcPr>
                <w:p w14:paraId="15537267">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w:t>
                  </w:r>
                </w:p>
              </w:tc>
              <w:tc>
                <w:tcPr>
                  <w:tcW w:w="932" w:type="dxa"/>
                  <w:tcBorders>
                    <w:top w:val="single" w:color="000000" w:sz="4" w:space="0"/>
                    <w:left w:val="single" w:color="000000" w:sz="4" w:space="0"/>
                    <w:bottom w:val="single" w:color="000000" w:sz="4" w:space="0"/>
                    <w:right w:val="single" w:color="000000" w:sz="4" w:space="0"/>
                  </w:tcBorders>
                  <w:noWrap w:val="0"/>
                  <w:vAlign w:val="bottom"/>
                </w:tcPr>
                <w:p w14:paraId="1CB4D622">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w:t>
                  </w:r>
                </w:p>
              </w:tc>
              <w:tc>
                <w:tcPr>
                  <w:tcW w:w="971" w:type="dxa"/>
                  <w:tcBorders>
                    <w:top w:val="single" w:color="000000" w:sz="4" w:space="0"/>
                    <w:left w:val="single" w:color="000000" w:sz="4" w:space="0"/>
                    <w:bottom w:val="single" w:color="000000" w:sz="4" w:space="0"/>
                    <w:right w:val="single" w:color="000000" w:sz="4" w:space="0"/>
                  </w:tcBorders>
                  <w:noWrap w:val="0"/>
                  <w:vAlign w:val="bottom"/>
                </w:tcPr>
                <w:p w14:paraId="561B4780">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2.8</w:t>
                  </w:r>
                </w:p>
              </w:tc>
              <w:tc>
                <w:tcPr>
                  <w:tcW w:w="912" w:type="dxa"/>
                  <w:tcBorders>
                    <w:top w:val="single" w:color="000000" w:sz="4" w:space="0"/>
                    <w:left w:val="single" w:color="000000" w:sz="4" w:space="0"/>
                    <w:bottom w:val="single" w:color="000000" w:sz="4" w:space="0"/>
                    <w:right w:val="single" w:color="000000" w:sz="4" w:space="0"/>
                  </w:tcBorders>
                  <w:noWrap w:val="0"/>
                  <w:vAlign w:val="bottom"/>
                </w:tcPr>
                <w:p w14:paraId="1A7191D5">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2.9</w:t>
                  </w:r>
                </w:p>
              </w:tc>
              <w:tc>
                <w:tcPr>
                  <w:tcW w:w="901" w:type="dxa"/>
                  <w:tcBorders>
                    <w:top w:val="single" w:color="000000" w:sz="4" w:space="0"/>
                    <w:left w:val="single" w:color="000000" w:sz="4" w:space="0"/>
                    <w:bottom w:val="single" w:color="000000" w:sz="4" w:space="0"/>
                    <w:right w:val="single" w:color="000000" w:sz="4" w:space="0"/>
                  </w:tcBorders>
                  <w:noWrap w:val="0"/>
                  <w:vAlign w:val="bottom"/>
                </w:tcPr>
                <w:p w14:paraId="44CC6D1E">
                  <w:pPr>
                    <w:widowControl/>
                    <w:wordWrap w:val="0"/>
                    <w:snapToGrid w:val="0"/>
                    <w:spacing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r>
          </w:tbl>
          <w:p w14:paraId="5148CCE9">
            <w:pPr>
              <w:snapToGrid w:val="0"/>
              <w:spacing w:line="240" w:lineRule="auto"/>
              <w:ind w:firstLine="420" w:firstLineChars="0"/>
              <w:jc w:val="left"/>
              <w:rPr>
                <w:rFonts w:hint="eastAsia" w:ascii="宋体" w:hAnsi="宋体" w:eastAsia="宋体" w:cs="宋体"/>
                <w:b w:val="0"/>
                <w:bCs w:val="0"/>
                <w:color w:val="auto"/>
                <w:kern w:val="0"/>
                <w:sz w:val="24"/>
                <w:szCs w:val="24"/>
                <w:highlight w:val="none"/>
              </w:rPr>
            </w:pPr>
          </w:p>
          <w:p w14:paraId="2F1206DB">
            <w:pPr>
              <w:snapToGrid w:val="0"/>
              <w:spacing w:line="240" w:lineRule="auto"/>
              <w:ind w:firstLine="420" w:firstLineChars="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color w:val="auto"/>
                <w:kern w:val="0"/>
                <w:sz w:val="24"/>
                <w:szCs w:val="24"/>
                <w:highlight w:val="none"/>
              </w:rPr>
              <w:t>（2）评标基准价D＝</w:t>
            </w:r>
            <w:r>
              <w:rPr>
                <w:rFonts w:hint="eastAsia" w:ascii="宋体" w:hAnsi="宋体" w:eastAsia="宋体" w:cs="宋体"/>
                <w:b/>
                <w:bCs/>
                <w:color w:val="auto"/>
                <w:spacing w:val="3"/>
                <w:sz w:val="24"/>
                <w:szCs w:val="24"/>
              </w:rPr>
              <w:t>最高投标限价</w:t>
            </w:r>
            <w:r>
              <w:rPr>
                <w:rFonts w:hint="eastAsia" w:ascii="宋体" w:hAnsi="宋体" w:eastAsia="宋体" w:cs="宋体"/>
                <w:b w:val="0"/>
                <w:bCs w:val="0"/>
                <w:color w:val="auto"/>
                <w:kern w:val="0"/>
                <w:sz w:val="24"/>
                <w:szCs w:val="24"/>
                <w:highlight w:val="none"/>
              </w:rPr>
              <w:t>×（1－n）</w:t>
            </w:r>
          </w:p>
        </w:tc>
      </w:tr>
      <w:tr w14:paraId="35032FC8">
        <w:tblPrEx>
          <w:tblCellMar>
            <w:top w:w="0" w:type="dxa"/>
            <w:left w:w="108" w:type="dxa"/>
            <w:bottom w:w="0" w:type="dxa"/>
            <w:right w:w="108" w:type="dxa"/>
          </w:tblCellMar>
        </w:tblPrEx>
        <w:trPr>
          <w:trHeight w:val="2221" w:hRule="atLeast"/>
          <w:jc w:val="center"/>
        </w:trPr>
        <w:tc>
          <w:tcPr>
            <w:tcW w:w="1230" w:type="dxa"/>
            <w:tcBorders>
              <w:top w:val="single" w:color="auto" w:sz="4" w:space="0"/>
              <w:left w:val="single" w:color="auto" w:sz="4" w:space="0"/>
              <w:bottom w:val="single" w:color="auto" w:sz="4" w:space="0"/>
              <w:right w:val="single" w:color="auto" w:sz="4" w:space="0"/>
            </w:tcBorders>
            <w:noWrap w:val="0"/>
            <w:vAlign w:val="center"/>
          </w:tcPr>
          <w:p w14:paraId="7F710E45">
            <w:pPr>
              <w:pStyle w:val="68"/>
              <w:wordWrap w:val="0"/>
              <w:adjustRightInd w:val="0"/>
              <w:snapToGrid w:val="0"/>
              <w:spacing w:line="24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投标报价</w:t>
            </w:r>
          </w:p>
          <w:p w14:paraId="65F6ABCA">
            <w:pPr>
              <w:pStyle w:val="68"/>
              <w:wordWrap w:val="0"/>
              <w:adjustRightInd w:val="0"/>
              <w:snapToGrid w:val="0"/>
              <w:spacing w:line="240" w:lineRule="auto"/>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得分N</w:t>
            </w:r>
          </w:p>
        </w:tc>
        <w:tc>
          <w:tcPr>
            <w:tcW w:w="8662" w:type="dxa"/>
            <w:gridSpan w:val="2"/>
            <w:tcBorders>
              <w:top w:val="single" w:color="auto" w:sz="4" w:space="0"/>
              <w:left w:val="single" w:color="auto" w:sz="4" w:space="0"/>
              <w:bottom w:val="single" w:color="auto" w:sz="4" w:space="0"/>
              <w:right w:val="single" w:color="auto" w:sz="4" w:space="0"/>
            </w:tcBorders>
            <w:noWrap w:val="0"/>
            <w:vAlign w:val="center"/>
          </w:tcPr>
          <w:p w14:paraId="2C2E8DCC">
            <w:pPr>
              <w:keepNext w:val="0"/>
              <w:keepLines w:val="0"/>
              <w:pageBreakBefore w:val="0"/>
              <w:widowControl w:val="0"/>
              <w:kinsoku/>
              <w:wordWrap/>
              <w:overflowPunct/>
              <w:topLinePunct w:val="0"/>
              <w:autoSpaceDE/>
              <w:autoSpaceDN/>
              <w:bidi w:val="0"/>
              <w:adjustRightInd/>
              <w:snapToGrid w:val="0"/>
              <w:spacing w:line="288" w:lineRule="auto"/>
              <w:ind w:firstLine="42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分, 每低于评标基准价一个百分点扣0.</w:t>
            </w:r>
            <w:r>
              <w:rPr>
                <w:rFonts w:hint="eastAsia" w:ascii="宋体" w:hAnsi="宋体" w:eastAsia="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rPr>
              <w:t>分，扣完为止。公式如下：</w:t>
            </w:r>
          </w:p>
          <w:p w14:paraId="21DC7FAB">
            <w:pPr>
              <w:keepNext w:val="0"/>
              <w:keepLines w:val="0"/>
              <w:pageBreakBefore w:val="0"/>
              <w:widowControl w:val="0"/>
              <w:kinsoku/>
              <w:wordWrap/>
              <w:overflowPunct/>
              <w:topLinePunct w:val="0"/>
              <w:autoSpaceDE/>
              <w:autoSpaceDN/>
              <w:bidi w:val="0"/>
              <w:adjustRightInd/>
              <w:snapToGrid w:val="0"/>
              <w:spacing w:line="288" w:lineRule="auto"/>
              <w:ind w:firstLine="42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N＝100－（| Di－D | ÷D）×100×E</w:t>
            </w:r>
          </w:p>
          <w:p w14:paraId="7BF6F195">
            <w:pPr>
              <w:keepNext w:val="0"/>
              <w:keepLines w:val="0"/>
              <w:pageBreakBefore w:val="0"/>
              <w:widowControl w:val="0"/>
              <w:kinsoku/>
              <w:wordWrap/>
              <w:overflowPunct/>
              <w:topLinePunct w:val="0"/>
              <w:autoSpaceDE/>
              <w:autoSpaceDN/>
              <w:bidi w:val="0"/>
              <w:adjustRightInd/>
              <w:snapToGrid w:val="0"/>
              <w:spacing w:line="288" w:lineRule="auto"/>
              <w:ind w:firstLine="420" w:firstLineChars="0"/>
              <w:jc w:val="left"/>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color w:val="auto"/>
                <w:kern w:val="0"/>
                <w:sz w:val="24"/>
                <w:szCs w:val="24"/>
                <w:highlight w:val="none"/>
              </w:rPr>
              <w:t>式中：D为评标基准价；Di为某投标人的投标总价；E为扣分因子，当Di＞D时，E＝</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；当Di＜D时，E＝0.</w:t>
            </w:r>
            <w:r>
              <w:rPr>
                <w:rFonts w:hint="eastAsia" w:ascii="宋体" w:hAnsi="宋体" w:eastAsia="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rPr>
              <w:t>。</w:t>
            </w:r>
          </w:p>
        </w:tc>
      </w:tr>
    </w:tbl>
    <w:p w14:paraId="1BF204A4">
      <w:pPr>
        <w:rPr>
          <w:color w:val="auto"/>
          <w:highlight w:val="none"/>
        </w:rPr>
      </w:pPr>
    </w:p>
    <w:p w14:paraId="580543C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15.5.2 </w:t>
      </w:r>
      <w:r>
        <w:rPr>
          <w:rFonts w:hint="eastAsia" w:ascii="Times New Roman"/>
          <w:snapToGrid w:val="0"/>
          <w:color w:val="auto"/>
          <w:kern w:val="0"/>
          <w:highlight w:val="none"/>
        </w:rPr>
        <w:t>否决投标说明</w:t>
      </w:r>
    </w:p>
    <w:p w14:paraId="2148FDF1">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详细评审阶段否决投标的全部条件，在本章第四节“否决投标条件”第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条中集中列示。投标人有其中所列任何一种情形的，由评标委员会否决其投标。经详细评审后，有效投标人数量不足3个时，招标人应依法重新组织招标。</w:t>
      </w:r>
    </w:p>
    <w:p w14:paraId="5F85793A">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5D9C55FA">
      <w:pPr>
        <w:wordWrap w:val="0"/>
        <w:adjustRightInd w:val="0"/>
        <w:snapToGrid w:val="0"/>
        <w:spacing w:line="440" w:lineRule="exact"/>
        <w:ind w:firstLine="482" w:firstLineChars="200"/>
        <w:rPr>
          <w:rFonts w:hint="eastAsia" w:ascii="Times New Roman"/>
          <w:b/>
          <w:snapToGrid w:val="0"/>
          <w:color w:val="auto"/>
          <w:kern w:val="0"/>
          <w:highlight w:val="none"/>
        </w:rPr>
      </w:pPr>
    </w:p>
    <w:p w14:paraId="1C3E0F6E">
      <w:pPr>
        <w:wordWrap w:val="0"/>
        <w:adjustRightInd w:val="0"/>
        <w:snapToGrid w:val="0"/>
        <w:spacing w:line="440" w:lineRule="exact"/>
        <w:ind w:firstLine="482" w:firstLineChars="200"/>
        <w:rPr>
          <w:rFonts w:hint="eastAsia" w:ascii="Times New Roman"/>
          <w:b/>
          <w:snapToGrid w:val="0"/>
          <w:color w:val="auto"/>
          <w:kern w:val="0"/>
          <w:highlight w:val="none"/>
        </w:rPr>
      </w:pPr>
    </w:p>
    <w:p w14:paraId="50C9A80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16．中标候选人公示</w:t>
      </w:r>
    </w:p>
    <w:p w14:paraId="1249E8D4">
      <w:pPr>
        <w:wordWrap w:val="0"/>
        <w:adjustRightInd w:val="0"/>
        <w:snapToGrid w:val="0"/>
        <w:spacing w:line="420" w:lineRule="exact"/>
        <w:ind w:firstLine="482" w:firstLineChars="200"/>
        <w:rPr>
          <w:color w:val="auto"/>
          <w:highlight w:val="none"/>
        </w:rPr>
      </w:pPr>
      <w:r>
        <w:rPr>
          <w:rFonts w:hint="eastAsia" w:ascii="Times New Roman"/>
          <w:b/>
          <w:bCs/>
          <w:snapToGrid w:val="0"/>
          <w:color w:val="auto"/>
          <w:kern w:val="0"/>
          <w:highlight w:val="none"/>
        </w:rPr>
        <w:t>16.1</w:t>
      </w:r>
      <w:r>
        <w:rPr>
          <w:rFonts w:hint="eastAsia" w:ascii="Times New Roman"/>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w:t>
      </w:r>
      <w:r>
        <w:rPr>
          <w:rFonts w:hint="eastAsia" w:ascii="Times New Roman"/>
          <w:snapToGrid w:val="0"/>
          <w:color w:val="auto"/>
          <w:kern w:val="0"/>
          <w:highlight w:val="none"/>
          <w:lang w:eastAsia="zh-CN"/>
        </w:rPr>
        <w:t>全国公共资源交易平台（广东省·韶关市）（https://ygp.gdzwfw.gov.cn/ggzy-portal/#/440200/index）</w:t>
      </w:r>
      <w:r>
        <w:rPr>
          <w:rFonts w:hint="eastAsia" w:ascii="Times New Roman"/>
          <w:snapToGrid w:val="0"/>
          <w:color w:val="auto"/>
          <w:kern w:val="0"/>
          <w:highlight w:val="none"/>
        </w:rPr>
        <w:t>进行公示，公示期不得少于3天。</w:t>
      </w:r>
    </w:p>
    <w:p w14:paraId="2BBFC50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16.3</w:t>
      </w:r>
      <w:r>
        <w:rPr>
          <w:rFonts w:hint="eastAsia" w:ascii="Times New Roman"/>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688101D2">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w:t>
      </w:r>
      <w:r>
        <w:rPr>
          <w:rFonts w:hint="eastAsia" w:ascii="Times New Roman"/>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779BEF35">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AE50BA1">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第四节 否决投标条件</w:t>
      </w:r>
    </w:p>
    <w:p w14:paraId="5EEDEB7A">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w:t>
      </w:r>
    </w:p>
    <w:p w14:paraId="368756CB">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hint="eastAsia" w:ascii="Times New Roman"/>
          <w:snapToGrid w:val="0"/>
          <w:color w:val="auto"/>
          <w:kern w:val="0"/>
          <w:highlight w:val="none"/>
        </w:rPr>
      </w:pPr>
      <w:r>
        <w:rPr>
          <w:rFonts w:hint="eastAsia" w:ascii="Times New Roman"/>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ascii="Times New Roman"/>
          <w:b/>
          <w:bCs/>
          <w:snapToGrid w:val="0"/>
          <w:color w:val="auto"/>
          <w:kern w:val="0"/>
          <w:highlight w:val="none"/>
        </w:rPr>
        <w:t>投标人未有列入本节情形的，评标时一律不得否决其投标。</w:t>
      </w:r>
      <w:r>
        <w:rPr>
          <w:rFonts w:hint="eastAsia" w:ascii="Times New Roman"/>
          <w:snapToGrid w:val="0"/>
          <w:color w:val="auto"/>
          <w:kern w:val="0"/>
          <w:highlight w:val="none"/>
        </w:rPr>
        <w:t>本节所称“规定”均指招标文件的规定。</w:t>
      </w:r>
    </w:p>
    <w:p w14:paraId="4F102AEB">
      <w:pPr>
        <w:pStyle w:val="3"/>
        <w:wordWrap w:val="0"/>
        <w:autoSpaceDE/>
        <w:autoSpaceDN/>
        <w:snapToGrid w:val="0"/>
        <w:spacing w:line="440" w:lineRule="exact"/>
        <w:ind w:firstLine="480"/>
        <w:jc w:val="both"/>
        <w:rPr>
          <w:rFonts w:hint="eastAsia" w:ascii="Times New Roman"/>
          <w:b/>
          <w:snapToGrid w:val="0"/>
          <w:color w:val="auto"/>
          <w:highlight w:val="none"/>
        </w:rPr>
      </w:pPr>
      <w:bookmarkStart w:id="108" w:name="_Toc30696"/>
      <w:bookmarkStart w:id="109" w:name="_Toc28628"/>
      <w:bookmarkStart w:id="110" w:name="_Toc4591"/>
      <w:r>
        <w:rPr>
          <w:rFonts w:hint="eastAsia" w:ascii="Times New Roman"/>
          <w:b/>
          <w:snapToGrid w:val="0"/>
          <w:color w:val="auto"/>
          <w:highlight w:val="none"/>
        </w:rPr>
        <w:t>1．资格评审环节</w:t>
      </w:r>
      <w:bookmarkEnd w:id="108"/>
      <w:bookmarkEnd w:id="109"/>
      <w:bookmarkEnd w:id="110"/>
    </w:p>
    <w:p w14:paraId="319982D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投标人有下列情形之一的，评标委员会应否决其投标。被否决的投标人，不进入形式评审环节。</w:t>
      </w:r>
    </w:p>
    <w:p w14:paraId="4F2D08E2">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snapToGrid w:val="0"/>
          <w:color w:val="auto"/>
          <w:kern w:val="0"/>
          <w:highlight w:val="none"/>
        </w:rPr>
        <w:t>（1）有本章第三节第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条“禁止投标条款”规定的任何一种情形；</w:t>
      </w:r>
    </w:p>
    <w:p w14:paraId="0E18B67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（2）投标人资质不符合</w:t>
      </w:r>
      <w:r>
        <w:rPr>
          <w:rFonts w:hint="eastAsia" w:ascii="Times New Roman"/>
          <w:snapToGrid w:val="0"/>
          <w:color w:val="auto"/>
          <w:kern w:val="0"/>
          <w:szCs w:val="18"/>
          <w:highlight w:val="none"/>
        </w:rPr>
        <w:t>规定的；</w:t>
      </w:r>
    </w:p>
    <w:p w14:paraId="24017FC8">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0B90912">
      <w:pPr>
        <w:wordWrap w:val="0"/>
        <w:adjustRightInd w:val="0"/>
        <w:snapToGrid w:val="0"/>
        <w:spacing w:line="440" w:lineRule="exact"/>
        <w:ind w:firstLine="480"/>
        <w:rPr>
          <w:rStyle w:val="151"/>
          <w:b/>
          <w:bCs/>
          <w:color w:val="auto"/>
          <w:kern w:val="0"/>
          <w:sz w:val="24"/>
          <w:szCs w:val="24"/>
          <w:highlight w:val="none"/>
        </w:rPr>
      </w:pPr>
      <w:r>
        <w:rPr>
          <w:rFonts w:hint="eastAsia"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34FC27C0">
      <w:pPr>
        <w:wordWrap w:val="0"/>
        <w:adjustRightInd w:val="0"/>
        <w:snapToGrid w:val="0"/>
        <w:spacing w:line="440" w:lineRule="exact"/>
        <w:ind w:firstLine="240" w:firstLineChars="100"/>
        <w:rPr>
          <w:rFonts w:hint="eastAsia" w:ascii="Times New Roman"/>
          <w:snapToGrid w:val="0"/>
          <w:color w:val="auto"/>
          <w:kern w:val="0"/>
          <w:highlight w:val="none"/>
        </w:rPr>
      </w:pPr>
      <w:r>
        <w:rPr>
          <w:rFonts w:hint="eastAsia" w:ascii="Times New Roman" w:hAnsi="Times New Roman" w:eastAsia="宋体" w:cs="Times New Roman"/>
          <w:snapToGrid w:val="0"/>
          <w:color w:val="auto"/>
          <w:kern w:val="0"/>
          <w:highlight w:val="none"/>
        </w:rPr>
        <w:t>根据有关文件精神</w:t>
      </w:r>
      <w:r>
        <w:rPr>
          <w:rFonts w:hint="eastAsia" w:ascii="Times New Roman" w:cs="Times New Roman"/>
          <w:snapToGrid w:val="0"/>
          <w:color w:val="auto"/>
          <w:kern w:val="0"/>
          <w:highlight w:val="none"/>
          <w:lang w:eastAsia="zh-CN"/>
        </w:rPr>
        <w:t>，</w:t>
      </w:r>
      <w:r>
        <w:rPr>
          <w:rFonts w:hint="eastAsia" w:ascii="Times New Roman" w:hAnsi="Times New Roman" w:eastAsia="宋体" w:cs="Times New Roman"/>
          <w:snapToGrid w:val="0"/>
          <w:color w:val="auto"/>
          <w:kern w:val="0"/>
          <w:highlight w:val="none"/>
        </w:rPr>
        <w:t xml:space="preserve">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Times New Roman"/>
          <w:snapToGrid w:val="0"/>
          <w:color w:val="auto"/>
          <w:kern w:val="0"/>
          <w:highlight w:val="none"/>
        </w:rPr>
        <w:t xml:space="preserve">  </w:t>
      </w:r>
    </w:p>
    <w:p w14:paraId="6DACD30E">
      <w:pPr>
        <w:wordWrap w:val="0"/>
        <w:adjustRightInd w:val="0"/>
        <w:snapToGrid w:val="0"/>
        <w:spacing w:line="440" w:lineRule="exact"/>
        <w:ind w:firstLine="240" w:firstLineChars="100"/>
        <w:rPr>
          <w:rFonts w:hint="eastAsia" w:ascii="Times New Roman"/>
          <w:snapToGrid w:val="0"/>
          <w:color w:val="auto"/>
          <w:kern w:val="0"/>
          <w:highlight w:val="none"/>
        </w:rPr>
      </w:pPr>
      <w:r>
        <w:rPr>
          <w:rFonts w:hint="eastAsia" w:ascii="Times New Roman"/>
          <w:snapToGrid w:val="0"/>
          <w:color w:val="auto"/>
          <w:kern w:val="0"/>
          <w:highlight w:val="none"/>
        </w:rPr>
        <w:t>（4）拟派项目经理、项目技术负责人、专职安全员的条件不符合规定的；拟派专职安全员数量不符合规定的；</w:t>
      </w:r>
    </w:p>
    <w:p w14:paraId="2044D82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5）《项目经理简历表》中拟派项目经理与《开标一览表》不一致的；一级建造师的电子注册证书不是国家住建部颁发的；二级建造师的电子注册证书不是住建厅颁发的；建造师的注册单位与投标人不一致的；项目管理班子组成人员的各类证书、证件、证明不在有效期内的；</w:t>
      </w:r>
      <w:r>
        <w:rPr>
          <w:rFonts w:hAnsi="宋体" w:cs="宋体"/>
          <w:color w:val="auto"/>
          <w:szCs w:val="24"/>
          <w:highlight w:val="none"/>
        </w:rPr>
        <w:t>建造师电子注册证书不在使用有效期内的</w:t>
      </w:r>
      <w:r>
        <w:rPr>
          <w:rFonts w:hint="eastAsia" w:hAnsi="宋体" w:cs="宋体"/>
          <w:color w:val="auto"/>
          <w:szCs w:val="24"/>
          <w:highlight w:val="none"/>
        </w:rPr>
        <w:t>；</w:t>
      </w:r>
      <w:r>
        <w:rPr>
          <w:rFonts w:hint="eastAsia" w:ascii="Times New Roman"/>
          <w:snapToGrid w:val="0"/>
          <w:color w:val="auto"/>
          <w:kern w:val="0"/>
          <w:highlight w:val="none"/>
        </w:rPr>
        <w:t>擅自修改、遗漏《项目经理任职声明》实质性内容的；</w:t>
      </w:r>
    </w:p>
    <w:p w14:paraId="042E229D">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注：投标人已经工商变更，但其员工执业资格注册证书的注册单位名称未完成变更的，不得否决其投标。</w:t>
      </w:r>
    </w:p>
    <w:p w14:paraId="4A7385BC">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（6）招标文件规定不接受联合体投标，但以联合体投标的；</w:t>
      </w:r>
    </w:p>
    <w:p w14:paraId="01E397C1">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（7）联合体投标，未提交</w:t>
      </w:r>
      <w:r>
        <w:rPr>
          <w:rFonts w:hint="eastAsia" w:ascii="Times New Roman"/>
          <w:snapToGrid w:val="0"/>
          <w:color w:val="auto"/>
          <w:kern w:val="0"/>
          <w:szCs w:val="18"/>
          <w:highlight w:val="none"/>
        </w:rPr>
        <w:t>《联合体协议书》的；</w:t>
      </w:r>
      <w:r>
        <w:rPr>
          <w:rFonts w:hint="eastAsia" w:ascii="Times New Roman"/>
          <w:snapToGrid w:val="0"/>
          <w:color w:val="auto"/>
          <w:kern w:val="0"/>
          <w:highlight w:val="none"/>
        </w:rPr>
        <w:t>擅自修改、遗漏</w:t>
      </w:r>
      <w:r>
        <w:rPr>
          <w:rFonts w:hint="eastAsia" w:ascii="Times New Roman"/>
          <w:snapToGrid w:val="0"/>
          <w:color w:val="auto"/>
          <w:kern w:val="0"/>
          <w:szCs w:val="18"/>
          <w:highlight w:val="none"/>
        </w:rPr>
        <w:t>《联合体协议书》</w:t>
      </w:r>
      <w:r>
        <w:rPr>
          <w:rFonts w:hint="eastAsia" w:ascii="Times New Roman"/>
          <w:snapToGrid w:val="0"/>
          <w:color w:val="auto"/>
          <w:kern w:val="0"/>
          <w:highlight w:val="none"/>
        </w:rPr>
        <w:t>实质性内容的；</w:t>
      </w:r>
      <w:r>
        <w:rPr>
          <w:rFonts w:hint="eastAsia" w:ascii="Times New Roman"/>
          <w:snapToGrid w:val="0"/>
          <w:color w:val="auto"/>
          <w:kern w:val="0"/>
          <w:szCs w:val="18"/>
          <w:highlight w:val="none"/>
        </w:rPr>
        <w:t>联合体成员的数量、资质不符合规定的；联合体成员同时以自己名义单独投标或者参加其他联合体投标的；</w:t>
      </w:r>
    </w:p>
    <w:p w14:paraId="4668FBE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（8）投标人为</w:t>
      </w:r>
      <w:r>
        <w:rPr>
          <w:rFonts w:hint="eastAsia" w:ascii="Times New Roman"/>
          <w:snapToGrid w:val="0"/>
          <w:color w:val="auto"/>
          <w:kern w:val="0"/>
          <w:szCs w:val="18"/>
          <w:highlight w:val="none"/>
        </w:rPr>
        <w:t>外省建筑企业</w:t>
      </w:r>
      <w:r>
        <w:rPr>
          <w:rFonts w:hint="eastAsia" w:ascii="Times New Roman"/>
          <w:snapToGrid w:val="0"/>
          <w:color w:val="auto"/>
          <w:kern w:val="0"/>
          <w:highlight w:val="none"/>
        </w:rPr>
        <w:t>，但未提供“进粤企业和人员诚信信息登记平台”企业信息情况打印页的。</w:t>
      </w:r>
    </w:p>
    <w:p w14:paraId="73F1EBD0">
      <w:pPr>
        <w:wordWrap w:val="0"/>
        <w:adjustRightInd w:val="0"/>
        <w:snapToGrid w:val="0"/>
        <w:spacing w:line="440" w:lineRule="exact"/>
        <w:ind w:firstLine="480"/>
        <w:rPr>
          <w:rFonts w:hint="eastAsia" w:ascii="Times New Roman"/>
          <w:snapToGrid w:val="0"/>
          <w:color w:val="auto"/>
          <w:kern w:val="0"/>
          <w:highlight w:val="none"/>
        </w:rPr>
      </w:pPr>
    </w:p>
    <w:p w14:paraId="4B187513">
      <w:pPr>
        <w:pStyle w:val="3"/>
        <w:wordWrap w:val="0"/>
        <w:autoSpaceDE/>
        <w:autoSpaceDN/>
        <w:snapToGrid w:val="0"/>
        <w:spacing w:line="440" w:lineRule="exact"/>
        <w:ind w:firstLine="480"/>
        <w:jc w:val="both"/>
        <w:rPr>
          <w:rFonts w:ascii="Times New Roman"/>
          <w:b/>
          <w:snapToGrid w:val="0"/>
          <w:color w:val="auto"/>
          <w:highlight w:val="none"/>
        </w:rPr>
      </w:pPr>
      <w:bookmarkStart w:id="111" w:name="_Toc16635"/>
      <w:bookmarkStart w:id="112" w:name="_Toc30233"/>
      <w:bookmarkStart w:id="113" w:name="_Toc12980"/>
      <w:r>
        <w:rPr>
          <w:rFonts w:hint="eastAsia" w:ascii="Times New Roman"/>
          <w:b/>
          <w:snapToGrid w:val="0"/>
          <w:color w:val="auto"/>
          <w:highlight w:val="none"/>
        </w:rPr>
        <w:t>2．形式评审环节</w:t>
      </w:r>
      <w:bookmarkEnd w:id="111"/>
      <w:bookmarkEnd w:id="112"/>
      <w:bookmarkEnd w:id="113"/>
    </w:p>
    <w:p w14:paraId="092D0EB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投标人有下列情形之一的，评标委员会应否决其投标。被否决的投标人，不进入响应性评审环节。</w:t>
      </w:r>
    </w:p>
    <w:p w14:paraId="684F13E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（9）各分册没按招标文件规定加盖电子印章；</w:t>
      </w:r>
    </w:p>
    <w:p w14:paraId="4CB0089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（10）本章第三节第10.2.2目、第10.3.2目、第10.4.3目中规定的“所有投标人均应提供”的组成内容（包括该组成内容的所附资料）中，任何一项有缺漏的；</w:t>
      </w:r>
    </w:p>
    <w:p w14:paraId="4C7F117A">
      <w:pPr>
        <w:wordWrap w:val="0"/>
        <w:adjustRightInd w:val="0"/>
        <w:snapToGrid w:val="0"/>
        <w:spacing w:line="440" w:lineRule="exact"/>
        <w:ind w:firstLine="480"/>
        <w:rPr>
          <w:rFonts w:hAnsi="宋体" w:cs="宋体"/>
          <w:snapToGrid w:val="0"/>
          <w:color w:val="auto"/>
          <w:kern w:val="0"/>
          <w:highlight w:val="none"/>
        </w:rPr>
      </w:pPr>
      <w:r>
        <w:rPr>
          <w:rFonts w:hint="eastAsia" w:ascii="Times New Roman"/>
          <w:snapToGrid w:val="0"/>
          <w:color w:val="auto"/>
          <w:kern w:val="0"/>
          <w:highlight w:val="none"/>
        </w:rPr>
        <w:t>（11）关键字迹模糊、无法辨认，</w:t>
      </w:r>
      <w:r>
        <w:rPr>
          <w:rFonts w:hint="eastAsia" w:ascii="Times New Roman"/>
          <w:b/>
          <w:bCs/>
          <w:snapToGrid w:val="0"/>
          <w:color w:val="auto"/>
          <w:kern w:val="0"/>
          <w:highlight w:val="none"/>
        </w:rPr>
        <w:t>且该种过错将导致评标委员会无法判断投标文件是否响应招标文件实质性要求的</w:t>
      </w:r>
      <w:r>
        <w:rPr>
          <w:rFonts w:hint="eastAsia" w:ascii="Times New Roman"/>
          <w:snapToGrid w:val="0"/>
          <w:color w:val="auto"/>
          <w:kern w:val="0"/>
          <w:highlight w:val="none"/>
        </w:rPr>
        <w:t>；</w:t>
      </w:r>
      <w:r>
        <w:rPr>
          <w:rFonts w:hAnsi="宋体" w:cs="宋体"/>
          <w:snapToGrid w:val="0"/>
          <w:color w:val="auto"/>
          <w:kern w:val="0"/>
          <w:highlight w:val="none"/>
        </w:rPr>
        <w:t>有涂改、行间插字或删除，但未加盖单位章或由投标人的法定代表人或其委托代理人签字确认的；</w:t>
      </w:r>
    </w:p>
    <w:p w14:paraId="5D5F053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（12）投标文件未按规定签字、盖章的；</w:t>
      </w:r>
    </w:p>
    <w:p w14:paraId="03D8764C">
      <w:pPr>
        <w:pStyle w:val="3"/>
        <w:wordWrap w:val="0"/>
        <w:autoSpaceDE/>
        <w:autoSpaceDN/>
        <w:snapToGrid w:val="0"/>
        <w:spacing w:line="440" w:lineRule="exact"/>
        <w:ind w:firstLine="480"/>
        <w:jc w:val="both"/>
        <w:rPr>
          <w:rFonts w:hint="eastAsia" w:ascii="Times New Roman"/>
          <w:b/>
          <w:snapToGrid w:val="0"/>
          <w:color w:val="auto"/>
          <w:highlight w:val="none"/>
        </w:rPr>
      </w:pPr>
      <w:bookmarkStart w:id="114" w:name="_Toc3997"/>
      <w:bookmarkStart w:id="115" w:name="_Toc23068"/>
      <w:bookmarkStart w:id="116" w:name="_Toc12619"/>
      <w:r>
        <w:rPr>
          <w:rFonts w:hint="eastAsia" w:ascii="Times New Roman"/>
          <w:b/>
          <w:snapToGrid w:val="0"/>
          <w:color w:val="auto"/>
          <w:highlight w:val="none"/>
        </w:rPr>
        <w:t>3．响应性评审环节</w:t>
      </w:r>
      <w:bookmarkEnd w:id="114"/>
      <w:bookmarkEnd w:id="115"/>
      <w:bookmarkEnd w:id="116"/>
    </w:p>
    <w:p w14:paraId="6F2FEF0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投标人有下列情形之一的，评标委员会应否决其投标。被否决的投标人，不进入详细评审阶段。</w:t>
      </w:r>
    </w:p>
    <w:p w14:paraId="19B3224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）承诺的投标有效期短于规定的；质量标准低于规定的；工期超出规定的；擅自修改、遗漏《投标函》《各项承诺一览表》实质性内容的；</w:t>
      </w:r>
    </w:p>
    <w:p w14:paraId="30A83D35">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rPr>
        <w:t>）编制《投标总价》的</w:t>
      </w:r>
      <w:r>
        <w:rPr>
          <w:rFonts w:hint="eastAsia" w:ascii="Times New Roman"/>
          <w:snapToGrid w:val="0"/>
          <w:color w:val="auto"/>
          <w:kern w:val="0"/>
          <w:szCs w:val="18"/>
          <w:highlight w:val="none"/>
        </w:rPr>
        <w:t>造价工程师，其注册证书不是住建部门颁发的；其注册单位与投标人（或造价咨询人）不一致的；其注册证书</w:t>
      </w:r>
      <w:r>
        <w:rPr>
          <w:rFonts w:hint="eastAsia" w:ascii="Times New Roman"/>
          <w:snapToGrid w:val="0"/>
          <w:color w:val="auto"/>
          <w:kern w:val="0"/>
          <w:highlight w:val="none"/>
        </w:rPr>
        <w:t>不在有效期内的。</w:t>
      </w:r>
    </w:p>
    <w:p w14:paraId="04B7433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注：投标人（或造价咨询人）已经工商变更，但其员工的执业资格注册证书的注册单位名称未完成变更的，不得否决其投标。</w:t>
      </w:r>
    </w:p>
    <w:p w14:paraId="0333144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rPr>
        <w:t>）投标人委托造价咨询单位编制《投标总价》，但未在《投标总价》封面（即封—3）加盖造价咨询人公章的；未提供造价咨询人的营业执照复印件（或打印件）的；</w:t>
      </w:r>
    </w:p>
    <w:p w14:paraId="73F8715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6</w:t>
      </w:r>
      <w:r>
        <w:rPr>
          <w:rFonts w:hint="eastAsia" w:ascii="Times New Roman"/>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D1CEEFB">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w:t>
      </w:r>
      <w:r>
        <w:rPr>
          <w:rFonts w:hint="eastAsia" w:ascii="Times New Roman"/>
          <w:snapToGrid w:val="0"/>
          <w:color w:val="auto"/>
          <w:kern w:val="0"/>
          <w:highlight w:val="none"/>
          <w:lang w:val="en-US" w:eastAsia="zh-CN"/>
        </w:rPr>
        <w:t>7</w:t>
      </w:r>
      <w:r>
        <w:rPr>
          <w:rFonts w:hint="eastAsia" w:ascii="Times New Roman"/>
          <w:snapToGrid w:val="0"/>
          <w:color w:val="auto"/>
          <w:kern w:val="0"/>
          <w:highlight w:val="none"/>
        </w:rPr>
        <w:t>）在施工组织设计评审中，评标委员会认定质量、进度保障措施与国家和省市现行有关规范、规定、标准有重大偏差，</w:t>
      </w:r>
      <w:r>
        <w:rPr>
          <w:rFonts w:hint="eastAsia" w:ascii="Times New Roman"/>
          <w:b/>
          <w:bCs/>
          <w:snapToGrid w:val="0"/>
          <w:color w:val="auto"/>
          <w:kern w:val="0"/>
          <w:highlight w:val="none"/>
        </w:rPr>
        <w:t>且该种过错将导致工程质量、进度管理目标无法实现的</w:t>
      </w:r>
      <w:r>
        <w:rPr>
          <w:rFonts w:hint="eastAsia" w:ascii="Times New Roman"/>
          <w:snapToGrid w:val="0"/>
          <w:color w:val="auto"/>
          <w:kern w:val="0"/>
          <w:highlight w:val="none"/>
        </w:rPr>
        <w:t>。</w:t>
      </w:r>
    </w:p>
    <w:p w14:paraId="07FAE4F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p>
    <w:p w14:paraId="16AD42EF">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b/>
          <w:bCs/>
          <w:snapToGrid w:val="0"/>
          <w:color w:val="auto"/>
          <w:kern w:val="0"/>
          <w:highlight w:val="none"/>
        </w:rPr>
      </w:pPr>
      <w:r>
        <w:rPr>
          <w:rFonts w:hint="eastAsia" w:ascii="Times New Roman"/>
          <w:b/>
          <w:bCs/>
          <w:snapToGrid w:val="0"/>
          <w:color w:val="auto"/>
          <w:kern w:val="0"/>
          <w:highlight w:val="none"/>
        </w:rPr>
        <w:t>4．其他</w:t>
      </w:r>
    </w:p>
    <w:p w14:paraId="44BDB06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szCs w:val="22"/>
          <w:highlight w:val="none"/>
        </w:rPr>
      </w:pPr>
      <w:r>
        <w:rPr>
          <w:rFonts w:hint="eastAsia" w:ascii="Times New Roman"/>
          <w:snapToGrid w:val="0"/>
          <w:color w:val="auto"/>
          <w:kern w:val="0"/>
          <w:highlight w:val="none"/>
        </w:rPr>
        <w:t>在任何评标环节（或阶段），投标人有下列情形之一的，评标委员会应否决其投标。</w:t>
      </w:r>
      <w:r>
        <w:rPr>
          <w:rFonts w:hint="eastAsia" w:ascii="Times New Roman"/>
          <w:snapToGrid w:val="0"/>
          <w:color w:val="auto"/>
          <w:kern w:val="0"/>
          <w:szCs w:val="22"/>
          <w:highlight w:val="none"/>
        </w:rPr>
        <w:t>被否决的投标人，不进入下一环节（或阶段）。</w:t>
      </w:r>
    </w:p>
    <w:p w14:paraId="6C2CF2C5">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r>
        <w:rPr>
          <w:rFonts w:hint="eastAsia" w:ascii="Times New Roman"/>
          <w:snapToGrid w:val="0"/>
          <w:color w:val="auto"/>
          <w:kern w:val="0"/>
          <w:highlight w:val="none"/>
        </w:rPr>
        <w:t>（1）不按评标委员会要求澄清、说明或补正的；</w:t>
      </w:r>
    </w:p>
    <w:p w14:paraId="29E825E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pPr>
      <w:r>
        <w:rPr>
          <w:rFonts w:hint="eastAsia" w:ascii="Times New Roman"/>
          <w:snapToGrid w:val="0"/>
          <w:color w:val="auto"/>
          <w:kern w:val="0"/>
          <w:highlight w:val="none"/>
        </w:rPr>
        <w:t>（2）有下列情形之一，被评标委员会认定属于串通投标的：</w:t>
      </w:r>
    </w:p>
    <w:p w14:paraId="33FCB600">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ascii="Times New Roman"/>
          <w:snapToGrid w:val="0"/>
          <w:color w:val="auto"/>
          <w:kern w:val="0"/>
          <w:highlight w:val="none"/>
        </w:rPr>
      </w:pPr>
      <w:r>
        <w:rPr>
          <w:rFonts w:hint="eastAsia" w:ascii="Times New Roman"/>
          <w:snapToGrid w:val="0"/>
          <w:color w:val="auto"/>
          <w:kern w:val="0"/>
          <w:highlight w:val="none"/>
        </w:rPr>
        <w:t xml:space="preserve">    ①</w:t>
      </w:r>
      <w:r>
        <w:rPr>
          <w:rFonts w:ascii="Times New Roman"/>
          <w:snapToGrid w:val="0"/>
          <w:color w:val="auto"/>
          <w:kern w:val="0"/>
          <w:highlight w:val="none"/>
        </w:rPr>
        <w:t>不同投标人的投标文件两处以上（含两处）错、漏一致；</w:t>
      </w:r>
    </w:p>
    <w:p w14:paraId="30199331">
      <w:pPr>
        <w:keepNext w:val="0"/>
        <w:keepLines w:val="0"/>
        <w:pageBreakBefore w:val="0"/>
        <w:widowControl w:val="0"/>
        <w:kinsoku/>
        <w:wordWrap w:val="0"/>
        <w:overflowPunct/>
        <w:topLinePunct w:val="0"/>
        <w:autoSpaceDE/>
        <w:autoSpaceDN/>
        <w:bidi w:val="0"/>
        <w:adjustRightInd w:val="0"/>
        <w:snapToGrid w:val="0"/>
        <w:spacing w:line="420" w:lineRule="exact"/>
        <w:textAlignment w:val="auto"/>
        <w:rPr>
          <w:rFonts w:ascii="Times New Roman"/>
          <w:snapToGrid w:val="0"/>
          <w:color w:val="auto"/>
          <w:kern w:val="0"/>
          <w:highlight w:val="none"/>
        </w:rPr>
      </w:pPr>
      <w:r>
        <w:rPr>
          <w:rFonts w:hint="eastAsia" w:ascii="Times New Roman"/>
          <w:snapToGrid w:val="0"/>
          <w:color w:val="auto"/>
          <w:kern w:val="0"/>
          <w:highlight w:val="none"/>
        </w:rPr>
        <w:t xml:space="preserve">    ②</w:t>
      </w:r>
      <w:r>
        <w:rPr>
          <w:rFonts w:ascii="Times New Roman"/>
          <w:snapToGrid w:val="0"/>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604AD6E9">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③</w:t>
      </w:r>
      <w:r>
        <w:rPr>
          <w:rFonts w:ascii="Times New Roman"/>
          <w:snapToGrid w:val="0"/>
          <w:color w:val="auto"/>
          <w:kern w:val="0"/>
          <w:highlight w:val="none"/>
        </w:rPr>
        <w:t>不同投标人的投标各项报价存在异常一致或者呈规律性变化；</w:t>
      </w:r>
    </w:p>
    <w:p w14:paraId="36B86C40">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④</w:t>
      </w:r>
      <w:r>
        <w:rPr>
          <w:rFonts w:ascii="Times New Roman"/>
          <w:snapToGrid w:val="0"/>
          <w:color w:val="auto"/>
          <w:kern w:val="0"/>
          <w:highlight w:val="none"/>
        </w:rPr>
        <w:t>不同投标人的投标文件由同一单位或者同一个人编制；</w:t>
      </w:r>
    </w:p>
    <w:p w14:paraId="14F44DEA">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⑤</w:t>
      </w:r>
      <w:r>
        <w:rPr>
          <w:rFonts w:ascii="Times New Roman"/>
          <w:snapToGrid w:val="0"/>
          <w:color w:val="auto"/>
          <w:kern w:val="0"/>
          <w:highlight w:val="none"/>
        </w:rPr>
        <w:t>不同投标人的投标文件中投标资料（包括电子资料）相互混装或项目班子成员出现同一人；</w:t>
      </w:r>
    </w:p>
    <w:p w14:paraId="03BBDD99">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⑥</w:t>
      </w:r>
      <w:r>
        <w:rPr>
          <w:rFonts w:ascii="Times New Roman"/>
          <w:snapToGrid w:val="0"/>
          <w:color w:val="auto"/>
          <w:kern w:val="0"/>
          <w:highlight w:val="none"/>
        </w:rPr>
        <w:t>不同投标人的投标文件由同一电脑编制或同一台附属设备打印，或投标报价用同一个预算编制软件密码锁制作或出自同一电子文档；</w:t>
      </w:r>
    </w:p>
    <w:p w14:paraId="39A2FB22">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ascii="Times New Roman"/>
          <w:snapToGrid w:val="0"/>
          <w:color w:val="auto"/>
          <w:kern w:val="0"/>
          <w:highlight w:val="none"/>
        </w:rPr>
      </w:pPr>
      <w:r>
        <w:rPr>
          <w:rFonts w:hint="eastAsia" w:ascii="Times New Roman"/>
          <w:snapToGrid w:val="0"/>
          <w:color w:val="auto"/>
          <w:kern w:val="0"/>
          <w:highlight w:val="none"/>
        </w:rPr>
        <w:t>⑦</w:t>
      </w:r>
      <w:r>
        <w:rPr>
          <w:rFonts w:ascii="Times New Roman"/>
          <w:snapToGrid w:val="0"/>
          <w:color w:val="auto"/>
          <w:kern w:val="0"/>
          <w:highlight w:val="none"/>
        </w:rPr>
        <w:t>不同投标人的投标保证由同一企业或同一账户资金缴纳；</w:t>
      </w:r>
    </w:p>
    <w:p w14:paraId="6C3BC277">
      <w:pPr>
        <w:keepNext w:val="0"/>
        <w:keepLines w:val="0"/>
        <w:pageBreakBefore w:val="0"/>
        <w:widowControl w:val="0"/>
        <w:kinsoku/>
        <w:wordWrap w:val="0"/>
        <w:overflowPunct/>
        <w:topLinePunct w:val="0"/>
        <w:autoSpaceDE/>
        <w:autoSpaceDN/>
        <w:bidi w:val="0"/>
        <w:adjustRightInd w:val="0"/>
        <w:snapToGrid w:val="0"/>
        <w:spacing w:line="420" w:lineRule="exact"/>
        <w:ind w:firstLine="480"/>
        <w:textAlignment w:val="auto"/>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⑧</w:t>
      </w:r>
      <w:r>
        <w:rPr>
          <w:rFonts w:ascii="Times New Roman"/>
          <w:snapToGrid w:val="0"/>
          <w:color w:val="auto"/>
          <w:kern w:val="0"/>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highlight w:val="none"/>
        </w:rPr>
        <w:t>项目</w:t>
      </w:r>
      <w:r>
        <w:rPr>
          <w:rFonts w:ascii="Times New Roman"/>
          <w:snapToGrid w:val="0"/>
          <w:color w:val="auto"/>
          <w:kern w:val="0"/>
          <w:highlight w:val="none"/>
        </w:rPr>
        <w:t>本身要求采用专有技术的除外）等服务。</w:t>
      </w:r>
      <w:bookmarkEnd w:id="107"/>
    </w:p>
    <w:p w14:paraId="03E5ADE9">
      <w:pPr>
        <w:wordWrap w:val="0"/>
        <w:adjustRightInd w:val="0"/>
        <w:snapToGrid w:val="0"/>
        <w:spacing w:line="440" w:lineRule="exact"/>
        <w:jc w:val="center"/>
        <w:outlineLvl w:val="0"/>
        <w:rPr>
          <w:rFonts w:ascii="Times New Roman"/>
          <w:b/>
          <w:snapToGrid w:val="0"/>
          <w:color w:val="auto"/>
          <w:kern w:val="0"/>
          <w:highlight w:val="none"/>
        </w:rPr>
      </w:pPr>
      <w:bookmarkStart w:id="117" w:name="_Hlt87952408"/>
      <w:bookmarkEnd w:id="117"/>
      <w:bookmarkStart w:id="118" w:name="_Hlt69669771"/>
      <w:bookmarkEnd w:id="118"/>
      <w:bookmarkStart w:id="119" w:name="_Hlt112206772"/>
      <w:bookmarkEnd w:id="119"/>
      <w:bookmarkStart w:id="120" w:name="_Hlt70150994"/>
      <w:bookmarkEnd w:id="120"/>
      <w:bookmarkStart w:id="121" w:name="_Toc20451"/>
      <w:bookmarkStart w:id="122" w:name="_Toc20948"/>
      <w:bookmarkStart w:id="123" w:name="_Hlt69698769"/>
      <w:bookmarkStart w:id="124" w:name="_Hlt69698741"/>
      <w:bookmarkStart w:id="125" w:name="_Hlt69698722"/>
      <w:r>
        <w:rPr>
          <w:rFonts w:hint="eastAsia" w:ascii="Times New Roman"/>
          <w:b/>
          <w:snapToGrid w:val="0"/>
          <w:color w:val="auto"/>
          <w:kern w:val="0"/>
          <w:highlight w:val="none"/>
        </w:rPr>
        <w:t>第</w:t>
      </w:r>
      <w:bookmarkStart w:id="126" w:name="_Hlt69669171"/>
      <w:bookmarkEnd w:id="126"/>
      <w:r>
        <w:rPr>
          <w:rFonts w:hint="eastAsia" w:ascii="Times New Roman"/>
          <w:b/>
          <w:snapToGrid w:val="0"/>
          <w:color w:val="auto"/>
          <w:kern w:val="0"/>
          <w:highlight w:val="none"/>
        </w:rPr>
        <w:t>二章</w:t>
      </w:r>
      <w:bookmarkStart w:id="127" w:name="_Hlt87793839"/>
      <w:bookmarkEnd w:id="127"/>
      <w:r>
        <w:rPr>
          <w:rFonts w:hint="eastAsia" w:ascii="Times New Roman"/>
          <w:b/>
          <w:snapToGrid w:val="0"/>
          <w:color w:val="auto"/>
          <w:kern w:val="0"/>
          <w:highlight w:val="none"/>
        </w:rPr>
        <w:t xml:space="preserve"> 中标人须知</w:t>
      </w:r>
      <w:bookmarkEnd w:id="121"/>
      <w:bookmarkEnd w:id="122"/>
    </w:p>
    <w:bookmarkEnd w:id="123"/>
    <w:bookmarkEnd w:id="124"/>
    <w:bookmarkEnd w:id="125"/>
    <w:p w14:paraId="33E525F5">
      <w:pPr>
        <w:wordWrap w:val="0"/>
        <w:adjustRightInd w:val="0"/>
        <w:snapToGrid w:val="0"/>
        <w:spacing w:line="440" w:lineRule="exact"/>
        <w:ind w:firstLine="562"/>
        <w:rPr>
          <w:rFonts w:hint="eastAsia" w:ascii="Times New Roman"/>
          <w:b/>
          <w:snapToGrid w:val="0"/>
          <w:color w:val="auto"/>
          <w:kern w:val="0"/>
          <w:highlight w:val="none"/>
        </w:rPr>
      </w:pPr>
    </w:p>
    <w:p w14:paraId="32F6885F">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snapToGrid w:val="0"/>
          <w:color w:val="auto"/>
          <w:kern w:val="0"/>
          <w:highlight w:val="none"/>
        </w:rPr>
        <w:t>1．中标通知书</w:t>
      </w:r>
    </w:p>
    <w:p w14:paraId="5F2AD230">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7458D41">
      <w:pPr>
        <w:wordWrap w:val="0"/>
        <w:adjustRightInd w:val="0"/>
        <w:snapToGrid w:val="0"/>
        <w:spacing w:line="440" w:lineRule="exact"/>
        <w:ind w:firstLine="562"/>
        <w:rPr>
          <w:rFonts w:hint="eastAsia" w:ascii="Times New Roman"/>
          <w:snapToGrid w:val="0"/>
          <w:color w:val="auto"/>
          <w:kern w:val="0"/>
          <w:highlight w:val="none"/>
        </w:rPr>
      </w:pPr>
    </w:p>
    <w:p w14:paraId="1008EA53">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2．中标结果公示</w:t>
      </w:r>
    </w:p>
    <w:p w14:paraId="1647A693">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中标通知书发出后15日内，招标人应将中标结果在广东省招标投标监管网（http://zbtb.gd.gov.cn）、</w:t>
      </w:r>
      <w:r>
        <w:rPr>
          <w:rFonts w:hint="eastAsia" w:ascii="Times New Roman"/>
          <w:snapToGrid w:val="0"/>
          <w:color w:val="auto"/>
          <w:kern w:val="0"/>
          <w:highlight w:val="none"/>
          <w:lang w:eastAsia="zh-CN"/>
        </w:rPr>
        <w:t>全国公共资源交易平台（广东省·韶关市）（https://ygp.gdzwfw.gov.cn/ggzy-portal/#/440200/index）</w:t>
      </w:r>
      <w:r>
        <w:rPr>
          <w:rFonts w:hint="eastAsia" w:ascii="Times New Roman"/>
          <w:snapToGrid w:val="0"/>
          <w:color w:val="auto"/>
          <w:kern w:val="0"/>
          <w:highlight w:val="none"/>
        </w:rPr>
        <w:t>进行公示。</w:t>
      </w:r>
    </w:p>
    <w:p w14:paraId="3C89C084">
      <w:pPr>
        <w:wordWrap w:val="0"/>
        <w:adjustRightInd w:val="0"/>
        <w:snapToGrid w:val="0"/>
        <w:spacing w:line="440" w:lineRule="exact"/>
        <w:ind w:firstLine="562"/>
        <w:rPr>
          <w:rFonts w:hint="eastAsia" w:ascii="Times New Roman"/>
          <w:snapToGrid w:val="0"/>
          <w:color w:val="auto"/>
          <w:kern w:val="0"/>
          <w:highlight w:val="none"/>
        </w:rPr>
      </w:pPr>
    </w:p>
    <w:p w14:paraId="75402DFA">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3．履约保证</w:t>
      </w:r>
    </w:p>
    <w:p w14:paraId="2D04245A">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3.1</w:t>
      </w:r>
      <w:r>
        <w:rPr>
          <w:rFonts w:hint="eastAsia" w:ascii="Times New Roman"/>
          <w:snapToGrid w:val="0"/>
          <w:color w:val="auto"/>
          <w:kern w:val="0"/>
          <w:highlight w:val="none"/>
        </w:rPr>
        <w:t xml:space="preserve"> 中标人须在领取中标通知书之日起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10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个工作日内、签订合同前向招标人提交金额为中标价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5</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 xml:space="preserve">% 的履约保证。 </w:t>
      </w:r>
    </w:p>
    <w:p w14:paraId="0A040060">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b/>
          <w:bCs/>
          <w:snapToGrid w:val="0"/>
          <w:color w:val="auto"/>
          <w:kern w:val="0"/>
          <w:highlight w:val="none"/>
        </w:rPr>
        <w:t>3.2</w:t>
      </w:r>
      <w:r>
        <w:rPr>
          <w:rFonts w:hint="eastAsia" w:ascii="Times New Roman"/>
          <w:snapToGrid w:val="0"/>
          <w:color w:val="auto"/>
          <w:kern w:val="0"/>
          <w:highlight w:val="none"/>
        </w:rPr>
        <w:t xml:space="preserve"> 履约保证的形式包括履约保证金、履约保证担保、履约保证保险三种，由中标人自主选择。</w:t>
      </w:r>
    </w:p>
    <w:p w14:paraId="28F1169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（1）采用履约保证金的，中标人须从其法人开户银行的账号将履约保证金划至招标人账户，并详细注明项目名称及用途。</w:t>
      </w:r>
    </w:p>
    <w:p w14:paraId="1DF2AAC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right="0" w:rightChars="0" w:firstLine="480" w:firstLineChars="200"/>
        <w:jc w:val="both"/>
        <w:textAlignment w:val="auto"/>
        <w:outlineLvl w:val="9"/>
        <w:rPr>
          <w:rFonts w:hint="eastAsia" w:ascii="Times New Roman" w:hAnsi="Times New Roman" w:cs="Times New Roman"/>
          <w:caps w:val="0"/>
          <w:smallCaps w:val="0"/>
          <w:snapToGrid w:val="0"/>
          <w:color w:val="auto"/>
          <w:spacing w:val="0"/>
          <w:kern w:val="0"/>
          <w:highlight w:val="none"/>
          <w:lang w:val="en-US" w:eastAsia="zh-CN"/>
        </w:rPr>
      </w:pPr>
      <w:r>
        <w:rPr>
          <w:rFonts w:hint="eastAsia" w:ascii="Times New Roman" w:hAnsi="Times New Roman" w:cs="Times New Roman"/>
          <w:caps w:val="0"/>
          <w:smallCaps w:val="0"/>
          <w:snapToGrid w:val="0"/>
          <w:color w:val="auto"/>
          <w:spacing w:val="0"/>
          <w:kern w:val="0"/>
          <w:highlight w:val="none"/>
          <w:lang w:val="en-US" w:eastAsia="zh-CN"/>
        </w:rPr>
        <w:t>（2）采用履约保证担保或履约保证保险的，中标人应提交有效的商业保函、银行保函或保险合同（或保险单）原件，商业保函、银行保函或保险合同（或保险单）的有效期应当自合同生效之日起至项目通过竣工验收之日后28天止。如果中标人无法获得具体截止日期，商业保函、银行保函或保险合同（或保险单）中应当有“变更项目竣工日期的，保证期间按照变更后的竣工日期做相应调整”或类似约定的条款。</w:t>
      </w:r>
    </w:p>
    <w:p w14:paraId="567B380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eastAsia="宋体" w:cs="Times New Roman"/>
          <w:b/>
          <w:bCs/>
          <w:caps w:val="0"/>
          <w:smallCaps w:val="0"/>
          <w:snapToGrid w:val="0"/>
          <w:color w:val="auto"/>
          <w:spacing w:val="0"/>
          <w:kern w:val="0"/>
          <w:sz w:val="24"/>
          <w:szCs w:val="20"/>
          <w:highlight w:val="none"/>
          <w:u w:val="none" w:color="auto"/>
          <w:lang w:val="en-US" w:eastAsia="zh-CN" w:bidi="ar-SA"/>
        </w:rPr>
        <w:t>3.3</w:t>
      </w:r>
      <w:r>
        <w:rPr>
          <w:rFonts w:hint="eastAsia" w:ascii="Times New Roman" w:hAnsi="Times New Roman" w:cs="Times New Roman"/>
          <w:caps w:val="0"/>
          <w:smallCaps w:val="0"/>
          <w:snapToGrid w:val="0"/>
          <w:color w:val="auto"/>
          <w:spacing w:val="0"/>
          <w:kern w:val="0"/>
          <w:highlight w:val="none"/>
          <w:lang w:val="en-US" w:eastAsia="zh-CN"/>
        </w:rPr>
        <w:t xml:space="preserve"> 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Times New Roman"/>
          <w:snapToGrid w:val="0"/>
          <w:color w:val="auto"/>
          <w:kern w:val="0"/>
          <w:highlight w:val="none"/>
        </w:rPr>
        <w:t>并由招标人通报建设行政管理部门。如采用</w:t>
      </w:r>
      <w:r>
        <w:rPr>
          <w:rFonts w:hint="eastAsia" w:ascii="Times New Roman"/>
          <w:snapToGrid w:val="0"/>
          <w:color w:val="auto"/>
          <w:kern w:val="0"/>
          <w:highlight w:val="none"/>
          <w:lang w:eastAsia="zh-CN"/>
        </w:rPr>
        <w:t>商业保函、银行保函或保险合同</w:t>
      </w:r>
      <w:r>
        <w:rPr>
          <w:rFonts w:hint="eastAsia" w:ascii="Times New Roman"/>
          <w:snapToGrid w:val="0"/>
          <w:color w:val="auto"/>
          <w:kern w:val="0"/>
          <w:highlight w:val="none"/>
        </w:rPr>
        <w:t>方式缴纳履约保证金，在保函或保险合同到期前一个月，中标人须主动办理续期手续或提交新的</w:t>
      </w:r>
      <w:r>
        <w:rPr>
          <w:rFonts w:hint="eastAsia" w:ascii="Times New Roman"/>
          <w:snapToGrid w:val="0"/>
          <w:color w:val="auto"/>
          <w:kern w:val="0"/>
          <w:highlight w:val="none"/>
          <w:lang w:eastAsia="zh-CN"/>
        </w:rPr>
        <w:t>商业保函、银行保函或保险合同。</w:t>
      </w:r>
    </w:p>
    <w:p w14:paraId="15324B8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3.4</w:t>
      </w:r>
      <w:r>
        <w:rPr>
          <w:rFonts w:hint="eastAsia" w:ascii="Times New Roman"/>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22C54E25">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3.5</w:t>
      </w:r>
      <w:r>
        <w:rPr>
          <w:rFonts w:hint="eastAsia" w:ascii="Times New Roman"/>
          <w:snapToGrid w:val="0"/>
          <w:color w:val="auto"/>
          <w:kern w:val="0"/>
          <w:highlight w:val="none"/>
        </w:rPr>
        <w:t xml:space="preserve"> 项目通过竣工验收之日后28天内，发包人将履约保证退还给承包人。</w:t>
      </w:r>
    </w:p>
    <w:p w14:paraId="53774F7C">
      <w:pPr>
        <w:wordWrap w:val="0"/>
        <w:adjustRightInd w:val="0"/>
        <w:snapToGrid w:val="0"/>
        <w:spacing w:line="440" w:lineRule="exact"/>
        <w:ind w:firstLine="480" w:firstLineChars="200"/>
        <w:rPr>
          <w:rFonts w:hint="eastAsia" w:ascii="Times New Roman"/>
          <w:snapToGrid w:val="0"/>
          <w:color w:val="auto"/>
          <w:kern w:val="0"/>
          <w:highlight w:val="none"/>
        </w:rPr>
      </w:pPr>
    </w:p>
    <w:p w14:paraId="2D2F9A7B">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4．合同订立</w:t>
      </w:r>
    </w:p>
    <w:p w14:paraId="40B6F83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4.1</w:t>
      </w:r>
      <w:r>
        <w:rPr>
          <w:rFonts w:hint="eastAsia" w:ascii="Times New Roman"/>
          <w:snapToGrid w:val="0"/>
          <w:color w:val="auto"/>
          <w:kern w:val="0"/>
          <w:highlight w:val="none"/>
        </w:rPr>
        <w:t xml:space="preserve"> 招标人应当自中标通知书发出之日起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single"/>
          <w:lang w:val="en-US" w:eastAsia="zh-CN"/>
        </w:rPr>
        <w:t>30</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日内，按照招标文件、中标人的投标文件与中标人订立书面合同。</w:t>
      </w:r>
    </w:p>
    <w:p w14:paraId="63DD32F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w:t>
      </w:r>
      <w:r>
        <w:rPr>
          <w:rFonts w:hint="eastAsia" w:ascii="Times New Roman"/>
          <w:snapToGrid w:val="0"/>
          <w:color w:val="auto"/>
          <w:kern w:val="0"/>
          <w:highlight w:val="none"/>
        </w:rPr>
        <w:t xml:space="preserve"> 不正常报价的梳理和确认</w:t>
      </w:r>
    </w:p>
    <w:p w14:paraId="6DA9D25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4.2.1</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highlight w:val="none"/>
        </w:rPr>
        <w:t>招标人不具备以上能力的，可授权编制本项目招标控制价的造价咨询单位实施。</w:t>
      </w:r>
    </w:p>
    <w:p w14:paraId="7AE7429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4.2.2</w:t>
      </w:r>
      <w:r>
        <w:rPr>
          <w:rFonts w:hint="eastAsia" w:ascii="Times New Roman"/>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D82A24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4.2.3</w:t>
      </w:r>
      <w:r>
        <w:rPr>
          <w:rFonts w:hint="eastAsia" w:ascii="Times New Roman"/>
          <w:snapToGrid w:val="0"/>
          <w:color w:val="auto"/>
          <w:kern w:val="0"/>
          <w:highlight w:val="none"/>
        </w:rPr>
        <w:t xml:space="preserve"> 错漏项的认定。中标人已标价工程量清单中，任一清单项目未填报价格或价格为零的，视为错漏项。</w:t>
      </w:r>
    </w:p>
    <w:p w14:paraId="755DFC1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4.2.4</w:t>
      </w:r>
      <w:r>
        <w:rPr>
          <w:rFonts w:hint="eastAsia" w:ascii="Times New Roman"/>
          <w:snapToGrid w:val="0"/>
          <w:color w:val="auto"/>
          <w:kern w:val="0"/>
          <w:highlight w:val="none"/>
        </w:rPr>
        <w:t xml:space="preserve"> 不平衡报价的认定。经修正算术性错误后的中标人已标价工程量清单中，</w:t>
      </w:r>
      <w:r>
        <w:rPr>
          <w:rFonts w:hint="eastAsia" w:ascii="Times New Roman"/>
          <w:snapToGrid w:val="0"/>
          <w:color w:val="auto"/>
          <w:kern w:val="0"/>
          <w:highlight w:val="none"/>
          <w:u w:val="single"/>
        </w:rPr>
        <w:t xml:space="preserve">  </w:t>
      </w:r>
      <w:r>
        <w:rPr>
          <w:rFonts w:hint="eastAsia" w:ascii="Times New Roman"/>
          <w:b/>
          <w:bCs/>
          <w:snapToGrid w:val="0"/>
          <w:color w:val="auto"/>
          <w:kern w:val="0"/>
          <w:highlight w:val="none"/>
          <w:u w:val="single"/>
        </w:rPr>
        <w:t>分部分项工程量清单项目的投标综合单价与招标控制价分部分项工程量清单项目的综合单价偏差≥20%</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的清单项目，视为不平衡报价项目。</w:t>
      </w:r>
    </w:p>
    <w:p w14:paraId="4D6105F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4.2.5</w:t>
      </w:r>
      <w:r>
        <w:rPr>
          <w:rFonts w:hint="eastAsia" w:ascii="Times New Roman"/>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5182079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4.2.6</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合同履行过程中，被认定为错漏项的清单项目，结算时按照第三章“拟签订合同的主要条款”第2.6条规定处理。</w:t>
      </w:r>
    </w:p>
    <w:p w14:paraId="43DC514B">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27512C6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 xml:space="preserve">4.3 </w:t>
      </w:r>
      <w:r>
        <w:rPr>
          <w:rFonts w:hint="eastAsia" w:ascii="Times New Roman"/>
          <w:snapToGrid w:val="0"/>
          <w:color w:val="auto"/>
          <w:kern w:val="0"/>
          <w:highlight w:val="none"/>
        </w:rPr>
        <w:t>本招标项目合同计价方式为：</w:t>
      </w:r>
      <w:r>
        <w:rPr>
          <w:rFonts w:hint="eastAsia" w:ascii="Times New Roman"/>
          <w:snapToGrid w:val="0"/>
          <w:color w:val="auto"/>
          <w:kern w:val="0"/>
          <w:highlight w:val="none"/>
          <w:u w:val="single"/>
        </w:rPr>
        <w:t xml:space="preserve"> 单价 </w:t>
      </w:r>
      <w:r>
        <w:rPr>
          <w:rFonts w:hint="eastAsia" w:ascii="Times New Roman"/>
          <w:snapToGrid w:val="0"/>
          <w:color w:val="auto"/>
          <w:kern w:val="0"/>
          <w:highlight w:val="none"/>
        </w:rPr>
        <w:t>合同。</w:t>
      </w:r>
    </w:p>
    <w:p w14:paraId="0C84157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4.4</w:t>
      </w:r>
      <w:r>
        <w:rPr>
          <w:rFonts w:hint="eastAsia" w:ascii="Times New Roman"/>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9B3E64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4.5</w:t>
      </w:r>
      <w:r>
        <w:rPr>
          <w:rFonts w:hint="eastAsia" w:ascii="Times New Roman"/>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C1BA4E6">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4.6</w:t>
      </w:r>
      <w:r>
        <w:rPr>
          <w:rFonts w:hint="eastAsia" w:ascii="Times New Roman"/>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74E728D4">
      <w:pPr>
        <w:wordWrap w:val="0"/>
        <w:adjustRightInd w:val="0"/>
        <w:snapToGrid w:val="0"/>
        <w:spacing w:line="440" w:lineRule="exact"/>
        <w:ind w:firstLine="480" w:firstLineChars="200"/>
        <w:rPr>
          <w:rFonts w:hint="eastAsia" w:ascii="Times New Roman"/>
          <w:snapToGrid w:val="0"/>
          <w:color w:val="auto"/>
          <w:kern w:val="0"/>
          <w:highlight w:val="none"/>
        </w:rPr>
      </w:pPr>
    </w:p>
    <w:p w14:paraId="3E3768A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5．放弃中标的处理</w:t>
      </w:r>
    </w:p>
    <w:p w14:paraId="35571B7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5.1</w:t>
      </w:r>
      <w:r>
        <w:rPr>
          <w:rFonts w:hint="eastAsia" w:ascii="Times New Roman"/>
          <w:snapToGrid w:val="0"/>
          <w:color w:val="auto"/>
          <w:kern w:val="0"/>
          <w:highlight w:val="none"/>
        </w:rPr>
        <w:t xml:space="preserve"> 中标人</w:t>
      </w:r>
      <w:r>
        <w:rPr>
          <w:snapToGrid w:val="0"/>
          <w:color w:val="auto"/>
          <w:highlight w:val="none"/>
        </w:rPr>
        <w:t>无正当理由</w:t>
      </w:r>
      <w:r>
        <w:rPr>
          <w:rFonts w:hint="eastAsia"/>
          <w:snapToGrid w:val="0"/>
          <w:color w:val="auto"/>
          <w:highlight w:val="none"/>
        </w:rPr>
        <w:t>放弃中标的，</w:t>
      </w:r>
      <w:r>
        <w:rPr>
          <w:rFonts w:hint="eastAsia" w:ascii="Times New Roman"/>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highlight w:val="none"/>
        </w:rPr>
        <w:t>因此种情况造成招标人重新招标的</w:t>
      </w:r>
      <w:r>
        <w:rPr>
          <w:rFonts w:hint="eastAsia" w:ascii="Times New Roman"/>
          <w:snapToGrid w:val="0"/>
          <w:color w:val="auto"/>
          <w:kern w:val="0"/>
          <w:highlight w:val="none"/>
        </w:rPr>
        <w:t>，招标人可不接受该弃标人再次投标。同时，招标人应将该弃标人的失信行为向行政监督部门报告。</w:t>
      </w:r>
    </w:p>
    <w:p w14:paraId="5B97A820">
      <w:pPr>
        <w:wordWrap w:val="0"/>
        <w:adjustRightInd w:val="0"/>
        <w:snapToGrid w:val="0"/>
        <w:spacing w:line="440" w:lineRule="exact"/>
        <w:ind w:firstLine="480" w:firstLineChars="200"/>
        <w:rPr>
          <w:rFonts w:hint="eastAsia" w:ascii="Times New Roman"/>
          <w:snapToGrid w:val="0"/>
          <w:color w:val="auto"/>
          <w:kern w:val="0"/>
          <w:highlight w:val="none"/>
        </w:rPr>
      </w:pPr>
    </w:p>
    <w:p w14:paraId="44AE549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51F85091">
      <w:pPr>
        <w:wordWrap w:val="0"/>
        <w:adjustRightInd w:val="0"/>
        <w:snapToGrid w:val="0"/>
        <w:spacing w:line="440" w:lineRule="exact"/>
        <w:ind w:firstLine="480" w:firstLineChars="200"/>
        <w:rPr>
          <w:rFonts w:hint="eastAsia" w:ascii="Times New Roman"/>
          <w:snapToGrid w:val="0"/>
          <w:color w:val="auto"/>
          <w:kern w:val="0"/>
          <w:highlight w:val="none"/>
        </w:rPr>
      </w:pPr>
    </w:p>
    <w:p w14:paraId="050835A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6．专业工程分包</w:t>
      </w:r>
    </w:p>
    <w:p w14:paraId="2E7B0E3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ACDD333">
      <w:pPr>
        <w:wordWrap w:val="0"/>
        <w:adjustRightInd w:val="0"/>
        <w:snapToGrid w:val="0"/>
        <w:spacing w:line="440" w:lineRule="exact"/>
        <w:ind w:firstLine="480" w:firstLineChars="200"/>
        <w:rPr>
          <w:rFonts w:hint="eastAsia" w:ascii="Times New Roman"/>
          <w:snapToGrid w:val="0"/>
          <w:color w:val="auto"/>
          <w:kern w:val="0"/>
          <w:highlight w:val="none"/>
        </w:rPr>
      </w:pPr>
    </w:p>
    <w:p w14:paraId="4C8B7444">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7．工人工资支付专用账户</w:t>
      </w:r>
    </w:p>
    <w:p w14:paraId="194C497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BE001BF">
      <w:pPr>
        <w:pStyle w:val="5"/>
        <w:rPr>
          <w:rFonts w:hint="eastAsia" w:ascii="Times New Roman"/>
          <w:snapToGrid w:val="0"/>
          <w:color w:val="auto"/>
          <w:kern w:val="0"/>
          <w:highlight w:val="none"/>
        </w:rPr>
      </w:pPr>
      <w:r>
        <w:rPr>
          <w:rFonts w:hint="eastAsia" w:ascii="Times New Roman" w:hAnsi="Times New Roman"/>
          <w:i/>
          <w:iCs/>
          <w:snapToGrid w:val="0"/>
          <w:color w:val="auto"/>
          <w:kern w:val="0"/>
          <w:highlight w:val="none"/>
        </w:rPr>
        <w:t xml:space="preserve">    </w:t>
      </w:r>
      <w:bookmarkStart w:id="128" w:name="_Toc23003"/>
      <w:r>
        <w:rPr>
          <w:rFonts w:hint="eastAsia" w:ascii="Times New Roman" w:hAnsi="Times New Roman"/>
          <w:b/>
          <w:bCs/>
          <w:snapToGrid w:val="0"/>
          <w:color w:val="auto"/>
          <w:kern w:val="0"/>
          <w:highlight w:val="none"/>
        </w:rPr>
        <w:t>7.2</w:t>
      </w:r>
      <w:r>
        <w:rPr>
          <w:rFonts w:hint="eastAsia" w:ascii="Times New Roman" w:hAnsi="Times New Roman"/>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128"/>
    </w:p>
    <w:p w14:paraId="41EC1B9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36D59A2C">
      <w:pPr>
        <w:wordWrap w:val="0"/>
        <w:adjustRightInd w:val="0"/>
        <w:snapToGrid w:val="0"/>
        <w:spacing w:line="440" w:lineRule="exact"/>
        <w:ind w:firstLine="480" w:firstLineChars="200"/>
        <w:rPr>
          <w:rFonts w:hint="eastAsia" w:ascii="Times New Roman"/>
          <w:snapToGrid w:val="0"/>
          <w:color w:val="auto"/>
          <w:kern w:val="0"/>
          <w:highlight w:val="none"/>
        </w:rPr>
      </w:pPr>
    </w:p>
    <w:p w14:paraId="5079298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8．诚信登记</w:t>
      </w:r>
    </w:p>
    <w:p w14:paraId="1069ECB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承包人在签订合同30日内，须按《韶关市住建管理局关于加强我市建筑行业企业及注册执业人员诚信管理的通知》（韶市建字〔2018）56号）的要求办理诚信登记，纳入诚信管理范围。</w:t>
      </w:r>
    </w:p>
    <w:p w14:paraId="76BC607A">
      <w:pPr>
        <w:wordWrap w:val="0"/>
        <w:adjustRightInd w:val="0"/>
        <w:snapToGrid w:val="0"/>
        <w:spacing w:line="440" w:lineRule="exact"/>
        <w:ind w:firstLine="480" w:firstLineChars="200"/>
        <w:rPr>
          <w:rFonts w:ascii="Times New Roman"/>
          <w:snapToGrid w:val="0"/>
          <w:color w:val="auto"/>
          <w:kern w:val="0"/>
          <w:highlight w:val="none"/>
        </w:rPr>
      </w:pPr>
    </w:p>
    <w:p w14:paraId="737C7953">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9．工期进度</w:t>
      </w:r>
    </w:p>
    <w:p w14:paraId="59A4EE4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.1</w:t>
      </w:r>
      <w:r>
        <w:rPr>
          <w:rFonts w:ascii="Times New Roman"/>
          <w:snapToGrid w:val="0"/>
          <w:color w:val="auto"/>
          <w:kern w:val="0"/>
          <w:highlight w:val="none"/>
        </w:rPr>
        <w:t xml:space="preserve"> </w:t>
      </w:r>
      <w:r>
        <w:rPr>
          <w:rFonts w:hint="eastAsia" w:ascii="Times New Roman"/>
          <w:snapToGrid w:val="0"/>
          <w:color w:val="auto"/>
          <w:kern w:val="0"/>
          <w:highlight w:val="none"/>
          <w:lang w:eastAsia="zh-CN"/>
        </w:rPr>
        <w:t>本招标项目施工工期为90个日历天</w:t>
      </w:r>
      <w:r>
        <w:rPr>
          <w:rFonts w:ascii="Times New Roman"/>
          <w:snapToGrid w:val="0"/>
          <w:color w:val="auto"/>
          <w:kern w:val="0"/>
          <w:highlight w:val="none"/>
        </w:rPr>
        <w:t>，</w:t>
      </w:r>
      <w:r>
        <w:rPr>
          <w:rFonts w:hint="eastAsia" w:ascii="Times New Roman"/>
          <w:snapToGrid w:val="0"/>
          <w:color w:val="auto"/>
          <w:kern w:val="0"/>
          <w:highlight w:val="none"/>
        </w:rPr>
        <w:t>承包人</w:t>
      </w:r>
      <w:r>
        <w:rPr>
          <w:rFonts w:ascii="Times New Roman"/>
          <w:snapToGrid w:val="0"/>
          <w:color w:val="auto"/>
          <w:kern w:val="0"/>
          <w:highlight w:val="none"/>
        </w:rPr>
        <w:t>必须在</w:t>
      </w:r>
      <w:r>
        <w:rPr>
          <w:rFonts w:hint="eastAsia" w:ascii="Times New Roman"/>
          <w:snapToGrid w:val="0"/>
          <w:color w:val="auto"/>
          <w:kern w:val="0"/>
          <w:highlight w:val="none"/>
        </w:rPr>
        <w:t>招标</w:t>
      </w:r>
      <w:r>
        <w:rPr>
          <w:rFonts w:ascii="Times New Roman"/>
          <w:snapToGrid w:val="0"/>
          <w:color w:val="auto"/>
          <w:kern w:val="0"/>
          <w:highlight w:val="none"/>
        </w:rPr>
        <w:t>工期内完成招标范围内的全部内容。</w:t>
      </w:r>
    </w:p>
    <w:p w14:paraId="33D08BCF">
      <w:pPr>
        <w:wordWrap w:val="0"/>
        <w:adjustRightInd w:val="0"/>
        <w:snapToGrid w:val="0"/>
        <w:spacing w:line="440" w:lineRule="exact"/>
        <w:ind w:firstLine="480" w:firstLineChars="200"/>
        <w:rPr>
          <w:rFonts w:hint="eastAsia" w:ascii="Times New Roman"/>
          <w:snapToGrid w:val="0"/>
          <w:color w:val="auto"/>
          <w:kern w:val="0"/>
          <w:highlight w:val="none"/>
        </w:rPr>
      </w:pPr>
    </w:p>
    <w:p w14:paraId="0616A419">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.2</w:t>
      </w:r>
      <w:r>
        <w:rPr>
          <w:rFonts w:ascii="Times New Roman"/>
          <w:snapToGrid w:val="0"/>
          <w:color w:val="auto"/>
          <w:kern w:val="0"/>
          <w:highlight w:val="none"/>
        </w:rPr>
        <w:t xml:space="preserve"> 施工工期从</w:t>
      </w:r>
      <w:r>
        <w:rPr>
          <w:rFonts w:hint="eastAsia" w:ascii="Times New Roman"/>
          <w:snapToGrid w:val="0"/>
          <w:color w:val="auto"/>
          <w:kern w:val="0"/>
          <w:highlight w:val="none"/>
        </w:rPr>
        <w:t>承包人</w:t>
      </w:r>
      <w:r>
        <w:rPr>
          <w:rFonts w:ascii="Times New Roman"/>
          <w:snapToGrid w:val="0"/>
          <w:color w:val="auto"/>
          <w:kern w:val="0"/>
          <w:highlight w:val="none"/>
        </w:rPr>
        <w:t>收到监理单位签发的开工令之日起计，至竣工验收合格之日止。</w:t>
      </w:r>
    </w:p>
    <w:p w14:paraId="6A9E2FCC">
      <w:pPr>
        <w:wordWrap w:val="0"/>
        <w:adjustRightInd w:val="0"/>
        <w:snapToGrid w:val="0"/>
        <w:spacing w:line="440" w:lineRule="exact"/>
        <w:ind w:firstLine="480" w:firstLineChars="200"/>
        <w:rPr>
          <w:rFonts w:hint="eastAsia" w:ascii="Times New Roman"/>
          <w:snapToGrid w:val="0"/>
          <w:color w:val="auto"/>
          <w:kern w:val="0"/>
          <w:highlight w:val="none"/>
        </w:rPr>
      </w:pPr>
    </w:p>
    <w:p w14:paraId="45A4BA9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w:t>
      </w:r>
      <w:r>
        <w:rPr>
          <w:rFonts w:ascii="Times New Roman"/>
          <w:b/>
          <w:bCs/>
          <w:snapToGrid w:val="0"/>
          <w:color w:val="auto"/>
          <w:kern w:val="0"/>
          <w:highlight w:val="none"/>
        </w:rPr>
        <w:t>.3</w:t>
      </w:r>
      <w:r>
        <w:rPr>
          <w:rFonts w:ascii="Times New Roman"/>
          <w:snapToGrid w:val="0"/>
          <w:color w:val="auto"/>
          <w:kern w:val="0"/>
          <w:highlight w:val="none"/>
        </w:rPr>
        <w:t xml:space="preserve"> 由于</w:t>
      </w:r>
      <w:r>
        <w:rPr>
          <w:rFonts w:hint="eastAsia" w:ascii="Times New Roman"/>
          <w:snapToGrid w:val="0"/>
          <w:color w:val="auto"/>
          <w:kern w:val="0"/>
          <w:highlight w:val="none"/>
        </w:rPr>
        <w:t>承包</w:t>
      </w:r>
      <w:r>
        <w:rPr>
          <w:rFonts w:ascii="Times New Roman"/>
          <w:snapToGrid w:val="0"/>
          <w:color w:val="auto"/>
          <w:kern w:val="0"/>
          <w:highlight w:val="none"/>
        </w:rPr>
        <w:t>人原因造成</w:t>
      </w:r>
      <w:r>
        <w:rPr>
          <w:rFonts w:hint="eastAsia" w:ascii="Times New Roman"/>
          <w:snapToGrid w:val="0"/>
          <w:color w:val="auto"/>
          <w:kern w:val="0"/>
          <w:highlight w:val="none"/>
        </w:rPr>
        <w:t>工期延误的</w:t>
      </w:r>
      <w:r>
        <w:rPr>
          <w:rFonts w:ascii="Times New Roman"/>
          <w:snapToGrid w:val="0"/>
          <w:color w:val="auto"/>
          <w:kern w:val="0"/>
          <w:highlight w:val="none"/>
        </w:rPr>
        <w:t>，</w:t>
      </w:r>
      <w:r>
        <w:rPr>
          <w:rFonts w:hint="eastAsia" w:ascii="Times New Roman"/>
          <w:snapToGrid w:val="0"/>
          <w:color w:val="auto"/>
          <w:kern w:val="0"/>
          <w:highlight w:val="none"/>
        </w:rPr>
        <w:t>承包人</w:t>
      </w:r>
      <w:r>
        <w:rPr>
          <w:rFonts w:ascii="Times New Roman"/>
          <w:snapToGrid w:val="0"/>
          <w:color w:val="auto"/>
          <w:kern w:val="0"/>
          <w:highlight w:val="none"/>
        </w:rPr>
        <w:t>须在逾期第壹天起每天按合同价的</w:t>
      </w:r>
      <w:r>
        <w:rPr>
          <w:rFonts w:ascii="Times New Roman"/>
          <w:snapToGrid w:val="0"/>
          <w:color w:val="auto"/>
          <w:kern w:val="0"/>
          <w:highlight w:val="none"/>
          <w:u w:val="single"/>
        </w:rPr>
        <w:t xml:space="preserve">  </w:t>
      </w:r>
      <w:r>
        <w:rPr>
          <w:rFonts w:hAnsi="宋体" w:cs="宋体"/>
          <w:snapToGrid w:val="0"/>
          <w:color w:val="auto"/>
          <w:kern w:val="0"/>
          <w:highlight w:val="none"/>
          <w:u w:val="single"/>
        </w:rPr>
        <w:t>1</w:t>
      </w:r>
      <w:r>
        <w:rPr>
          <w:rFonts w:hint="default" w:ascii="Arial" w:hAnsi="Arial" w:cs="Arial"/>
          <w:snapToGrid w:val="0"/>
          <w:color w:val="auto"/>
          <w:kern w:val="0"/>
          <w:highlight w:val="none"/>
          <w:u w:val="single"/>
        </w:rPr>
        <w:t>‰</w:t>
      </w:r>
      <w:r>
        <w:rPr>
          <w:rFonts w:ascii="Times New Roman"/>
          <w:snapToGrid w:val="0"/>
          <w:color w:val="auto"/>
          <w:kern w:val="0"/>
          <w:highlight w:val="none"/>
          <w:u w:val="single"/>
        </w:rPr>
        <w:t xml:space="preserve"> </w:t>
      </w:r>
      <w:r>
        <w:rPr>
          <w:rFonts w:ascii="Times New Roman"/>
          <w:snapToGrid w:val="0"/>
          <w:color w:val="auto"/>
          <w:kern w:val="0"/>
          <w:highlight w:val="none"/>
        </w:rPr>
        <w:t>向招标人返纳逾期竣工违约金。</w:t>
      </w:r>
      <w:r>
        <w:rPr>
          <w:rFonts w:hAnsi="宋体" w:cs="宋体"/>
          <w:snapToGrid w:val="0"/>
          <w:color w:val="auto"/>
          <w:kern w:val="0"/>
          <w:highlight w:val="none"/>
        </w:rPr>
        <w:t>逾期竣工违约金的最高限额为合同价款的</w:t>
      </w:r>
      <w:r>
        <w:rPr>
          <w:rFonts w:hAnsi="宋体" w:cs="宋体"/>
          <w:snapToGrid w:val="0"/>
          <w:color w:val="auto"/>
          <w:kern w:val="0"/>
          <w:highlight w:val="none"/>
          <w:u w:val="single"/>
        </w:rPr>
        <w:t>3%</w:t>
      </w:r>
      <w:r>
        <w:rPr>
          <w:rFonts w:hAnsi="宋体" w:cs="宋体"/>
          <w:iCs/>
          <w:snapToGrid w:val="0"/>
          <w:color w:val="auto"/>
          <w:kern w:val="0"/>
          <w:highlight w:val="none"/>
        </w:rPr>
        <w:t>。</w:t>
      </w:r>
    </w:p>
    <w:p w14:paraId="24E1186E">
      <w:pPr>
        <w:wordWrap w:val="0"/>
        <w:adjustRightInd w:val="0"/>
        <w:snapToGrid w:val="0"/>
        <w:spacing w:line="440" w:lineRule="exact"/>
        <w:ind w:firstLine="560"/>
        <w:rPr>
          <w:rFonts w:hint="eastAsia" w:ascii="Times New Roman"/>
          <w:snapToGrid w:val="0"/>
          <w:color w:val="auto"/>
          <w:kern w:val="0"/>
          <w:highlight w:val="none"/>
        </w:rPr>
      </w:pPr>
    </w:p>
    <w:p w14:paraId="02F8825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10．项目管理机构</w:t>
      </w:r>
    </w:p>
    <w:p w14:paraId="4F18B3A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10.1</w:t>
      </w:r>
      <w:r>
        <w:rPr>
          <w:rFonts w:hint="eastAsia" w:ascii="Times New Roman"/>
          <w:snapToGrid w:val="0"/>
          <w:color w:val="auto"/>
          <w:kern w:val="0"/>
          <w:highlight w:val="none"/>
        </w:rPr>
        <w:t xml:space="preserve"> 承包人派驻的项目管理班子成员必须为其投标文件确定的人员，否则发包人有权终止合同。</w:t>
      </w:r>
    </w:p>
    <w:p w14:paraId="2864CB76">
      <w:pPr>
        <w:wordWrap w:val="0"/>
        <w:adjustRightInd w:val="0"/>
        <w:snapToGrid w:val="0"/>
        <w:spacing w:line="440" w:lineRule="exact"/>
        <w:ind w:firstLine="480" w:firstLineChars="200"/>
        <w:rPr>
          <w:rFonts w:hint="eastAsia" w:ascii="Times New Roman"/>
          <w:snapToGrid w:val="0"/>
          <w:color w:val="auto"/>
          <w:kern w:val="0"/>
          <w:highlight w:val="none"/>
        </w:rPr>
      </w:pPr>
    </w:p>
    <w:p w14:paraId="2AA5AAC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10.2</w:t>
      </w:r>
      <w:r>
        <w:rPr>
          <w:rFonts w:hint="eastAsia" w:ascii="Times New Roman"/>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04062215">
      <w:pPr>
        <w:wordWrap w:val="0"/>
        <w:adjustRightInd w:val="0"/>
        <w:snapToGrid w:val="0"/>
        <w:spacing w:line="440" w:lineRule="exact"/>
        <w:ind w:firstLine="560"/>
        <w:rPr>
          <w:rFonts w:hint="eastAsia" w:ascii="Times New Roman"/>
          <w:snapToGrid w:val="0"/>
          <w:color w:val="auto"/>
          <w:kern w:val="0"/>
          <w:highlight w:val="none"/>
        </w:rPr>
      </w:pPr>
    </w:p>
    <w:p w14:paraId="2482995E">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11．现场管理</w:t>
      </w:r>
    </w:p>
    <w:p w14:paraId="6295A732">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22F00061">
      <w:pPr>
        <w:wordWrap w:val="0"/>
        <w:adjustRightInd w:val="0"/>
        <w:snapToGrid w:val="0"/>
        <w:spacing w:line="440" w:lineRule="exact"/>
        <w:ind w:firstLine="480" w:firstLineChars="200"/>
        <w:rPr>
          <w:rFonts w:hint="eastAsia" w:ascii="Times New Roman"/>
          <w:snapToGrid w:val="0"/>
          <w:color w:val="auto"/>
          <w:kern w:val="0"/>
          <w:highlight w:val="none"/>
        </w:rPr>
      </w:pPr>
    </w:p>
    <w:p w14:paraId="679E3762">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65AB7328">
      <w:pPr>
        <w:wordWrap w:val="0"/>
        <w:adjustRightInd w:val="0"/>
        <w:snapToGrid w:val="0"/>
        <w:spacing w:line="440" w:lineRule="exact"/>
        <w:ind w:firstLine="480" w:firstLineChars="200"/>
        <w:rPr>
          <w:rFonts w:hint="eastAsia" w:ascii="Times New Roman"/>
          <w:snapToGrid w:val="0"/>
          <w:color w:val="auto"/>
          <w:kern w:val="0"/>
          <w:highlight w:val="none"/>
        </w:rPr>
      </w:pPr>
    </w:p>
    <w:p w14:paraId="47E3531F">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为保证施工现场的环境卫生，承包人在本招标项目施工过程中，所有的车辆必须按发包人规定的行车路线行驶。</w:t>
      </w:r>
    </w:p>
    <w:p w14:paraId="07437700">
      <w:pPr>
        <w:wordWrap w:val="0"/>
        <w:adjustRightInd w:val="0"/>
        <w:snapToGrid w:val="0"/>
        <w:spacing w:line="440" w:lineRule="exact"/>
        <w:ind w:firstLine="480" w:firstLineChars="200"/>
        <w:rPr>
          <w:rFonts w:hint="eastAsia" w:ascii="Times New Roman"/>
          <w:snapToGrid w:val="0"/>
          <w:color w:val="auto"/>
          <w:kern w:val="0"/>
          <w:highlight w:val="none"/>
        </w:rPr>
      </w:pPr>
    </w:p>
    <w:p w14:paraId="4C249207">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12．监督实施</w:t>
      </w:r>
    </w:p>
    <w:p w14:paraId="5C8C5E0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A3F905C">
      <w:pPr>
        <w:wordWrap w:val="0"/>
        <w:adjustRightInd w:val="0"/>
        <w:snapToGrid w:val="0"/>
        <w:spacing w:line="440" w:lineRule="exact"/>
        <w:ind w:firstLine="560"/>
        <w:rPr>
          <w:rFonts w:hint="eastAsia" w:ascii="Times New Roman"/>
          <w:snapToGrid w:val="0"/>
          <w:color w:val="auto"/>
          <w:kern w:val="0"/>
          <w:highlight w:val="none"/>
        </w:rPr>
      </w:pPr>
    </w:p>
    <w:p w14:paraId="18B13483">
      <w:pPr>
        <w:wordWrap w:val="0"/>
        <w:adjustRightInd w:val="0"/>
        <w:snapToGrid w:val="0"/>
        <w:spacing w:line="440" w:lineRule="exact"/>
        <w:ind w:firstLine="560"/>
        <w:rPr>
          <w:rFonts w:hint="eastAsia" w:ascii="Times New Roman"/>
          <w:b/>
          <w:snapToGrid w:val="0"/>
          <w:color w:val="auto"/>
          <w:kern w:val="0"/>
          <w:highlight w:val="none"/>
        </w:rPr>
      </w:pPr>
      <w:r>
        <w:rPr>
          <w:rFonts w:hint="eastAsia" w:ascii="Times New Roman"/>
          <w:b/>
          <w:snapToGrid w:val="0"/>
          <w:color w:val="auto"/>
          <w:kern w:val="0"/>
          <w:highlight w:val="none"/>
        </w:rPr>
        <w:t>13．主材的采购和使用</w:t>
      </w:r>
    </w:p>
    <w:p w14:paraId="130B05B7">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B2E7CF0">
      <w:pPr>
        <w:wordWrap w:val="0"/>
        <w:adjustRightInd w:val="0"/>
        <w:snapToGrid w:val="0"/>
        <w:spacing w:line="440" w:lineRule="exact"/>
        <w:ind w:firstLine="560"/>
        <w:rPr>
          <w:rFonts w:hint="eastAsia" w:ascii="Times New Roman"/>
          <w:bCs/>
          <w:snapToGrid w:val="0"/>
          <w:color w:val="auto"/>
          <w:kern w:val="0"/>
          <w:highlight w:val="none"/>
        </w:rPr>
      </w:pPr>
    </w:p>
    <w:p w14:paraId="276A36DA">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14．竣工资料移交</w:t>
      </w:r>
    </w:p>
    <w:p w14:paraId="4E436F36">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项目竣工验收时，</w:t>
      </w:r>
      <w:r>
        <w:rPr>
          <w:rFonts w:hint="eastAsia" w:ascii="Times New Roman"/>
          <w:snapToGrid w:val="0"/>
          <w:color w:val="auto"/>
          <w:kern w:val="0"/>
          <w:highlight w:val="none"/>
        </w:rPr>
        <w:t>承包</w:t>
      </w:r>
      <w:r>
        <w:rPr>
          <w:rFonts w:hint="eastAsia" w:ascii="Times New Roman"/>
          <w:bCs/>
          <w:snapToGrid w:val="0"/>
          <w:color w:val="auto"/>
          <w:kern w:val="0"/>
          <w:highlight w:val="none"/>
        </w:rPr>
        <w:t>人应向监理单位和</w:t>
      </w:r>
      <w:r>
        <w:rPr>
          <w:rFonts w:hint="eastAsia" w:ascii="Times New Roman"/>
          <w:snapToGrid w:val="0"/>
          <w:color w:val="auto"/>
          <w:kern w:val="0"/>
          <w:highlight w:val="none"/>
        </w:rPr>
        <w:t>发包</w:t>
      </w:r>
      <w:r>
        <w:rPr>
          <w:rFonts w:hint="eastAsia" w:ascii="Times New Roman"/>
          <w:bCs/>
          <w:snapToGrid w:val="0"/>
          <w:color w:val="auto"/>
          <w:kern w:val="0"/>
          <w:highlight w:val="none"/>
        </w:rPr>
        <w:t>人提供符合国家档案部门备案要求的，编制成册的竣工图及有关的技术档案资料（含声像档案）一式</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八</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rPr>
        <w:t>份。</w:t>
      </w:r>
    </w:p>
    <w:p w14:paraId="7E45A69E">
      <w:pPr>
        <w:wordWrap w:val="0"/>
        <w:adjustRightInd w:val="0"/>
        <w:snapToGrid w:val="0"/>
        <w:spacing w:line="440" w:lineRule="exact"/>
        <w:ind w:firstLine="560"/>
        <w:rPr>
          <w:rFonts w:hint="eastAsia" w:ascii="Times New Roman"/>
          <w:bCs/>
          <w:snapToGrid w:val="0"/>
          <w:color w:val="auto"/>
          <w:kern w:val="0"/>
          <w:highlight w:val="none"/>
        </w:rPr>
      </w:pPr>
    </w:p>
    <w:p w14:paraId="07948A85">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15．质量保证</w:t>
      </w:r>
    </w:p>
    <w:p w14:paraId="04B4D84E">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本招标项目缺陷责任期为</w:t>
      </w:r>
      <w:r>
        <w:rPr>
          <w:rFonts w:hint="eastAsia" w:ascii="Times New Roman"/>
          <w:bCs/>
          <w:snapToGrid w:val="0"/>
          <w:color w:val="FF0000"/>
          <w:kern w:val="0"/>
          <w:highlight w:val="none"/>
          <w:u w:val="single"/>
        </w:rPr>
        <w:t xml:space="preserve"> </w:t>
      </w:r>
      <w:r>
        <w:rPr>
          <w:rFonts w:hint="eastAsia" w:ascii="Times New Roman"/>
          <w:bCs/>
          <w:snapToGrid w:val="0"/>
          <w:color w:val="FF0000"/>
          <w:kern w:val="0"/>
          <w:highlight w:val="none"/>
          <w:u w:val="single"/>
          <w:lang w:val="en-US" w:eastAsia="zh-CN"/>
        </w:rPr>
        <w:t>2</w:t>
      </w:r>
      <w:r>
        <w:rPr>
          <w:rFonts w:hint="eastAsia" w:ascii="Times New Roman"/>
          <w:bCs/>
          <w:snapToGrid w:val="0"/>
          <w:color w:val="FF0000"/>
          <w:kern w:val="0"/>
          <w:highlight w:val="none"/>
          <w:u w:val="single"/>
        </w:rPr>
        <w:t xml:space="preserve"> </w:t>
      </w:r>
      <w:r>
        <w:rPr>
          <w:rFonts w:hint="eastAsia" w:ascii="Times New Roman"/>
          <w:bCs/>
          <w:snapToGrid w:val="0"/>
          <w:color w:val="FF0000"/>
          <w:kern w:val="0"/>
          <w:highlight w:val="none"/>
        </w:rPr>
        <w:t>年</w:t>
      </w:r>
      <w:r>
        <w:rPr>
          <w:rFonts w:hint="eastAsia" w:ascii="Times New Roman"/>
          <w:bCs/>
          <w:snapToGrid w:val="0"/>
          <w:color w:val="auto"/>
          <w:kern w:val="0"/>
          <w:highlight w:val="none"/>
        </w:rPr>
        <w:t>（自通过竣工验收之日起计），在此期间预留金额为结算价</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3</w:t>
      </w:r>
      <w:r>
        <w:rPr>
          <w:rFonts w:hint="eastAsia" w:ascii="Times New Roman"/>
          <w:bCs/>
          <w:snapToGrid w:val="0"/>
          <w:color w:val="auto"/>
          <w:kern w:val="0"/>
          <w:highlight w:val="none"/>
          <w:u w:val="single"/>
        </w:rPr>
        <w:t xml:space="preserve">  % </w:t>
      </w:r>
      <w:r>
        <w:rPr>
          <w:rFonts w:hint="eastAsia" w:ascii="Times New Roman"/>
          <w:bCs/>
          <w:snapToGrid w:val="0"/>
          <w:color w:val="auto"/>
          <w:kern w:val="0"/>
          <w:highlight w:val="none"/>
        </w:rPr>
        <w:t>的质量保证。</w:t>
      </w:r>
    </w:p>
    <w:p w14:paraId="0CF5DCF3">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highlight w:val="none"/>
        </w:rPr>
        <w:t xml:space="preserve"> 质量保证的形式包括质量保证金、质量保证担保、质量保证保险三种，由承包人自主选择。</w:t>
      </w:r>
    </w:p>
    <w:p w14:paraId="1AC30472">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（1）采用质量保证金形式的，在结清审定总造价时一次性扣留相应金额作为质量保证金。</w:t>
      </w:r>
    </w:p>
    <w:p w14:paraId="5FB51EF9">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hAnsi="Times New Roman" w:cs="Times New Roman"/>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Times New Roman"/>
          <w:bCs/>
          <w:snapToGrid w:val="0"/>
          <w:color w:val="auto"/>
          <w:kern w:val="0"/>
          <w:highlight w:val="none"/>
        </w:rPr>
        <w:t>。</w:t>
      </w:r>
    </w:p>
    <w:p w14:paraId="27A239A3">
      <w:pPr>
        <w:wordWrap w:val="0"/>
        <w:adjustRightInd w:val="0"/>
        <w:snapToGrid w:val="0"/>
        <w:spacing w:line="440" w:lineRule="exact"/>
        <w:ind w:firstLine="560"/>
        <w:rPr>
          <w:rFonts w:hint="eastAsia" w:ascii="Times New Roman"/>
          <w:bCs/>
          <w:snapToGrid w:val="0"/>
          <w:color w:val="auto"/>
          <w:kern w:val="0"/>
          <w:highlight w:val="none"/>
        </w:rPr>
      </w:pPr>
    </w:p>
    <w:p w14:paraId="404437B8">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15.3</w:t>
      </w:r>
      <w:r>
        <w:rPr>
          <w:rFonts w:hint="eastAsia" w:ascii="Times New Roman"/>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132285B5">
      <w:pPr>
        <w:wordWrap w:val="0"/>
        <w:adjustRightInd w:val="0"/>
        <w:snapToGrid w:val="0"/>
        <w:spacing w:line="440" w:lineRule="exact"/>
        <w:ind w:firstLine="560"/>
        <w:rPr>
          <w:rFonts w:ascii="Times New Roman"/>
          <w:bCs/>
          <w:snapToGrid w:val="0"/>
          <w:color w:val="auto"/>
          <w:kern w:val="0"/>
          <w:highlight w:val="none"/>
        </w:rPr>
      </w:pPr>
      <w:r>
        <w:rPr>
          <w:rFonts w:ascii="Times New Roman"/>
          <w:bCs/>
          <w:snapToGrid w:val="0"/>
          <w:color w:val="auto"/>
          <w:kern w:val="0"/>
          <w:highlight w:val="none"/>
        </w:rPr>
        <w:t>由他人原因造成的缺陷，发包人负责组织维修，承包人不承担费用，且发包人不得从</w:t>
      </w:r>
      <w:r>
        <w:rPr>
          <w:rFonts w:hint="eastAsia" w:ascii="Times New Roman"/>
          <w:bCs/>
          <w:snapToGrid w:val="0"/>
          <w:color w:val="auto"/>
          <w:kern w:val="0"/>
          <w:highlight w:val="none"/>
        </w:rPr>
        <w:t>质量</w:t>
      </w:r>
      <w:r>
        <w:rPr>
          <w:rFonts w:ascii="Times New Roman"/>
          <w:bCs/>
          <w:snapToGrid w:val="0"/>
          <w:color w:val="auto"/>
          <w:kern w:val="0"/>
          <w:highlight w:val="none"/>
        </w:rPr>
        <w:t>保证中扣除费用。</w:t>
      </w:r>
    </w:p>
    <w:p w14:paraId="65D92246">
      <w:pPr>
        <w:wordWrap w:val="0"/>
        <w:adjustRightInd w:val="0"/>
        <w:snapToGrid w:val="0"/>
        <w:spacing w:line="440" w:lineRule="exact"/>
        <w:ind w:firstLine="560"/>
        <w:rPr>
          <w:rFonts w:hint="eastAsia" w:ascii="Times New Roman"/>
          <w:bCs/>
          <w:snapToGrid w:val="0"/>
          <w:color w:val="auto"/>
          <w:kern w:val="0"/>
          <w:highlight w:val="none"/>
        </w:rPr>
      </w:pPr>
    </w:p>
    <w:p w14:paraId="06CEFA99">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rPr>
        <w:t>15.4</w:t>
      </w:r>
      <w:r>
        <w:rPr>
          <w:rFonts w:hint="eastAsia" w:ascii="Times New Roman"/>
          <w:bCs/>
          <w:snapToGrid w:val="0"/>
          <w:color w:val="auto"/>
          <w:kern w:val="0"/>
          <w:highlight w:val="none"/>
        </w:rPr>
        <w:t xml:space="preserve"> </w:t>
      </w:r>
      <w:r>
        <w:rPr>
          <w:rFonts w:ascii="Times New Roman"/>
          <w:bCs/>
          <w:snapToGrid w:val="0"/>
          <w:color w:val="auto"/>
          <w:kern w:val="0"/>
          <w:highlight w:val="none"/>
        </w:rPr>
        <w:t>缺陷责任期内，承包人</w:t>
      </w:r>
      <w:r>
        <w:rPr>
          <w:rFonts w:hint="eastAsia" w:ascii="Times New Roman"/>
          <w:bCs/>
          <w:snapToGrid w:val="0"/>
          <w:color w:val="auto"/>
          <w:kern w:val="0"/>
          <w:highlight w:val="none"/>
        </w:rPr>
        <w:t>应</w:t>
      </w:r>
      <w:r>
        <w:rPr>
          <w:rFonts w:ascii="Times New Roman"/>
          <w:bCs/>
          <w:snapToGrid w:val="0"/>
          <w:color w:val="auto"/>
          <w:kern w:val="0"/>
          <w:highlight w:val="none"/>
        </w:rPr>
        <w:t>认真履行合同约定的责任</w:t>
      </w:r>
      <w:r>
        <w:rPr>
          <w:rFonts w:hint="eastAsia" w:ascii="Times New Roman"/>
          <w:bCs/>
          <w:snapToGrid w:val="0"/>
          <w:color w:val="auto"/>
          <w:kern w:val="0"/>
          <w:highlight w:val="none"/>
        </w:rPr>
        <w:t>。</w:t>
      </w:r>
      <w:r>
        <w:rPr>
          <w:rFonts w:ascii="Times New Roman"/>
          <w:bCs/>
          <w:snapToGrid w:val="0"/>
          <w:color w:val="auto"/>
          <w:kern w:val="0"/>
          <w:highlight w:val="none"/>
        </w:rPr>
        <w:t>缺陷责任期到期后，承包人向发包人申请</w:t>
      </w:r>
      <w:r>
        <w:rPr>
          <w:rFonts w:hint="eastAsia" w:ascii="Times New Roman"/>
          <w:bCs/>
          <w:snapToGrid w:val="0"/>
          <w:color w:val="auto"/>
          <w:kern w:val="0"/>
          <w:highlight w:val="none"/>
        </w:rPr>
        <w:t>退还质量</w:t>
      </w:r>
      <w:r>
        <w:rPr>
          <w:rFonts w:ascii="Times New Roman"/>
          <w:bCs/>
          <w:snapToGrid w:val="0"/>
          <w:color w:val="auto"/>
          <w:kern w:val="0"/>
          <w:highlight w:val="none"/>
        </w:rPr>
        <w:t>保证</w:t>
      </w:r>
      <w:r>
        <w:rPr>
          <w:rFonts w:hint="eastAsia" w:ascii="Times New Roman"/>
          <w:bCs/>
          <w:snapToGrid w:val="0"/>
          <w:color w:val="auto"/>
          <w:kern w:val="0"/>
          <w:highlight w:val="none"/>
        </w:rPr>
        <w:t>，发包人应按照《建设工程质量保证金管理办法》有关规定将质量</w:t>
      </w:r>
      <w:r>
        <w:rPr>
          <w:rFonts w:ascii="Times New Roman"/>
          <w:bCs/>
          <w:snapToGrid w:val="0"/>
          <w:color w:val="auto"/>
          <w:kern w:val="0"/>
          <w:highlight w:val="none"/>
        </w:rPr>
        <w:t>保证</w:t>
      </w:r>
      <w:r>
        <w:rPr>
          <w:rFonts w:hint="eastAsia" w:ascii="Times New Roman"/>
          <w:bCs/>
          <w:snapToGrid w:val="0"/>
          <w:color w:val="auto"/>
          <w:kern w:val="0"/>
          <w:highlight w:val="none"/>
        </w:rPr>
        <w:t>退还给承包人</w:t>
      </w:r>
      <w:r>
        <w:rPr>
          <w:rFonts w:ascii="Times New Roman"/>
          <w:bCs/>
          <w:snapToGrid w:val="0"/>
          <w:color w:val="auto"/>
          <w:kern w:val="0"/>
          <w:highlight w:val="none"/>
        </w:rPr>
        <w:t>。</w:t>
      </w:r>
    </w:p>
    <w:p w14:paraId="77A34791">
      <w:pPr>
        <w:wordWrap w:val="0"/>
        <w:adjustRightInd w:val="0"/>
        <w:snapToGrid w:val="0"/>
        <w:spacing w:line="440" w:lineRule="exact"/>
        <w:ind w:firstLine="560"/>
        <w:rPr>
          <w:rFonts w:ascii="Times New Roman"/>
          <w:bCs/>
          <w:snapToGrid w:val="0"/>
          <w:color w:val="auto"/>
          <w:kern w:val="0"/>
          <w:highlight w:val="none"/>
        </w:rPr>
      </w:pPr>
    </w:p>
    <w:p w14:paraId="7281C344">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bCs/>
          <w:snapToGrid w:val="0"/>
          <w:color w:val="auto"/>
          <w:kern w:val="0"/>
          <w:highlight w:val="none"/>
        </w:rPr>
        <w:t>16</w:t>
      </w:r>
      <w:r>
        <w:rPr>
          <w:rFonts w:hint="eastAsia" w:ascii="Times New Roman"/>
          <w:b/>
          <w:snapToGrid w:val="0"/>
          <w:color w:val="auto"/>
          <w:kern w:val="0"/>
          <w:highlight w:val="none"/>
        </w:rPr>
        <w:t>．不良行为处理</w:t>
      </w:r>
    </w:p>
    <w:p w14:paraId="351CD9F6">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254BFD0">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（1）转包、违法分包或违反投标承诺分包工程的；</w:t>
      </w:r>
    </w:p>
    <w:p w14:paraId="0D65703A">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（2）非原参加投标中标的项目经理负责组织施工或在实施过程中擅自更换项目经理的、项目的其他主要管理人员与中标文件确定的人员不相符的；</w:t>
      </w:r>
    </w:p>
    <w:p w14:paraId="4F7E854A">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（3）投标文件确定的大型机械设备没有进入施工现场的；</w:t>
      </w:r>
    </w:p>
    <w:p w14:paraId="414F4587">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（4）与建设单位、监理单位串通，签认虚假工程量或工程造价的；</w:t>
      </w:r>
    </w:p>
    <w:p w14:paraId="15C10388">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（5）项目经理施工现场管理不到位的；</w:t>
      </w:r>
    </w:p>
    <w:p w14:paraId="2A3C1C06">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（6）项目经理在非本人资格证书注册单位从事工程项目施工管理的；</w:t>
      </w:r>
    </w:p>
    <w:p w14:paraId="67A0AD83">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（7）项目经理同时承担超过一项工程项目的；</w:t>
      </w:r>
    </w:p>
    <w:p w14:paraId="3CFFFBF6">
      <w:pPr>
        <w:pStyle w:val="142"/>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（8）违反有关法律、法规、规章规定的其它行为。</w:t>
      </w:r>
    </w:p>
    <w:p w14:paraId="7D461E5F">
      <w:pPr>
        <w:pStyle w:val="142"/>
        <w:wordWrap w:val="0"/>
        <w:adjustRightInd w:val="0"/>
        <w:snapToGrid w:val="0"/>
        <w:spacing w:line="440" w:lineRule="exact"/>
        <w:ind w:firstLine="480" w:firstLineChars="200"/>
        <w:jc w:val="left"/>
        <w:rPr>
          <w:rFonts w:hint="eastAsia"/>
          <w:snapToGrid w:val="0"/>
          <w:color w:val="auto"/>
          <w:kern w:val="0"/>
          <w:highlight w:val="none"/>
        </w:rPr>
      </w:pPr>
    </w:p>
    <w:p w14:paraId="14B9E08A">
      <w:pPr>
        <w:pStyle w:val="142"/>
        <w:wordWrap w:val="0"/>
        <w:adjustRightInd w:val="0"/>
        <w:snapToGrid w:val="0"/>
        <w:spacing w:line="440" w:lineRule="exact"/>
        <w:ind w:firstLine="482" w:firstLineChars="200"/>
        <w:jc w:val="left"/>
        <w:rPr>
          <w:rFonts w:hint="eastAsia"/>
          <w:b/>
          <w:bCs/>
          <w:snapToGrid w:val="0"/>
          <w:color w:val="auto"/>
          <w:kern w:val="0"/>
          <w:szCs w:val="28"/>
          <w:highlight w:val="none"/>
        </w:rPr>
      </w:pPr>
      <w:r>
        <w:rPr>
          <w:rFonts w:hint="eastAsia"/>
          <w:b/>
          <w:bCs/>
          <w:snapToGrid w:val="0"/>
          <w:color w:val="auto"/>
          <w:kern w:val="0"/>
          <w:highlight w:val="none"/>
        </w:rPr>
        <w:t>17</w:t>
      </w:r>
      <w:r>
        <w:rPr>
          <w:rFonts w:hint="eastAsia"/>
          <w:b/>
          <w:snapToGrid w:val="0"/>
          <w:color w:val="auto"/>
          <w:kern w:val="0"/>
          <w:highlight w:val="none"/>
        </w:rPr>
        <w:t>．</w:t>
      </w:r>
      <w:r>
        <w:rPr>
          <w:rFonts w:hint="eastAsia"/>
          <w:b/>
          <w:bCs/>
          <w:snapToGrid w:val="0"/>
          <w:color w:val="auto"/>
          <w:kern w:val="0"/>
          <w:szCs w:val="28"/>
          <w:highlight w:val="none"/>
        </w:rPr>
        <w:t>信用评价条款内容</w:t>
      </w:r>
    </w:p>
    <w:p w14:paraId="06891507">
      <w:pPr>
        <w:pStyle w:val="104"/>
        <w:wordWrap w:val="0"/>
        <w:adjustRightInd w:val="0"/>
        <w:snapToGrid w:val="0"/>
        <w:spacing w:line="440" w:lineRule="exact"/>
        <w:ind w:firstLine="560"/>
        <w:rPr>
          <w:rFonts w:hint="eastAsia" w:ascii="Times New Roman"/>
          <w:snapToGrid w:val="0"/>
          <w:color w:val="auto"/>
          <w:kern w:val="0"/>
          <w:szCs w:val="28"/>
          <w:highlight w:val="none"/>
          <w:u w:val="single"/>
        </w:rPr>
      </w:pPr>
      <w:r>
        <w:rPr>
          <w:rFonts w:hint="eastAsia" w:ascii="Times New Roman"/>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6D6A5603">
      <w:pPr>
        <w:pStyle w:val="104"/>
        <w:wordWrap w:val="0"/>
        <w:adjustRightInd w:val="0"/>
        <w:snapToGrid w:val="0"/>
        <w:spacing w:line="440" w:lineRule="exact"/>
        <w:ind w:firstLine="560"/>
        <w:rPr>
          <w:rFonts w:hint="eastAsia" w:ascii="Times New Roman"/>
          <w:b/>
          <w:bCs/>
          <w:snapToGrid w:val="0"/>
          <w:color w:val="auto"/>
          <w:kern w:val="0"/>
          <w:highlight w:val="none"/>
        </w:rPr>
      </w:pPr>
    </w:p>
    <w:p w14:paraId="7485A609">
      <w:pPr>
        <w:pStyle w:val="104"/>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18</w:t>
      </w:r>
      <w:r>
        <w:rPr>
          <w:rFonts w:hint="eastAsia" w:ascii="Times New Roman"/>
          <w:b/>
          <w:snapToGrid w:val="0"/>
          <w:color w:val="auto"/>
          <w:kern w:val="0"/>
          <w:highlight w:val="none"/>
        </w:rPr>
        <w:t>．</w:t>
      </w:r>
      <w:r>
        <w:rPr>
          <w:rFonts w:hint="eastAsia" w:ascii="Times New Roman"/>
          <w:b/>
          <w:bCs/>
          <w:snapToGrid w:val="0"/>
          <w:color w:val="auto"/>
          <w:kern w:val="0"/>
          <w:highlight w:val="none"/>
        </w:rPr>
        <w:t>其他事项（招标人自行补充）</w:t>
      </w:r>
    </w:p>
    <w:p w14:paraId="008DB3E6">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 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5EB7A0B9">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4CA2ADF">
      <w:pPr>
        <w:pStyle w:val="104"/>
        <w:keepNext w:val="0"/>
        <w:keepLines w:val="0"/>
        <w:pageBreakBefore w:val="0"/>
        <w:kinsoku/>
        <w:overflowPunct/>
        <w:topLinePunct w:val="0"/>
        <w:autoSpaceDE/>
        <w:autoSpaceDN/>
        <w:bidi w:val="0"/>
        <w:adjustRightInd w:val="0"/>
        <w:snapToGrid w:val="0"/>
        <w:spacing w:line="440" w:lineRule="exact"/>
        <w:ind w:firstLine="482" w:firstLineChars="200"/>
        <w:textAlignment w:val="auto"/>
        <w:rPr>
          <w:rFonts w:hint="eastAsia" w:ascii="Times New Roman"/>
          <w:b/>
          <w:bCs/>
          <w:snapToGrid w:val="0"/>
          <w:color w:val="auto"/>
          <w:kern w:val="0"/>
          <w:highlight w:val="none"/>
        </w:rPr>
      </w:pPr>
      <w:r>
        <w:rPr>
          <w:rFonts w:hint="eastAsia" w:hAnsi="宋体"/>
          <w:b/>
          <w:bCs/>
          <w:color w:val="auto"/>
          <w:highlight w:val="none"/>
          <w:shd w:val="clear" w:color="auto" w:fill="FFFFFF"/>
        </w:rPr>
        <w:t xml:space="preserve">18.2  </w:t>
      </w:r>
      <w:r>
        <w:rPr>
          <w:rFonts w:hint="eastAsia" w:ascii="Times New Roman"/>
          <w:snapToGrid w:val="0"/>
          <w:color w:val="auto"/>
          <w:kern w:val="0"/>
          <w:highlight w:val="none"/>
        </w:rPr>
        <w:t>中标人在工程实施过程中，按照国家、省、市的相关规定制定相关的专项安全施工方案（如高支模、基坑支护、沉井等），编制专项施工方案报监理人、招标人审批后方可开展专项工程的施工。</w:t>
      </w:r>
    </w:p>
    <w:p w14:paraId="0EBDA5DD">
      <w:pPr>
        <w:pStyle w:val="104"/>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ascii="Times New Roman"/>
          <w:b/>
          <w:bCs/>
          <w:snapToGrid w:val="0"/>
          <w:color w:val="auto"/>
          <w:kern w:val="0"/>
          <w:highlight w:val="none"/>
        </w:rPr>
        <w:t xml:space="preserve">18.3 </w:t>
      </w:r>
      <w:r>
        <w:rPr>
          <w:rFonts w:hint="eastAsia" w:hAnsi="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hAnsi="宋体"/>
          <w:color w:val="auto"/>
          <w:highlight w:val="none"/>
          <w:u w:val="single"/>
          <w:shd w:val="clear" w:color="auto" w:fill="FFFFFF"/>
        </w:rPr>
        <w:t xml:space="preserve"> </w:t>
      </w:r>
      <w:r>
        <w:rPr>
          <w:rFonts w:hint="eastAsia" w:hAnsi="宋体"/>
          <w:color w:val="auto"/>
          <w:highlight w:val="none"/>
          <w:u w:val="single"/>
          <w:shd w:val="clear" w:color="auto" w:fill="FFFFFF"/>
          <w:lang w:val="en-US" w:eastAsia="zh-CN"/>
        </w:rPr>
        <w:t>2</w:t>
      </w:r>
      <w:r>
        <w:rPr>
          <w:rFonts w:hint="eastAsia" w:hAnsi="宋体"/>
          <w:color w:val="auto"/>
          <w:highlight w:val="none"/>
          <w:u w:val="single"/>
          <w:shd w:val="clear" w:color="auto" w:fill="FFFFFF"/>
        </w:rPr>
        <w:t xml:space="preserve"> </w:t>
      </w:r>
      <w:r>
        <w:rPr>
          <w:rFonts w:hint="eastAsia" w:hAnsi="宋体"/>
          <w:color w:val="auto"/>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20C85B9E">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18.4 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5D58EB32">
      <w:pPr>
        <w:pStyle w:val="104"/>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18.5</w:t>
      </w:r>
      <w:r>
        <w:rPr>
          <w:rFonts w:hint="eastAsia" w:hAnsi="宋体"/>
          <w:color w:val="auto"/>
          <w:highlight w:val="none"/>
          <w:shd w:val="clear" w:color="auto" w:fill="FFFFFF"/>
        </w:rPr>
        <w:t>（一）用人单位应当在建设项目动工前，在建设项目所在地商业银行设立工人工资支付专用账户。</w:t>
      </w:r>
    </w:p>
    <w:p w14:paraId="60D5B788">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（二）用人单位应当在用工之日起15日内为每一位工人办理个人银行账户。</w:t>
      </w:r>
    </w:p>
    <w:p w14:paraId="22490E05">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14870A29">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4283EDE2">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71967987">
      <w:pPr>
        <w:pStyle w:val="104"/>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 xml:space="preserve">18.6 </w:t>
      </w:r>
      <w:r>
        <w:rPr>
          <w:rFonts w:hint="eastAsia" w:hAnsi="宋体"/>
          <w:color w:val="auto"/>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1F0A6788">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w:t>
      </w:r>
      <w:r>
        <w:rPr>
          <w:rFonts w:hint="eastAsia" w:hAnsi="宋体"/>
          <w:color w:val="auto"/>
          <w:highlight w:val="none"/>
          <w:shd w:val="clear" w:color="auto" w:fill="FFFFFF"/>
          <w:lang w:val="en-US" w:eastAsia="zh-CN"/>
        </w:rPr>
        <w:t>7</w:t>
      </w:r>
      <w:r>
        <w:rPr>
          <w:rFonts w:hint="eastAsia" w:hAnsi="宋体"/>
          <w:color w:val="auto"/>
          <w:highlight w:val="none"/>
          <w:shd w:val="clear" w:color="auto" w:fill="FFFFFF"/>
        </w:rPr>
        <w:t xml:space="preserve"> 中标人中标后必须按规定及时缴交工人工资保证金、环保噪声排污费等。</w:t>
      </w:r>
    </w:p>
    <w:p w14:paraId="1BCFC6CF">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w:t>
      </w:r>
      <w:r>
        <w:rPr>
          <w:rFonts w:hint="eastAsia" w:hAnsi="宋体"/>
          <w:color w:val="auto"/>
          <w:highlight w:val="none"/>
          <w:shd w:val="clear" w:color="auto" w:fill="FFFFFF"/>
          <w:lang w:val="en-US" w:eastAsia="zh-CN"/>
        </w:rPr>
        <w:t>8</w:t>
      </w:r>
      <w:r>
        <w:rPr>
          <w:rFonts w:hint="eastAsia" w:hAnsi="宋体"/>
          <w:color w:val="auto"/>
          <w:highlight w:val="none"/>
          <w:shd w:val="clear" w:color="auto" w:fill="FFFFFF"/>
        </w:rPr>
        <w:t>工程质量保修期按《中华人民共和国建筑法》、《建设工程质量管理条例》等相关规定实施。</w:t>
      </w:r>
    </w:p>
    <w:p w14:paraId="19B8D0C8">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w:t>
      </w:r>
      <w:r>
        <w:rPr>
          <w:rFonts w:hint="eastAsia" w:hAnsi="宋体"/>
          <w:color w:val="auto"/>
          <w:highlight w:val="none"/>
          <w:shd w:val="clear" w:color="auto" w:fill="FFFFFF"/>
          <w:lang w:val="en-US" w:eastAsia="zh-CN"/>
        </w:rPr>
        <w:t>9</w:t>
      </w:r>
      <w:r>
        <w:rPr>
          <w:rFonts w:hint="eastAsia" w:hAnsi="宋体"/>
          <w:color w:val="auto"/>
          <w:highlight w:val="none"/>
          <w:shd w:val="clear" w:color="auto" w:fill="FFFFFF"/>
        </w:rPr>
        <w:t xml:space="preserve"> 如项目实施过程中发生了工程变更及工程签证，中标人需根据招标人发布的《工程变更管理办法》和《工程签证管理办法》完善工程变更签证相关程序。</w:t>
      </w:r>
    </w:p>
    <w:p w14:paraId="392622A3">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w:t>
      </w:r>
      <w:r>
        <w:rPr>
          <w:rFonts w:hint="eastAsia" w:hAnsi="宋体"/>
          <w:color w:val="auto"/>
          <w:highlight w:val="none"/>
          <w:shd w:val="clear" w:color="auto" w:fill="FFFFFF"/>
          <w:lang w:val="en-US" w:eastAsia="zh-CN"/>
        </w:rPr>
        <w:t>0</w:t>
      </w:r>
      <w:r>
        <w:rPr>
          <w:rFonts w:hint="eastAsia" w:hAnsi="宋体"/>
          <w:color w:val="auto"/>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3DF5F26F">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w:t>
      </w:r>
      <w:r>
        <w:rPr>
          <w:rFonts w:hint="eastAsia" w:hAnsi="宋体"/>
          <w:color w:val="auto"/>
          <w:highlight w:val="none"/>
          <w:shd w:val="clear" w:color="auto" w:fill="FFFFFF"/>
          <w:lang w:val="en-US" w:eastAsia="zh-CN"/>
        </w:rPr>
        <w:t>1</w:t>
      </w:r>
      <w:r>
        <w:rPr>
          <w:rFonts w:hint="eastAsia" w:hAnsi="宋体"/>
          <w:color w:val="auto"/>
          <w:highlight w:val="none"/>
          <w:shd w:val="clear" w:color="auto" w:fill="FFFFFF"/>
        </w:rPr>
        <w:t xml:space="preserve"> 中标人应在项目所在地住建管理部门办理诚信登记，招标人将严格按住建管理部门诚信登记管理办法对中标人履约情况进行考核。</w:t>
      </w:r>
    </w:p>
    <w:p w14:paraId="09C3730A">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w:t>
      </w:r>
      <w:r>
        <w:rPr>
          <w:rFonts w:hint="eastAsia" w:hAnsi="宋体"/>
          <w:color w:val="auto"/>
          <w:highlight w:val="none"/>
          <w:shd w:val="clear" w:color="auto" w:fill="FFFFFF"/>
          <w:lang w:val="en-US" w:eastAsia="zh-CN"/>
        </w:rPr>
        <w:t>2</w:t>
      </w:r>
      <w:r>
        <w:rPr>
          <w:rFonts w:hint="eastAsia" w:hAnsi="宋体"/>
          <w:color w:val="auto"/>
          <w:highlight w:val="none"/>
          <w:shd w:val="clear" w:color="auto" w:fill="FFFFFF"/>
        </w:rPr>
        <w:t xml:space="preserve"> 中标人应按韶关市住房和城乡建设管理局、韶关市人力资源和社会保障局等职能部门对用工实名制的相关规定,落实工人及相关软硬件设施要求。</w:t>
      </w:r>
    </w:p>
    <w:p w14:paraId="4958412F">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18.1</w:t>
      </w:r>
      <w:r>
        <w:rPr>
          <w:rFonts w:hint="eastAsia" w:hAnsi="宋体"/>
          <w:color w:val="auto"/>
          <w:highlight w:val="none"/>
          <w:shd w:val="clear" w:color="auto" w:fill="FFFFFF"/>
          <w:lang w:val="en-US" w:eastAsia="zh-CN"/>
        </w:rPr>
        <w:t>3</w:t>
      </w:r>
      <w:r>
        <w:rPr>
          <w:rFonts w:hint="eastAsia" w:hAnsi="宋体"/>
          <w:color w:val="auto"/>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14:paraId="7C6B8501">
      <w:pPr>
        <w:keepNext w:val="0"/>
        <w:keepLines w:val="0"/>
        <w:pageBreakBefore w:val="0"/>
        <w:kinsoku/>
        <w:overflowPunct/>
        <w:topLinePunct w:val="0"/>
        <w:autoSpaceDE/>
        <w:autoSpaceDN/>
        <w:bidi w:val="0"/>
        <w:spacing w:line="440" w:lineRule="exact"/>
        <w:ind w:firstLine="480" w:firstLineChars="200"/>
        <w:textAlignment w:val="auto"/>
        <w:rPr>
          <w:rFonts w:hint="eastAsia"/>
          <w:bCs/>
          <w:color w:val="auto"/>
          <w:highlight w:val="none"/>
          <w:lang w:bidi="ar"/>
        </w:rPr>
      </w:pPr>
      <w:r>
        <w:rPr>
          <w:rFonts w:hint="eastAsia" w:hAnsi="宋体"/>
          <w:color w:val="auto"/>
          <w:highlight w:val="none"/>
          <w:shd w:val="clear" w:color="auto" w:fill="FFFFFF"/>
        </w:rPr>
        <w:t>18.1</w:t>
      </w:r>
      <w:r>
        <w:rPr>
          <w:rFonts w:hint="eastAsia" w:hAnsi="宋体"/>
          <w:color w:val="auto"/>
          <w:highlight w:val="none"/>
          <w:shd w:val="clear" w:color="auto" w:fill="FFFFFF"/>
          <w:lang w:val="en-US" w:eastAsia="zh-CN"/>
        </w:rPr>
        <w:t>4</w:t>
      </w:r>
      <w:r>
        <w:rPr>
          <w:rFonts w:hint="eastAsia" w:hAnsi="宋体"/>
          <w:color w:val="auto"/>
          <w:highlight w:val="none"/>
          <w:shd w:val="clear" w:color="auto" w:fill="FFFFFF"/>
        </w:rPr>
        <w:t xml:space="preserve"> </w:t>
      </w:r>
      <w:r>
        <w:rPr>
          <w:rFonts w:hint="eastAsia"/>
          <w:bCs/>
          <w:color w:val="auto"/>
          <w:highlight w:val="none"/>
          <w:lang w:bidi="ar"/>
        </w:rPr>
        <w:t>根据粤人社规〔2015〕3号文件规定，中标人中标后，须到银行设立工人工资支付专用账户，用于支付工人工资。发包人支付工程款时，将按工程款（不含工人工资）和工人工资两部分分开支付，工人工资支付至专用账户。中标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8FC5E07">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ascii="宋体" w:hAnsi="Times New Roman"/>
          <w:bCs/>
          <w:color w:val="auto"/>
          <w:sz w:val="24"/>
          <w:szCs w:val="20"/>
          <w:highlight w:val="none"/>
          <w:lang w:bidi="ar"/>
        </w:rPr>
      </w:pPr>
      <w:r>
        <w:rPr>
          <w:rFonts w:hint="eastAsia" w:ascii="宋体" w:hAnsi="Times New Roman"/>
          <w:bCs/>
          <w:color w:val="auto"/>
          <w:sz w:val="24"/>
          <w:szCs w:val="20"/>
          <w:highlight w:val="none"/>
          <w:lang w:bidi="ar"/>
        </w:rPr>
        <w:t>根据《韶关市建设领域施工企业工人工资支付保证金管理办法》（韶人社〔2017〕133号）文件规定，中标人中标后，应在30个日历天内按承包合同工程造价5%的比例（不超过300万元）一次性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0BF7567D">
      <w:pPr>
        <w:pStyle w:val="104"/>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ascii="宋体" w:hAnsi="Times New Roman"/>
          <w:bCs/>
          <w:color w:val="auto"/>
          <w:sz w:val="24"/>
          <w:szCs w:val="20"/>
          <w:highlight w:val="none"/>
          <w:lang w:bidi="ar"/>
        </w:rPr>
      </w:pPr>
      <w:r>
        <w:rPr>
          <w:rFonts w:hint="eastAsia"/>
          <w:bCs/>
          <w:color w:val="auto"/>
          <w:sz w:val="24"/>
          <w:szCs w:val="20"/>
          <w:highlight w:val="none"/>
          <w:lang w:val="en-US" w:eastAsia="zh-CN" w:bidi="ar"/>
        </w:rPr>
        <w:t>18.15</w:t>
      </w:r>
      <w:r>
        <w:rPr>
          <w:rFonts w:hint="eastAsia" w:ascii="宋体" w:hAnsi="Times New Roman"/>
          <w:bCs/>
          <w:color w:val="auto"/>
          <w:sz w:val="24"/>
          <w:szCs w:val="20"/>
          <w:highlight w:val="none"/>
          <w:lang w:bidi="ar"/>
        </w:rPr>
        <w:t>本工程招标代理费及评标专家酬劳由中标人支付，该费用已含在最高投标限价范围内，投标人在投标报价时综合考虑在内，不单独报价。中标人在领取中标通知书前须向招标代理机构一次性支付招标代理费及专家评审费，方可领取中标通知书。</w:t>
      </w:r>
    </w:p>
    <w:p w14:paraId="19856223">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129" w:name="_Hlt69698776"/>
      <w:r>
        <w:rPr>
          <w:rFonts w:ascii="Times New Roman"/>
          <w:b/>
          <w:snapToGrid w:val="0"/>
          <w:color w:val="auto"/>
          <w:sz w:val="24"/>
          <w:highlight w:val="none"/>
        </w:rPr>
        <w:t>　</w:t>
      </w:r>
      <w:bookmarkStart w:id="130" w:name="_Toc28684"/>
      <w:bookmarkStart w:id="131" w:name="_Hlt69698713"/>
      <w:bookmarkStart w:id="132" w:name="_Hlt69698765"/>
      <w:bookmarkStart w:id="133" w:name="_Toc28918"/>
    </w:p>
    <w:p w14:paraId="507D69BF">
      <w:pPr>
        <w:rPr>
          <w:rFonts w:ascii="Times New Roman"/>
          <w:b/>
          <w:snapToGrid w:val="0"/>
          <w:color w:val="auto"/>
          <w:sz w:val="24"/>
          <w:highlight w:val="none"/>
        </w:rPr>
      </w:pPr>
      <w:r>
        <w:rPr>
          <w:rFonts w:ascii="Times New Roman"/>
          <w:b/>
          <w:snapToGrid w:val="0"/>
          <w:color w:val="auto"/>
          <w:sz w:val="24"/>
          <w:highlight w:val="none"/>
        </w:rPr>
        <w:br w:type="page"/>
      </w:r>
    </w:p>
    <w:p w14:paraId="056872E5">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134" w:name="_Toc7758"/>
      <w:bookmarkStart w:id="135" w:name="_Toc32162"/>
      <w:r>
        <w:rPr>
          <w:rFonts w:hint="eastAsia" w:ascii="Times New Roman"/>
          <w:b/>
          <w:snapToGrid w:val="0"/>
          <w:color w:val="auto"/>
          <w:sz w:val="24"/>
          <w:highlight w:val="none"/>
        </w:rPr>
        <w:t>第三章</w:t>
      </w:r>
      <w:bookmarkStart w:id="136" w:name="_Hlt87793831"/>
      <w:bookmarkEnd w:id="136"/>
      <w:r>
        <w:rPr>
          <w:rFonts w:hint="eastAsia" w:ascii="Times New Roman"/>
          <w:b/>
          <w:snapToGrid w:val="0"/>
          <w:color w:val="auto"/>
          <w:sz w:val="24"/>
          <w:highlight w:val="none"/>
        </w:rPr>
        <w:t xml:space="preserve"> 拟签订合同的主要条款</w:t>
      </w:r>
      <w:bookmarkEnd w:id="130"/>
      <w:bookmarkEnd w:id="134"/>
      <w:bookmarkEnd w:id="135"/>
    </w:p>
    <w:bookmarkEnd w:id="131"/>
    <w:bookmarkEnd w:id="132"/>
    <w:p w14:paraId="19B71760">
      <w:pPr>
        <w:pStyle w:val="3"/>
        <w:wordWrap w:val="0"/>
        <w:autoSpaceDE/>
        <w:autoSpaceDN/>
        <w:snapToGrid w:val="0"/>
        <w:spacing w:line="440" w:lineRule="exact"/>
        <w:ind w:firstLine="480"/>
        <w:jc w:val="both"/>
        <w:rPr>
          <w:rFonts w:hint="eastAsia" w:ascii="Times New Roman"/>
          <w:b/>
          <w:snapToGrid w:val="0"/>
          <w:color w:val="auto"/>
          <w:highlight w:val="none"/>
        </w:rPr>
      </w:pPr>
      <w:bookmarkStart w:id="137" w:name="_Toc2688"/>
      <w:bookmarkStart w:id="138" w:name="_Toc322793288"/>
      <w:bookmarkStart w:id="139" w:name="_Toc326916629"/>
    </w:p>
    <w:p w14:paraId="6F3B502B">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140" w:name="_Toc336"/>
      <w:bookmarkStart w:id="141" w:name="_Toc23543"/>
      <w:bookmarkStart w:id="142" w:name="_Toc11501"/>
      <w:r>
        <w:rPr>
          <w:rFonts w:hint="eastAsia" w:ascii="Times New Roman"/>
          <w:b/>
          <w:snapToGrid w:val="0"/>
          <w:color w:val="auto"/>
          <w:highlight w:val="none"/>
        </w:rPr>
        <w:t>1．工程承包方式</w:t>
      </w:r>
      <w:bookmarkEnd w:id="137"/>
      <w:bookmarkEnd w:id="138"/>
      <w:bookmarkEnd w:id="139"/>
      <w:bookmarkEnd w:id="140"/>
      <w:bookmarkEnd w:id="141"/>
      <w:bookmarkEnd w:id="142"/>
    </w:p>
    <w:p w14:paraId="34B5F8A4">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w:t>
      </w:r>
      <w:r>
        <w:rPr>
          <w:rFonts w:hint="eastAsia" w:ascii="Times New Roman"/>
          <w:snapToGrid w:val="0"/>
          <w:color w:val="auto"/>
          <w:kern w:val="0"/>
          <w:highlight w:val="none"/>
        </w:rPr>
        <w:t xml:space="preserve"> 承包人以中标价按包工</w:t>
      </w:r>
      <w:bookmarkStart w:id="143" w:name="_Hlt87948212"/>
      <w:bookmarkEnd w:id="143"/>
      <w:r>
        <w:rPr>
          <w:rFonts w:hint="eastAsia" w:ascii="Times New Roman"/>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1BBBE7B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包工包料：材料符合招标文件要求并报验使用；办理用工保险。</w:t>
      </w:r>
    </w:p>
    <w:p w14:paraId="6EEF9124">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包质量：符合招标文件要求。</w:t>
      </w:r>
    </w:p>
    <w:p w14:paraId="311036D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包安全包文明施工：符合招标文件要求。</w:t>
      </w:r>
    </w:p>
    <w:p w14:paraId="3157E7A2">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 xml:space="preserve">1.1.4 </w:t>
      </w:r>
      <w:r>
        <w:rPr>
          <w:rFonts w:hint="eastAsia" w:ascii="Times New Roman"/>
          <w:snapToGrid w:val="0"/>
          <w:color w:val="auto"/>
          <w:kern w:val="0"/>
          <w:highlight w:val="none"/>
        </w:rPr>
        <w:t>包工期：本招标项目施工必须在招标工期内完成。</w:t>
      </w:r>
    </w:p>
    <w:p w14:paraId="6EAE6418">
      <w:pPr>
        <w:wordWrap w:val="0"/>
        <w:adjustRightInd w:val="0"/>
        <w:snapToGrid w:val="0"/>
        <w:spacing w:line="440" w:lineRule="exact"/>
        <w:ind w:firstLine="560"/>
        <w:rPr>
          <w:rFonts w:ascii="Times New Roman"/>
          <w:snapToGrid w:val="0"/>
          <w:color w:val="auto"/>
          <w:kern w:val="0"/>
          <w:highlight w:val="none"/>
        </w:rPr>
      </w:pPr>
    </w:p>
    <w:p w14:paraId="42B1B718">
      <w:pPr>
        <w:pStyle w:val="3"/>
        <w:wordWrap w:val="0"/>
        <w:autoSpaceDE/>
        <w:autoSpaceDN/>
        <w:snapToGrid w:val="0"/>
        <w:spacing w:line="440" w:lineRule="exact"/>
        <w:ind w:firstLine="480"/>
        <w:jc w:val="both"/>
        <w:rPr>
          <w:rFonts w:hint="eastAsia" w:ascii="Times New Roman"/>
          <w:b/>
          <w:snapToGrid w:val="0"/>
          <w:color w:val="auto"/>
          <w:highlight w:val="none"/>
        </w:rPr>
      </w:pPr>
      <w:bookmarkStart w:id="144" w:name="_2、工程结算原则"/>
      <w:bookmarkEnd w:id="144"/>
      <w:bookmarkStart w:id="145" w:name="_Toc17248"/>
      <w:bookmarkStart w:id="146" w:name="_Toc326916630"/>
      <w:bookmarkStart w:id="147" w:name="_Toc18152"/>
      <w:bookmarkStart w:id="148" w:name="_Toc21894"/>
      <w:bookmarkStart w:id="149" w:name="_Toc322793289"/>
      <w:bookmarkStart w:id="150" w:name="_Toc12397"/>
      <w:bookmarkStart w:id="151" w:name="_Hlt87948449"/>
      <w:bookmarkStart w:id="152" w:name="_Hlt87948447"/>
      <w:r>
        <w:rPr>
          <w:rFonts w:hint="eastAsia" w:ascii="Times New Roman"/>
          <w:b/>
          <w:snapToGrid w:val="0"/>
          <w:color w:val="auto"/>
          <w:highlight w:val="none"/>
        </w:rPr>
        <w:t>2．工程结算原则</w:t>
      </w:r>
      <w:bookmarkEnd w:id="145"/>
      <w:bookmarkEnd w:id="146"/>
      <w:bookmarkEnd w:id="147"/>
      <w:bookmarkEnd w:id="148"/>
      <w:bookmarkEnd w:id="149"/>
      <w:bookmarkEnd w:id="150"/>
    </w:p>
    <w:p w14:paraId="5A19AA88">
      <w:pPr>
        <w:wordWrap w:val="0"/>
        <w:adjustRightInd w:val="0"/>
        <w:snapToGrid w:val="0"/>
        <w:spacing w:line="440" w:lineRule="exact"/>
        <w:ind w:firstLine="480"/>
        <w:rPr>
          <w:rFonts w:hint="eastAsia" w:ascii="Times New Roman"/>
          <w:snapToGrid w:val="0"/>
          <w:color w:val="auto"/>
          <w:kern w:val="0"/>
          <w:szCs w:val="24"/>
          <w:highlight w:val="none"/>
        </w:rPr>
      </w:pPr>
      <w:bookmarkStart w:id="153" w:name="_Hlt88974053"/>
      <w:bookmarkEnd w:id="153"/>
      <w:r>
        <w:rPr>
          <w:rFonts w:ascii="Times New Roman"/>
          <w:b/>
          <w:bCs/>
          <w:snapToGrid w:val="0"/>
          <w:color w:val="auto"/>
          <w:kern w:val="0"/>
          <w:szCs w:val="24"/>
          <w:highlight w:val="none"/>
        </w:rPr>
        <w:t>2.1</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人的投标总价为中标价，即为签约合同价。</w:t>
      </w:r>
    </w:p>
    <w:p w14:paraId="144534E1">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szCs w:val="24"/>
          <w:highlight w:val="none"/>
        </w:rPr>
        <w:t xml:space="preserve"> 招标工程量清单标明的工程量是投标人投标报价的共同基础，竣工结算的工程量按《建设工程工程量清单计价规范》（</w:t>
      </w:r>
      <w:r>
        <w:rPr>
          <w:rFonts w:ascii="Times New Roman"/>
          <w:snapToGrid w:val="0"/>
          <w:color w:val="auto"/>
          <w:kern w:val="0"/>
          <w:szCs w:val="24"/>
          <w:highlight w:val="none"/>
        </w:rPr>
        <w:t>GB50500</w:t>
      </w:r>
      <w:r>
        <w:rPr>
          <w:rFonts w:hint="eastAsia" w:ascii="Times New Roman"/>
          <w:snapToGrid w:val="0"/>
          <w:color w:val="auto"/>
          <w:kern w:val="0"/>
          <w:szCs w:val="24"/>
          <w:highlight w:val="none"/>
        </w:rPr>
        <w:t>—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C44ABDE">
      <w:pPr>
        <w:rPr>
          <w:rFonts w:hint="eastAsia" w:ascii="Times New Roman"/>
          <w:snapToGrid w:val="0"/>
          <w:color w:val="auto"/>
          <w:kern w:val="0"/>
          <w:szCs w:val="24"/>
          <w:highlight w:val="none"/>
        </w:rPr>
      </w:pPr>
      <w:r>
        <w:rPr>
          <w:rFonts w:hint="eastAsia"/>
          <w:color w:val="auto"/>
          <w:highlight w:val="none"/>
        </w:rPr>
        <w:t xml:space="preserve">    </w:t>
      </w:r>
      <w:r>
        <w:rPr>
          <w:rFonts w:hint="eastAsia" w:ascii="Times New Roman"/>
          <w:b/>
          <w:bCs/>
          <w:snapToGrid w:val="0"/>
          <w:color w:val="auto"/>
          <w:kern w:val="0"/>
          <w:szCs w:val="24"/>
          <w:highlight w:val="none"/>
        </w:rPr>
        <w:t>2.3</w:t>
      </w:r>
      <w:r>
        <w:rPr>
          <w:rFonts w:hint="eastAsia" w:ascii="Times New Roman"/>
          <w:snapToGrid w:val="0"/>
          <w:color w:val="auto"/>
          <w:kern w:val="0"/>
          <w:szCs w:val="24"/>
          <w:highlight w:val="none"/>
        </w:rPr>
        <w:t xml:space="preserve"> 施工合同履行期间，若出现下列情形的，发、承包双方应当按照以下规定调整合同价款：</w:t>
      </w:r>
    </w:p>
    <w:p w14:paraId="6617A2FB">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w:t>
      </w:r>
      <w:r>
        <w:rPr>
          <w:rFonts w:hint="eastAsia" w:ascii="Times New Roman"/>
          <w:snapToGrid w:val="0"/>
          <w:color w:val="auto"/>
          <w:kern w:val="0"/>
          <w:szCs w:val="24"/>
          <w:highlight w:val="none"/>
        </w:rPr>
        <w:t xml:space="preserve"> 法律法规变化</w:t>
      </w:r>
    </w:p>
    <w:p w14:paraId="7D5C0411">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4EE3CE9">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highlight w:val="none"/>
        </w:rPr>
        <w:t>注：本招标文件所称“基准日”，均指投标文件递交截止时间（见第一章第二节“重要事项时间地点一览表”）前28天。</w:t>
      </w:r>
    </w:p>
    <w:p w14:paraId="2D1EE3B8">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2.3.1.2</w:t>
      </w:r>
      <w:r>
        <w:rPr>
          <w:rFonts w:hint="eastAsia" w:ascii="Times New Roman"/>
          <w:snapToGrid w:val="0"/>
          <w:color w:val="auto"/>
          <w:kern w:val="0"/>
          <w:szCs w:val="24"/>
          <w:highlight w:val="none"/>
        </w:rPr>
        <w:t xml:space="preserve"> 因承包人原因导致工程延误，本章第</w:t>
      </w: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86C1936">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w:t>
      </w:r>
      <w:r>
        <w:rPr>
          <w:rFonts w:hint="eastAsia" w:ascii="Times New Roman"/>
          <w:snapToGrid w:val="0"/>
          <w:color w:val="auto"/>
          <w:kern w:val="0"/>
          <w:szCs w:val="24"/>
          <w:highlight w:val="none"/>
        </w:rPr>
        <w:t xml:space="preserve"> 工程量偏差或变化</w:t>
      </w:r>
    </w:p>
    <w:p w14:paraId="1AD4B854">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7A84A419">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对于合理报价的清单项目，当工程量增加超过15%时，增加部分的工程量的综合单价以</w:t>
      </w:r>
      <w:r>
        <w:rPr>
          <w:rFonts w:hint="eastAsia" w:ascii="Times New Roman"/>
          <w:snapToGrid w:val="0"/>
          <w:color w:val="auto"/>
          <w:kern w:val="0"/>
          <w:szCs w:val="24"/>
          <w:highlight w:val="none"/>
          <w:u w:val="single"/>
        </w:rPr>
        <w:t xml:space="preserve"> </w:t>
      </w:r>
      <w:r>
        <w:rPr>
          <w:rFonts w:hint="default" w:ascii="宋体" w:hAnsi="宋体" w:eastAsia="宋体" w:cs="宋体"/>
          <w:b/>
          <w:bCs/>
          <w:snapToGrid w:val="0"/>
          <w:color w:val="auto"/>
          <w:kern w:val="0"/>
          <w:sz w:val="24"/>
          <w:szCs w:val="24"/>
          <w:highlight w:val="none"/>
          <w:u w:val="single"/>
        </w:rPr>
        <w:t>该分部分项工程量清单项目原综合单价</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为基价调低</w:t>
      </w:r>
      <w:r>
        <w:rPr>
          <w:rFonts w:hint="eastAsia" w:ascii="Times New Roman"/>
          <w:snapToGrid w:val="0"/>
          <w:color w:val="auto"/>
          <w:kern w:val="0"/>
          <w:szCs w:val="24"/>
          <w:highlight w:val="none"/>
          <w:u w:val="single"/>
        </w:rPr>
        <w:t xml:space="preserve"> </w:t>
      </w:r>
      <w:r>
        <w:rPr>
          <w:rFonts w:hint="default" w:ascii="宋体" w:hAnsi="宋体" w:eastAsia="宋体" w:cs="宋体"/>
          <w:b/>
          <w:bCs/>
          <w:snapToGrid w:val="0"/>
          <w:color w:val="auto"/>
          <w:kern w:val="0"/>
          <w:sz w:val="24"/>
          <w:szCs w:val="24"/>
          <w:highlight w:val="none"/>
          <w:u w:val="single"/>
        </w:rPr>
        <w:t>该分部分项工程量清单项目原综合单价的 3</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r>
        <w:rPr>
          <w:rFonts w:hint="default" w:ascii="宋体" w:hAnsi="宋体" w:eastAsia="宋体" w:cs="宋体"/>
          <w:b/>
          <w:bCs/>
          <w:snapToGrid w:val="0"/>
          <w:color w:val="auto"/>
          <w:kern w:val="0"/>
          <w:sz w:val="24"/>
          <w:szCs w:val="24"/>
          <w:highlight w:val="none"/>
          <w:u w:val="single"/>
        </w:rPr>
        <w:t>该分部分项工程量清单项目原综合单价</w:t>
      </w:r>
      <w:r>
        <w:rPr>
          <w:rFonts w:hint="default" w:ascii="宋体" w:hAnsi="宋体" w:eastAsia="宋体" w:cs="宋体"/>
          <w:snapToGrid w:val="0"/>
          <w:color w:val="auto"/>
          <w:kern w:val="0"/>
          <w:sz w:val="24"/>
          <w:szCs w:val="24"/>
          <w:highlight w:val="none"/>
        </w:rPr>
        <w:t>为基价调高</w:t>
      </w:r>
      <w:r>
        <w:rPr>
          <w:rFonts w:hint="default" w:ascii="宋体" w:hAnsi="宋体" w:eastAsia="宋体" w:cs="宋体"/>
          <w:b/>
          <w:bCs/>
          <w:snapToGrid w:val="0"/>
          <w:color w:val="auto"/>
          <w:kern w:val="0"/>
          <w:sz w:val="24"/>
          <w:szCs w:val="24"/>
          <w:highlight w:val="none"/>
          <w:u w:val="single"/>
        </w:rPr>
        <w:t xml:space="preserve">该分部分项工程量清单项目原综合单价的 3 </w:t>
      </w:r>
      <w:r>
        <w:rPr>
          <w:rFonts w:hint="default" w:ascii="宋体" w:hAnsi="宋体" w:eastAsia="宋体" w:cs="宋体"/>
          <w:snapToGrid w:val="0"/>
          <w:color w:val="auto"/>
          <w:kern w:val="0"/>
          <w:sz w:val="24"/>
          <w:szCs w:val="24"/>
          <w:highlight w:val="none"/>
        </w:rPr>
        <w:t>%。</w:t>
      </w:r>
      <w:r>
        <w:rPr>
          <w:rFonts w:hint="eastAsia" w:ascii="Times New Roman"/>
          <w:snapToGrid w:val="0"/>
          <w:color w:val="auto"/>
          <w:kern w:val="0"/>
          <w:szCs w:val="24"/>
          <w:highlight w:val="none"/>
        </w:rPr>
        <w:t>。</w:t>
      </w:r>
    </w:p>
    <w:p w14:paraId="5BD84C57">
      <w:pPr>
        <w:wordWrap w:val="0"/>
        <w:adjustRightInd w:val="0"/>
        <w:snapToGrid w:val="0"/>
        <w:spacing w:line="440" w:lineRule="exact"/>
        <w:ind w:firstLine="482" w:firstLineChars="200"/>
        <w:jc w:val="left"/>
        <w:rPr>
          <w:rFonts w:hint="default" w:ascii="宋体" w:hAnsi="宋体" w:eastAsia="宋体" w:cs="宋体"/>
          <w:snapToGrid w:val="0"/>
          <w:color w:val="auto"/>
          <w:kern w:val="0"/>
          <w:sz w:val="24"/>
          <w:szCs w:val="24"/>
          <w:highlight w:val="none"/>
        </w:rPr>
      </w:pPr>
      <w:r>
        <w:rPr>
          <w:rFonts w:hint="eastAsia" w:ascii="Times New Roman"/>
          <w:b/>
          <w:bCs/>
          <w:snapToGrid w:val="0"/>
          <w:color w:val="auto"/>
          <w:kern w:val="0"/>
          <w:szCs w:val="24"/>
          <w:highlight w:val="none"/>
        </w:rPr>
        <w:t>对于按照第二章“中标人须知”第4.2条被认定为不平衡报价的清单项目，其综合单价按照以下方法调整：</w:t>
      </w:r>
      <w:r>
        <w:rPr>
          <w:rFonts w:hint="eastAsia" w:ascii="Times New Roman"/>
          <w:snapToGrid w:val="0"/>
          <w:color w:val="auto"/>
          <w:kern w:val="0"/>
          <w:szCs w:val="24"/>
          <w:highlight w:val="none"/>
          <w:u w:val="single"/>
        </w:rPr>
        <w:t xml:space="preserve">  </w:t>
      </w:r>
      <w:r>
        <w:rPr>
          <w:rFonts w:hint="default" w:ascii="宋体" w:hAnsi="宋体" w:eastAsia="宋体" w:cs="宋体"/>
          <w:snapToGrid w:val="0"/>
          <w:color w:val="auto"/>
          <w:kern w:val="0"/>
          <w:sz w:val="24"/>
          <w:szCs w:val="24"/>
          <w:highlight w:val="none"/>
          <w:u w:val="single"/>
        </w:rPr>
        <w:t>以招标控制价中的《分部分项工程和单价措施项目清单与计价表》子目相对应综合单价×（1-中标下浮率）</w:t>
      </w:r>
      <w:r>
        <w:rPr>
          <w:rFonts w:hint="default" w:ascii="宋体" w:hAnsi="宋体" w:eastAsia="宋体" w:cs="宋体"/>
          <w:snapToGrid w:val="0"/>
          <w:color w:val="auto"/>
          <w:kern w:val="0"/>
          <w:sz w:val="24"/>
          <w:szCs w:val="24"/>
          <w:highlight w:val="none"/>
        </w:rPr>
        <w:t>。</w:t>
      </w:r>
    </w:p>
    <w:p w14:paraId="29CE4940">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2.3.2.2</w:t>
      </w:r>
      <w:r>
        <w:rPr>
          <w:rFonts w:hint="eastAsia" w:ascii="Times New Roman"/>
          <w:snapToGrid w:val="0"/>
          <w:color w:val="auto"/>
          <w:kern w:val="0"/>
          <w:szCs w:val="24"/>
          <w:highlight w:val="none"/>
        </w:rPr>
        <w:t xml:space="preserve"> 如果工程量出现本章第</w:t>
      </w: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15017E2F">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 xml:space="preserve"> 工程变更</w:t>
      </w:r>
    </w:p>
    <w:p w14:paraId="346C37E2">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 xml:space="preserve"> 合同履行期间，因工程变更引起已标价工程量清单项目发生变化时，按照以下规定调整：</w:t>
      </w:r>
    </w:p>
    <w:p w14:paraId="02A2A997">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（1）已标价工程量清单中有适用于变更工程项目的，采用该项目的单价。</w:t>
      </w:r>
      <w:r>
        <w:rPr>
          <w:rFonts w:hint="eastAsia" w:ascii="Times New Roman"/>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14:paraId="2F7900A5">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（2）已标价工程量清单中没有适用但有类似于变更工程项目的，可在合理范围内参照类似项目的单价。</w:t>
      </w:r>
      <w:r>
        <w:rPr>
          <w:rFonts w:hint="eastAsia" w:ascii="Times New Roman"/>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14:paraId="4E3A1F1B">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9A82858">
      <w:pPr>
        <w:wordWrap w:val="0"/>
        <w:adjustRightInd w:val="0"/>
        <w:snapToGrid w:val="0"/>
        <w:spacing w:line="440" w:lineRule="exact"/>
        <w:jc w:val="center"/>
        <w:rPr>
          <w:rFonts w:hint="eastAsia" w:ascii="Times New Roman"/>
          <w:snapToGrid w:val="0"/>
          <w:color w:val="auto"/>
          <w:kern w:val="0"/>
          <w:szCs w:val="24"/>
          <w:highlight w:val="none"/>
          <w:u w:val="wave"/>
        </w:rPr>
      </w:pPr>
      <w:r>
        <w:rPr>
          <w:rFonts w:hint="eastAsia" w:ascii="Times New Roman"/>
          <w:snapToGrid w:val="0"/>
          <w:color w:val="auto"/>
          <w:kern w:val="0"/>
          <w:szCs w:val="24"/>
          <w:highlight w:val="none"/>
        </w:rPr>
        <w:t>中标下浮率＝（1－中标价÷招标控制价）×100%</w:t>
      </w:r>
    </w:p>
    <w:p w14:paraId="2FF87718">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A45B2AD">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25C522">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（1）绿色施工安全防护措施费应按照实际发生变化的措施项目计算。</w:t>
      </w:r>
    </w:p>
    <w:p w14:paraId="3E3B4F60">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（2）采用单价计算的措施项目费，应按照实际发生变化的措施项目，按本章第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w:t>
      </w:r>
    </w:p>
    <w:p w14:paraId="51AF413E">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（3）按总价或系数计算的措施项目费，应按照实际发生变化的措施项目费调整并考虑中标下浮率因素，即调整金额</w:t>
      </w:r>
      <w:r>
        <w:rPr>
          <w:rFonts w:hint="eastAsia" w:ascii="Times New Roman"/>
          <w:bCs/>
          <w:snapToGrid w:val="0"/>
          <w:color w:val="auto"/>
          <w:kern w:val="0"/>
          <w:szCs w:val="28"/>
          <w:highlight w:val="none"/>
        </w:rPr>
        <w:t>＝按照实际变化调整</w:t>
      </w:r>
      <w:r>
        <w:rPr>
          <w:rFonts w:hint="eastAsia" w:ascii="Times New Roman"/>
          <w:snapToGrid w:val="0"/>
          <w:color w:val="auto"/>
          <w:kern w:val="0"/>
          <w:szCs w:val="24"/>
          <w:highlight w:val="none"/>
        </w:rPr>
        <w:t>后的金额</w:t>
      </w:r>
      <w:r>
        <w:rPr>
          <w:rFonts w:hint="eastAsia" w:ascii="Times New Roman"/>
          <w:bCs/>
          <w:snapToGrid w:val="0"/>
          <w:color w:val="auto"/>
          <w:kern w:val="0"/>
          <w:szCs w:val="28"/>
          <w:highlight w:val="none"/>
        </w:rPr>
        <w:t>×（1-</w:t>
      </w:r>
      <w:r>
        <w:rPr>
          <w:rFonts w:hint="eastAsia" w:ascii="Times New Roman"/>
          <w:snapToGrid w:val="0"/>
          <w:color w:val="auto"/>
          <w:kern w:val="0"/>
          <w:szCs w:val="24"/>
          <w:highlight w:val="none"/>
        </w:rPr>
        <w:t>中标下浮率）。</w:t>
      </w:r>
    </w:p>
    <w:p w14:paraId="28DEB10D">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如果承包人未</w:t>
      </w:r>
      <w:r>
        <w:rPr>
          <w:rFonts w:ascii="Times New Roman"/>
          <w:snapToGrid w:val="0"/>
          <w:color w:val="auto"/>
          <w:kern w:val="0"/>
          <w:szCs w:val="24"/>
          <w:highlight w:val="none"/>
        </w:rPr>
        <w:t>事先将拟实施的方案提交发包人确认</w:t>
      </w:r>
      <w:r>
        <w:rPr>
          <w:rFonts w:hint="eastAsia" w:ascii="Times New Roman"/>
          <w:snapToGrid w:val="0"/>
          <w:color w:val="auto"/>
          <w:kern w:val="0"/>
          <w:szCs w:val="24"/>
          <w:highlight w:val="none"/>
        </w:rPr>
        <w:t>，视为工程变更不引起措施项目费的调整或承包人放弃调整措施项目费的权利。</w:t>
      </w:r>
    </w:p>
    <w:p w14:paraId="6BE07441">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2.3.3.3</w:t>
      </w:r>
      <w:r>
        <w:rPr>
          <w:rFonts w:hint="eastAsia" w:ascii="Times New Roman"/>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289EDCE">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2.3.4</w:t>
      </w:r>
      <w:r>
        <w:rPr>
          <w:rFonts w:hint="eastAsia" w:ascii="Times New Roman"/>
          <w:snapToGrid w:val="0"/>
          <w:color w:val="auto"/>
          <w:kern w:val="0"/>
          <w:szCs w:val="24"/>
          <w:highlight w:val="none"/>
        </w:rPr>
        <w:t xml:space="preserve"> 项目特征不符</w:t>
      </w:r>
    </w:p>
    <w:p w14:paraId="63F7F26F">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目相关条款的规定重新确定相应工程量清单项目的综合单价，并调整合同价款。</w:t>
      </w:r>
    </w:p>
    <w:p w14:paraId="045A2D41">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w:t>
      </w:r>
      <w:r>
        <w:rPr>
          <w:rFonts w:hint="eastAsia" w:ascii="Times New Roman"/>
          <w:snapToGrid w:val="0"/>
          <w:color w:val="auto"/>
          <w:kern w:val="0"/>
          <w:szCs w:val="24"/>
          <w:highlight w:val="none"/>
        </w:rPr>
        <w:t xml:space="preserve"> 招标工程量清单缺项</w:t>
      </w:r>
    </w:p>
    <w:p w14:paraId="3BA0C4BF">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2.3.5.1</w:t>
      </w:r>
      <w:r>
        <w:rPr>
          <w:rFonts w:hint="eastAsia" w:ascii="Times New Roman"/>
          <w:snapToGrid w:val="0"/>
          <w:color w:val="auto"/>
          <w:kern w:val="0"/>
          <w:szCs w:val="24"/>
          <w:highlight w:val="none"/>
        </w:rPr>
        <w:t xml:space="preserve"> 合同履行期间，由于招标工程量清单中缺项，新增分部分项工程清单项目，应按照本章第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子目的规定确定单价，并调整合同价款。</w:t>
      </w:r>
    </w:p>
    <w:p w14:paraId="0B748592">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2.3.5.2</w:t>
      </w:r>
      <w:r>
        <w:rPr>
          <w:rFonts w:hint="eastAsia" w:ascii="Times New Roman"/>
          <w:snapToGrid w:val="0"/>
          <w:color w:val="auto"/>
          <w:kern w:val="0"/>
          <w:szCs w:val="24"/>
          <w:highlight w:val="none"/>
        </w:rPr>
        <w:t xml:space="preserve"> 新增分部分项工程清单项目后，引起措施项目发生变化的，应按照本章第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子目的规定，在承包人提交的实施方案被发包人批准后调整合同价款。</w:t>
      </w:r>
    </w:p>
    <w:p w14:paraId="5427153E">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2.3.5.3</w:t>
      </w:r>
      <w:r>
        <w:rPr>
          <w:rFonts w:hint="eastAsia" w:ascii="Times New Roman"/>
          <w:snapToGrid w:val="0"/>
          <w:color w:val="auto"/>
          <w:kern w:val="0"/>
          <w:szCs w:val="24"/>
          <w:highlight w:val="none"/>
        </w:rPr>
        <w:t xml:space="preserve"> 由于招标工程量清单中措施项目缺项，承包人应将新增措施项目实施方案提交发包人批准后，按照本章第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子目的规定调整合同价款。</w:t>
      </w:r>
    </w:p>
    <w:p w14:paraId="3770D9F3">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w:t>
      </w:r>
      <w:r>
        <w:rPr>
          <w:rFonts w:hint="eastAsia" w:ascii="Times New Roman"/>
          <w:bCs/>
          <w:snapToGrid w:val="0"/>
          <w:color w:val="auto"/>
          <w:kern w:val="0"/>
          <w:szCs w:val="28"/>
          <w:highlight w:val="none"/>
        </w:rPr>
        <w:t xml:space="preserve"> 物价变化</w:t>
      </w:r>
    </w:p>
    <w:p w14:paraId="759F9F75">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2.3.6.1</w:t>
      </w:r>
      <w:r>
        <w:rPr>
          <w:rFonts w:hint="eastAsia" w:ascii="Times New Roman"/>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Times New Roman"/>
          <w:snapToGrid w:val="0"/>
          <w:color w:val="auto"/>
          <w:kern w:val="0"/>
          <w:szCs w:val="24"/>
          <w:highlight w:val="none"/>
        </w:rPr>
        <w:t>以下简称“中标人工费”</w:t>
      </w:r>
      <w:r>
        <w:rPr>
          <w:rFonts w:hint="eastAsia" w:ascii="Times New Roman"/>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4A0F91C2">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szCs w:val="28"/>
          <w:highlight w:val="none"/>
        </w:rPr>
        <w:t>结算人工费＝中标人工费×</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p>
    <w:p w14:paraId="343D382C">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bCs/>
          <w:snapToGrid w:val="0"/>
          <w:color w:val="auto"/>
          <w:kern w:val="0"/>
          <w:szCs w:val="28"/>
          <w:highlight w:val="none"/>
        </w:rPr>
        <w:t>式中，F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为施工当月项目所在地工程造价管理机构发布的动态人工调整系数。</w:t>
      </w:r>
    </w:p>
    <w:p w14:paraId="2CBE1013">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2.3.6.2</w:t>
      </w:r>
      <w:r>
        <w:rPr>
          <w:rFonts w:hint="eastAsia" w:ascii="Times New Roman"/>
          <w:snapToGrid w:val="0"/>
          <w:color w:val="auto"/>
          <w:kern w:val="0"/>
          <w:szCs w:val="24"/>
          <w:highlight w:val="none"/>
        </w:rPr>
        <w:t xml:space="preserve"> 本招标项目约定，材料、工程设备单价涨跌风险幅度值A为</w:t>
      </w:r>
      <w:r>
        <w:rPr>
          <w:rFonts w:hint="eastAsia" w:ascii="Times New Roman"/>
          <w:snapToGrid w:val="0"/>
          <w:color w:val="auto"/>
          <w:kern w:val="0"/>
          <w:szCs w:val="24"/>
          <w:highlight w:val="none"/>
          <w:u w:val="single"/>
        </w:rPr>
        <w:t xml:space="preserve"> 5% </w:t>
      </w:r>
      <w:r>
        <w:rPr>
          <w:rFonts w:hint="eastAsia" w:ascii="Times New Roman"/>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C286E99">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6959929">
      <w:pPr>
        <w:spacing w:line="418"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a</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2C158826">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60288"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106B10F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55.65pt;margin-top:2.35pt;height:19.4pt;width:17.4pt;mso-position-horizontal-relative:page;z-index:-251656192;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bHiCdcAAAAIAQAADwAAAAAAAAABACAAAAAiAAAAZHJzL2Rvd25yZXYu&#10;eG1sUEsBAhQAFAAAAAgAh07iQIWXv2PDAQAAgAMAAA4AAAAAAAAAAQAgAAAAJgEAAGRycy9lMm9E&#10;b2MueG1sUEsFBgAAAAAGAAYAWQEAAFsFAAAAAA==&#10;">
                <v:fill on="f" focussize="0,0"/>
                <v:stroke on="f"/>
                <v:imagedata o:title=""/>
                <o:lock v:ext="edit" aspectratio="f"/>
                <v:textbox inset="0mm,0mm,0mm,0mm">
                  <w:txbxContent>
                    <w:p w14:paraId="106B10F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14:paraId="571ED6DC">
      <w:pPr>
        <w:pStyle w:val="11"/>
        <w:spacing w:after="0" w:line="240" w:lineRule="exact"/>
        <w:ind w:left="3454" w:right="4848"/>
        <w:jc w:val="center"/>
        <w:rPr>
          <w:color w:val="auto"/>
          <w:sz w:val="15"/>
          <w:szCs w:val="15"/>
          <w:highlight w:val="none"/>
        </w:rPr>
      </w:pPr>
    </w:p>
    <w:p w14:paraId="2499FA5C">
      <w:pPr>
        <w:spacing w:before="4" w:line="170" w:lineRule="exact"/>
        <w:rPr>
          <w:color w:val="auto"/>
          <w:sz w:val="17"/>
          <w:szCs w:val="17"/>
          <w:highlight w:val="none"/>
        </w:rPr>
      </w:pPr>
    </w:p>
    <w:p w14:paraId="54FA3906">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39771922">
      <w:pPr>
        <w:pStyle w:val="11"/>
        <w:tabs>
          <w:tab w:val="left" w:pos="2870"/>
        </w:tabs>
        <w:spacing w:line="142" w:lineRule="exact"/>
        <w:ind w:left="249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5080E786">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5080E786">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42814A00">
      <w:pPr>
        <w:pStyle w:val="11"/>
        <w:spacing w:before="26"/>
        <w:ind w:left="3496" w:right="4830"/>
        <w:jc w:val="center"/>
        <w:rPr>
          <w:color w:val="auto"/>
          <w:highlight w:val="none"/>
        </w:rPr>
      </w:pPr>
    </w:p>
    <w:p w14:paraId="0C6006B1">
      <w:pPr>
        <w:spacing w:before="6" w:line="170" w:lineRule="exact"/>
        <w:rPr>
          <w:color w:val="auto"/>
          <w:sz w:val="17"/>
          <w:szCs w:val="17"/>
          <w:highlight w:val="none"/>
        </w:rPr>
      </w:pPr>
    </w:p>
    <w:p w14:paraId="795F8A9E">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b</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3607F815">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616A4104">
                            <w:r>
                              <w:rPr>
                                <w:rFonts w:ascii="Times New Roman" w:eastAsia="Times New Roman"/>
                                <w:spacing w:val="-39"/>
                                <w:position w:val="15"/>
                                <w:szCs w:val="24"/>
                              </w:rPr>
                              <w:t>F</w:t>
                            </w:r>
                            <w:r>
                              <w:rPr>
                                <w:rFonts w:ascii="Times New Roman" w:eastAsia="Times New Roman"/>
                                <w:position w:val="9"/>
                                <w:sz w:val="14"/>
                                <w:szCs w:val="14"/>
                              </w:rPr>
                              <w:t>1</w:t>
                            </w:r>
                          </w:p>
                          <w:p w14:paraId="18EF3854"/>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616A4104">
                      <w:r>
                        <w:rPr>
                          <w:rFonts w:ascii="Times New Roman" w:eastAsia="Times New Roman"/>
                          <w:spacing w:val="-39"/>
                          <w:position w:val="15"/>
                          <w:szCs w:val="24"/>
                        </w:rPr>
                        <w:t>F</w:t>
                      </w:r>
                      <w:r>
                        <w:rPr>
                          <w:rFonts w:ascii="Times New Roman" w:eastAsia="Times New Roman"/>
                          <w:position w:val="9"/>
                          <w:sz w:val="14"/>
                          <w:szCs w:val="14"/>
                        </w:rPr>
                        <w:t>1</w:t>
                      </w:r>
                    </w:p>
                    <w:p w14:paraId="18EF3854"/>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01B7828C">
      <w:pPr>
        <w:pStyle w:val="11"/>
        <w:spacing w:before="26"/>
        <w:ind w:left="3441" w:right="4885"/>
        <w:jc w:val="center"/>
        <w:rPr>
          <w:color w:val="auto"/>
          <w:highlight w:val="none"/>
        </w:rPr>
      </w:pPr>
    </w:p>
    <w:p w14:paraId="2EB8A00F">
      <w:pPr>
        <w:spacing w:before="3" w:line="170" w:lineRule="exact"/>
        <w:rPr>
          <w:color w:val="auto"/>
          <w:sz w:val="17"/>
          <w:szCs w:val="17"/>
          <w:highlight w:val="none"/>
        </w:rPr>
      </w:pPr>
    </w:p>
    <w:p w14:paraId="0B0B2053">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01DAB20A">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2A7E1C1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2A7E1C1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6E18C75E">
      <w:pPr>
        <w:spacing w:before="4" w:line="110" w:lineRule="exact"/>
        <w:rPr>
          <w:color w:val="auto"/>
          <w:sz w:val="11"/>
          <w:szCs w:val="11"/>
          <w:highlight w:val="none"/>
        </w:rPr>
      </w:pPr>
    </w:p>
    <w:p w14:paraId="066FC410">
      <w:pPr>
        <w:spacing w:line="200" w:lineRule="exact"/>
        <w:rPr>
          <w:color w:val="auto"/>
          <w:sz w:val="20"/>
          <w:highlight w:val="none"/>
        </w:rPr>
      </w:pPr>
    </w:p>
    <w:p w14:paraId="47C13852">
      <w:pPr>
        <w:spacing w:line="200" w:lineRule="exact"/>
        <w:rPr>
          <w:color w:val="auto"/>
          <w:sz w:val="20"/>
          <w:highlight w:val="none"/>
        </w:rPr>
      </w:pPr>
    </w:p>
    <w:p w14:paraId="5E62D5B7">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c</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45AF0A63">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54B119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554B119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14:paraId="5E5986DF">
      <w:pPr>
        <w:pStyle w:val="11"/>
        <w:spacing w:before="26"/>
        <w:ind w:left="3454" w:right="4848"/>
        <w:jc w:val="center"/>
        <w:rPr>
          <w:color w:val="auto"/>
          <w:sz w:val="14"/>
          <w:szCs w:val="14"/>
          <w:highlight w:val="none"/>
        </w:rPr>
      </w:pPr>
    </w:p>
    <w:p w14:paraId="082F404A">
      <w:pPr>
        <w:spacing w:before="4" w:line="170" w:lineRule="exact"/>
        <w:rPr>
          <w:color w:val="auto"/>
          <w:sz w:val="17"/>
          <w:szCs w:val="17"/>
          <w:highlight w:val="none"/>
        </w:rPr>
      </w:pPr>
    </w:p>
    <w:p w14:paraId="65A3AC23">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0D4F58CE">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099C34FD">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099C34FD">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0A554080">
      <w:pPr>
        <w:pStyle w:val="11"/>
        <w:spacing w:before="26"/>
        <w:ind w:left="3521" w:right="4781"/>
        <w:jc w:val="center"/>
        <w:rPr>
          <w:color w:val="auto"/>
          <w:sz w:val="14"/>
          <w:szCs w:val="14"/>
          <w:highlight w:val="none"/>
        </w:rPr>
      </w:pPr>
    </w:p>
    <w:p w14:paraId="0DC65144">
      <w:pPr>
        <w:spacing w:before="3" w:line="120" w:lineRule="exact"/>
        <w:rPr>
          <w:color w:val="auto"/>
          <w:sz w:val="12"/>
          <w:szCs w:val="12"/>
          <w:highlight w:val="none"/>
        </w:rPr>
      </w:pPr>
    </w:p>
    <w:p w14:paraId="3992872F">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为施工当月项目所在地工程造价管理机构发布的材料、工程设备单价；A为合同约定的材料、工程设备单价涨跌风险幅度值。</w:t>
      </w:r>
    </w:p>
    <w:p w14:paraId="719724FC">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bCs/>
          <w:snapToGrid w:val="0"/>
          <w:color w:val="auto"/>
          <w:kern w:val="0"/>
          <w:szCs w:val="24"/>
          <w:highlight w:val="none"/>
        </w:rPr>
        <w:t>2.3.6.3</w:t>
      </w:r>
      <w:r>
        <w:rPr>
          <w:rFonts w:hint="eastAsia" w:ascii="Times New Roman"/>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65D82E0E">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2.3.6.4</w:t>
      </w:r>
      <w:r>
        <w:rPr>
          <w:rFonts w:hint="eastAsia" w:ascii="Times New Roman"/>
          <w:snapToGrid w:val="0"/>
          <w:color w:val="auto"/>
          <w:kern w:val="0"/>
          <w:szCs w:val="24"/>
          <w:highlight w:val="none"/>
        </w:rPr>
        <w:t xml:space="preserve"> 本招标项目约定，施工机具台班单价涨跌风险幅度值B为</w:t>
      </w:r>
      <w:r>
        <w:rPr>
          <w:rFonts w:hint="eastAsia" w:ascii="Times New Roman"/>
          <w:snapToGrid w:val="0"/>
          <w:color w:val="auto"/>
          <w:kern w:val="0"/>
          <w:szCs w:val="24"/>
          <w:highlight w:val="none"/>
          <w:u w:val="single"/>
        </w:rPr>
        <w:t xml:space="preserve"> 10% </w:t>
      </w:r>
      <w:r>
        <w:rPr>
          <w:rFonts w:hint="eastAsia" w:ascii="Times New Roman"/>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6C0ED86D">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74A42F0A">
      <w:pPr>
        <w:spacing w:line="418" w:lineRule="exact"/>
        <w:ind w:left="120" w:firstLine="241" w:firstLineChars="100"/>
        <w:jc w:val="left"/>
        <w:rPr>
          <w:rFonts w:hAnsi="宋体" w:cs="宋体"/>
          <w:color w:val="auto"/>
          <w:szCs w:val="24"/>
          <w:highlight w:val="none"/>
        </w:rPr>
      </w:pPr>
      <w:r>
        <w:rPr>
          <w:b/>
          <w:bCs/>
          <w:color w:val="auto"/>
          <w:highlight w:val="none"/>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35EB337D">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710851BB">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710851BB">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14:paraId="772CE0A8">
      <w:pPr>
        <w:pStyle w:val="11"/>
        <w:spacing w:after="0" w:line="240" w:lineRule="exact"/>
        <w:ind w:left="3454" w:right="4848"/>
        <w:jc w:val="center"/>
        <w:rPr>
          <w:color w:val="auto"/>
          <w:sz w:val="15"/>
          <w:szCs w:val="15"/>
          <w:highlight w:val="none"/>
        </w:rPr>
      </w:pPr>
    </w:p>
    <w:p w14:paraId="7A834B26">
      <w:pPr>
        <w:spacing w:before="4" w:line="170" w:lineRule="exact"/>
        <w:rPr>
          <w:color w:val="auto"/>
          <w:sz w:val="17"/>
          <w:szCs w:val="17"/>
          <w:highlight w:val="none"/>
        </w:rPr>
      </w:pPr>
    </w:p>
    <w:p w14:paraId="3028A2A4">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1AFC2F28">
      <w:pPr>
        <w:pStyle w:val="11"/>
        <w:tabs>
          <w:tab w:val="left" w:pos="2870"/>
        </w:tabs>
        <w:spacing w:line="142" w:lineRule="exact"/>
        <w:ind w:left="2490"/>
        <w:jc w:val="left"/>
        <w:rPr>
          <w:color w:val="auto"/>
          <w:highlight w:val="none"/>
        </w:rPr>
      </w:pPr>
      <w:r>
        <w:rPr>
          <w:color w:val="auto"/>
          <w:sz w:val="14"/>
          <w:szCs w:val="14"/>
          <w:highlight w:val="none"/>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47B2E05E">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47B2E05E">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7A3576FC">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b</w:t>
      </w:r>
      <w:r>
        <w:rPr>
          <w:rFonts w:hint="eastAsia" w:ascii="Times New Roman"/>
          <w:snapToGrid w:val="0"/>
          <w:color w:val="auto"/>
          <w:kern w:val="0"/>
          <w:szCs w:val="24"/>
          <w:highlight w:val="none"/>
        </w:rPr>
        <w:t>．如果中标单价高于基准单价，该施工机具台班的结算单价调整公式为：</w:t>
      </w:r>
    </w:p>
    <w:p w14:paraId="6E89860E">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1760602E">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9E70770">
                            <w:r>
                              <w:rPr>
                                <w:rFonts w:ascii="Times New Roman" w:eastAsia="Times New Roman"/>
                                <w:spacing w:val="-39"/>
                                <w:position w:val="15"/>
                                <w:szCs w:val="24"/>
                              </w:rPr>
                              <w:t>F</w:t>
                            </w:r>
                            <w:r>
                              <w:rPr>
                                <w:rFonts w:ascii="Times New Roman" w:eastAsia="Times New Roman"/>
                                <w:position w:val="9"/>
                                <w:sz w:val="14"/>
                                <w:szCs w:val="14"/>
                              </w:rPr>
                              <w:t>1</w:t>
                            </w:r>
                          </w:p>
                          <w:p w14:paraId="723D3B3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9E70770">
                      <w:r>
                        <w:rPr>
                          <w:rFonts w:ascii="Times New Roman" w:eastAsia="Times New Roman"/>
                          <w:spacing w:val="-39"/>
                          <w:position w:val="15"/>
                          <w:szCs w:val="24"/>
                        </w:rPr>
                        <w:t>F</w:t>
                      </w:r>
                      <w:r>
                        <w:rPr>
                          <w:rFonts w:ascii="Times New Roman" w:eastAsia="Times New Roman"/>
                          <w:position w:val="9"/>
                          <w:sz w:val="14"/>
                          <w:szCs w:val="14"/>
                        </w:rPr>
                        <w:t>1</w:t>
                      </w:r>
                    </w:p>
                    <w:p w14:paraId="723D3B39"/>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1CC7BEAC">
      <w:pPr>
        <w:pStyle w:val="11"/>
        <w:spacing w:before="26"/>
        <w:ind w:left="3441" w:right="4885"/>
        <w:jc w:val="center"/>
        <w:rPr>
          <w:color w:val="auto"/>
          <w:sz w:val="20"/>
          <w:highlight w:val="none"/>
        </w:rPr>
      </w:pPr>
    </w:p>
    <w:p w14:paraId="472A52A5">
      <w:pPr>
        <w:spacing w:before="3" w:line="170" w:lineRule="exact"/>
        <w:rPr>
          <w:color w:val="auto"/>
          <w:sz w:val="17"/>
          <w:szCs w:val="17"/>
          <w:highlight w:val="none"/>
        </w:rPr>
      </w:pPr>
    </w:p>
    <w:p w14:paraId="6FEEE434">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0867265">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209B32D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209B32D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560C1C26">
      <w:pPr>
        <w:spacing w:line="200" w:lineRule="exact"/>
        <w:rPr>
          <w:color w:val="auto"/>
          <w:sz w:val="20"/>
          <w:highlight w:val="none"/>
        </w:rPr>
      </w:pPr>
    </w:p>
    <w:p w14:paraId="42008F5F">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c</w:t>
      </w:r>
      <w:r>
        <w:rPr>
          <w:rFonts w:hint="eastAsia" w:ascii="Times New Roman"/>
          <w:snapToGrid w:val="0"/>
          <w:color w:val="auto"/>
          <w:kern w:val="0"/>
          <w:szCs w:val="24"/>
          <w:highlight w:val="none"/>
        </w:rPr>
        <w:t>．如果中标单价等于基准单价，该施工机具台班的结算单价调整公式为：</w:t>
      </w:r>
    </w:p>
    <w:p w14:paraId="1DD525EF">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020F2016">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20674DE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20674DE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14:paraId="73ECA42D">
      <w:pPr>
        <w:pStyle w:val="11"/>
        <w:spacing w:before="26"/>
        <w:ind w:left="3454" w:right="4848"/>
        <w:jc w:val="center"/>
        <w:rPr>
          <w:color w:val="auto"/>
          <w:sz w:val="14"/>
          <w:szCs w:val="14"/>
          <w:highlight w:val="none"/>
        </w:rPr>
      </w:pPr>
    </w:p>
    <w:p w14:paraId="287ECB74">
      <w:pPr>
        <w:spacing w:before="4" w:line="170" w:lineRule="exact"/>
        <w:rPr>
          <w:color w:val="auto"/>
          <w:sz w:val="17"/>
          <w:szCs w:val="17"/>
          <w:highlight w:val="none"/>
        </w:rPr>
      </w:pPr>
    </w:p>
    <w:p w14:paraId="6EE89372">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FAA8DA1">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7961D802">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7961D802">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46D12655">
      <w:pPr>
        <w:pStyle w:val="11"/>
        <w:spacing w:before="26"/>
        <w:ind w:left="3521" w:right="4781"/>
        <w:jc w:val="center"/>
        <w:rPr>
          <w:color w:val="auto"/>
          <w:sz w:val="14"/>
          <w:szCs w:val="14"/>
          <w:highlight w:val="none"/>
        </w:rPr>
      </w:pPr>
    </w:p>
    <w:p w14:paraId="1F149AF8">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为施工当月项目所在地工程造价管理机构发布的施工机具台班单价；B为合同约定的施工机具台班单价涨跌风险幅度值。</w:t>
      </w:r>
    </w:p>
    <w:p w14:paraId="5A2766D4">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w:t>
      </w:r>
      <w:r>
        <w:rPr>
          <w:rFonts w:hint="eastAsia" w:ascii="Times New Roman"/>
          <w:bCs/>
          <w:snapToGrid w:val="0"/>
          <w:color w:val="auto"/>
          <w:kern w:val="0"/>
          <w:szCs w:val="28"/>
          <w:highlight w:val="none"/>
        </w:rPr>
        <w:t xml:space="preserve"> 暂估价和暂列金额</w:t>
      </w:r>
    </w:p>
    <w:p w14:paraId="3BAA07BF">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2.3.7.1</w:t>
      </w:r>
      <w:r>
        <w:rPr>
          <w:rFonts w:hint="eastAsia" w:ascii="Times New Roman"/>
          <w:bCs/>
          <w:snapToGrid w:val="0"/>
          <w:color w:val="auto"/>
          <w:kern w:val="0"/>
          <w:szCs w:val="28"/>
          <w:highlight w:val="none"/>
        </w:rPr>
        <w:t xml:space="preserve"> 暂估价项目按第一章第三节“投标人须知正文”第</w:t>
      </w:r>
      <w:r>
        <w:rPr>
          <w:rFonts w:hint="eastAsia" w:ascii="Times New Roman"/>
          <w:b/>
          <w:bCs/>
          <w:snapToGrid w:val="0"/>
          <w:color w:val="auto"/>
          <w:kern w:val="0"/>
          <w:highlight w:val="none"/>
        </w:rPr>
        <w:t>8.5</w:t>
      </w:r>
      <w:r>
        <w:rPr>
          <w:rFonts w:hint="eastAsia" w:ascii="Times New Roman"/>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3E12A17D">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2.3.7.2</w:t>
      </w:r>
      <w:r>
        <w:rPr>
          <w:rFonts w:hint="eastAsia" w:ascii="Times New Roman"/>
          <w:bCs/>
          <w:snapToGrid w:val="0"/>
          <w:color w:val="auto"/>
          <w:kern w:val="0"/>
          <w:szCs w:val="28"/>
          <w:highlight w:val="none"/>
        </w:rPr>
        <w:t xml:space="preserve"> 暂列金额由发包人掌握和使用。暂列金额项目若有发生，按第一章第三节“投标人须知正文”第</w:t>
      </w:r>
      <w:r>
        <w:rPr>
          <w:rFonts w:hint="eastAsia" w:ascii="Times New Roman"/>
          <w:b/>
          <w:snapToGrid w:val="0"/>
          <w:color w:val="auto"/>
          <w:kern w:val="0"/>
          <w:szCs w:val="28"/>
          <w:highlight w:val="none"/>
        </w:rPr>
        <w:t>8.6</w:t>
      </w:r>
      <w:r>
        <w:rPr>
          <w:rFonts w:hint="eastAsia" w:ascii="Times New Roman"/>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w:t>
      </w:r>
      <w:r>
        <w:rPr>
          <w:rFonts w:ascii="Times New Roman"/>
          <w:bCs/>
          <w:snapToGrid w:val="0"/>
          <w:color w:val="auto"/>
          <w:kern w:val="0"/>
          <w:szCs w:val="28"/>
          <w:highlight w:val="none"/>
        </w:rPr>
        <w:t>余额</w:t>
      </w:r>
      <w:r>
        <w:rPr>
          <w:rFonts w:hint="eastAsia" w:ascii="Times New Roman"/>
          <w:bCs/>
          <w:snapToGrid w:val="0"/>
          <w:color w:val="auto"/>
          <w:kern w:val="0"/>
          <w:szCs w:val="28"/>
          <w:highlight w:val="none"/>
        </w:rPr>
        <w:t>（若有）</w:t>
      </w:r>
      <w:r>
        <w:rPr>
          <w:rFonts w:ascii="Times New Roman"/>
          <w:bCs/>
          <w:snapToGrid w:val="0"/>
          <w:color w:val="auto"/>
          <w:kern w:val="0"/>
          <w:szCs w:val="28"/>
          <w:highlight w:val="none"/>
        </w:rPr>
        <w:t>归发包人所有。</w:t>
      </w:r>
    </w:p>
    <w:p w14:paraId="15BC9B5D">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2.3.8</w:t>
      </w:r>
      <w:r>
        <w:rPr>
          <w:rFonts w:hint="eastAsia" w:ascii="Times New Roman"/>
          <w:bCs/>
          <w:snapToGrid w:val="0"/>
          <w:color w:val="auto"/>
          <w:kern w:val="0"/>
          <w:szCs w:val="28"/>
          <w:highlight w:val="none"/>
        </w:rPr>
        <w:t xml:space="preserve"> 预算包干费按照分部分项的人工费与施工机具费之和的7%计算。本招标项目的预算包干内容包括：</w:t>
      </w:r>
      <w:r>
        <w:rPr>
          <w:rFonts w:hint="eastAsia" w:ascii="Times New Roman"/>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Times New Roman"/>
          <w:bCs/>
          <w:snapToGrid w:val="0"/>
          <w:color w:val="auto"/>
          <w:kern w:val="0"/>
          <w:szCs w:val="28"/>
          <w:highlight w:val="none"/>
        </w:rPr>
        <w:t>。对于以上预算包干内容，承包人不得提出额外付款或延长工期等要求。</w:t>
      </w:r>
      <w:r>
        <w:rPr>
          <w:rFonts w:hint="eastAsia" w:ascii="Times New Roman"/>
          <w:snapToGrid w:val="0"/>
          <w:color w:val="auto"/>
          <w:kern w:val="0"/>
          <w:szCs w:val="24"/>
          <w:highlight w:val="none"/>
        </w:rPr>
        <w:t>对此类要求，发包人不作任何考虑及答复</w:t>
      </w:r>
      <w:r>
        <w:rPr>
          <w:rFonts w:hint="eastAsia" w:ascii="Times New Roman"/>
          <w:bCs/>
          <w:snapToGrid w:val="0"/>
          <w:color w:val="auto"/>
          <w:kern w:val="0"/>
          <w:szCs w:val="28"/>
          <w:highlight w:val="none"/>
        </w:rPr>
        <w:t>。</w:t>
      </w:r>
    </w:p>
    <w:p w14:paraId="3341C0C6">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2.3.9</w:t>
      </w:r>
      <w:r>
        <w:rPr>
          <w:rFonts w:hint="eastAsia" w:ascii="Times New Roman"/>
          <w:bCs/>
          <w:snapToGrid w:val="0"/>
          <w:color w:val="auto"/>
          <w:kern w:val="0"/>
          <w:szCs w:val="28"/>
          <w:highlight w:val="none"/>
        </w:rPr>
        <w:t xml:space="preserve"> 其余事项（如不可抗力、索赔、现场签证等）的调整原则按照《建设工程工程量清单计价规范》（GB50500—2013）有关规定执行。 </w:t>
      </w:r>
    </w:p>
    <w:p w14:paraId="5400283E">
      <w:pPr>
        <w:wordWrap w:val="0"/>
        <w:adjustRightInd w:val="0"/>
        <w:snapToGrid w:val="0"/>
        <w:spacing w:line="440" w:lineRule="exact"/>
        <w:ind w:firstLine="560"/>
        <w:rPr>
          <w:rFonts w:hint="eastAsia" w:ascii="Times New Roman"/>
          <w:snapToGrid w:val="0"/>
          <w:color w:val="auto"/>
          <w:kern w:val="0"/>
          <w:szCs w:val="24"/>
          <w:highlight w:val="none"/>
        </w:rPr>
      </w:pPr>
    </w:p>
    <w:p w14:paraId="4104EA49">
      <w:pPr>
        <w:wordWrap w:val="0"/>
        <w:adjustRightInd w:val="0"/>
        <w:snapToGrid w:val="0"/>
        <w:spacing w:line="440" w:lineRule="exact"/>
        <w:ind w:firstLine="560"/>
        <w:rPr>
          <w:rFonts w:hint="eastAsia" w:ascii="Times New Roman"/>
          <w:strike/>
          <w:snapToGrid w:val="0"/>
          <w:color w:val="auto"/>
          <w:kern w:val="0"/>
          <w:szCs w:val="28"/>
          <w:highlight w:val="none"/>
        </w:rPr>
      </w:pPr>
      <w:r>
        <w:rPr>
          <w:rFonts w:hint="eastAsia" w:ascii="Times New Roman"/>
          <w:b/>
          <w:bCs/>
          <w:snapToGrid w:val="0"/>
          <w:color w:val="auto"/>
          <w:kern w:val="0"/>
          <w:szCs w:val="24"/>
          <w:highlight w:val="none"/>
        </w:rPr>
        <w:t>2.4</w:t>
      </w:r>
      <w:r>
        <w:rPr>
          <w:rFonts w:hint="eastAsia" w:ascii="Times New Roman"/>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54" w:name="_Hlt112206782"/>
      <w:bookmarkEnd w:id="154"/>
    </w:p>
    <w:p w14:paraId="4FAB363C">
      <w:pPr>
        <w:wordWrap w:val="0"/>
        <w:adjustRightInd w:val="0"/>
        <w:snapToGrid w:val="0"/>
        <w:spacing w:line="440" w:lineRule="exact"/>
        <w:ind w:firstLine="482" w:firstLineChars="200"/>
        <w:rPr>
          <w:rFonts w:hint="eastAsia" w:ascii="Times New Roman"/>
          <w:b/>
          <w:snapToGrid w:val="0"/>
          <w:color w:val="auto"/>
          <w:kern w:val="0"/>
          <w:szCs w:val="28"/>
          <w:highlight w:val="none"/>
        </w:rPr>
      </w:pPr>
    </w:p>
    <w:p w14:paraId="717D6E54">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2.5</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人不得以不完全了解现场情况为理由，提出额外付款或延长工期等要求。对此类要求，发包人不作任何考虑及答复。</w:t>
      </w:r>
    </w:p>
    <w:p w14:paraId="511D63F3">
      <w:pPr>
        <w:wordWrap w:val="0"/>
        <w:adjustRightInd w:val="0"/>
        <w:snapToGrid w:val="0"/>
        <w:spacing w:line="440" w:lineRule="exact"/>
        <w:ind w:firstLine="480" w:firstLineChars="200"/>
        <w:rPr>
          <w:rFonts w:hint="eastAsia" w:ascii="Times New Roman"/>
          <w:snapToGrid w:val="0"/>
          <w:color w:val="auto"/>
          <w:kern w:val="0"/>
          <w:szCs w:val="24"/>
          <w:highlight w:val="none"/>
        </w:rPr>
      </w:pPr>
    </w:p>
    <w:p w14:paraId="2728CC16">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2.6</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人已标价工程量清单中漏报、错报或少报的清单项目，其价格均视为已经包含在其它清单项目中，竣工结算时不得重新组价和调整。</w:t>
      </w:r>
    </w:p>
    <w:p w14:paraId="65DD975D">
      <w:pPr>
        <w:wordWrap w:val="0"/>
        <w:adjustRightInd w:val="0"/>
        <w:snapToGrid w:val="0"/>
        <w:spacing w:line="440" w:lineRule="exact"/>
        <w:ind w:firstLine="480" w:firstLineChars="200"/>
        <w:rPr>
          <w:rFonts w:hint="eastAsia" w:ascii="Times New Roman"/>
          <w:snapToGrid w:val="0"/>
          <w:color w:val="auto"/>
          <w:kern w:val="0"/>
          <w:szCs w:val="24"/>
          <w:highlight w:val="none"/>
        </w:rPr>
      </w:pPr>
    </w:p>
    <w:p w14:paraId="0A158E16">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2.7</w:t>
      </w:r>
      <w:r>
        <w:rPr>
          <w:rFonts w:hint="eastAsia" w:ascii="Times New Roman"/>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5B14B4D3">
      <w:pPr>
        <w:wordWrap w:val="0"/>
        <w:adjustRightInd w:val="0"/>
        <w:snapToGrid w:val="0"/>
        <w:spacing w:line="440" w:lineRule="exact"/>
        <w:ind w:firstLine="560"/>
        <w:rPr>
          <w:rFonts w:hint="eastAsia" w:ascii="Times New Roman"/>
          <w:snapToGrid w:val="0"/>
          <w:color w:val="auto"/>
          <w:kern w:val="0"/>
          <w:szCs w:val="24"/>
          <w:highlight w:val="none"/>
        </w:rPr>
      </w:pPr>
    </w:p>
    <w:p w14:paraId="7DEEB2AD">
      <w:pPr>
        <w:wordWrap w:val="0"/>
        <w:adjustRightInd w:val="0"/>
        <w:snapToGrid w:val="0"/>
        <w:spacing w:line="440" w:lineRule="exact"/>
        <w:ind w:firstLine="56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2.8</w:t>
      </w:r>
      <w:r>
        <w:rPr>
          <w:rFonts w:hint="eastAsia" w:ascii="Times New Roman"/>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151"/>
      <w:bookmarkEnd w:id="152"/>
      <w:bookmarkStart w:id="155" w:name="_Hlt87951777"/>
      <w:bookmarkStart w:id="156" w:name="_Toc14272"/>
      <w:bookmarkStart w:id="157" w:name="_Toc326916631"/>
      <w:bookmarkStart w:id="158" w:name="_Toc322793290"/>
    </w:p>
    <w:p w14:paraId="38352E06">
      <w:pPr>
        <w:wordWrap w:val="0"/>
        <w:adjustRightInd w:val="0"/>
        <w:snapToGrid w:val="0"/>
        <w:spacing w:line="440" w:lineRule="exact"/>
        <w:ind w:firstLine="560"/>
        <w:rPr>
          <w:rFonts w:hint="eastAsia" w:ascii="Times New Roman"/>
          <w:snapToGrid w:val="0"/>
          <w:color w:val="auto"/>
          <w:kern w:val="0"/>
          <w:szCs w:val="24"/>
          <w:highlight w:val="none"/>
        </w:rPr>
      </w:pPr>
    </w:p>
    <w:p w14:paraId="60B2004E">
      <w:pPr>
        <w:wordWrap w:val="0"/>
        <w:adjustRightInd w:val="0"/>
        <w:snapToGrid w:val="0"/>
        <w:spacing w:line="440" w:lineRule="exact"/>
        <w:ind w:firstLine="560"/>
        <w:rPr>
          <w:rFonts w:hint="eastAsia" w:ascii="Times New Roman"/>
          <w:b/>
          <w:snapToGrid w:val="0"/>
          <w:color w:val="auto"/>
          <w:kern w:val="0"/>
          <w:highlight w:val="none"/>
        </w:rPr>
      </w:pPr>
      <w:r>
        <w:rPr>
          <w:rFonts w:hint="eastAsia" w:ascii="Times New Roman"/>
          <w:b/>
          <w:snapToGrid w:val="0"/>
          <w:color w:val="auto"/>
          <w:kern w:val="0"/>
          <w:highlight w:val="none"/>
        </w:rPr>
        <w:t>3．工程付款办法</w:t>
      </w:r>
      <w:bookmarkEnd w:id="155"/>
      <w:bookmarkEnd w:id="156"/>
      <w:bookmarkEnd w:id="157"/>
      <w:bookmarkEnd w:id="158"/>
      <w:bookmarkStart w:id="159" w:name="_Hlt69700007"/>
      <w:bookmarkEnd w:id="159"/>
      <w:bookmarkStart w:id="160" w:name="_Hlt66593437"/>
      <w:bookmarkEnd w:id="160"/>
      <w:bookmarkStart w:id="161" w:name="_Hlt66608388"/>
      <w:bookmarkEnd w:id="161"/>
      <w:bookmarkStart w:id="162" w:name="_Hlt66591689"/>
      <w:bookmarkEnd w:id="162"/>
      <w:bookmarkStart w:id="163" w:name="_Hlt69114106"/>
      <w:bookmarkEnd w:id="163"/>
      <w:bookmarkStart w:id="164" w:name="_Hlt70150985"/>
      <w:bookmarkEnd w:id="164"/>
      <w:bookmarkStart w:id="165" w:name="_Hlt88976467"/>
      <w:bookmarkEnd w:id="165"/>
      <w:bookmarkStart w:id="166" w:name="_Hlt69669774"/>
      <w:bookmarkEnd w:id="166"/>
    </w:p>
    <w:p w14:paraId="5749A3C5">
      <w:pPr>
        <w:wordWrap w:val="0"/>
        <w:adjustRightInd w:val="0"/>
        <w:snapToGrid w:val="0"/>
        <w:spacing w:line="440" w:lineRule="exact"/>
        <w:ind w:firstLine="482" w:firstLineChars="200"/>
        <w:rPr>
          <w:rFonts w:hint="eastAsia" w:ascii="Times New Roman"/>
          <w:b/>
          <w:bCs/>
          <w:snapToGrid w:val="0"/>
          <w:color w:val="FF0000"/>
          <w:kern w:val="0"/>
          <w:szCs w:val="24"/>
          <w:highlight w:val="none"/>
        </w:rPr>
      </w:pPr>
      <w:r>
        <w:rPr>
          <w:rFonts w:hint="eastAsia" w:ascii="Times New Roman"/>
          <w:b/>
          <w:bCs/>
          <w:snapToGrid w:val="0"/>
          <w:color w:val="FF0000"/>
          <w:kern w:val="0"/>
          <w:szCs w:val="24"/>
          <w:highlight w:val="none"/>
        </w:rPr>
        <w:t>3.1</w:t>
      </w:r>
      <w:r>
        <w:rPr>
          <w:rFonts w:hint="eastAsia" w:ascii="Times New Roman"/>
          <w:snapToGrid w:val="0"/>
          <w:color w:val="FF0000"/>
          <w:kern w:val="0"/>
          <w:highlight w:val="none"/>
        </w:rPr>
        <w:t xml:space="preserve"> 本招标项目</w:t>
      </w:r>
      <w:r>
        <w:rPr>
          <w:rFonts w:hint="eastAsia" w:ascii="Times New Roman"/>
          <w:snapToGrid w:val="0"/>
          <w:color w:val="FF0000"/>
          <w:kern w:val="0"/>
          <w:highlight w:val="none"/>
          <w:u w:val="single"/>
        </w:rPr>
        <w:t xml:space="preserve"> 支付  </w:t>
      </w:r>
      <w:r>
        <w:rPr>
          <w:rFonts w:hint="eastAsia" w:ascii="Times New Roman"/>
          <w:snapToGrid w:val="0"/>
          <w:color w:val="FF0000"/>
          <w:kern w:val="0"/>
          <w:highlight w:val="none"/>
        </w:rPr>
        <w:t>施工预付款。</w:t>
      </w:r>
    </w:p>
    <w:p w14:paraId="434F047E">
      <w:pPr>
        <w:wordWrap w:val="0"/>
        <w:adjustRightInd w:val="0"/>
        <w:snapToGrid w:val="0"/>
        <w:spacing w:line="440" w:lineRule="exact"/>
        <w:ind w:firstLine="482" w:firstLineChars="200"/>
        <w:rPr>
          <w:rFonts w:hint="eastAsia" w:ascii="Times New Roman"/>
          <w:snapToGrid w:val="0"/>
          <w:color w:val="FF0000"/>
          <w:kern w:val="0"/>
          <w:highlight w:val="none"/>
        </w:rPr>
      </w:pPr>
      <w:r>
        <w:rPr>
          <w:rFonts w:hint="eastAsia" w:ascii="Times New Roman"/>
          <w:b/>
          <w:bCs/>
          <w:snapToGrid w:val="0"/>
          <w:color w:val="FF0000"/>
          <w:kern w:val="0"/>
          <w:szCs w:val="24"/>
          <w:highlight w:val="none"/>
        </w:rPr>
        <w:t>3.2</w:t>
      </w:r>
      <w:r>
        <w:rPr>
          <w:rFonts w:hint="eastAsia" w:ascii="Times New Roman"/>
          <w:snapToGrid w:val="0"/>
          <w:color w:val="FF0000"/>
          <w:kern w:val="0"/>
          <w:highlight w:val="none"/>
        </w:rPr>
        <w:t xml:space="preserve"> 施工预付款必须专用于合同工程，并按以下原则支付和抵扣：</w:t>
      </w:r>
    </w:p>
    <w:p w14:paraId="0283C0A4">
      <w:pPr>
        <w:wordWrap w:val="0"/>
        <w:adjustRightInd w:val="0"/>
        <w:snapToGrid w:val="0"/>
        <w:spacing w:line="440" w:lineRule="exact"/>
        <w:ind w:firstLine="482" w:firstLineChars="200"/>
        <w:rPr>
          <w:rFonts w:hint="eastAsia" w:ascii="Times New Roman"/>
          <w:snapToGrid w:val="0"/>
          <w:color w:val="FF0000"/>
          <w:kern w:val="0"/>
          <w:highlight w:val="none"/>
        </w:rPr>
      </w:pPr>
      <w:r>
        <w:rPr>
          <w:rFonts w:hint="eastAsia" w:ascii="Times New Roman"/>
          <w:b/>
          <w:bCs/>
          <w:snapToGrid w:val="0"/>
          <w:color w:val="FF0000"/>
          <w:kern w:val="0"/>
          <w:szCs w:val="24"/>
          <w:highlight w:val="none"/>
        </w:rPr>
        <w:t>3.2.1</w:t>
      </w:r>
      <w:r>
        <w:rPr>
          <w:rFonts w:hint="eastAsia" w:ascii="Times New Roman"/>
          <w:snapToGrid w:val="0"/>
          <w:color w:val="FF0000"/>
          <w:kern w:val="0"/>
          <w:highlight w:val="none"/>
        </w:rPr>
        <w:t xml:space="preserve"> 施工预付款支付比例为：按施工合同价的</w:t>
      </w:r>
      <w:r>
        <w:rPr>
          <w:rFonts w:hint="eastAsia" w:ascii="Times New Roman"/>
          <w:snapToGrid w:val="0"/>
          <w:color w:val="FF0000"/>
          <w:kern w:val="0"/>
          <w:highlight w:val="none"/>
          <w:u w:val="single"/>
        </w:rPr>
        <w:t xml:space="preserve">  </w:t>
      </w:r>
      <w:r>
        <w:rPr>
          <w:rFonts w:hint="eastAsia" w:ascii="Times New Roman"/>
          <w:snapToGrid w:val="0"/>
          <w:color w:val="FF0000"/>
          <w:kern w:val="0"/>
          <w:highlight w:val="none"/>
          <w:u w:val="single"/>
          <w:lang w:val="en-US" w:eastAsia="zh-CN"/>
        </w:rPr>
        <w:t>30%</w:t>
      </w:r>
      <w:r>
        <w:rPr>
          <w:rFonts w:hint="eastAsia" w:ascii="Times New Roman"/>
          <w:snapToGrid w:val="0"/>
          <w:color w:val="FF0000"/>
          <w:kern w:val="0"/>
          <w:highlight w:val="none"/>
          <w:u w:val="single"/>
        </w:rPr>
        <w:t xml:space="preserve"> </w:t>
      </w:r>
      <w:r>
        <w:rPr>
          <w:rFonts w:hint="eastAsia" w:ascii="Times New Roman"/>
          <w:snapToGrid w:val="0"/>
          <w:color w:val="FF0000"/>
          <w:kern w:val="0"/>
          <w:highlight w:val="none"/>
        </w:rPr>
        <w:t>支付。</w:t>
      </w:r>
    </w:p>
    <w:p w14:paraId="61CA5A1D">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FF0000"/>
          <w:kern w:val="0"/>
          <w:szCs w:val="24"/>
          <w:highlight w:val="none"/>
        </w:rPr>
        <w:t>3.2.2</w:t>
      </w:r>
      <w:r>
        <w:rPr>
          <w:rFonts w:hint="eastAsia" w:ascii="Times New Roman"/>
          <w:snapToGrid w:val="0"/>
          <w:color w:val="FF0000"/>
          <w:kern w:val="0"/>
          <w:highlight w:val="none"/>
        </w:rPr>
        <w:t xml:space="preserve"> 本招标项目</w:t>
      </w:r>
      <w:r>
        <w:rPr>
          <w:rFonts w:hint="eastAsia" w:ascii="Times New Roman"/>
          <w:snapToGrid w:val="0"/>
          <w:color w:val="FF0000"/>
          <w:kern w:val="0"/>
          <w:highlight w:val="none"/>
          <w:u w:val="single"/>
        </w:rPr>
        <w:t xml:space="preserve"> 要求 </w:t>
      </w:r>
      <w:r>
        <w:rPr>
          <w:rFonts w:hint="eastAsia" w:ascii="Times New Roman"/>
          <w:snapToGrid w:val="0"/>
          <w:color w:val="FF0000"/>
          <w:kern w:val="0"/>
          <w:highlight w:val="none"/>
        </w:rPr>
        <w:t>承包人提供与预付款等额的预付款保函</w:t>
      </w:r>
      <w:r>
        <w:rPr>
          <w:rFonts w:hint="eastAsia" w:ascii="Times New Roman"/>
          <w:snapToGrid w:val="0"/>
          <w:color w:val="auto"/>
          <w:kern w:val="0"/>
          <w:highlight w:val="none"/>
        </w:rPr>
        <w:t>。</w:t>
      </w:r>
    </w:p>
    <w:p w14:paraId="7BB35C7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3.2.3</w:t>
      </w:r>
      <w:r>
        <w:rPr>
          <w:rFonts w:hint="eastAsia" w:ascii="Times New Roman"/>
          <w:snapToGrid w:val="0"/>
          <w:color w:val="auto"/>
          <w:kern w:val="0"/>
          <w:highlight w:val="none"/>
        </w:rPr>
        <w:t xml:space="preserve"> 承包人应在签订合同后，</w:t>
      </w:r>
      <w:r>
        <w:rPr>
          <w:rFonts w:hint="eastAsia" w:ascii="Times New Roman"/>
          <w:b/>
          <w:snapToGrid w:val="0"/>
          <w:color w:val="auto"/>
          <w:highlight w:val="none"/>
        </w:rPr>
        <w:t>在提供符合要求的预付款保函或预付款保险及</w:t>
      </w:r>
      <w:r>
        <w:rPr>
          <w:rFonts w:hint="eastAsia" w:ascii="Times New Roman"/>
          <w:snapToGrid w:val="0"/>
          <w:color w:val="auto"/>
          <w:kern w:val="0"/>
          <w:highlight w:val="none"/>
        </w:rPr>
        <w:t>在具备施工条件的前提下，向发包人提交预付款支付申请。发包人应对在收到支付申请的7天内进行核实后向承包人发出预付款支付证书，并在签发支付证书后的</w:t>
      </w:r>
      <w:r>
        <w:rPr>
          <w:rFonts w:hint="eastAsia" w:ascii="Times New Roman"/>
          <w:snapToGrid w:val="0"/>
          <w:color w:val="auto"/>
          <w:kern w:val="0"/>
          <w:highlight w:val="none"/>
          <w:lang w:val="en-US" w:eastAsia="zh-CN"/>
        </w:rPr>
        <w:t>30</w:t>
      </w:r>
      <w:r>
        <w:rPr>
          <w:rFonts w:hint="eastAsia" w:ascii="Times New Roman"/>
          <w:snapToGrid w:val="0"/>
          <w:color w:val="auto"/>
          <w:kern w:val="0"/>
          <w:highlight w:val="none"/>
        </w:rPr>
        <w:t>天内向承包人支付预付款。凡未签订合同或不具备施工条件的工程，发包人不得预付工程款。</w:t>
      </w:r>
    </w:p>
    <w:p w14:paraId="0366B798">
      <w:pPr>
        <w:wordWrap w:val="0"/>
        <w:adjustRightInd w:val="0"/>
        <w:snapToGrid w:val="0"/>
        <w:spacing w:line="440" w:lineRule="exact"/>
        <w:ind w:firstLine="482" w:firstLineChars="200"/>
        <w:rPr>
          <w:rFonts w:hint="eastAsia" w:ascii="Times New Roman"/>
          <w:strike/>
          <w:dstrike w:val="0"/>
          <w:snapToGrid w:val="0"/>
          <w:color w:val="auto"/>
          <w:kern w:val="0"/>
          <w:highlight w:val="none"/>
        </w:rPr>
      </w:pPr>
      <w:r>
        <w:rPr>
          <w:rFonts w:hint="eastAsia" w:ascii="Times New Roman"/>
          <w:b/>
          <w:bCs/>
          <w:snapToGrid w:val="0"/>
          <w:color w:val="auto"/>
          <w:kern w:val="0"/>
          <w:szCs w:val="24"/>
          <w:highlight w:val="none"/>
        </w:rPr>
        <w:t>3.2.4</w:t>
      </w:r>
      <w:r>
        <w:rPr>
          <w:rFonts w:hint="eastAsia" w:ascii="Times New Roman"/>
          <w:snapToGrid w:val="0"/>
          <w:color w:val="auto"/>
          <w:kern w:val="0"/>
          <w:highlight w:val="none"/>
        </w:rPr>
        <w:t xml:space="preserve"> 发包人没有按时支付预付款的，承包人可催告发包人支付；发包人在付款期满后的</w:t>
      </w:r>
      <w:r>
        <w:rPr>
          <w:rFonts w:hint="eastAsia" w:ascii="Times New Roman"/>
          <w:snapToGrid w:val="0"/>
          <w:color w:val="auto"/>
          <w:kern w:val="0"/>
          <w:highlight w:val="none"/>
          <w:lang w:val="en-US" w:eastAsia="zh-CN"/>
        </w:rPr>
        <w:t>30</w:t>
      </w:r>
      <w:r>
        <w:rPr>
          <w:rFonts w:hint="eastAsia" w:ascii="Times New Roman"/>
          <w:snapToGrid w:val="0"/>
          <w:color w:val="auto"/>
          <w:kern w:val="0"/>
          <w:highlight w:val="none"/>
        </w:rPr>
        <w:t>天内仍未支付的，承包人可在付款期满后的第</w:t>
      </w:r>
      <w:r>
        <w:rPr>
          <w:rFonts w:hint="eastAsia" w:ascii="Times New Roman"/>
          <w:snapToGrid w:val="0"/>
          <w:color w:val="auto"/>
          <w:kern w:val="0"/>
          <w:highlight w:val="none"/>
          <w:lang w:val="en-US" w:eastAsia="zh-CN"/>
        </w:rPr>
        <w:t>31</w:t>
      </w:r>
      <w:r>
        <w:rPr>
          <w:rFonts w:hint="eastAsia" w:ascii="Times New Roman"/>
          <w:snapToGrid w:val="0"/>
          <w:color w:val="auto"/>
          <w:kern w:val="0"/>
          <w:highlight w:val="none"/>
        </w:rPr>
        <w:t>天起暂停施工。</w:t>
      </w:r>
    </w:p>
    <w:p w14:paraId="57CAD6B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3.2.5</w:t>
      </w:r>
      <w:r>
        <w:rPr>
          <w:rFonts w:hint="eastAsia" w:ascii="Times New Roman"/>
          <w:snapToGrid w:val="0"/>
          <w:color w:val="auto"/>
          <w:kern w:val="0"/>
          <w:highlight w:val="none"/>
        </w:rPr>
        <w:t xml:space="preserve"> 预付款应从每支付期应支付给承包人的工程进度款中扣回，直到扣回的金额达到合同约定的预付款金额为止。</w:t>
      </w:r>
    </w:p>
    <w:p w14:paraId="1D24E1E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3.3</w:t>
      </w:r>
      <w:r>
        <w:rPr>
          <w:rFonts w:hint="eastAsia" w:ascii="Times New Roman"/>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167" w:name="_Hlt127094354"/>
      <w:bookmarkEnd w:id="167"/>
      <w:r>
        <w:rPr>
          <w:rFonts w:hint="eastAsia" w:ascii="Times New Roman"/>
          <w:snapToGrid w:val="0"/>
          <w:color w:val="auto"/>
          <w:kern w:val="0"/>
          <w:highlight w:val="none"/>
        </w:rPr>
        <w:t>实。经监理单位审核、发包人审定后的工程进度款（指已经按照合同约定，扣除该支付期内因承包人违约而应扣除的管理费），于申报次月支付。</w:t>
      </w:r>
    </w:p>
    <w:p w14:paraId="605B7973">
      <w:pPr>
        <w:wordWrap w:val="0"/>
        <w:adjustRightInd w:val="0"/>
        <w:snapToGrid w:val="0"/>
        <w:spacing w:line="440" w:lineRule="exact"/>
        <w:ind w:firstLine="482" w:firstLineChars="200"/>
        <w:rPr>
          <w:rFonts w:hint="eastAsia" w:ascii="Times New Roman"/>
          <w:snapToGrid w:val="0"/>
          <w:color w:val="FF0000"/>
          <w:kern w:val="0"/>
          <w:highlight w:val="none"/>
        </w:rPr>
      </w:pPr>
      <w:r>
        <w:rPr>
          <w:rFonts w:hint="eastAsia" w:ascii="Times New Roman"/>
          <w:b/>
          <w:bCs/>
          <w:snapToGrid w:val="0"/>
          <w:color w:val="auto"/>
          <w:kern w:val="0"/>
          <w:szCs w:val="24"/>
          <w:highlight w:val="none"/>
        </w:rPr>
        <w:t>3.4</w:t>
      </w:r>
      <w:r>
        <w:rPr>
          <w:rFonts w:hint="eastAsia" w:ascii="Times New Roman"/>
          <w:snapToGrid w:val="0"/>
          <w:color w:val="FF0000"/>
          <w:kern w:val="0"/>
          <w:highlight w:val="none"/>
        </w:rPr>
        <w:t xml:space="preserve"> 每月的工程进度款按应付金额的</w:t>
      </w:r>
      <w:r>
        <w:rPr>
          <w:rFonts w:hint="eastAsia" w:ascii="Times New Roman"/>
          <w:snapToGrid w:val="0"/>
          <w:color w:val="FF0000"/>
          <w:kern w:val="0"/>
          <w:highlight w:val="none"/>
          <w:u w:val="single"/>
        </w:rPr>
        <w:t xml:space="preserve"> </w:t>
      </w:r>
      <w:r>
        <w:rPr>
          <w:rFonts w:hint="eastAsia" w:ascii="Times New Roman"/>
          <w:snapToGrid w:val="0"/>
          <w:color w:val="FF0000"/>
          <w:kern w:val="0"/>
          <w:highlight w:val="none"/>
          <w:u w:val="single"/>
          <w:lang w:val="en-US" w:eastAsia="zh-CN"/>
        </w:rPr>
        <w:t>80</w:t>
      </w:r>
      <w:r>
        <w:rPr>
          <w:rFonts w:hint="eastAsia" w:ascii="Times New Roman"/>
          <w:snapToGrid w:val="0"/>
          <w:color w:val="FF0000"/>
          <w:kern w:val="0"/>
          <w:highlight w:val="none"/>
          <w:u w:val="single"/>
        </w:rPr>
        <w:t xml:space="preserve"> % </w:t>
      </w:r>
      <w:r>
        <w:rPr>
          <w:rFonts w:hint="eastAsia" w:ascii="Times New Roman"/>
          <w:snapToGrid w:val="0"/>
          <w:color w:val="FF0000"/>
          <w:kern w:val="0"/>
          <w:highlight w:val="none"/>
        </w:rPr>
        <w:t>支付，工程进度款中的作业工人工资款项由发包人单独足额拨付到承包人的工资专户。</w:t>
      </w:r>
    </w:p>
    <w:p w14:paraId="190ABBD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3.5</w:t>
      </w:r>
      <w:r>
        <w:rPr>
          <w:rFonts w:hint="eastAsia" w:ascii="Times New Roman"/>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396E1F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3.6</w:t>
      </w:r>
      <w:r>
        <w:rPr>
          <w:rFonts w:hint="eastAsia" w:ascii="Times New Roman"/>
          <w:snapToGrid w:val="0"/>
          <w:color w:val="auto"/>
          <w:kern w:val="0"/>
          <w:highlight w:val="none"/>
        </w:rPr>
        <w:t xml:space="preserve"> 变更工程造价必须经监理单位核实，并经发包人核定后方可支付。</w:t>
      </w:r>
    </w:p>
    <w:p w14:paraId="5997CADA">
      <w:pPr>
        <w:wordWrap w:val="0"/>
        <w:adjustRightInd w:val="0"/>
        <w:snapToGrid w:val="0"/>
        <w:spacing w:line="440" w:lineRule="exact"/>
        <w:ind w:firstLine="482" w:firstLineChars="200"/>
        <w:rPr>
          <w:rFonts w:hint="eastAsia" w:ascii="Times New Roman"/>
          <w:bCs/>
          <w:snapToGrid w:val="0"/>
          <w:color w:val="FF0000"/>
          <w:kern w:val="0"/>
          <w:highlight w:val="none"/>
        </w:rPr>
      </w:pPr>
      <w:r>
        <w:rPr>
          <w:rFonts w:hint="eastAsia" w:ascii="Times New Roman"/>
          <w:b/>
          <w:bCs/>
          <w:snapToGrid w:val="0"/>
          <w:color w:val="auto"/>
          <w:kern w:val="0"/>
          <w:szCs w:val="24"/>
          <w:highlight w:val="none"/>
        </w:rPr>
        <w:t>3.7</w:t>
      </w:r>
      <w:r>
        <w:rPr>
          <w:rFonts w:hint="eastAsia" w:ascii="Times New Roman"/>
          <w:snapToGrid w:val="0"/>
          <w:color w:val="auto"/>
          <w:kern w:val="0"/>
          <w:highlight w:val="none"/>
        </w:rPr>
        <w:t xml:space="preserve"> </w:t>
      </w:r>
      <w:r>
        <w:rPr>
          <w:rFonts w:hint="eastAsia" w:ascii="Times New Roman"/>
          <w:snapToGrid w:val="0"/>
          <w:color w:val="FF0000"/>
          <w:kern w:val="0"/>
          <w:highlight w:val="none"/>
        </w:rPr>
        <w:t>结算审核完成后，承包人提交了</w:t>
      </w:r>
      <w:r>
        <w:rPr>
          <w:rFonts w:hint="eastAsia" w:ascii="Times New Roman"/>
          <w:snapToGrid w:val="0"/>
          <w:color w:val="FF0000"/>
          <w:kern w:val="0"/>
          <w:highlight w:val="none"/>
          <w:lang w:val="en-US" w:eastAsia="zh-CN"/>
        </w:rPr>
        <w:t>3%</w:t>
      </w:r>
      <w:r>
        <w:rPr>
          <w:rFonts w:hint="eastAsia" w:ascii="Times New Roman"/>
          <w:bCs/>
          <w:snapToGrid w:val="0"/>
          <w:color w:val="FF0000"/>
          <w:kern w:val="0"/>
          <w:highlight w:val="none"/>
        </w:rPr>
        <w:t>质量保证担保或质量</w:t>
      </w:r>
      <w:r>
        <w:rPr>
          <w:rFonts w:hint="eastAsia" w:ascii="Times New Roman"/>
          <w:bCs/>
          <w:snapToGrid w:val="0"/>
          <w:color w:val="FF0000"/>
          <w:kern w:val="0"/>
          <w:highlight w:val="none"/>
          <w:lang w:val="en-US" w:eastAsia="zh-CN"/>
        </w:rPr>
        <w:t>保证</w:t>
      </w:r>
      <w:r>
        <w:rPr>
          <w:rFonts w:hint="eastAsia" w:ascii="Times New Roman"/>
          <w:bCs/>
          <w:snapToGrid w:val="0"/>
          <w:color w:val="FF0000"/>
          <w:kern w:val="0"/>
          <w:highlight w:val="none"/>
        </w:rPr>
        <w:t>保险</w:t>
      </w:r>
      <w:r>
        <w:rPr>
          <w:rFonts w:hint="eastAsia" w:ascii="Times New Roman"/>
          <w:bCs/>
          <w:snapToGrid w:val="0"/>
          <w:color w:val="FF0000"/>
          <w:kern w:val="0"/>
          <w:highlight w:val="none"/>
          <w:lang w:val="en-US" w:eastAsia="zh-CN"/>
        </w:rPr>
        <w:t>后</w:t>
      </w:r>
      <w:r>
        <w:rPr>
          <w:rFonts w:hint="eastAsia" w:ascii="Times New Roman"/>
          <w:bCs/>
          <w:snapToGrid w:val="0"/>
          <w:color w:val="FF0000"/>
          <w:kern w:val="0"/>
          <w:highlight w:val="none"/>
        </w:rPr>
        <w:t>，</w:t>
      </w:r>
      <w:r>
        <w:rPr>
          <w:rFonts w:hint="eastAsia" w:ascii="Times New Roman"/>
          <w:bCs/>
          <w:snapToGrid w:val="0"/>
          <w:color w:val="FF0000"/>
          <w:kern w:val="0"/>
          <w:highlight w:val="none"/>
          <w:lang w:val="en-US" w:eastAsia="zh-CN"/>
        </w:rPr>
        <w:t>支付至结算审定价的100%。</w:t>
      </w:r>
    </w:p>
    <w:p w14:paraId="4EB8238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FF0000"/>
          <w:kern w:val="0"/>
          <w:highlight w:val="none"/>
        </w:rPr>
        <w:t>3.8</w:t>
      </w:r>
      <w:r>
        <w:rPr>
          <w:rFonts w:hint="eastAsia" w:ascii="Times New Roman"/>
          <w:bCs/>
          <w:snapToGrid w:val="0"/>
          <w:color w:val="FF0000"/>
          <w:kern w:val="0"/>
          <w:highlight w:val="none"/>
        </w:rPr>
        <w:t xml:space="preserve"> 本招标项目缺陷责任期为</w:t>
      </w:r>
      <w:r>
        <w:rPr>
          <w:rFonts w:hint="eastAsia" w:ascii="Times New Roman"/>
          <w:bCs/>
          <w:snapToGrid w:val="0"/>
          <w:color w:val="FF0000"/>
          <w:kern w:val="0"/>
          <w:highlight w:val="none"/>
          <w:u w:val="single"/>
        </w:rPr>
        <w:t xml:space="preserve">   </w:t>
      </w:r>
      <w:r>
        <w:rPr>
          <w:rFonts w:hint="eastAsia" w:ascii="Times New Roman"/>
          <w:bCs/>
          <w:snapToGrid w:val="0"/>
          <w:color w:val="FF0000"/>
          <w:kern w:val="0"/>
          <w:highlight w:val="none"/>
          <w:u w:val="single"/>
          <w:lang w:val="en-US" w:eastAsia="zh-CN"/>
        </w:rPr>
        <w:t>2</w:t>
      </w:r>
      <w:r>
        <w:rPr>
          <w:rFonts w:hint="eastAsia" w:ascii="Times New Roman"/>
          <w:bCs/>
          <w:snapToGrid w:val="0"/>
          <w:color w:val="FF0000"/>
          <w:kern w:val="0"/>
          <w:highlight w:val="none"/>
          <w:u w:val="single"/>
        </w:rPr>
        <w:t xml:space="preserve">  </w:t>
      </w:r>
      <w:r>
        <w:rPr>
          <w:rFonts w:hint="eastAsia" w:ascii="Times New Roman"/>
          <w:bCs/>
          <w:snapToGrid w:val="0"/>
          <w:color w:val="FF0000"/>
          <w:kern w:val="0"/>
          <w:highlight w:val="none"/>
        </w:rPr>
        <w:t>年（自通过</w:t>
      </w:r>
      <w:r>
        <w:rPr>
          <w:rFonts w:hint="eastAsia" w:ascii="Times New Roman"/>
          <w:bCs/>
          <w:snapToGrid w:val="0"/>
          <w:color w:val="auto"/>
          <w:kern w:val="0"/>
          <w:highlight w:val="none"/>
        </w:rPr>
        <w:t>竣工验收之日起计）。</w:t>
      </w:r>
      <w:r>
        <w:rPr>
          <w:rFonts w:hint="eastAsia" w:ascii="Times New Roman"/>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Times New Roman"/>
          <w:snapToGrid w:val="0"/>
          <w:color w:val="auto"/>
          <w:kern w:val="0"/>
          <w:highlight w:val="none"/>
          <w:u w:val="single"/>
        </w:rPr>
        <w:t xml:space="preserve"> 14 </w:t>
      </w:r>
      <w:r>
        <w:rPr>
          <w:rFonts w:hint="eastAsia" w:ascii="Times New Roman"/>
          <w:snapToGrid w:val="0"/>
          <w:color w:val="auto"/>
          <w:kern w:val="0"/>
          <w:highlight w:val="none"/>
        </w:rPr>
        <w:t>天内将应返保证金（或银行保函）退还承包人。</w:t>
      </w:r>
    </w:p>
    <w:p w14:paraId="125A260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3.9</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发包人每次支付工程款前，承包人均应提供有效的增值税专用发票。如果承包人无法提供符合要求的发票，由此造成的相应损失由承包人承担。</w:t>
      </w:r>
    </w:p>
    <w:p w14:paraId="2D0ED8C2">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3.10</w:t>
      </w:r>
      <w:r>
        <w:rPr>
          <w:rFonts w:hint="eastAsia" w:ascii="Times New Roman"/>
          <w:snapToGrid w:val="0"/>
          <w:color w:val="auto"/>
          <w:kern w:val="0"/>
          <w:szCs w:val="24"/>
          <w:highlight w:val="none"/>
        </w:rPr>
        <w:t xml:space="preserve"> 暂列金额支付方式：</w:t>
      </w:r>
      <w:r>
        <w:rPr>
          <w:rFonts w:hint="eastAsia" w:ascii="宋体" w:hAnsi="宋体" w:eastAsia="宋体" w:cs="宋体"/>
          <w:snapToGrid w:val="0"/>
          <w:color w:val="auto"/>
          <w:kern w:val="0"/>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w:t>
      </w:r>
      <w:r>
        <w:rPr>
          <w:rFonts w:hint="eastAsia" w:hAnsi="宋体" w:cs="宋体"/>
          <w:snapToGrid w:val="0"/>
          <w:color w:val="auto"/>
          <w:kern w:val="0"/>
          <w:sz w:val="24"/>
          <w:szCs w:val="24"/>
          <w:highlight w:val="none"/>
          <w:u w:val="single"/>
          <w:lang w:eastAsia="zh-CN"/>
        </w:rPr>
        <w:t>，</w:t>
      </w:r>
      <w:r>
        <w:rPr>
          <w:rFonts w:hint="eastAsia" w:ascii="Times New Roman"/>
          <w:snapToGrid w:val="0"/>
          <w:color w:val="auto"/>
          <w:kern w:val="0"/>
          <w:highlight w:val="none"/>
          <w:u w:val="single"/>
        </w:rPr>
        <w:t>承包人提交了</w:t>
      </w:r>
      <w:r>
        <w:rPr>
          <w:rFonts w:hint="eastAsia" w:ascii="Times New Roman"/>
          <w:snapToGrid w:val="0"/>
          <w:color w:val="auto"/>
          <w:kern w:val="0"/>
          <w:highlight w:val="none"/>
          <w:u w:val="single"/>
          <w:lang w:val="en-US" w:eastAsia="zh-CN"/>
        </w:rPr>
        <w:t>3%</w:t>
      </w:r>
      <w:r>
        <w:rPr>
          <w:rFonts w:hint="eastAsia" w:ascii="Times New Roman"/>
          <w:bCs/>
          <w:snapToGrid w:val="0"/>
          <w:color w:val="auto"/>
          <w:kern w:val="0"/>
          <w:highlight w:val="none"/>
          <w:u w:val="single"/>
        </w:rPr>
        <w:t>质量保证担保或质量</w:t>
      </w:r>
      <w:r>
        <w:rPr>
          <w:rFonts w:hint="eastAsia" w:ascii="Times New Roman"/>
          <w:bCs/>
          <w:snapToGrid w:val="0"/>
          <w:color w:val="auto"/>
          <w:kern w:val="0"/>
          <w:highlight w:val="none"/>
          <w:u w:val="single"/>
          <w:lang w:val="en-US" w:eastAsia="zh-CN"/>
        </w:rPr>
        <w:t>保证</w:t>
      </w:r>
      <w:r>
        <w:rPr>
          <w:rFonts w:hint="eastAsia" w:ascii="Times New Roman"/>
          <w:bCs/>
          <w:snapToGrid w:val="0"/>
          <w:color w:val="auto"/>
          <w:kern w:val="0"/>
          <w:highlight w:val="none"/>
          <w:u w:val="single"/>
        </w:rPr>
        <w:t>保险</w:t>
      </w:r>
      <w:r>
        <w:rPr>
          <w:rFonts w:hint="eastAsia" w:ascii="Times New Roman"/>
          <w:bCs/>
          <w:snapToGrid w:val="0"/>
          <w:color w:val="auto"/>
          <w:kern w:val="0"/>
          <w:highlight w:val="none"/>
          <w:u w:val="single"/>
          <w:lang w:val="en-US" w:eastAsia="zh-CN"/>
        </w:rPr>
        <w:t>后</w:t>
      </w:r>
      <w:r>
        <w:rPr>
          <w:rFonts w:hint="eastAsia" w:ascii="Times New Roman"/>
          <w:bCs/>
          <w:snapToGrid w:val="0"/>
          <w:color w:val="auto"/>
          <w:kern w:val="0"/>
          <w:highlight w:val="none"/>
          <w:u w:val="single"/>
        </w:rPr>
        <w:t>，</w:t>
      </w:r>
      <w:r>
        <w:rPr>
          <w:rFonts w:hint="eastAsia" w:ascii="Times New Roman"/>
          <w:bCs/>
          <w:snapToGrid w:val="0"/>
          <w:color w:val="auto"/>
          <w:kern w:val="0"/>
          <w:highlight w:val="none"/>
          <w:u w:val="single"/>
          <w:lang w:val="en-US" w:eastAsia="zh-CN"/>
        </w:rPr>
        <w:t>支付至实际完成工程量的100%。</w:t>
      </w:r>
      <w:r>
        <w:rPr>
          <w:rFonts w:hint="eastAsia" w:ascii="Times New Roman"/>
          <w:snapToGrid w:val="0"/>
          <w:color w:val="auto"/>
          <w:kern w:val="0"/>
          <w:szCs w:val="24"/>
          <w:highlight w:val="none"/>
        </w:rPr>
        <w:t>（由招标人填写）。</w:t>
      </w:r>
    </w:p>
    <w:p w14:paraId="70CBEF63">
      <w:pPr>
        <w:wordWrap w:val="0"/>
        <w:adjustRightInd w:val="0"/>
        <w:snapToGrid w:val="0"/>
        <w:spacing w:line="440" w:lineRule="exact"/>
        <w:ind w:firstLine="482" w:firstLineChars="200"/>
        <w:rPr>
          <w:rFonts w:hint="eastAsia" w:ascii="Times New Roman" w:eastAsia="宋体"/>
          <w:snapToGrid w:val="0"/>
          <w:color w:val="auto"/>
          <w:kern w:val="0"/>
          <w:szCs w:val="24"/>
          <w:highlight w:val="none"/>
          <w:lang w:eastAsia="zh-CN"/>
        </w:rPr>
      </w:pPr>
      <w:r>
        <w:rPr>
          <w:rFonts w:hint="eastAsia" w:ascii="Times New Roman"/>
          <w:b/>
          <w:snapToGrid w:val="0"/>
          <w:color w:val="auto"/>
          <w:kern w:val="0"/>
          <w:szCs w:val="24"/>
          <w:highlight w:val="none"/>
        </w:rPr>
        <w:t xml:space="preserve">3.11 </w:t>
      </w:r>
      <w:r>
        <w:rPr>
          <w:rFonts w:hint="eastAsia" w:ascii="Times New Roman"/>
          <w:snapToGrid w:val="0"/>
          <w:color w:val="auto"/>
          <w:kern w:val="0"/>
          <w:szCs w:val="24"/>
          <w:highlight w:val="none"/>
        </w:rPr>
        <w:t>材料暂估价、专业工程暂估价支付方式：</w:t>
      </w:r>
      <w:r>
        <w:rPr>
          <w:rFonts w:hint="eastAsia" w:ascii="Times New Roman"/>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w:t>
      </w:r>
      <w:r>
        <w:rPr>
          <w:rFonts w:hint="eastAsia" w:hAnsi="宋体" w:cs="宋体"/>
          <w:snapToGrid w:val="0"/>
          <w:color w:val="auto"/>
          <w:kern w:val="0"/>
          <w:sz w:val="24"/>
          <w:szCs w:val="24"/>
          <w:highlight w:val="none"/>
          <w:u w:val="single"/>
          <w:lang w:eastAsia="zh-CN"/>
        </w:rPr>
        <w:t>，</w:t>
      </w:r>
      <w:r>
        <w:rPr>
          <w:rFonts w:hint="eastAsia" w:hAnsi="宋体" w:cs="宋体"/>
          <w:snapToGrid w:val="0"/>
          <w:color w:val="auto"/>
          <w:kern w:val="0"/>
          <w:sz w:val="24"/>
          <w:szCs w:val="24"/>
          <w:highlight w:val="none"/>
          <w:u w:val="single"/>
          <w:lang w:val="en-US" w:eastAsia="zh-CN"/>
        </w:rPr>
        <w:t>承包人提交了3%质量保证担保或质量保证保险后，支付至</w:t>
      </w:r>
      <w:r>
        <w:rPr>
          <w:rFonts w:hint="eastAsia" w:ascii="宋体" w:hAnsi="宋体" w:eastAsia="宋体" w:cs="宋体"/>
          <w:snapToGrid w:val="0"/>
          <w:color w:val="auto"/>
          <w:kern w:val="0"/>
          <w:sz w:val="24"/>
          <w:szCs w:val="24"/>
          <w:highlight w:val="none"/>
          <w:u w:val="single"/>
        </w:rPr>
        <w:t>实际完成工程量的</w:t>
      </w:r>
      <w:r>
        <w:rPr>
          <w:rFonts w:hint="eastAsia" w:hAnsi="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w:t>
      </w:r>
      <w:r>
        <w:rPr>
          <w:rFonts w:hint="eastAsia" w:hAnsi="宋体" w:cs="宋体"/>
          <w:snapToGrid w:val="0"/>
          <w:color w:val="auto"/>
          <w:kern w:val="0"/>
          <w:sz w:val="24"/>
          <w:szCs w:val="24"/>
          <w:highlight w:val="none"/>
          <w:u w:val="single"/>
          <w:lang w:eastAsia="zh-CN"/>
        </w:rPr>
        <w:t>。</w:t>
      </w:r>
    </w:p>
    <w:p w14:paraId="6111F52C">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4．专用合同条款</w:t>
      </w:r>
      <w:r>
        <w:rPr>
          <w:rFonts w:hint="eastAsia" w:ascii="Times New Roman"/>
          <w:snapToGrid w:val="0"/>
          <w:color w:val="auto"/>
          <w:kern w:val="0"/>
          <w:szCs w:val="24"/>
          <w:highlight w:val="none"/>
        </w:rPr>
        <w:t>（由招标人自行补充）</w:t>
      </w:r>
    </w:p>
    <w:bookmarkEnd w:id="129"/>
    <w:bookmarkEnd w:id="133"/>
    <w:p w14:paraId="5FE32185">
      <w:pPr>
        <w:ind w:firstLine="475" w:firstLineChars="197"/>
        <w:rPr>
          <w:rFonts w:hAnsi="宋体" w:cs="宋体"/>
          <w:color w:val="auto"/>
          <w:szCs w:val="24"/>
          <w:highlight w:val="none"/>
        </w:rPr>
      </w:pPr>
      <w:bookmarkStart w:id="168" w:name="_Toc21669"/>
      <w:bookmarkStart w:id="169" w:name="_Hlt69698796"/>
      <w:r>
        <w:rPr>
          <w:rFonts w:hAnsi="宋体" w:cs="宋体"/>
          <w:b/>
          <w:bCs/>
          <w:snapToGrid w:val="0"/>
          <w:color w:val="auto"/>
          <w:kern w:val="0"/>
          <w:szCs w:val="24"/>
          <w:highlight w:val="none"/>
        </w:rPr>
        <w:t xml:space="preserve">4.1 </w:t>
      </w:r>
      <w:r>
        <w:rPr>
          <w:rFonts w:hAnsi="宋体" w:cs="宋体"/>
          <w:color w:val="auto"/>
          <w:szCs w:val="24"/>
          <w:highlight w:val="none"/>
        </w:rPr>
        <w:t>工程移交延误违约</w:t>
      </w:r>
    </w:p>
    <w:p w14:paraId="44707864">
      <w:pPr>
        <w:ind w:firstLine="475" w:firstLineChars="197"/>
        <w:rPr>
          <w:rFonts w:hAnsi="宋体" w:cs="宋体"/>
          <w:iCs/>
          <w:snapToGrid w:val="0"/>
          <w:color w:val="auto"/>
          <w:kern w:val="0"/>
          <w:highlight w:val="none"/>
        </w:rPr>
      </w:pPr>
      <w:r>
        <w:rPr>
          <w:rFonts w:hAnsi="宋体" w:cs="宋体"/>
          <w:b/>
          <w:bCs/>
          <w:snapToGrid w:val="0"/>
          <w:color w:val="auto"/>
          <w:kern w:val="0"/>
          <w:szCs w:val="24"/>
          <w:highlight w:val="none"/>
        </w:rPr>
        <w:t>4.1.1</w:t>
      </w:r>
      <w:r>
        <w:rPr>
          <w:rFonts w:hAnsi="宋体" w:cs="宋体"/>
          <w:color w:val="auto"/>
          <w:szCs w:val="24"/>
          <w:highlight w:val="none"/>
        </w:rPr>
        <w:t>因承包人原因，工程没有按期竣工时，承包人须在</w:t>
      </w:r>
      <w:r>
        <w:rPr>
          <w:rFonts w:hAnsi="宋体" w:cs="宋体"/>
          <w:snapToGrid w:val="0"/>
          <w:color w:val="auto"/>
          <w:kern w:val="0"/>
          <w:highlight w:val="none"/>
        </w:rPr>
        <w:t>逾期第壹天起每天按合同价的</w:t>
      </w:r>
      <w:r>
        <w:rPr>
          <w:rFonts w:hAnsi="宋体" w:cs="宋体"/>
          <w:snapToGrid w:val="0"/>
          <w:color w:val="auto"/>
          <w:kern w:val="0"/>
          <w:highlight w:val="none"/>
          <w:u w:val="single"/>
        </w:rPr>
        <w:t xml:space="preserve"> 1‰ </w:t>
      </w:r>
      <w:r>
        <w:rPr>
          <w:rFonts w:hAnsi="宋体" w:cs="宋体"/>
          <w:snapToGrid w:val="0"/>
          <w:color w:val="auto"/>
          <w:kern w:val="0"/>
          <w:highlight w:val="none"/>
        </w:rPr>
        <w:t>向发包人返纳逾期竣工违约金。逾期竣工违约金的最高限额为合同价款的</w:t>
      </w:r>
      <w:r>
        <w:rPr>
          <w:rFonts w:hAnsi="宋体" w:cs="宋体"/>
          <w:iCs/>
          <w:snapToGrid w:val="0"/>
          <w:color w:val="auto"/>
          <w:kern w:val="0"/>
          <w:highlight w:val="none"/>
          <w:u w:val="single"/>
        </w:rPr>
        <w:t>3%</w:t>
      </w:r>
      <w:r>
        <w:rPr>
          <w:rFonts w:hAnsi="宋体" w:cs="宋体"/>
          <w:iCs/>
          <w:snapToGrid w:val="0"/>
          <w:color w:val="auto"/>
          <w:kern w:val="0"/>
          <w:highlight w:val="none"/>
        </w:rPr>
        <w:t>。</w:t>
      </w:r>
    </w:p>
    <w:p w14:paraId="63223461">
      <w:pPr>
        <w:ind w:firstLine="475" w:firstLineChars="197"/>
        <w:rPr>
          <w:rFonts w:hAnsi="宋体" w:cs="宋体"/>
          <w:color w:val="auto"/>
          <w:highlight w:val="none"/>
        </w:rPr>
      </w:pPr>
      <w:r>
        <w:rPr>
          <w:rFonts w:hAnsi="宋体" w:cs="宋体"/>
          <w:b/>
          <w:bCs/>
          <w:snapToGrid w:val="0"/>
          <w:color w:val="auto"/>
          <w:kern w:val="0"/>
          <w:szCs w:val="24"/>
          <w:highlight w:val="none"/>
        </w:rPr>
        <w:t>4.1.2</w:t>
      </w:r>
      <w:r>
        <w:rPr>
          <w:rFonts w:hAnsi="宋体" w:cs="宋体"/>
          <w:iCs/>
          <w:snapToGrid w:val="0"/>
          <w:color w:val="auto"/>
          <w:kern w:val="0"/>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Ansi="宋体" w:cs="宋体"/>
          <w:snapToGrid w:val="0"/>
          <w:color w:val="auto"/>
          <w:kern w:val="0"/>
          <w:highlight w:val="none"/>
        </w:rPr>
        <w:t>每次按2000元缴纳违约金给发包人，在结算中一并扣除。</w:t>
      </w:r>
    </w:p>
    <w:p w14:paraId="3CBB6612">
      <w:pPr>
        <w:pStyle w:val="104"/>
        <w:snapToGrid w:val="0"/>
        <w:ind w:firstLine="560"/>
        <w:rPr>
          <w:rFonts w:hint="eastAsia" w:hAnsi="宋体" w:cs="宋体"/>
          <w:color w:val="auto"/>
          <w:highlight w:val="none"/>
        </w:rPr>
      </w:pPr>
      <w:r>
        <w:rPr>
          <w:rFonts w:hint="eastAsia" w:hAnsi="宋体" w:cs="宋体"/>
          <w:b/>
          <w:bCs/>
          <w:snapToGrid w:val="0"/>
          <w:color w:val="auto"/>
          <w:kern w:val="0"/>
          <w:highlight w:val="none"/>
        </w:rPr>
        <w:t>4.1.3</w:t>
      </w:r>
      <w:r>
        <w:rPr>
          <w:rFonts w:hint="eastAsia" w:hAnsi="宋体" w:cs="宋体"/>
          <w:color w:val="auto"/>
          <w:highlight w:val="none"/>
        </w:rPr>
        <w:t>承包人在进场后7天内提交施工进度计划，并注明主要施工节点时间，送监理单位及发包人审核后，作为工期考核的阶段性指标。</w:t>
      </w:r>
    </w:p>
    <w:p w14:paraId="5B442E34">
      <w:pPr>
        <w:ind w:firstLine="475" w:firstLineChars="197"/>
        <w:rPr>
          <w:rFonts w:hAnsi="宋体" w:cs="宋体"/>
          <w:color w:val="auto"/>
          <w:szCs w:val="24"/>
          <w:highlight w:val="none"/>
        </w:rPr>
      </w:pPr>
      <w:r>
        <w:rPr>
          <w:rFonts w:hAnsi="宋体" w:cs="宋体"/>
          <w:b/>
          <w:bCs/>
          <w:snapToGrid w:val="0"/>
          <w:color w:val="auto"/>
          <w:kern w:val="0"/>
          <w:szCs w:val="24"/>
          <w:highlight w:val="none"/>
        </w:rPr>
        <w:t xml:space="preserve">4.2 </w:t>
      </w:r>
      <w:r>
        <w:rPr>
          <w:rFonts w:hAnsi="宋体" w:cs="宋体"/>
          <w:color w:val="auto"/>
          <w:szCs w:val="24"/>
          <w:highlight w:val="none"/>
        </w:rPr>
        <w:t>质量违约</w:t>
      </w:r>
    </w:p>
    <w:p w14:paraId="5E0A8AC4">
      <w:pPr>
        <w:ind w:firstLine="475" w:firstLineChars="197"/>
        <w:rPr>
          <w:rFonts w:hAnsi="宋体" w:cs="宋体"/>
          <w:color w:val="auto"/>
          <w:szCs w:val="24"/>
          <w:highlight w:val="none"/>
        </w:rPr>
      </w:pPr>
      <w:r>
        <w:rPr>
          <w:rFonts w:hAnsi="宋体" w:cs="宋体"/>
          <w:b/>
          <w:bCs/>
          <w:snapToGrid w:val="0"/>
          <w:color w:val="auto"/>
          <w:kern w:val="0"/>
          <w:szCs w:val="24"/>
          <w:highlight w:val="none"/>
        </w:rPr>
        <w:t>4.2.1</w:t>
      </w:r>
      <w:r>
        <w:rPr>
          <w:rFonts w:hAnsi="宋体" w:cs="宋体"/>
          <w:color w:val="auto"/>
          <w:szCs w:val="24"/>
          <w:highlight w:val="none"/>
        </w:rPr>
        <w:t>材料违约处理：若发现材料不符合国家标准或发包人在技术规范中规定的标准，视为承包人违约，按现行《建设工程质量管理条例》处理。</w:t>
      </w:r>
    </w:p>
    <w:p w14:paraId="5748F441">
      <w:pPr>
        <w:pStyle w:val="149"/>
        <w:ind w:firstLine="498"/>
        <w:rPr>
          <w:rFonts w:hAnsi="宋体" w:cs="宋体"/>
          <w:color w:val="auto"/>
          <w:szCs w:val="24"/>
          <w:highlight w:val="none"/>
        </w:rPr>
      </w:pPr>
      <w:r>
        <w:rPr>
          <w:rFonts w:hint="eastAsia" w:ascii="宋体" w:hAnsi="宋体" w:cs="宋体"/>
          <w:b/>
          <w:color w:val="auto"/>
          <w:highlight w:val="none"/>
        </w:rPr>
        <w:t>4.2.1.1</w:t>
      </w:r>
      <w:r>
        <w:rPr>
          <w:rFonts w:hAnsi="宋体" w:cs="宋体"/>
          <w:color w:val="auto"/>
          <w:szCs w:val="24"/>
          <w:highlight w:val="none"/>
        </w:rPr>
        <w:t>成品采购项目在采购前，承包人必须先行书面征求监理人、发包人的同意并一起看样定版后方能实施。未经监理人、发包人同意擅自先行采购和实施的，</w:t>
      </w:r>
      <w:r>
        <w:rPr>
          <w:rFonts w:hint="eastAsia"/>
          <w:color w:val="auto"/>
          <w:highlight w:val="none"/>
        </w:rPr>
        <w:t>否则因不符合设计要求返工造成的费用由承包人承担。</w:t>
      </w:r>
    </w:p>
    <w:p w14:paraId="42CAAF58">
      <w:pPr>
        <w:ind w:firstLine="475" w:firstLineChars="197"/>
        <w:rPr>
          <w:rFonts w:hAnsi="宋体" w:cs="宋体"/>
          <w:color w:val="auto"/>
          <w:szCs w:val="24"/>
          <w:highlight w:val="none"/>
        </w:rPr>
      </w:pPr>
      <w:r>
        <w:rPr>
          <w:rFonts w:hAnsi="宋体" w:cs="宋体"/>
          <w:b/>
          <w:bCs/>
          <w:snapToGrid w:val="0"/>
          <w:color w:val="auto"/>
          <w:kern w:val="0"/>
          <w:szCs w:val="24"/>
          <w:highlight w:val="none"/>
        </w:rPr>
        <w:t>4.2.2</w:t>
      </w:r>
      <w:r>
        <w:rPr>
          <w:rFonts w:hAnsi="宋体" w:cs="宋体"/>
          <w:color w:val="auto"/>
          <w:szCs w:val="24"/>
          <w:highlight w:val="none"/>
        </w:rPr>
        <w:t>工程质量违约：</w:t>
      </w:r>
    </w:p>
    <w:p w14:paraId="23322171">
      <w:pPr>
        <w:ind w:firstLine="482" w:firstLineChars="200"/>
        <w:rPr>
          <w:rFonts w:hAnsi="宋体" w:cs="宋体"/>
          <w:color w:val="auto"/>
          <w:szCs w:val="24"/>
          <w:highlight w:val="none"/>
        </w:rPr>
      </w:pPr>
      <w:r>
        <w:rPr>
          <w:rFonts w:hAnsi="宋体" w:cs="宋体"/>
          <w:b/>
          <w:bCs/>
          <w:snapToGrid w:val="0"/>
          <w:color w:val="auto"/>
          <w:kern w:val="0"/>
          <w:szCs w:val="24"/>
          <w:highlight w:val="none"/>
        </w:rPr>
        <w:t>4.2.2.1</w:t>
      </w:r>
      <w:r>
        <w:rPr>
          <w:rFonts w:hAnsi="宋体" w:cs="宋体"/>
          <w:color w:val="auto"/>
          <w:szCs w:val="24"/>
          <w:highlight w:val="none"/>
        </w:rPr>
        <w:t>在施工过程中经监理单位日常巡查或抽检发现未达到合格标准，责令承包人进行整改，如未按规定时间进行整改或整改不到位的，</w:t>
      </w:r>
      <w:r>
        <w:rPr>
          <w:rFonts w:hAnsi="宋体" w:cs="宋体"/>
          <w:snapToGrid w:val="0"/>
          <w:color w:val="auto"/>
          <w:kern w:val="0"/>
          <w:highlight w:val="none"/>
        </w:rPr>
        <w:t>每次按5000元缴纳违约金给发包人，在进度款或结算款中一并扣除。</w:t>
      </w:r>
    </w:p>
    <w:p w14:paraId="4DD762B6">
      <w:pPr>
        <w:ind w:firstLine="482" w:firstLineChars="200"/>
        <w:rPr>
          <w:rFonts w:hAnsi="宋体" w:cs="宋体"/>
          <w:color w:val="auto"/>
          <w:szCs w:val="24"/>
          <w:highlight w:val="none"/>
        </w:rPr>
      </w:pPr>
      <w:r>
        <w:rPr>
          <w:rFonts w:hAnsi="宋体" w:cs="宋体"/>
          <w:b/>
          <w:bCs/>
          <w:snapToGrid w:val="0"/>
          <w:color w:val="auto"/>
          <w:kern w:val="0"/>
          <w:szCs w:val="24"/>
          <w:highlight w:val="none"/>
        </w:rPr>
        <w:t>4.2.2.2</w:t>
      </w:r>
      <w:r>
        <w:rPr>
          <w:rFonts w:hAnsi="宋体" w:cs="宋体"/>
          <w:snapToGrid w:val="0"/>
          <w:color w:val="auto"/>
          <w:kern w:val="0"/>
          <w:highlight w:val="none"/>
        </w:rPr>
        <w:t>工程质量标准须达到</w:t>
      </w:r>
      <w:r>
        <w:rPr>
          <w:rFonts w:hAnsi="宋体" w:cs="宋体"/>
          <w:bCs/>
          <w:snapToGrid w:val="0"/>
          <w:color w:val="auto"/>
          <w:kern w:val="0"/>
          <w:highlight w:val="none"/>
        </w:rPr>
        <w:t>国家验收合格标准</w:t>
      </w:r>
      <w:r>
        <w:rPr>
          <w:rFonts w:hAnsi="宋体" w:cs="宋体"/>
          <w:snapToGrid w:val="0"/>
          <w:color w:val="auto"/>
          <w:kern w:val="0"/>
          <w:highlight w:val="none"/>
        </w:rPr>
        <w:t>。如未达到合格标准，除无偿返工至合格外，还要按合同价款的1%向招标人支付质量违约金，工期不予顺延。</w:t>
      </w:r>
    </w:p>
    <w:p w14:paraId="54707F4C">
      <w:pPr>
        <w:ind w:firstLine="475" w:firstLineChars="197"/>
        <w:rPr>
          <w:rFonts w:hAnsi="宋体" w:cs="宋体"/>
          <w:color w:val="auto"/>
          <w:szCs w:val="24"/>
          <w:highlight w:val="none"/>
        </w:rPr>
      </w:pPr>
      <w:r>
        <w:rPr>
          <w:rFonts w:hAnsi="宋体" w:cs="宋体"/>
          <w:b/>
          <w:bCs/>
          <w:snapToGrid w:val="0"/>
          <w:color w:val="auto"/>
          <w:kern w:val="0"/>
          <w:szCs w:val="24"/>
          <w:highlight w:val="none"/>
        </w:rPr>
        <w:t>4.3</w:t>
      </w:r>
      <w:r>
        <w:rPr>
          <w:rFonts w:hAnsi="宋体" w:cs="宋体"/>
          <w:color w:val="auto"/>
          <w:szCs w:val="24"/>
          <w:highlight w:val="none"/>
        </w:rPr>
        <w:t>重大责任事故违约</w:t>
      </w:r>
    </w:p>
    <w:p w14:paraId="242960C8">
      <w:pPr>
        <w:ind w:firstLine="475" w:firstLineChars="197"/>
        <w:rPr>
          <w:rFonts w:hAnsi="宋体" w:cs="宋体"/>
          <w:color w:val="auto"/>
          <w:szCs w:val="24"/>
          <w:highlight w:val="none"/>
        </w:rPr>
      </w:pPr>
      <w:r>
        <w:rPr>
          <w:rFonts w:hAnsi="宋体" w:cs="宋体"/>
          <w:b/>
          <w:bCs/>
          <w:snapToGrid w:val="0"/>
          <w:color w:val="auto"/>
          <w:kern w:val="0"/>
          <w:szCs w:val="24"/>
          <w:highlight w:val="none"/>
        </w:rPr>
        <w:t>4.3.1</w:t>
      </w:r>
      <w:r>
        <w:rPr>
          <w:rFonts w:hAnsi="宋体" w:cs="宋体"/>
          <w:color w:val="auto"/>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1E6BCAB7">
      <w:pPr>
        <w:ind w:firstLine="475" w:firstLineChars="197"/>
        <w:rPr>
          <w:rFonts w:hAnsi="宋体" w:cs="宋体"/>
          <w:color w:val="auto"/>
          <w:szCs w:val="24"/>
          <w:highlight w:val="none"/>
        </w:rPr>
      </w:pPr>
      <w:r>
        <w:rPr>
          <w:rFonts w:hAnsi="宋体" w:cs="宋体"/>
          <w:b/>
          <w:bCs/>
          <w:snapToGrid w:val="0"/>
          <w:color w:val="auto"/>
          <w:kern w:val="0"/>
          <w:szCs w:val="24"/>
          <w:highlight w:val="none"/>
        </w:rPr>
        <w:t>4.4</w:t>
      </w:r>
      <w:r>
        <w:rPr>
          <w:rFonts w:hAnsi="宋体" w:cs="宋体"/>
          <w:color w:val="auto"/>
          <w:szCs w:val="24"/>
          <w:highlight w:val="none"/>
        </w:rPr>
        <w:t>用工违约</w:t>
      </w:r>
    </w:p>
    <w:p w14:paraId="44E08C9D">
      <w:pPr>
        <w:ind w:firstLine="475" w:firstLineChars="197"/>
        <w:rPr>
          <w:rFonts w:hAnsi="宋体" w:cs="宋体"/>
          <w:color w:val="auto"/>
          <w:szCs w:val="24"/>
          <w:highlight w:val="none"/>
        </w:rPr>
      </w:pPr>
      <w:r>
        <w:rPr>
          <w:rFonts w:hAnsi="宋体" w:cs="宋体"/>
          <w:b/>
          <w:bCs/>
          <w:snapToGrid w:val="0"/>
          <w:color w:val="auto"/>
          <w:kern w:val="0"/>
          <w:szCs w:val="24"/>
          <w:highlight w:val="none"/>
        </w:rPr>
        <w:t>4.4.1</w:t>
      </w:r>
      <w:r>
        <w:rPr>
          <w:rFonts w:hAnsi="宋体" w:cs="宋体"/>
          <w:color w:val="auto"/>
          <w:szCs w:val="24"/>
          <w:highlight w:val="none"/>
        </w:rPr>
        <w:t>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w:t>
      </w:r>
    </w:p>
    <w:p w14:paraId="0EB0111B">
      <w:pPr>
        <w:ind w:firstLine="475" w:firstLineChars="197"/>
        <w:rPr>
          <w:rFonts w:hAnsi="宋体" w:cs="宋体"/>
          <w:color w:val="auto"/>
          <w:szCs w:val="24"/>
          <w:highlight w:val="none"/>
        </w:rPr>
      </w:pPr>
      <w:r>
        <w:rPr>
          <w:rFonts w:hAnsi="宋体" w:cs="宋体"/>
          <w:b/>
          <w:bCs/>
          <w:snapToGrid w:val="0"/>
          <w:color w:val="auto"/>
          <w:kern w:val="0"/>
          <w:szCs w:val="24"/>
          <w:highlight w:val="none"/>
        </w:rPr>
        <w:t xml:space="preserve">4.5 </w:t>
      </w:r>
      <w:r>
        <w:rPr>
          <w:rFonts w:hAnsi="宋体" w:cs="宋体"/>
          <w:color w:val="auto"/>
          <w:szCs w:val="24"/>
          <w:highlight w:val="none"/>
        </w:rPr>
        <w:t>安全文明施工违约</w:t>
      </w:r>
    </w:p>
    <w:p w14:paraId="3CCADD79">
      <w:pPr>
        <w:ind w:firstLine="475" w:firstLineChars="197"/>
        <w:rPr>
          <w:rFonts w:hAnsi="宋体" w:cs="宋体"/>
          <w:color w:val="auto"/>
          <w:szCs w:val="24"/>
          <w:highlight w:val="none"/>
        </w:rPr>
      </w:pPr>
      <w:r>
        <w:rPr>
          <w:rFonts w:hAnsi="宋体" w:cs="宋体"/>
          <w:b/>
          <w:bCs/>
          <w:snapToGrid w:val="0"/>
          <w:color w:val="auto"/>
          <w:kern w:val="0"/>
          <w:szCs w:val="24"/>
          <w:highlight w:val="none"/>
        </w:rPr>
        <w:t>4.5.1</w:t>
      </w:r>
      <w:r>
        <w:rPr>
          <w:rFonts w:hAnsi="宋体" w:cs="宋体"/>
          <w:color w:val="auto"/>
          <w:szCs w:val="24"/>
          <w:highlight w:val="none"/>
        </w:rPr>
        <w:t>如承包人违反国家、广东省、发包人及合同关于安全文明施工的规定，但尚未造成安全责任事故，承包人应及时改正行为并赔偿相关方的损失，如未及时整改,针对每一违约行为每持续一天应缴纳违约金1000.00元。</w:t>
      </w:r>
    </w:p>
    <w:p w14:paraId="571AFE17">
      <w:pPr>
        <w:ind w:firstLine="475" w:firstLineChars="197"/>
        <w:rPr>
          <w:rFonts w:hAnsi="宋体" w:cs="宋体"/>
          <w:color w:val="auto"/>
          <w:szCs w:val="24"/>
          <w:highlight w:val="none"/>
        </w:rPr>
      </w:pPr>
      <w:r>
        <w:rPr>
          <w:rFonts w:hAnsi="宋体" w:cs="宋体"/>
          <w:b/>
          <w:bCs/>
          <w:snapToGrid w:val="0"/>
          <w:color w:val="auto"/>
          <w:kern w:val="0"/>
          <w:szCs w:val="24"/>
          <w:highlight w:val="none"/>
        </w:rPr>
        <w:t>4.5.2</w:t>
      </w:r>
      <w:r>
        <w:rPr>
          <w:rFonts w:hAnsi="宋体" w:cs="宋体"/>
          <w:color w:val="auto"/>
          <w:szCs w:val="24"/>
          <w:highlight w:val="none"/>
        </w:rPr>
        <w:t>承包人必须接受发包人及监理单位组织的安全、文明施工的检查，检查中的不合格项目、安全隐患必须在规定的时间内整改完成，否则每拖延一天处以2000.00元人民币违约金，直至整改合格。</w:t>
      </w:r>
    </w:p>
    <w:p w14:paraId="10132F4A">
      <w:pPr>
        <w:ind w:firstLine="475" w:firstLineChars="197"/>
        <w:rPr>
          <w:rFonts w:hAnsi="宋体" w:cs="宋体"/>
          <w:color w:val="auto"/>
          <w:szCs w:val="24"/>
          <w:highlight w:val="none"/>
        </w:rPr>
      </w:pPr>
      <w:r>
        <w:rPr>
          <w:rFonts w:hAnsi="宋体" w:cs="宋体"/>
          <w:b/>
          <w:bCs/>
          <w:snapToGrid w:val="0"/>
          <w:color w:val="auto"/>
          <w:kern w:val="0"/>
          <w:szCs w:val="24"/>
          <w:highlight w:val="none"/>
        </w:rPr>
        <w:t xml:space="preserve">4.6 </w:t>
      </w:r>
      <w:r>
        <w:rPr>
          <w:rFonts w:hAnsi="宋体" w:cs="宋体"/>
          <w:color w:val="auto"/>
          <w:szCs w:val="24"/>
          <w:highlight w:val="none"/>
        </w:rPr>
        <w:t>其他违约</w:t>
      </w:r>
    </w:p>
    <w:p w14:paraId="780714E8">
      <w:pPr>
        <w:ind w:firstLine="475" w:firstLineChars="197"/>
        <w:rPr>
          <w:rFonts w:hAnsi="宋体" w:cs="宋体"/>
          <w:color w:val="auto"/>
          <w:szCs w:val="24"/>
          <w:highlight w:val="none"/>
        </w:rPr>
      </w:pPr>
      <w:r>
        <w:rPr>
          <w:rFonts w:hAnsi="宋体" w:cs="宋体"/>
          <w:b/>
          <w:bCs/>
          <w:snapToGrid w:val="0"/>
          <w:color w:val="auto"/>
          <w:kern w:val="0"/>
          <w:szCs w:val="24"/>
          <w:highlight w:val="none"/>
        </w:rPr>
        <w:t>4.6.1</w:t>
      </w:r>
      <w:r>
        <w:rPr>
          <w:rFonts w:hAnsi="宋体" w:cs="宋体"/>
          <w:color w:val="auto"/>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p>
    <w:p w14:paraId="00588487">
      <w:pPr>
        <w:pStyle w:val="62"/>
        <w:spacing w:line="360" w:lineRule="auto"/>
        <w:ind w:firstLine="482" w:firstLineChars="200"/>
        <w:jc w:val="left"/>
        <w:rPr>
          <w:rFonts w:hint="eastAsia" w:ascii="宋体" w:hAnsi="宋体" w:cs="宋体"/>
          <w:b w:val="0"/>
          <w:color w:val="auto"/>
          <w:sz w:val="24"/>
          <w:szCs w:val="24"/>
          <w:highlight w:val="none"/>
        </w:rPr>
      </w:pPr>
      <w:r>
        <w:rPr>
          <w:rFonts w:hint="eastAsia" w:ascii="宋体" w:hAnsi="宋体" w:cs="宋体"/>
          <w:bCs/>
          <w:color w:val="auto"/>
          <w:sz w:val="24"/>
          <w:szCs w:val="24"/>
          <w:highlight w:val="none"/>
        </w:rPr>
        <w:t xml:space="preserve">4.6.2 </w:t>
      </w:r>
      <w:r>
        <w:rPr>
          <w:rFonts w:hint="eastAsia" w:ascii="宋体" w:hAnsi="宋体" w:cs="宋体"/>
          <w:b w:val="0"/>
          <w:color w:val="auto"/>
          <w:sz w:val="24"/>
          <w:szCs w:val="24"/>
          <w:highlight w:val="none"/>
        </w:rPr>
        <w:t>中标人施工资料必须与形象进度同步。</w:t>
      </w:r>
    </w:p>
    <w:p w14:paraId="593DEECB">
      <w:pPr>
        <w:ind w:firstLine="475" w:firstLineChars="197"/>
        <w:rPr>
          <w:rFonts w:hAnsi="宋体" w:cs="宋体"/>
          <w:color w:val="auto"/>
          <w:szCs w:val="24"/>
          <w:highlight w:val="none"/>
        </w:rPr>
      </w:pPr>
      <w:r>
        <w:rPr>
          <w:rFonts w:hAnsi="宋体" w:cs="宋体"/>
          <w:b/>
          <w:bCs/>
          <w:snapToGrid w:val="0"/>
          <w:color w:val="auto"/>
          <w:kern w:val="0"/>
          <w:szCs w:val="24"/>
          <w:highlight w:val="none"/>
        </w:rPr>
        <w:t>4.6.3</w:t>
      </w:r>
      <w:r>
        <w:rPr>
          <w:rFonts w:hAnsi="宋体" w:cs="宋体"/>
          <w:color w:val="auto"/>
          <w:szCs w:val="24"/>
          <w:highlight w:val="none"/>
        </w:rPr>
        <w:t>承包人没有正当合理的理由中途退场，可扣除承包人已递交的所有履约风险保证金。</w:t>
      </w:r>
    </w:p>
    <w:p w14:paraId="03C25985">
      <w:pPr>
        <w:ind w:firstLine="352" w:firstLineChars="147"/>
        <w:rPr>
          <w:rFonts w:hAnsi="宋体" w:cs="宋体"/>
          <w:color w:val="auto"/>
          <w:szCs w:val="24"/>
          <w:highlight w:val="none"/>
        </w:rPr>
      </w:pPr>
      <w:bookmarkStart w:id="170" w:name="_Toc620"/>
      <w:r>
        <w:rPr>
          <w:rFonts w:hAnsi="宋体" w:cs="宋体"/>
          <w:color w:val="auto"/>
          <w:szCs w:val="24"/>
          <w:highlight w:val="none"/>
        </w:rPr>
        <w:t>承包人因上述违约行为而须缴纳的违约金在工程进度款中或结算时一并扣除。</w:t>
      </w:r>
      <w:bookmarkEnd w:id="170"/>
    </w:p>
    <w:p w14:paraId="31EA738C">
      <w:pPr>
        <w:pStyle w:val="62"/>
        <w:numPr>
          <w:ilvl w:val="0"/>
          <w:numId w:val="5"/>
        </w:numPr>
        <w:tabs>
          <w:tab w:val="left" w:pos="769"/>
        </w:tabs>
        <w:spacing w:line="360" w:lineRule="auto"/>
        <w:ind w:firstLine="482" w:firstLineChars="200"/>
        <w:jc w:val="left"/>
        <w:rPr>
          <w:rFonts w:hint="eastAsia" w:ascii="宋体" w:hAnsi="宋体" w:cs="宋体"/>
          <w:color w:val="auto"/>
          <w:sz w:val="24"/>
          <w:szCs w:val="24"/>
          <w:highlight w:val="none"/>
          <w:lang w:eastAsia="zh-CN"/>
        </w:rPr>
      </w:pPr>
      <w:r>
        <w:rPr>
          <w:rFonts w:hint="eastAsia" w:ascii="Times New Roman" w:hAnsi="Times New Roman" w:eastAsia="宋体" w:cs="Times New Roman"/>
          <w:b/>
          <w:bCs/>
          <w:snapToGrid w:val="0"/>
          <w:color w:val="0000FF"/>
          <w:kern w:val="0"/>
          <w:sz w:val="24"/>
          <w:szCs w:val="24"/>
          <w:lang w:val="en-US" w:eastAsia="zh-CN"/>
        </w:rPr>
        <w:t>本项目纳入百千万工程，中标人按照“市百千万工程关于配建一定比例公益项目的政策落实相关工作”指引，须与承包人明确捐建比。</w:t>
      </w:r>
      <w:r>
        <w:rPr>
          <w:rFonts w:hint="eastAsia" w:ascii="宋体" w:hAnsi="宋体" w:cs="宋体"/>
          <w:color w:val="auto"/>
          <w:sz w:val="24"/>
          <w:szCs w:val="24"/>
          <w:highlight w:val="none"/>
          <w:lang w:eastAsia="zh-CN"/>
        </w:rPr>
        <w:tab/>
      </w:r>
      <w:r>
        <w:rPr>
          <w:rFonts w:hint="eastAsia" w:ascii="宋体" w:hAnsi="宋体" w:cs="宋体"/>
          <w:color w:val="auto"/>
          <w:sz w:val="24"/>
          <w:szCs w:val="24"/>
          <w:highlight w:val="none"/>
          <w:lang w:eastAsia="zh-CN"/>
        </w:rPr>
        <w:tab/>
      </w:r>
    </w:p>
    <w:p w14:paraId="3065BA46">
      <w:pPr>
        <w:pStyle w:val="62"/>
        <w:numPr>
          <w:ilvl w:val="0"/>
          <w:numId w:val="5"/>
        </w:numPr>
        <w:tabs>
          <w:tab w:val="left" w:pos="769"/>
        </w:tabs>
        <w:spacing w:line="360" w:lineRule="auto"/>
        <w:ind w:firstLine="482" w:firstLine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其他合同条款由招标人与中标人自行协商约定</w:t>
      </w:r>
      <w:r>
        <w:rPr>
          <w:rFonts w:hint="eastAsia" w:ascii="宋体" w:hAnsi="宋体" w:cs="宋体"/>
          <w:color w:val="auto"/>
          <w:sz w:val="24"/>
          <w:szCs w:val="24"/>
          <w:highlight w:val="none"/>
          <w:lang w:eastAsia="zh-CN"/>
        </w:rPr>
        <w:t>。</w:t>
      </w:r>
    </w:p>
    <w:p w14:paraId="1A36A92A">
      <w:pPr>
        <w:widowControl w:val="0"/>
        <w:numPr>
          <w:ilvl w:val="0"/>
          <w:numId w:val="0"/>
        </w:numPr>
        <w:spacing w:line="360" w:lineRule="auto"/>
        <w:jc w:val="both"/>
        <w:rPr>
          <w:rFonts w:hint="eastAsia"/>
          <w:color w:val="auto"/>
          <w:highlight w:val="none"/>
          <w:lang w:eastAsia="zh-CN"/>
        </w:rPr>
      </w:pPr>
    </w:p>
    <w:p w14:paraId="7F6196ED">
      <w:pPr>
        <w:pStyle w:val="10"/>
        <w:rPr>
          <w:rFonts w:hint="eastAsia"/>
          <w:color w:val="auto"/>
          <w:highlight w:val="none"/>
          <w:lang w:eastAsia="zh-CN"/>
        </w:rPr>
      </w:pPr>
    </w:p>
    <w:p w14:paraId="416A4867">
      <w:pPr>
        <w:pStyle w:val="2"/>
        <w:tabs>
          <w:tab w:val="left" w:pos="885"/>
        </w:tabs>
        <w:wordWrap w:val="0"/>
        <w:autoSpaceDE/>
        <w:autoSpaceDN/>
        <w:snapToGrid w:val="0"/>
        <w:spacing w:line="440" w:lineRule="exact"/>
        <w:jc w:val="both"/>
        <w:rPr>
          <w:rFonts w:hint="eastAsia" w:ascii="Times New Roman"/>
          <w:b/>
          <w:snapToGrid w:val="0"/>
          <w:color w:val="auto"/>
          <w:sz w:val="24"/>
          <w:highlight w:val="none"/>
        </w:rPr>
      </w:pPr>
    </w:p>
    <w:p w14:paraId="79E38337">
      <w:pPr>
        <w:pStyle w:val="2"/>
        <w:tabs>
          <w:tab w:val="left" w:pos="885"/>
        </w:tabs>
        <w:wordWrap w:val="0"/>
        <w:autoSpaceDE/>
        <w:autoSpaceDN/>
        <w:snapToGrid w:val="0"/>
        <w:spacing w:line="440" w:lineRule="exact"/>
        <w:jc w:val="center"/>
        <w:rPr>
          <w:rFonts w:ascii="Times New Roman"/>
          <w:b/>
          <w:snapToGrid w:val="0"/>
          <w:color w:val="auto"/>
          <w:sz w:val="24"/>
          <w:highlight w:val="none"/>
        </w:rPr>
      </w:pPr>
      <w:bookmarkStart w:id="171" w:name="_Toc16215"/>
      <w:bookmarkStart w:id="172" w:name="_Toc4731"/>
      <w:r>
        <w:rPr>
          <w:rFonts w:hint="eastAsia" w:ascii="Times New Roman"/>
          <w:b/>
          <w:snapToGrid w:val="0"/>
          <w:color w:val="auto"/>
          <w:sz w:val="24"/>
          <w:highlight w:val="none"/>
        </w:rPr>
        <w:t>第四章</w:t>
      </w:r>
      <w:bookmarkStart w:id="173" w:name="_Hlt87793853"/>
      <w:bookmarkEnd w:id="173"/>
      <w:r>
        <w:rPr>
          <w:rFonts w:hint="eastAsia" w:ascii="Times New Roman"/>
          <w:b/>
          <w:snapToGrid w:val="0"/>
          <w:color w:val="auto"/>
          <w:sz w:val="24"/>
          <w:highlight w:val="none"/>
        </w:rPr>
        <w:t xml:space="preserve"> 技术要求</w:t>
      </w:r>
      <w:bookmarkEnd w:id="168"/>
      <w:bookmarkEnd w:id="171"/>
      <w:bookmarkEnd w:id="172"/>
    </w:p>
    <w:bookmarkEnd w:id="169"/>
    <w:p w14:paraId="4A7A5C45">
      <w:pPr>
        <w:pStyle w:val="4"/>
        <w:keepNext w:val="0"/>
        <w:keepLines w:val="0"/>
        <w:wordWrap w:val="0"/>
        <w:adjustRightInd w:val="0"/>
        <w:snapToGrid w:val="0"/>
        <w:spacing w:before="0" w:after="0" w:line="440" w:lineRule="exact"/>
        <w:ind w:left="643"/>
        <w:jc w:val="both"/>
        <w:rPr>
          <w:rFonts w:hint="eastAsia" w:ascii="Times New Roman"/>
          <w:b/>
          <w:snapToGrid w:val="0"/>
          <w:color w:val="auto"/>
          <w:kern w:val="0"/>
          <w:highlight w:val="none"/>
        </w:rPr>
      </w:pPr>
      <w:bookmarkStart w:id="174" w:name="_Hlt69359335"/>
      <w:bookmarkEnd w:id="174"/>
      <w:bookmarkStart w:id="175" w:name="_Hlt87793346"/>
      <w:bookmarkEnd w:id="175"/>
      <w:bookmarkStart w:id="176" w:name="_Hlt87793370"/>
      <w:bookmarkEnd w:id="176"/>
      <w:bookmarkStart w:id="177" w:name="_Hlt66104926"/>
      <w:bookmarkEnd w:id="177"/>
      <w:bookmarkStart w:id="178" w:name="_Hlt69265216"/>
      <w:bookmarkEnd w:id="178"/>
      <w:bookmarkStart w:id="179" w:name="_Hlt80411122"/>
      <w:bookmarkEnd w:id="179"/>
      <w:bookmarkStart w:id="180" w:name="_Hlt69116854"/>
      <w:bookmarkEnd w:id="180"/>
      <w:bookmarkStart w:id="181" w:name="_Hlt68774758"/>
      <w:bookmarkEnd w:id="181"/>
      <w:bookmarkStart w:id="182" w:name="_Hlt69358207"/>
      <w:bookmarkEnd w:id="182"/>
      <w:bookmarkStart w:id="183" w:name="_Hlt69357851"/>
      <w:bookmarkEnd w:id="183"/>
      <w:bookmarkStart w:id="184" w:name="_Hlt75685840"/>
      <w:bookmarkEnd w:id="184"/>
    </w:p>
    <w:p w14:paraId="258B23F8">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1．房屋建筑工程建设项目</w:t>
      </w:r>
    </w:p>
    <w:p w14:paraId="30C34457">
      <w:pPr>
        <w:wordWrap w:val="0"/>
        <w:adjustRightInd w:val="0"/>
        <w:snapToGrid w:val="0"/>
        <w:spacing w:line="440" w:lineRule="exact"/>
        <w:ind w:firstLine="480" w:firstLineChars="200"/>
        <w:rPr>
          <w:rFonts w:hint="eastAsia" w:ascii="Times New Roman"/>
          <w:bCs/>
          <w:snapToGrid w:val="0"/>
          <w:color w:val="auto"/>
          <w:kern w:val="0"/>
          <w:highlight w:val="none"/>
        </w:rPr>
      </w:pPr>
      <w:bookmarkStart w:id="185" w:name="_Hlt69116858"/>
      <w:bookmarkEnd w:id="185"/>
      <w:bookmarkStart w:id="186" w:name="_Hlt78709799"/>
      <w:bookmarkEnd w:id="186"/>
      <w:bookmarkStart w:id="187" w:name="_Hlt69359086"/>
      <w:bookmarkEnd w:id="187"/>
      <w:bookmarkStart w:id="188" w:name="_Hlt69358458"/>
      <w:bookmarkEnd w:id="188"/>
      <w:bookmarkStart w:id="189" w:name="_Hlt69359245"/>
      <w:bookmarkEnd w:id="189"/>
      <w:bookmarkStart w:id="190" w:name="_Hlt69359243"/>
      <w:bookmarkEnd w:id="190"/>
      <w:bookmarkStart w:id="191" w:name="_Hlt69635252"/>
      <w:bookmarkEnd w:id="191"/>
      <w:r>
        <w:rPr>
          <w:rFonts w:hint="eastAsia" w:ascii="Times New Roman"/>
          <w:bCs/>
          <w:snapToGrid w:val="0"/>
          <w:color w:val="auto"/>
          <w:kern w:val="0"/>
          <w:highlight w:val="none"/>
        </w:rPr>
        <w:t>房屋建筑工程建设项目必须执行的现行技术规范，包括且不限于：</w:t>
      </w:r>
    </w:p>
    <w:p w14:paraId="300DDDC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（1）《建筑工程施工质量验收统一标准》；</w:t>
      </w:r>
    </w:p>
    <w:p w14:paraId="53AA8DF9">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（2）《建筑地基基础工程施工质量验收规范》；</w:t>
      </w:r>
    </w:p>
    <w:p w14:paraId="2CD8824D">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（3）《砌体工程施工质量验收规范》；</w:t>
      </w:r>
    </w:p>
    <w:p w14:paraId="628E2353">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（4）《混凝土结构工程施工质量验收规范》；</w:t>
      </w:r>
    </w:p>
    <w:p w14:paraId="234D0758">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（5）《屋面工程质量验收规范》；</w:t>
      </w:r>
    </w:p>
    <w:p w14:paraId="4566B9AE">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（6）《地下防水工程质量验收规范》；</w:t>
      </w:r>
    </w:p>
    <w:p w14:paraId="3A4063DD">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（7）</w:t>
      </w:r>
      <w:bookmarkStart w:id="192" w:name="_Hlt78795211"/>
      <w:bookmarkEnd w:id="192"/>
      <w:r>
        <w:rPr>
          <w:rFonts w:hint="eastAsia" w:ascii="Times New Roman"/>
          <w:bCs/>
          <w:snapToGrid w:val="0"/>
          <w:color w:val="auto"/>
          <w:kern w:val="0"/>
          <w:highlight w:val="none"/>
        </w:rPr>
        <w:t>《建筑地面工程施工质量验收规范》；</w:t>
      </w:r>
    </w:p>
    <w:p w14:paraId="49D54136">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（8）《建筑装饰装修工程施工质量验收规范》；</w:t>
      </w:r>
    </w:p>
    <w:p w14:paraId="42236964">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（9）《建筑给排水及采暖工程施工质量验收规范》；</w:t>
      </w:r>
    </w:p>
    <w:p w14:paraId="186FA34D">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（10）《建筑电气工程施工质量验收规范》；</w:t>
      </w:r>
    </w:p>
    <w:p w14:paraId="085E01F1">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（11）《住建部绿色建筑评价标准》；</w:t>
      </w:r>
    </w:p>
    <w:p w14:paraId="67BE4616">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（12）《建筑节能与可再生能源利用通用规范》（GB55015-2021）；</w:t>
      </w:r>
    </w:p>
    <w:p w14:paraId="66AA71DF">
      <w:pPr>
        <w:wordWrap w:val="0"/>
        <w:adjustRightInd w:val="0"/>
        <w:snapToGrid w:val="0"/>
        <w:spacing w:line="440" w:lineRule="exact"/>
        <w:ind w:firstLine="482" w:firstLineChars="200"/>
        <w:rPr>
          <w:rFonts w:ascii="Times New Roman"/>
          <w:b/>
          <w:snapToGrid w:val="0"/>
          <w:color w:val="auto"/>
          <w:kern w:val="0"/>
          <w:highlight w:val="none"/>
        </w:rPr>
      </w:pPr>
      <w:r>
        <w:rPr>
          <w:rFonts w:hint="eastAsia" w:ascii="Times New Roman"/>
          <w:b/>
          <w:snapToGrid w:val="0"/>
          <w:color w:val="auto"/>
          <w:kern w:val="0"/>
          <w:highlight w:val="none"/>
        </w:rPr>
        <w:t>（13）《建筑环境通用规范》；</w:t>
      </w:r>
    </w:p>
    <w:p w14:paraId="597EC8F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（14）《广东省住房和城乡建设厅绿色施工导则》；</w:t>
      </w:r>
    </w:p>
    <w:p w14:paraId="35A7662A">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（15）《广东省建筑工程绿色施工评价标准》；</w:t>
      </w:r>
    </w:p>
    <w:p w14:paraId="0A9CEB59">
      <w:pPr>
        <w:wordWrap w:val="0"/>
        <w:adjustRightInd w:val="0"/>
        <w:snapToGrid w:val="0"/>
        <w:spacing w:line="440" w:lineRule="exact"/>
        <w:ind w:firstLine="482" w:firstLineChars="200"/>
        <w:rPr>
          <w:rFonts w:ascii="Times New Roman"/>
          <w:b/>
          <w:snapToGrid w:val="0"/>
          <w:color w:val="auto"/>
          <w:kern w:val="0"/>
          <w:highlight w:val="none"/>
        </w:rPr>
      </w:pPr>
      <w:r>
        <w:rPr>
          <w:rFonts w:hint="eastAsia" w:ascii="Times New Roman"/>
          <w:b/>
          <w:snapToGrid w:val="0"/>
          <w:color w:val="auto"/>
          <w:kern w:val="0"/>
          <w:highlight w:val="none"/>
        </w:rPr>
        <w:t>（16）《广东省建筑节能与绿色建筑工程施工质量验收规范》</w:t>
      </w:r>
    </w:p>
    <w:p w14:paraId="5FEA89C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（17）其他现行国家、广东省关于房建工程的施工及验收规范、定额、规程、标准。</w:t>
      </w:r>
    </w:p>
    <w:p w14:paraId="01803478">
      <w:pPr>
        <w:wordWrap w:val="0"/>
        <w:adjustRightInd w:val="0"/>
        <w:snapToGrid w:val="0"/>
        <w:spacing w:line="440" w:lineRule="exact"/>
        <w:ind w:firstLine="480" w:firstLineChars="200"/>
        <w:rPr>
          <w:rFonts w:hint="eastAsia" w:ascii="Times New Roman"/>
          <w:bCs/>
          <w:snapToGrid w:val="0"/>
          <w:color w:val="auto"/>
          <w:kern w:val="0"/>
          <w:highlight w:val="none"/>
        </w:rPr>
      </w:pPr>
    </w:p>
    <w:p w14:paraId="0E25A52D">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snapToGrid w:val="0"/>
          <w:color w:val="auto"/>
          <w:kern w:val="0"/>
          <w:highlight w:val="none"/>
        </w:rPr>
        <w:t>2．市政基础设施工程建设项目</w:t>
      </w:r>
    </w:p>
    <w:p w14:paraId="7B80B601">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highlight w:val="none"/>
        </w:rPr>
        <w:t>市政基础设施工程建设项目必须执行的现行技术规范，包括且不限于：</w:t>
      </w:r>
    </w:p>
    <w:p w14:paraId="1484CAA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szCs w:val="28"/>
          <w:highlight w:val="none"/>
        </w:rPr>
        <w:t>（1）《公路路基施工技术规范》</w:t>
      </w:r>
      <w:r>
        <w:rPr>
          <w:rFonts w:hint="eastAsia" w:ascii="Times New Roman"/>
          <w:bCs/>
          <w:snapToGrid w:val="0"/>
          <w:color w:val="auto"/>
          <w:kern w:val="0"/>
          <w:highlight w:val="none"/>
        </w:rPr>
        <w:t>；</w:t>
      </w:r>
    </w:p>
    <w:p w14:paraId="4D88ABC6">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（2）《市政道路工程质量检验评定标准》；</w:t>
      </w:r>
    </w:p>
    <w:p w14:paraId="2315B41D">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（3）《市政排水管渠工程质量检验评定标准》；</w:t>
      </w:r>
    </w:p>
    <w:p w14:paraId="1FB8A8D5">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（4）《给水排水管道工程施工及验收规范》；</w:t>
      </w:r>
    </w:p>
    <w:p w14:paraId="2C201EE2">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（5）《城市道路路基工程施工及验收规范》；</w:t>
      </w:r>
    </w:p>
    <w:p w14:paraId="48B95D1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（6）《水泥砼路面施工及验收规范》；</w:t>
      </w:r>
    </w:p>
    <w:p w14:paraId="5BE0BC7D">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（7）《公路水泥砼路面施工技术规范》；</w:t>
      </w:r>
    </w:p>
    <w:p w14:paraId="58BA765A">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（8）《埋地硬聚氯乙烯排水管道工程技术规程》；</w:t>
      </w:r>
    </w:p>
    <w:p w14:paraId="62BC3D33">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（9）《沥青路面施工及验收规范》；</w:t>
      </w:r>
    </w:p>
    <w:p w14:paraId="0E7F1F1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（10）《广东省市政工程施工质量技术资料统一用表》。</w:t>
      </w:r>
    </w:p>
    <w:p w14:paraId="20943641">
      <w:pPr>
        <w:widowControl/>
        <w:tabs>
          <w:tab w:val="left" w:pos="567"/>
        </w:tabs>
        <w:autoSpaceDE w:val="0"/>
        <w:autoSpaceDN w:val="0"/>
        <w:spacing w:line="500" w:lineRule="exact"/>
        <w:ind w:firstLine="480" w:firstLineChars="200"/>
        <w:jc w:val="left"/>
        <w:textAlignment w:val="bottom"/>
        <w:outlineLvl w:val="0"/>
        <w:rPr>
          <w:rFonts w:hint="eastAsia" w:hAnsi="宋体" w:cs="宋体"/>
          <w:b/>
          <w:bCs/>
          <w:color w:val="auto"/>
          <w:kern w:val="0"/>
          <w:szCs w:val="21"/>
          <w:highlight w:val="none"/>
        </w:rPr>
      </w:pPr>
      <w:bookmarkStart w:id="193" w:name="_Toc25119"/>
      <w:r>
        <w:rPr>
          <w:rFonts w:hint="eastAsia" w:ascii="Times New Roman"/>
          <w:bCs/>
          <w:snapToGrid w:val="0"/>
          <w:color w:val="auto"/>
          <w:kern w:val="0"/>
          <w:highlight w:val="none"/>
        </w:rPr>
        <w:t>（11）</w:t>
      </w:r>
      <w:r>
        <w:rPr>
          <w:rFonts w:hint="eastAsia" w:hAnsi="宋体" w:cs="宋体"/>
          <w:b/>
          <w:bCs/>
          <w:color w:val="auto"/>
          <w:kern w:val="0"/>
          <w:szCs w:val="21"/>
          <w:highlight w:val="none"/>
        </w:rPr>
        <w:t>《城市道路照明设计标准》（CJJ45-2015）；</w:t>
      </w:r>
      <w:bookmarkEnd w:id="193"/>
    </w:p>
    <w:p w14:paraId="3294F75C">
      <w:pPr>
        <w:widowControl/>
        <w:tabs>
          <w:tab w:val="left" w:pos="567"/>
        </w:tabs>
        <w:autoSpaceDE w:val="0"/>
        <w:autoSpaceDN w:val="0"/>
        <w:spacing w:line="500" w:lineRule="exact"/>
        <w:ind w:firstLine="482" w:firstLineChars="200"/>
        <w:jc w:val="left"/>
        <w:textAlignment w:val="bottom"/>
        <w:outlineLvl w:val="0"/>
        <w:rPr>
          <w:rFonts w:hAnsi="宋体" w:cs="宋体"/>
          <w:b/>
          <w:bCs/>
          <w:color w:val="auto"/>
          <w:szCs w:val="21"/>
          <w:highlight w:val="none"/>
        </w:rPr>
      </w:pPr>
      <w:bookmarkStart w:id="194" w:name="_Toc1481"/>
      <w:r>
        <w:rPr>
          <w:rFonts w:hint="eastAsia" w:hAnsi="宋体" w:cs="宋体"/>
          <w:b/>
          <w:bCs/>
          <w:color w:val="auto"/>
          <w:kern w:val="0"/>
          <w:szCs w:val="21"/>
          <w:highlight w:val="none"/>
        </w:rPr>
        <w:t>（12）《低压配电设计规范》（GB50054-2011）；</w:t>
      </w:r>
      <w:bookmarkEnd w:id="194"/>
    </w:p>
    <w:p w14:paraId="5C62865C">
      <w:pPr>
        <w:widowControl/>
        <w:tabs>
          <w:tab w:val="left" w:pos="567"/>
        </w:tabs>
        <w:autoSpaceDE w:val="0"/>
        <w:autoSpaceDN w:val="0"/>
        <w:spacing w:line="500" w:lineRule="exact"/>
        <w:ind w:firstLine="482" w:firstLineChars="200"/>
        <w:jc w:val="left"/>
        <w:textAlignment w:val="bottom"/>
        <w:outlineLvl w:val="0"/>
        <w:rPr>
          <w:rFonts w:hAnsi="宋体" w:cs="宋体"/>
          <w:b/>
          <w:bCs/>
          <w:color w:val="auto"/>
          <w:szCs w:val="21"/>
          <w:highlight w:val="none"/>
        </w:rPr>
      </w:pPr>
      <w:bookmarkStart w:id="195" w:name="_Toc9726"/>
      <w:r>
        <w:rPr>
          <w:rFonts w:hint="eastAsia" w:hAnsi="宋体" w:cs="宋体"/>
          <w:b/>
          <w:bCs/>
          <w:color w:val="auto"/>
          <w:kern w:val="0"/>
          <w:szCs w:val="21"/>
          <w:highlight w:val="none"/>
        </w:rPr>
        <w:t>（13）《城市道路照明工程施工及验收规程》（CJJ89-2012）；</w:t>
      </w:r>
      <w:bookmarkEnd w:id="195"/>
    </w:p>
    <w:p w14:paraId="0996B675">
      <w:pPr>
        <w:pStyle w:val="91"/>
        <w:spacing w:line="500" w:lineRule="exact"/>
        <w:rPr>
          <w:rFonts w:hAnsi="宋体" w:cs="宋体"/>
          <w:b/>
          <w:bCs/>
          <w:color w:val="auto"/>
          <w:szCs w:val="21"/>
          <w:highlight w:val="none"/>
        </w:rPr>
      </w:pPr>
      <w:r>
        <w:rPr>
          <w:rFonts w:hint="eastAsia" w:hAnsi="宋体" w:cs="宋体"/>
          <w:b/>
          <w:bCs/>
          <w:color w:val="auto"/>
          <w:szCs w:val="21"/>
          <w:highlight w:val="none"/>
        </w:rPr>
        <w:t>（14）《LED道路照明工程技术规范》（DB44/T 1898-2016）；</w:t>
      </w:r>
    </w:p>
    <w:p w14:paraId="68E3764A">
      <w:pPr>
        <w:pStyle w:val="91"/>
        <w:spacing w:line="500" w:lineRule="exact"/>
        <w:rPr>
          <w:rFonts w:hint="eastAsia" w:hAnsi="宋体" w:cs="宋体"/>
          <w:b/>
          <w:bCs/>
          <w:color w:val="auto"/>
          <w:szCs w:val="21"/>
          <w:highlight w:val="none"/>
        </w:rPr>
      </w:pPr>
      <w:r>
        <w:rPr>
          <w:rFonts w:hint="eastAsia" w:hAnsi="宋体" w:cs="宋体"/>
          <w:b/>
          <w:bCs/>
          <w:color w:val="auto"/>
          <w:szCs w:val="21"/>
          <w:highlight w:val="none"/>
        </w:rPr>
        <w:t>（15）《灯具第1部分：一般要求与试验》（GB7000.1-2015）；</w:t>
      </w:r>
    </w:p>
    <w:p w14:paraId="3972C49D">
      <w:pPr>
        <w:wordWrap w:val="0"/>
        <w:adjustRightInd w:val="0"/>
        <w:snapToGrid w:val="0"/>
        <w:spacing w:line="500" w:lineRule="exact"/>
        <w:ind w:firstLine="482" w:firstLineChars="200"/>
        <w:rPr>
          <w:rFonts w:hAnsi="宋体" w:cs="宋体"/>
          <w:b/>
          <w:bCs/>
          <w:color w:val="auto"/>
          <w:kern w:val="0"/>
          <w:szCs w:val="21"/>
          <w:highlight w:val="none"/>
        </w:rPr>
      </w:pPr>
      <w:r>
        <w:rPr>
          <w:rFonts w:hint="eastAsia" w:hAnsi="宋体" w:cs="宋体"/>
          <w:b/>
          <w:bCs/>
          <w:color w:val="auto"/>
          <w:kern w:val="0"/>
          <w:szCs w:val="21"/>
          <w:highlight w:val="none"/>
        </w:rPr>
        <w:t>（16）《电缆工程电缆设计标准》（GB50217-2018）；</w:t>
      </w:r>
    </w:p>
    <w:p w14:paraId="4E828B9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（17）其他现行国家、广东省关于市政工程的技术及验收规范、定额、规程、标准。</w:t>
      </w:r>
    </w:p>
    <w:p w14:paraId="706FC7FC">
      <w:pPr>
        <w:wordWrap w:val="0"/>
        <w:adjustRightInd w:val="0"/>
        <w:snapToGrid w:val="0"/>
        <w:spacing w:line="440" w:lineRule="exact"/>
        <w:ind w:firstLine="480" w:firstLineChars="200"/>
        <w:rPr>
          <w:rFonts w:hint="eastAsia" w:ascii="Times New Roman"/>
          <w:bCs/>
          <w:snapToGrid w:val="0"/>
          <w:color w:val="auto"/>
          <w:kern w:val="0"/>
          <w:highlight w:val="none"/>
        </w:rPr>
      </w:pPr>
    </w:p>
    <w:p w14:paraId="4A45D498">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snapToGrid w:val="0"/>
          <w:color w:val="auto"/>
          <w:kern w:val="0"/>
          <w:highlight w:val="none"/>
        </w:rPr>
        <w:t>3．备查要求</w:t>
      </w:r>
    </w:p>
    <w:p w14:paraId="111E15D6">
      <w:pPr>
        <w:wordWrap w:val="0"/>
        <w:adjustRightInd w:val="0"/>
        <w:snapToGrid w:val="0"/>
        <w:spacing w:line="440" w:lineRule="exact"/>
        <w:ind w:firstLine="560"/>
        <w:rPr>
          <w:rFonts w:hint="eastAsia" w:ascii="Times New Roman"/>
          <w:strike/>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承包</w:t>
      </w:r>
      <w:r>
        <w:rPr>
          <w:rFonts w:hint="eastAsia" w:ascii="Times New Roman"/>
          <w:bCs/>
          <w:snapToGrid w:val="0"/>
          <w:color w:val="auto"/>
          <w:kern w:val="0"/>
          <w:highlight w:val="none"/>
        </w:rPr>
        <w:t>人必须在施工现场准备至少一套上述规范，</w:t>
      </w:r>
      <w:r>
        <w:rPr>
          <w:rFonts w:hint="eastAsia" w:ascii="Times New Roman"/>
          <w:snapToGrid w:val="0"/>
          <w:color w:val="auto"/>
          <w:kern w:val="0"/>
          <w:highlight w:val="none"/>
        </w:rPr>
        <w:t>发包</w:t>
      </w:r>
      <w:r>
        <w:rPr>
          <w:rFonts w:hint="eastAsia" w:ascii="Times New Roman"/>
          <w:bCs/>
          <w:snapToGrid w:val="0"/>
          <w:color w:val="auto"/>
          <w:kern w:val="0"/>
          <w:highlight w:val="none"/>
        </w:rPr>
        <w:t>人和监理单位可随时检查</w:t>
      </w:r>
      <w:r>
        <w:rPr>
          <w:rFonts w:hint="eastAsia" w:ascii="Times New Roman"/>
          <w:snapToGrid w:val="0"/>
          <w:color w:val="auto"/>
          <w:kern w:val="0"/>
          <w:highlight w:val="none"/>
        </w:rPr>
        <w:t>承包</w:t>
      </w:r>
      <w:r>
        <w:rPr>
          <w:rFonts w:hint="eastAsia" w:ascii="Times New Roman"/>
          <w:bCs/>
          <w:snapToGrid w:val="0"/>
          <w:color w:val="auto"/>
          <w:kern w:val="0"/>
          <w:highlight w:val="none"/>
        </w:rPr>
        <w:t>人的上述规范，并监督</w:t>
      </w:r>
      <w:r>
        <w:rPr>
          <w:rFonts w:hint="eastAsia" w:ascii="Times New Roman"/>
          <w:snapToGrid w:val="0"/>
          <w:color w:val="auto"/>
          <w:kern w:val="0"/>
          <w:highlight w:val="none"/>
        </w:rPr>
        <w:t>承包</w:t>
      </w:r>
      <w:r>
        <w:rPr>
          <w:rFonts w:hint="eastAsia" w:ascii="Times New Roman"/>
          <w:bCs/>
          <w:snapToGrid w:val="0"/>
          <w:color w:val="auto"/>
          <w:kern w:val="0"/>
          <w:highlight w:val="none"/>
        </w:rPr>
        <w:t>人按规范要求执行。</w:t>
      </w:r>
      <w:bookmarkStart w:id="196" w:name="_Hlt69670335"/>
      <w:bookmarkEnd w:id="196"/>
    </w:p>
    <w:p w14:paraId="0EE4CDBB">
      <w:pPr>
        <w:pStyle w:val="2"/>
        <w:tabs>
          <w:tab w:val="left" w:pos="885"/>
        </w:tabs>
        <w:wordWrap w:val="0"/>
        <w:autoSpaceDE/>
        <w:autoSpaceDN/>
        <w:snapToGrid w:val="0"/>
        <w:ind w:left="885" w:hanging="885"/>
        <w:jc w:val="center"/>
        <w:rPr>
          <w:rFonts w:ascii="Times New Roman"/>
          <w:b/>
          <w:snapToGrid w:val="0"/>
          <w:color w:val="auto"/>
          <w:sz w:val="24"/>
          <w:highlight w:val="none"/>
        </w:rPr>
      </w:pPr>
      <w:bookmarkStart w:id="197" w:name="_Hlt69635247"/>
      <w:bookmarkEnd w:id="197"/>
      <w:bookmarkStart w:id="198" w:name="_Hlt69358336"/>
      <w:bookmarkEnd w:id="198"/>
      <w:bookmarkStart w:id="199" w:name="_Hlt69338190"/>
      <w:bookmarkEnd w:id="199"/>
      <w:bookmarkStart w:id="200" w:name="_Hlt66848640"/>
      <w:bookmarkEnd w:id="200"/>
      <w:bookmarkStart w:id="201" w:name="_Hlt69265207"/>
      <w:bookmarkEnd w:id="201"/>
      <w:bookmarkStart w:id="202" w:name="_Hlt69116863"/>
      <w:bookmarkEnd w:id="202"/>
      <w:bookmarkStart w:id="203" w:name="_Toc6898"/>
      <w:bookmarkStart w:id="204" w:name="_Toc10057"/>
      <w:bookmarkStart w:id="205" w:name="_Toc7591"/>
      <w:r>
        <w:rPr>
          <w:rFonts w:hint="eastAsia" w:ascii="Times New Roman"/>
          <w:b/>
          <w:snapToGrid w:val="0"/>
          <w:color w:val="auto"/>
          <w:sz w:val="24"/>
          <w:highlight w:val="none"/>
        </w:rPr>
        <w:t>第五章</w:t>
      </w:r>
      <w:bookmarkStart w:id="206" w:name="_Hlt87793860"/>
      <w:bookmarkEnd w:id="206"/>
      <w:r>
        <w:rPr>
          <w:rFonts w:hint="eastAsia" w:ascii="Times New Roman"/>
          <w:b/>
          <w:snapToGrid w:val="0"/>
          <w:color w:val="auto"/>
          <w:sz w:val="24"/>
          <w:highlight w:val="none"/>
        </w:rPr>
        <w:t xml:space="preserve"> 图纸和招标工程</w:t>
      </w:r>
      <w:bookmarkStart w:id="207" w:name="_Hlt69669215"/>
      <w:bookmarkEnd w:id="207"/>
      <w:r>
        <w:rPr>
          <w:rFonts w:hint="eastAsia" w:ascii="Times New Roman"/>
          <w:b/>
          <w:snapToGrid w:val="0"/>
          <w:color w:val="auto"/>
          <w:sz w:val="24"/>
          <w:highlight w:val="none"/>
        </w:rPr>
        <w:t>量清单</w:t>
      </w:r>
      <w:bookmarkEnd w:id="203"/>
      <w:bookmarkEnd w:id="204"/>
      <w:bookmarkEnd w:id="205"/>
    </w:p>
    <w:p w14:paraId="0378769B">
      <w:pPr>
        <w:wordWrap w:val="0"/>
        <w:adjustRightInd w:val="0"/>
        <w:snapToGrid w:val="0"/>
        <w:spacing w:line="440" w:lineRule="exact"/>
        <w:ind w:firstLine="480" w:firstLineChars="200"/>
        <w:rPr>
          <w:rFonts w:hint="eastAsia" w:ascii="Times New Roman"/>
          <w:snapToGrid w:val="0"/>
          <w:color w:val="auto"/>
          <w:kern w:val="0"/>
          <w:highlight w:val="none"/>
        </w:rPr>
      </w:pPr>
      <w:bookmarkStart w:id="208" w:name="_Hlt87793868"/>
      <w:bookmarkEnd w:id="208"/>
      <w:bookmarkStart w:id="209" w:name="_Hlt66104919"/>
      <w:bookmarkEnd w:id="209"/>
      <w:bookmarkStart w:id="210" w:name="_Hlt75747203"/>
      <w:bookmarkEnd w:id="210"/>
      <w:bookmarkStart w:id="211" w:name="_Hlt69669182"/>
      <w:bookmarkEnd w:id="211"/>
      <w:bookmarkStart w:id="212" w:name="_Toc25252"/>
      <w:bookmarkStart w:id="213" w:name="_Hlt69698785"/>
    </w:p>
    <w:p w14:paraId="506AD53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1．图纸</w:t>
      </w:r>
    </w:p>
    <w:p w14:paraId="2E512FC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本招标文件随文另附施工图（电子文件）各一套。</w:t>
      </w:r>
    </w:p>
    <w:p w14:paraId="095B106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2．招标工程量清单</w:t>
      </w:r>
    </w:p>
    <w:p w14:paraId="2C8174AD">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2.1</w:t>
      </w:r>
      <w:r>
        <w:rPr>
          <w:rFonts w:hint="eastAsia" w:ascii="Times New Roman"/>
          <w:snapToGrid w:val="0"/>
          <w:color w:val="auto"/>
          <w:kern w:val="0"/>
          <w:highlight w:val="none"/>
        </w:rPr>
        <w:t xml:space="preserve"> 本招标文件随文另附招标工程量清单（</w:t>
      </w:r>
      <w:r>
        <w:rPr>
          <w:rFonts w:hint="eastAsia" w:ascii="Times New Roman"/>
          <w:snapToGrid w:val="0"/>
          <w:color w:val="auto"/>
          <w:kern w:val="0"/>
          <w:highlight w:val="none"/>
          <w:u w:val="single"/>
        </w:rPr>
        <w:t xml:space="preserve"> EXCEL版 </w:t>
      </w:r>
      <w:r>
        <w:rPr>
          <w:rFonts w:hint="eastAsia" w:ascii="Times New Roman"/>
          <w:snapToGrid w:val="0"/>
          <w:color w:val="auto"/>
          <w:kern w:val="0"/>
          <w:highlight w:val="none"/>
        </w:rPr>
        <w:t>电子文件）一套。招标工程量清单采用（造价软件名称及版本）编制。</w:t>
      </w:r>
    </w:p>
    <w:p w14:paraId="1BAEB0F0">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招标工程量清单在投标截止时间</w:t>
      </w:r>
      <w:r>
        <w:rPr>
          <w:rFonts w:hint="eastAsia" w:ascii="Times New Roman"/>
          <w:snapToGrid w:val="0"/>
          <w:color w:val="auto"/>
          <w:kern w:val="0"/>
          <w:highlight w:val="none"/>
          <w:lang w:val="en-US" w:eastAsia="zh-CN"/>
        </w:rPr>
        <w:t>15</w:t>
      </w:r>
      <w:r>
        <w:rPr>
          <w:rFonts w:hint="eastAsia" w:ascii="Times New Roman"/>
          <w:snapToGrid w:val="0"/>
          <w:color w:val="auto"/>
          <w:kern w:val="0"/>
          <w:highlight w:val="none"/>
        </w:rPr>
        <w:t>天前以补充通知的形式在</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公布。</w:t>
      </w:r>
    </w:p>
    <w:p w14:paraId="7534F9BE">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2.2</w:t>
      </w:r>
      <w:r>
        <w:rPr>
          <w:rFonts w:hint="eastAsia" w:ascii="Times New Roman"/>
          <w:snapToGrid w:val="0"/>
          <w:color w:val="auto"/>
          <w:kern w:val="0"/>
          <w:highlight w:val="none"/>
        </w:rPr>
        <w:t xml:space="preserve"> 本工程按照以下依据编制招标工程量清单：</w:t>
      </w:r>
    </w:p>
    <w:p w14:paraId="277AE21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5ED38B3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（2）有关工程量计量规范。具体包括：《房屋建筑与装饰工程工程量计算规范》（GB50854—2013）、《市政工程工程量计算规范》（ GB50857—2013）等；</w:t>
      </w:r>
    </w:p>
    <w:p w14:paraId="0F410F1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1E992D54">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（4）施工图及相关资料；</w:t>
      </w:r>
    </w:p>
    <w:p w14:paraId="37DF373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（5）招标文件；</w:t>
      </w:r>
    </w:p>
    <w:p w14:paraId="762E5E91">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（6）施工现场情况、地勘水文资料、工程特点及常规施工方案；</w:t>
      </w:r>
    </w:p>
    <w:p w14:paraId="32D22D8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（7）与建设工程有关的标准、规范、技术资料。</w:t>
      </w:r>
    </w:p>
    <w:p w14:paraId="0F217708">
      <w:pPr>
        <w:wordWrap w:val="0"/>
        <w:adjustRightInd w:val="0"/>
        <w:snapToGrid w:val="0"/>
        <w:spacing w:line="440" w:lineRule="exact"/>
        <w:ind w:firstLine="480"/>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465DF56D">
      <w:pPr>
        <w:pStyle w:val="2"/>
        <w:wordWrap w:val="0"/>
        <w:autoSpaceDE/>
        <w:autoSpaceDN/>
        <w:snapToGrid w:val="0"/>
        <w:spacing w:line="440" w:lineRule="exact"/>
        <w:jc w:val="center"/>
        <w:rPr>
          <w:rFonts w:ascii="Times New Roman"/>
          <w:b/>
          <w:snapToGrid w:val="0"/>
          <w:color w:val="auto"/>
          <w:sz w:val="24"/>
          <w:highlight w:val="none"/>
        </w:rPr>
      </w:pPr>
      <w:bookmarkStart w:id="214" w:name="_Toc4539"/>
      <w:bookmarkStart w:id="215" w:name="_Toc5578"/>
      <w:r>
        <w:rPr>
          <w:rFonts w:hint="eastAsia" w:ascii="Times New Roman"/>
          <w:b/>
          <w:snapToGrid w:val="0"/>
          <w:color w:val="auto"/>
          <w:sz w:val="24"/>
          <w:highlight w:val="none"/>
        </w:rPr>
        <w:t xml:space="preserve">第六章 </w:t>
      </w:r>
      <w:bookmarkEnd w:id="212"/>
      <w:bookmarkStart w:id="216" w:name="_Hlt75747044"/>
      <w:bookmarkEnd w:id="216"/>
      <w:r>
        <w:rPr>
          <w:rFonts w:hint="eastAsia" w:ascii="Times New Roman"/>
          <w:b/>
          <w:snapToGrid w:val="0"/>
          <w:color w:val="auto"/>
          <w:sz w:val="24"/>
          <w:highlight w:val="none"/>
        </w:rPr>
        <w:t>投标文件格式</w:t>
      </w:r>
      <w:bookmarkEnd w:id="214"/>
      <w:bookmarkEnd w:id="215"/>
    </w:p>
    <w:bookmarkEnd w:id="213"/>
    <w:p w14:paraId="24E63FA0">
      <w:pPr>
        <w:pStyle w:val="80"/>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217" w:name="_附件五：综合评审合理低价法"/>
      <w:bookmarkEnd w:id="217"/>
      <w:bookmarkStart w:id="218" w:name="_附件一：对招标文件条款自愿接受承诺书"/>
      <w:bookmarkEnd w:id="218"/>
      <w:bookmarkStart w:id="219" w:name="_附件二：近三年度主要施工项目（竣工及在建）一览表"/>
      <w:bookmarkEnd w:id="219"/>
      <w:bookmarkStart w:id="220" w:name="_附件二：工期承诺书"/>
      <w:bookmarkEnd w:id="220"/>
      <w:bookmarkStart w:id="221" w:name="_附件一：投标函"/>
      <w:bookmarkEnd w:id="221"/>
      <w:bookmarkStart w:id="222" w:name="_附件四：工期承诺书"/>
      <w:bookmarkEnd w:id="222"/>
      <w:bookmarkStart w:id="223" w:name="_Toc200338097"/>
      <w:bookmarkStart w:id="224" w:name="_Toc137621693"/>
      <w:bookmarkStart w:id="225" w:name="_Toc66849200"/>
      <w:bookmarkStart w:id="226" w:name="_Hlt66847557"/>
    </w:p>
    <w:p w14:paraId="307EF0FB">
      <w:pPr>
        <w:pStyle w:val="80"/>
        <w:keepNext w:val="0"/>
        <w:keepLines w:val="0"/>
        <w:widowControl w:val="0"/>
        <w:wordWrap w:val="0"/>
        <w:adjustRightInd w:val="0"/>
        <w:snapToGrid w:val="0"/>
        <w:spacing w:before="0" w:after="0" w:line="240" w:lineRule="auto"/>
        <w:ind w:left="3640" w:leftChars="15" w:hanging="3604" w:hangingChars="1496"/>
        <w:jc w:val="both"/>
        <w:rPr>
          <w:rFonts w:hint="eastAsia" w:ascii="Times New Roman"/>
          <w:b/>
          <w:snapToGrid w:val="0"/>
          <w:color w:val="auto"/>
          <w:highlight w:val="none"/>
        </w:rPr>
      </w:pPr>
      <w:bookmarkStart w:id="227" w:name="_Toc18645"/>
      <w:bookmarkStart w:id="228" w:name="_Toc14304"/>
      <w:bookmarkStart w:id="229" w:name="_Toc5384"/>
      <w:r>
        <w:rPr>
          <w:rFonts w:hint="eastAsia" w:ascii="Times New Roman"/>
          <w:b/>
          <w:snapToGrid w:val="0"/>
          <w:color w:val="auto"/>
          <w:highlight w:val="none"/>
        </w:rPr>
        <w:t>格式一 封面</w:t>
      </w:r>
      <w:bookmarkEnd w:id="227"/>
      <w:bookmarkEnd w:id="228"/>
      <w:bookmarkEnd w:id="229"/>
    </w:p>
    <w:p w14:paraId="6CA80272">
      <w:pPr>
        <w:pStyle w:val="76"/>
        <w:widowControl w:val="0"/>
        <w:wordWrap w:val="0"/>
        <w:adjustRightInd w:val="0"/>
        <w:snapToGrid w:val="0"/>
        <w:spacing w:line="240" w:lineRule="auto"/>
        <w:rPr>
          <w:rFonts w:hint="eastAsia" w:ascii="Times New Roman"/>
          <w:b/>
          <w:snapToGrid w:val="0"/>
          <w:color w:val="auto"/>
          <w:sz w:val="24"/>
          <w:highlight w:val="none"/>
        </w:rPr>
      </w:pPr>
    </w:p>
    <w:p w14:paraId="6BCBC2C5">
      <w:pPr>
        <w:pStyle w:val="76"/>
        <w:widowControl w:val="0"/>
        <w:wordWrap w:val="0"/>
        <w:adjustRightInd w:val="0"/>
        <w:snapToGrid w:val="0"/>
        <w:spacing w:line="240" w:lineRule="auto"/>
        <w:rPr>
          <w:rFonts w:hint="eastAsia" w:ascii="Times New Roman"/>
          <w:b/>
          <w:snapToGrid w:val="0"/>
          <w:color w:val="auto"/>
          <w:sz w:val="24"/>
          <w:highlight w:val="none"/>
        </w:rPr>
      </w:pPr>
    </w:p>
    <w:p w14:paraId="14CAF77C">
      <w:pPr>
        <w:pStyle w:val="76"/>
        <w:widowControl w:val="0"/>
        <w:wordWrap w:val="0"/>
        <w:adjustRightInd w:val="0"/>
        <w:snapToGrid w:val="0"/>
        <w:spacing w:line="240" w:lineRule="auto"/>
        <w:rPr>
          <w:rFonts w:hint="eastAsia" w:ascii="Times New Roman"/>
          <w:b/>
          <w:snapToGrid w:val="0"/>
          <w:color w:val="auto"/>
          <w:sz w:val="24"/>
          <w:highlight w:val="none"/>
        </w:rPr>
      </w:pPr>
    </w:p>
    <w:p w14:paraId="2752C673">
      <w:pPr>
        <w:pStyle w:val="76"/>
        <w:widowControl w:val="0"/>
        <w:wordWrap w:val="0"/>
        <w:adjustRightInd w:val="0"/>
        <w:snapToGrid w:val="0"/>
        <w:spacing w:line="240" w:lineRule="auto"/>
        <w:rPr>
          <w:rFonts w:hint="eastAsia" w:ascii="Times New Roman"/>
          <w:b/>
          <w:snapToGrid w:val="0"/>
          <w:color w:val="auto"/>
          <w:sz w:val="24"/>
          <w:highlight w:val="none"/>
        </w:rPr>
      </w:pPr>
    </w:p>
    <w:p w14:paraId="611B6B88">
      <w:pPr>
        <w:pStyle w:val="76"/>
        <w:widowControl w:val="0"/>
        <w:wordWrap w:val="0"/>
        <w:adjustRightInd w:val="0"/>
        <w:snapToGrid w:val="0"/>
        <w:spacing w:line="240" w:lineRule="auto"/>
        <w:rPr>
          <w:rFonts w:hint="eastAsia" w:ascii="Times New Roman"/>
          <w:b/>
          <w:snapToGrid w:val="0"/>
          <w:color w:val="auto"/>
          <w:sz w:val="24"/>
          <w:highlight w:val="none"/>
        </w:rPr>
      </w:pPr>
    </w:p>
    <w:p w14:paraId="73892DC8">
      <w:pPr>
        <w:pStyle w:val="76"/>
        <w:widowControl w:val="0"/>
        <w:wordWrap w:val="0"/>
        <w:adjustRightInd w:val="0"/>
        <w:snapToGrid w:val="0"/>
        <w:spacing w:line="240" w:lineRule="auto"/>
        <w:rPr>
          <w:rFonts w:hint="eastAsia" w:ascii="Times New Roman"/>
          <w:b/>
          <w:snapToGrid w:val="0"/>
          <w:color w:val="auto"/>
          <w:sz w:val="24"/>
          <w:highlight w:val="none"/>
        </w:rPr>
      </w:pPr>
    </w:p>
    <w:p w14:paraId="264842ED">
      <w:pPr>
        <w:pStyle w:val="76"/>
        <w:widowControl w:val="0"/>
        <w:wordWrap w:val="0"/>
        <w:adjustRightInd w:val="0"/>
        <w:snapToGrid w:val="0"/>
        <w:spacing w:line="240" w:lineRule="auto"/>
        <w:rPr>
          <w:rFonts w:hint="eastAsia" w:ascii="Times New Roman"/>
          <w:b/>
          <w:snapToGrid w:val="0"/>
          <w:color w:val="auto"/>
          <w:sz w:val="24"/>
          <w:highlight w:val="none"/>
        </w:rPr>
      </w:pPr>
    </w:p>
    <w:p w14:paraId="4AD644CE">
      <w:pPr>
        <w:pStyle w:val="76"/>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（项目名称）施工招标</w:t>
      </w:r>
    </w:p>
    <w:p w14:paraId="11BF654A">
      <w:pPr>
        <w:pStyle w:val="76"/>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35588B73">
      <w:pPr>
        <w:pStyle w:val="76"/>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6E6AD463">
      <w:pPr>
        <w:pStyle w:val="76"/>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2B82800B">
      <w:pPr>
        <w:pStyle w:val="76"/>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7EDDD616">
      <w:pPr>
        <w:pStyle w:val="76"/>
        <w:widowControl w:val="0"/>
        <w:wordWrap w:val="0"/>
        <w:adjustRightInd w:val="0"/>
        <w:snapToGrid w:val="0"/>
        <w:spacing w:line="240" w:lineRule="auto"/>
        <w:rPr>
          <w:rFonts w:hint="eastAsia" w:ascii="Times New Roman"/>
          <w:b/>
          <w:snapToGrid w:val="0"/>
          <w:color w:val="auto"/>
          <w:highlight w:val="none"/>
        </w:rPr>
      </w:pPr>
    </w:p>
    <w:p w14:paraId="096B34AD">
      <w:pPr>
        <w:pStyle w:val="76"/>
        <w:widowControl w:val="0"/>
        <w:wordWrap w:val="0"/>
        <w:adjustRightInd w:val="0"/>
        <w:snapToGrid w:val="0"/>
        <w:spacing w:line="240" w:lineRule="auto"/>
        <w:rPr>
          <w:rFonts w:hint="eastAsia" w:ascii="Times New Roman"/>
          <w:b/>
          <w:snapToGrid w:val="0"/>
          <w:color w:val="auto"/>
          <w:sz w:val="32"/>
          <w:highlight w:val="none"/>
        </w:rPr>
      </w:pPr>
    </w:p>
    <w:p w14:paraId="2A66EAC1">
      <w:pPr>
        <w:pStyle w:val="76"/>
        <w:widowControl w:val="0"/>
        <w:wordWrap w:val="0"/>
        <w:adjustRightInd w:val="0"/>
        <w:snapToGrid w:val="0"/>
        <w:spacing w:line="240" w:lineRule="auto"/>
        <w:rPr>
          <w:rFonts w:hint="eastAsia" w:ascii="Times New Roman"/>
          <w:b/>
          <w:snapToGrid w:val="0"/>
          <w:color w:val="auto"/>
          <w:sz w:val="32"/>
          <w:highlight w:val="none"/>
        </w:rPr>
      </w:pPr>
    </w:p>
    <w:p w14:paraId="5E9FAA78">
      <w:pPr>
        <w:pStyle w:val="76"/>
        <w:widowControl w:val="0"/>
        <w:wordWrap w:val="0"/>
        <w:adjustRightInd w:val="0"/>
        <w:snapToGrid w:val="0"/>
        <w:spacing w:line="240" w:lineRule="auto"/>
        <w:rPr>
          <w:rFonts w:hint="eastAsia" w:ascii="Times New Roman"/>
          <w:b/>
          <w:snapToGrid w:val="0"/>
          <w:color w:val="auto"/>
          <w:sz w:val="32"/>
          <w:highlight w:val="none"/>
        </w:rPr>
      </w:pPr>
    </w:p>
    <w:p w14:paraId="4FF8B21D">
      <w:pPr>
        <w:pStyle w:val="76"/>
        <w:widowControl w:val="0"/>
        <w:wordWrap w:val="0"/>
        <w:adjustRightInd w:val="0"/>
        <w:snapToGrid w:val="0"/>
        <w:spacing w:line="240" w:lineRule="auto"/>
        <w:rPr>
          <w:rFonts w:hint="eastAsia" w:ascii="Times New Roman"/>
          <w:b/>
          <w:snapToGrid w:val="0"/>
          <w:color w:val="auto"/>
          <w:sz w:val="32"/>
          <w:highlight w:val="none"/>
        </w:rPr>
      </w:pPr>
    </w:p>
    <w:p w14:paraId="30EA4733">
      <w:pPr>
        <w:pStyle w:val="76"/>
        <w:widowControl w:val="0"/>
        <w:wordWrap w:val="0"/>
        <w:adjustRightInd w:val="0"/>
        <w:snapToGrid w:val="0"/>
        <w:spacing w:line="240" w:lineRule="auto"/>
        <w:rPr>
          <w:rFonts w:hint="eastAsia" w:ascii="Times New Roman"/>
          <w:b/>
          <w:snapToGrid w:val="0"/>
          <w:color w:val="auto"/>
          <w:sz w:val="32"/>
          <w:highlight w:val="none"/>
        </w:rPr>
      </w:pPr>
    </w:p>
    <w:p w14:paraId="1BF4DBE7">
      <w:pPr>
        <w:pStyle w:val="76"/>
        <w:widowControl w:val="0"/>
        <w:wordWrap w:val="0"/>
        <w:adjustRightInd w:val="0"/>
        <w:snapToGrid w:val="0"/>
        <w:spacing w:line="240" w:lineRule="auto"/>
        <w:rPr>
          <w:rFonts w:hint="eastAsia" w:ascii="Times New Roman"/>
          <w:b/>
          <w:snapToGrid w:val="0"/>
          <w:color w:val="auto"/>
          <w:sz w:val="32"/>
          <w:highlight w:val="none"/>
        </w:rPr>
      </w:pPr>
    </w:p>
    <w:p w14:paraId="74E04BC4">
      <w:pPr>
        <w:pStyle w:val="76"/>
        <w:widowControl w:val="0"/>
        <w:wordWrap w:val="0"/>
        <w:adjustRightInd w:val="0"/>
        <w:snapToGrid w:val="0"/>
        <w:spacing w:line="240" w:lineRule="auto"/>
        <w:rPr>
          <w:rFonts w:hint="eastAsia" w:ascii="Times New Roman"/>
          <w:b/>
          <w:snapToGrid w:val="0"/>
          <w:color w:val="auto"/>
          <w:sz w:val="32"/>
          <w:highlight w:val="none"/>
        </w:rPr>
      </w:pPr>
    </w:p>
    <w:p w14:paraId="77E125D0">
      <w:pPr>
        <w:pStyle w:val="76"/>
        <w:widowControl w:val="0"/>
        <w:wordWrap w:val="0"/>
        <w:adjustRightInd w:val="0"/>
        <w:snapToGrid w:val="0"/>
        <w:spacing w:line="240" w:lineRule="auto"/>
        <w:rPr>
          <w:rFonts w:hint="eastAsia" w:ascii="Times New Roman"/>
          <w:b/>
          <w:snapToGrid w:val="0"/>
          <w:color w:val="auto"/>
          <w:sz w:val="32"/>
          <w:highlight w:val="none"/>
        </w:rPr>
      </w:pPr>
    </w:p>
    <w:p w14:paraId="1CD4C693">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45BCA947">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507CB680">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70B504C9">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EA51189">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5212FC02">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18414D13">
      <w:pPr>
        <w:pStyle w:val="76"/>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2F9A1A85">
      <w:pPr>
        <w:pStyle w:val="76"/>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56D304BD">
      <w:pPr>
        <w:pStyle w:val="76"/>
        <w:widowControl w:val="0"/>
        <w:wordWrap w:val="0"/>
        <w:adjustRightInd w:val="0"/>
        <w:snapToGrid w:val="0"/>
        <w:rPr>
          <w:rFonts w:hint="eastAsia" w:ascii="Times New Roman"/>
          <w:b/>
          <w:snapToGrid w:val="0"/>
          <w:color w:val="auto"/>
          <w:highlight w:val="none"/>
        </w:rPr>
      </w:pPr>
    </w:p>
    <w:p w14:paraId="65CE1AE2">
      <w:pPr>
        <w:pStyle w:val="76"/>
        <w:widowControl w:val="0"/>
        <w:wordWrap w:val="0"/>
        <w:adjustRightInd w:val="0"/>
        <w:snapToGrid w:val="0"/>
        <w:rPr>
          <w:rFonts w:hint="eastAsia" w:ascii="Times New Roman"/>
          <w:b/>
          <w:snapToGrid w:val="0"/>
          <w:color w:val="auto"/>
          <w:highlight w:val="none"/>
        </w:rPr>
      </w:pPr>
    </w:p>
    <w:p w14:paraId="4D30D05C">
      <w:pPr>
        <w:pStyle w:val="76"/>
        <w:widowControl w:val="0"/>
        <w:wordWrap w:val="0"/>
        <w:adjustRightInd w:val="0"/>
        <w:snapToGrid w:val="0"/>
        <w:rPr>
          <w:rFonts w:hint="eastAsia" w:ascii="Times New Roman"/>
          <w:b/>
          <w:snapToGrid w:val="0"/>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78CD0509">
      <w:pPr>
        <w:pStyle w:val="4"/>
        <w:keepNext w:val="0"/>
        <w:keepLines w:val="0"/>
        <w:wordWrap w:val="0"/>
        <w:adjustRightInd w:val="0"/>
        <w:snapToGrid w:val="0"/>
        <w:spacing w:before="0" w:after="0" w:line="440" w:lineRule="exact"/>
        <w:jc w:val="left"/>
        <w:rPr>
          <w:rFonts w:ascii="Times New Roman"/>
          <w:b/>
          <w:snapToGrid w:val="0"/>
          <w:color w:val="auto"/>
          <w:kern w:val="0"/>
          <w:highlight w:val="none"/>
        </w:rPr>
      </w:pPr>
      <w:bookmarkStart w:id="230" w:name="_Toc28671"/>
      <w:bookmarkStart w:id="231" w:name="_Toc5322"/>
      <w:bookmarkStart w:id="232" w:name="_Toc29420"/>
      <w:bookmarkStart w:id="233" w:name="_Toc28280"/>
      <w:bookmarkStart w:id="234" w:name="_Toc106418843"/>
      <w:bookmarkStart w:id="235" w:name="_Toc104711098"/>
      <w:r>
        <w:rPr>
          <w:rFonts w:hint="eastAsia" w:ascii="Times New Roman"/>
          <w:b/>
          <w:snapToGrid w:val="0"/>
          <w:color w:val="auto"/>
          <w:kern w:val="0"/>
          <w:highlight w:val="none"/>
        </w:rPr>
        <w:t>格式</w:t>
      </w:r>
      <w:bookmarkStart w:id="236" w:name="_Hlt97526007"/>
      <w:bookmarkEnd w:id="236"/>
      <w:r>
        <w:rPr>
          <w:rFonts w:hint="eastAsia" w:ascii="Times New Roman"/>
          <w:b/>
          <w:snapToGrid w:val="0"/>
          <w:color w:val="auto"/>
          <w:kern w:val="0"/>
          <w:highlight w:val="none"/>
        </w:rPr>
        <w:t>二 投标函</w:t>
      </w:r>
      <w:bookmarkEnd w:id="230"/>
      <w:bookmarkEnd w:id="231"/>
      <w:bookmarkEnd w:id="232"/>
    </w:p>
    <w:p w14:paraId="1D18C19B">
      <w:pPr>
        <w:pStyle w:val="4"/>
        <w:keepNext w:val="0"/>
        <w:keepLines w:val="0"/>
        <w:wordWrap w:val="0"/>
        <w:adjustRightInd w:val="0"/>
        <w:snapToGrid w:val="0"/>
        <w:spacing w:before="260" w:after="260" w:line="440" w:lineRule="exact"/>
        <w:rPr>
          <w:rFonts w:hint="eastAsia" w:ascii="Times New Roman"/>
          <w:b/>
          <w:snapToGrid w:val="0"/>
          <w:color w:val="auto"/>
          <w:kern w:val="0"/>
          <w:highlight w:val="none"/>
        </w:rPr>
      </w:pPr>
      <w:bookmarkStart w:id="237" w:name="_Toc24880"/>
      <w:bookmarkStart w:id="238" w:name="_Toc6419"/>
      <w:bookmarkStart w:id="239" w:name="_Toc29416"/>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233"/>
      <w:bookmarkEnd w:id="234"/>
      <w:bookmarkEnd w:id="235"/>
      <w:bookmarkEnd w:id="237"/>
      <w:bookmarkEnd w:id="238"/>
      <w:bookmarkEnd w:id="239"/>
    </w:p>
    <w:p w14:paraId="34AA5969">
      <w:pPr>
        <w:wordWrap w:val="0"/>
        <w:adjustRightInd w:val="0"/>
        <w:snapToGrid w:val="0"/>
        <w:spacing w:line="440" w:lineRule="exact"/>
        <w:jc w:val="center"/>
        <w:rPr>
          <w:rFonts w:ascii="Times New Roman"/>
          <w:b/>
          <w:snapToGrid w:val="0"/>
          <w:color w:val="auto"/>
          <w:kern w:val="0"/>
          <w:highlight w:val="none"/>
        </w:rPr>
      </w:pPr>
    </w:p>
    <w:p w14:paraId="0FB7DAB9">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14:paraId="789AE00D">
      <w:pPr>
        <w:wordWrap w:val="0"/>
        <w:adjustRightInd w:val="0"/>
        <w:snapToGrid w:val="0"/>
        <w:spacing w:line="440" w:lineRule="exact"/>
        <w:ind w:firstLine="570"/>
        <w:rPr>
          <w:rFonts w:hint="eastAsia"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 xml:space="preserve">. </w:t>
      </w:r>
      <w:r>
        <w:rPr>
          <w:rFonts w:hint="eastAsia" w:ascii="Times New Roman"/>
          <w:snapToGrid w:val="0"/>
          <w:color w:val="auto"/>
          <w:kern w:val="0"/>
          <w:szCs w:val="22"/>
          <w:highlight w:val="none"/>
        </w:rPr>
        <w:t>我方</w:t>
      </w:r>
      <w:r>
        <w:rPr>
          <w:rFonts w:hint="eastAsia" w:ascii="Times New Roman"/>
          <w:snapToGrid w:val="0"/>
          <w:color w:val="auto"/>
          <w:kern w:val="0"/>
          <w:highlight w:val="none"/>
        </w:rPr>
        <w:t>考察现场并充分研究</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（项目名称）（以下简称“本项目”）施工招标文件</w:t>
      </w:r>
      <w:r>
        <w:rPr>
          <w:rFonts w:hint="eastAsia" w:ascii="Times New Roman"/>
          <w:snapToGrid w:val="0"/>
          <w:color w:val="auto"/>
          <w:kern w:val="0"/>
          <w:szCs w:val="22"/>
          <w:highlight w:val="none"/>
        </w:rPr>
        <w:t>所有内容后</w:t>
      </w:r>
      <w:r>
        <w:rPr>
          <w:rFonts w:hint="eastAsia" w:ascii="Times New Roman"/>
          <w:snapToGrid w:val="0"/>
          <w:color w:val="auto"/>
          <w:kern w:val="0"/>
          <w:highlight w:val="none"/>
        </w:rPr>
        <w:t>，结合自身资质、能力和特点，愿意接受招标文件的全部内容和条件，兹以人民币（大写）：</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Arial" w:hAnsi="Arial" w:cs="Arial"/>
          <w:snapToGrid w:val="0"/>
          <w:color w:val="auto"/>
          <w:kern w:val="0"/>
          <w:highlight w:val="none"/>
        </w:rPr>
        <w:t>¥</w:t>
      </w:r>
      <w:r>
        <w:rPr>
          <w:rFonts w:hint="eastAsia" w:ascii="Times New Roman"/>
          <w:snapToGrid w:val="0"/>
          <w:color w:val="auto"/>
          <w:kern w:val="0"/>
          <w:highlight w:val="none"/>
          <w:u w:val="single"/>
        </w:rPr>
        <w:t xml:space="preserve">      </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Times New Roman"/>
          <w:snapToGrid w:val="0"/>
          <w:color w:val="auto"/>
          <w:kern w:val="0"/>
          <w:szCs w:val="22"/>
          <w:highlight w:val="none"/>
        </w:rPr>
        <w:t>的投标总价</w:t>
      </w:r>
      <w:r>
        <w:rPr>
          <w:rFonts w:hint="eastAsia" w:ascii="Times New Roman"/>
          <w:snapToGrid w:val="0"/>
          <w:color w:val="auto"/>
          <w:kern w:val="0"/>
          <w:highlight w:val="none"/>
        </w:rPr>
        <w:t>竞投本项目施工。</w:t>
      </w:r>
    </w:p>
    <w:p w14:paraId="25D2C96A">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在我方的上述投标总价中，包括：绿色施工安全防护措施费¥</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，暂列金额¥</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，暂估价¥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14:paraId="62F33A6D">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2. 如果我方中标，我方保证按照合同约定的开工日期开始本项目的施工，</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个日历天内竣工，并确保工程质量达到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标准和维修其中的任何缺陷。</w:t>
      </w:r>
    </w:p>
    <w:p w14:paraId="2C1F8F5E">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2E0DF27">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4．我方在此声明，我方不存在本项目招标文件第一章第三节第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条“禁止投标条款”所列出的任何一种情形，并愿意承担因我方就此弄虚作假所引起的一切法律后果。</w:t>
      </w:r>
    </w:p>
    <w:p w14:paraId="5E4110B8">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7D8DE9D1">
      <w:pPr>
        <w:wordWrap w:val="0"/>
        <w:adjustRightInd w:val="0"/>
        <w:snapToGrid w:val="0"/>
        <w:spacing w:line="440" w:lineRule="exact"/>
        <w:ind w:firstLine="570"/>
        <w:rPr>
          <w:rFonts w:hint="eastAsia" w:ascii="Times New Roman"/>
          <w:snapToGrid w:val="0"/>
          <w:color w:val="auto"/>
          <w:kern w:val="0"/>
          <w:highlight w:val="none"/>
        </w:rPr>
      </w:pPr>
      <w:bookmarkStart w:id="240" w:name="_Hlt68771070"/>
      <w:bookmarkEnd w:id="240"/>
      <w:r>
        <w:rPr>
          <w:rFonts w:hint="eastAsia" w:ascii="Times New Roman"/>
          <w:snapToGrid w:val="0"/>
          <w:color w:val="auto"/>
          <w:kern w:val="0"/>
          <w:highlight w:val="none"/>
        </w:rPr>
        <w:t>6. 我方理解你方不一定要接纳收到的最低投标总价或任何投标总价的投标人中标，也不要求你方解释我方是否中标的原因。</w:t>
      </w:r>
    </w:p>
    <w:p w14:paraId="7FBF931A">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 xml:space="preserve">  </w:t>
      </w:r>
    </w:p>
    <w:p w14:paraId="3CAB0315">
      <w:pPr>
        <w:wordWrap w:val="0"/>
        <w:adjustRightInd w:val="0"/>
        <w:snapToGrid w:val="0"/>
        <w:spacing w:line="440" w:lineRule="exact"/>
        <w:rPr>
          <w:rFonts w:hint="eastAsia" w:ascii="Times New Roman"/>
          <w:snapToGrid w:val="0"/>
          <w:color w:val="auto"/>
          <w:kern w:val="0"/>
          <w:highlight w:val="none"/>
        </w:rPr>
      </w:pPr>
    </w:p>
    <w:p w14:paraId="570953DA">
      <w:pPr>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14:paraId="1B4DC603">
      <w:pPr>
        <w:wordWrap w:val="0"/>
        <w:adjustRightInd w:val="0"/>
        <w:snapToGrid w:val="0"/>
        <w:spacing w:line="440" w:lineRule="exact"/>
        <w:jc w:val="right"/>
        <w:rPr>
          <w:rFonts w:hint="eastAsia" w:ascii="Times New Roman"/>
          <w:snapToGrid w:val="0"/>
          <w:color w:val="auto"/>
          <w:kern w:val="0"/>
          <w:highlight w:val="none"/>
        </w:rPr>
      </w:pPr>
    </w:p>
    <w:p w14:paraId="57D033DA">
      <w:pPr>
        <w:wordWrap w:val="0"/>
        <w:adjustRightInd w:val="0"/>
        <w:snapToGrid w:val="0"/>
        <w:spacing w:line="440" w:lineRule="exact"/>
        <w:jc w:val="right"/>
        <w:rPr>
          <w:rFonts w:hint="eastAsia" w:ascii="Times New Roman"/>
          <w:snapToGrid w:val="0"/>
          <w:color w:val="auto"/>
          <w:kern w:val="0"/>
          <w:highlight w:val="none"/>
        </w:rPr>
      </w:pPr>
    </w:p>
    <w:p w14:paraId="336C6B58">
      <w:pPr>
        <w:wordWrap w:val="0"/>
        <w:adjustRightInd w:val="0"/>
        <w:snapToGrid w:val="0"/>
        <w:spacing w:line="440" w:lineRule="exact"/>
        <w:ind w:firstLine="480" w:firstLineChars="200"/>
        <w:jc w:val="right"/>
        <w:rPr>
          <w:rFonts w:hint="eastAsia"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14:paraId="4E980868">
      <w:pPr>
        <w:wordWrap w:val="0"/>
        <w:adjustRightInd w:val="0"/>
        <w:snapToGrid w:val="0"/>
        <w:spacing w:line="440" w:lineRule="exact"/>
        <w:ind w:firstLine="480" w:firstLineChars="200"/>
        <w:jc w:val="right"/>
        <w:rPr>
          <w:rFonts w:hint="eastAsia" w:ascii="Times New Roman"/>
          <w:snapToGrid w:val="0"/>
          <w:color w:val="auto"/>
          <w:kern w:val="0"/>
          <w:highlight w:val="none"/>
        </w:rPr>
      </w:pPr>
    </w:p>
    <w:p w14:paraId="1C747D03">
      <w:pPr>
        <w:wordWrap w:val="0"/>
        <w:adjustRightInd w:val="0"/>
        <w:snapToGrid w:val="0"/>
        <w:spacing w:line="440" w:lineRule="exact"/>
        <w:jc w:val="left"/>
        <w:rPr>
          <w:rFonts w:hint="eastAsia" w:ascii="Times New Roman"/>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171F6443">
      <w:pPr>
        <w:pStyle w:val="76"/>
        <w:widowControl w:val="0"/>
        <w:wordWrap w:val="0"/>
        <w:adjustRightInd w:val="0"/>
        <w:snapToGrid w:val="0"/>
        <w:spacing w:line="400" w:lineRule="exact"/>
        <w:ind w:firstLine="0"/>
        <w:rPr>
          <w:rFonts w:ascii="Times New Roman"/>
          <w:b/>
          <w:snapToGrid w:val="0"/>
          <w:color w:val="auto"/>
          <w:sz w:val="24"/>
          <w:highlight w:val="none"/>
        </w:rPr>
      </w:pPr>
      <w:r>
        <w:rPr>
          <w:rFonts w:hint="eastAsia" w:ascii="Times New Roman"/>
          <w:b/>
          <w:snapToGrid w:val="0"/>
          <w:color w:val="auto"/>
          <w:sz w:val="24"/>
          <w:highlight w:val="none"/>
        </w:rPr>
        <w:t>格式三 各项承诺一览表</w:t>
      </w:r>
    </w:p>
    <w:p w14:paraId="64FF008E">
      <w:pPr>
        <w:pStyle w:val="80"/>
        <w:keepNext w:val="0"/>
        <w:keepLines w:val="0"/>
        <w:widowControl w:val="0"/>
        <w:wordWrap w:val="0"/>
        <w:adjustRightInd w:val="0"/>
        <w:snapToGrid w:val="0"/>
        <w:spacing w:before="260" w:after="260" w:line="440" w:lineRule="exact"/>
        <w:ind w:firstLine="0"/>
        <w:rPr>
          <w:rFonts w:hint="eastAsia" w:ascii="Times New Roman"/>
          <w:b/>
          <w:snapToGrid w:val="0"/>
          <w:color w:val="auto"/>
          <w:highlight w:val="none"/>
        </w:rPr>
      </w:pPr>
      <w:bookmarkStart w:id="241" w:name="_Toc28219"/>
      <w:bookmarkStart w:id="242" w:name="_Toc23423"/>
      <w:bookmarkStart w:id="243" w:name="_Toc10124"/>
      <w:r>
        <w:rPr>
          <w:rFonts w:hint="eastAsia" w:ascii="Times New Roman"/>
          <w:b/>
          <w:snapToGrid w:val="0"/>
          <w:color w:val="auto"/>
          <w:sz w:val="30"/>
          <w:highlight w:val="none"/>
        </w:rPr>
        <w:t>各项承诺一览表</w:t>
      </w:r>
      <w:bookmarkEnd w:id="241"/>
      <w:bookmarkEnd w:id="242"/>
      <w:bookmarkEnd w:id="243"/>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09AD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4AA1EAD3">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3E23BB52">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14:paraId="08713787">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14:paraId="38FEE6DB">
            <w:pPr>
              <w:pStyle w:val="64"/>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632C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49C2918E">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5D4A2738">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5AEC7667">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6AE3FBD5">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63796DA6">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252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13F43762">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73063DFD">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49273B88">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09C6BCB4">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085876D6">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0A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58DBC9FB">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525F3C7A">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4B2219D7">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0FE241F5">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3C591038">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061F729">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8E8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4FC4FB92">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22133D30">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2889431F">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54F6A28E">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151E854A">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109C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5CD524C">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5132CA20">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3676EC66">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1FA14727">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095C9932">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0B6B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422F3931">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7F16750B">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400C1DF6">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437ADB0C">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14:paraId="48102C69">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noWrap w:val="0"/>
            <w:vAlign w:val="center"/>
          </w:tcPr>
          <w:p w14:paraId="5703D94C">
            <w:pPr>
              <w:pStyle w:val="107"/>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14:paraId="317F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F668E8F">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7620485B">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30667C43">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4C7687AD">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57D69C8A">
            <w:pPr>
              <w:pStyle w:val="107"/>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75DCE9F5">
            <w:pPr>
              <w:pStyle w:val="107"/>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2206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0338DDE1">
            <w:pPr>
              <w:pStyle w:val="64"/>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7BF84F17">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0C1A1E96">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43886D5F">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4202281">
            <w:pPr>
              <w:pStyle w:val="107"/>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52D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73767011">
            <w:pPr>
              <w:pStyle w:val="64"/>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5AAF196E">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72F1DC9D">
            <w:pPr>
              <w:pStyle w:val="107"/>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5FD2598D">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34B53403">
            <w:pPr>
              <w:pStyle w:val="107"/>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09BFB44">
      <w:pPr>
        <w:pStyle w:val="64"/>
        <w:wordWrap w:val="0"/>
        <w:adjustRightInd w:val="0"/>
        <w:snapToGrid w:val="0"/>
        <w:spacing w:line="420" w:lineRule="exact"/>
        <w:jc w:val="left"/>
        <w:rPr>
          <w:rFonts w:hint="eastAsia" w:ascii="Times New Roman"/>
          <w:snapToGrid w:val="0"/>
          <w:color w:val="auto"/>
          <w:kern w:val="0"/>
          <w:highlight w:val="none"/>
        </w:rPr>
      </w:pPr>
    </w:p>
    <w:p w14:paraId="61659E43">
      <w:pPr>
        <w:pStyle w:val="19"/>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（盖单位章）</w:t>
      </w:r>
    </w:p>
    <w:p w14:paraId="1BFF8D89">
      <w:pPr>
        <w:pStyle w:val="19"/>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14:paraId="470AB0A9">
      <w:pPr>
        <w:pStyle w:val="19"/>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14:paraId="28C48671">
      <w:pPr>
        <w:pStyle w:val="19"/>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法定代表人或其委托代理人：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（签字或盖章）</w:t>
      </w:r>
    </w:p>
    <w:p w14:paraId="173A7853">
      <w:pPr>
        <w:pStyle w:val="19"/>
        <w:wordWrap w:val="0"/>
        <w:adjustRightInd w:val="0"/>
        <w:snapToGrid w:val="0"/>
        <w:spacing w:line="420" w:lineRule="exact"/>
        <w:ind w:firstLine="480" w:firstLineChars="200"/>
        <w:rPr>
          <w:rFonts w:hint="eastAsia" w:ascii="Times New Roman"/>
          <w:snapToGrid w:val="0"/>
          <w:color w:val="auto"/>
          <w:kern w:val="0"/>
          <w:szCs w:val="24"/>
          <w:highlight w:val="none"/>
        </w:rPr>
      </w:pPr>
    </w:p>
    <w:p w14:paraId="6C125300">
      <w:pPr>
        <w:pStyle w:val="19"/>
        <w:wordWrap w:val="0"/>
        <w:adjustRightInd w:val="0"/>
        <w:snapToGrid w:val="0"/>
        <w:spacing w:line="420" w:lineRule="exact"/>
        <w:ind w:firstLine="480" w:firstLineChars="200"/>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日</w:t>
      </w:r>
    </w:p>
    <w:p w14:paraId="36CC62CC">
      <w:pPr>
        <w:wordWrap w:val="0"/>
        <w:adjustRightInd w:val="0"/>
        <w:snapToGrid w:val="0"/>
        <w:spacing w:line="420" w:lineRule="exact"/>
        <w:jc w:val="left"/>
        <w:outlineLvl w:val="2"/>
        <w:rPr>
          <w:rFonts w:hint="eastAsia" w:ascii="Times New Roman"/>
          <w:b/>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FA57D38">
      <w:pPr>
        <w:wordWrap w:val="0"/>
        <w:adjustRightInd w:val="0"/>
        <w:snapToGrid w:val="0"/>
        <w:spacing w:line="440" w:lineRule="exact"/>
        <w:outlineLvl w:val="2"/>
        <w:rPr>
          <w:rFonts w:hint="eastAsia" w:ascii="Times New Roman"/>
          <w:b/>
          <w:bCs/>
          <w:snapToGrid w:val="0"/>
          <w:color w:val="auto"/>
          <w:kern w:val="0"/>
          <w:szCs w:val="24"/>
          <w:highlight w:val="none"/>
        </w:rPr>
      </w:pPr>
      <w:bookmarkStart w:id="244" w:name="_Toc10056"/>
      <w:r>
        <w:rPr>
          <w:rFonts w:hint="eastAsia" w:ascii="Times New Roman"/>
          <w:b/>
          <w:bCs/>
          <w:snapToGrid w:val="0"/>
          <w:color w:val="auto"/>
          <w:kern w:val="0"/>
          <w:szCs w:val="24"/>
          <w:highlight w:val="none"/>
        </w:rPr>
        <w:t>格式四 授权委托书</w:t>
      </w:r>
      <w:bookmarkEnd w:id="244"/>
    </w:p>
    <w:p w14:paraId="1610B833">
      <w:pPr>
        <w:wordWrap w:val="0"/>
        <w:adjustRightInd w:val="0"/>
        <w:snapToGrid w:val="0"/>
        <w:spacing w:line="440" w:lineRule="exact"/>
        <w:outlineLvl w:val="2"/>
        <w:rPr>
          <w:rFonts w:hint="eastAsia" w:ascii="Times New Roman"/>
          <w:b/>
          <w:bCs/>
          <w:snapToGrid w:val="0"/>
          <w:color w:val="auto"/>
          <w:kern w:val="0"/>
          <w:szCs w:val="24"/>
          <w:highlight w:val="none"/>
        </w:rPr>
      </w:pPr>
    </w:p>
    <w:p w14:paraId="7C2F900B">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14:paraId="0448E392">
      <w:pPr>
        <w:wordWrap w:val="0"/>
        <w:adjustRightInd w:val="0"/>
        <w:snapToGrid w:val="0"/>
        <w:spacing w:line="440" w:lineRule="exact"/>
        <w:rPr>
          <w:rFonts w:hint="eastAsia" w:ascii="Times New Roman"/>
          <w:snapToGrid w:val="0"/>
          <w:color w:val="auto"/>
          <w:kern w:val="0"/>
          <w:szCs w:val="28"/>
          <w:highlight w:val="none"/>
        </w:rPr>
      </w:pPr>
    </w:p>
    <w:p w14:paraId="14D68FF0">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本人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（投标人名称）的法定代表人，现委托</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（姓名）为我方代理人。代理人根据授权，以我方名义签署、澄清、说明、补正、递交、撤回、修改</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（项目名称）施工投标文件、签订合同和处理有关事宜，其法律后果由我方承担。</w:t>
      </w:r>
    </w:p>
    <w:p w14:paraId="0EC341CD">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委托期限：至</w:t>
      </w:r>
      <w:r>
        <w:rPr>
          <w:rFonts w:hint="eastAsia" w:ascii="Times New Roman"/>
          <w:snapToGrid w:val="0"/>
          <w:color w:val="auto"/>
          <w:kern w:val="0"/>
          <w:szCs w:val="21"/>
          <w:highlight w:val="none"/>
          <w:u w:val="single"/>
        </w:rPr>
        <w:t xml:space="preserve">     年   月   日</w:t>
      </w:r>
      <w:r>
        <w:rPr>
          <w:rFonts w:hint="eastAsia" w:ascii="Times New Roman"/>
          <w:i/>
          <w:iCs/>
          <w:snapToGrid w:val="0"/>
          <w:color w:val="auto"/>
          <w:kern w:val="0"/>
          <w:szCs w:val="21"/>
          <w:highlight w:val="none"/>
          <w:u w:val="single"/>
        </w:rPr>
        <w:t>（不得短于招标文件规定的投标有效期）</w:t>
      </w:r>
      <w:r>
        <w:rPr>
          <w:rFonts w:hint="eastAsia" w:ascii="Times New Roman"/>
          <w:snapToGrid w:val="0"/>
          <w:color w:val="auto"/>
          <w:kern w:val="0"/>
          <w:szCs w:val="21"/>
          <w:highlight w:val="none"/>
        </w:rPr>
        <w:t xml:space="preserve"> 。</w:t>
      </w:r>
    </w:p>
    <w:p w14:paraId="01A84368">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代理人无转委托权。</w:t>
      </w:r>
    </w:p>
    <w:p w14:paraId="4AEA8808">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72A0F807">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2A42FF02">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投  标  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071AFB48">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14:paraId="3A1D0056">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77F4E2FE">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796286C5">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15F32EED">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委托代理人：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2DA4E3F7">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14:paraId="1B36D7EC">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日</w:t>
      </w:r>
    </w:p>
    <w:p w14:paraId="1C720793">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3EEFDEDE">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535CC46C">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531828">
                            <w:pPr>
                              <w:jc w:val="center"/>
                              <w:rPr>
                                <w:rFonts w:hint="eastAsia"/>
                                <w:szCs w:val="21"/>
                              </w:rPr>
                            </w:pPr>
                          </w:p>
                          <w:p w14:paraId="0ACB0690">
                            <w:pPr>
                              <w:jc w:val="center"/>
                              <w:rPr>
                                <w:rFonts w:hint="eastAsia"/>
                                <w:szCs w:val="21"/>
                              </w:rPr>
                            </w:pPr>
                          </w:p>
                          <w:p w14:paraId="0ACEEA4F">
                            <w:pPr>
                              <w:jc w:val="center"/>
                              <w:rPr>
                                <w:rFonts w:hint="eastAsia"/>
                                <w:szCs w:val="21"/>
                              </w:rPr>
                            </w:pPr>
                          </w:p>
                          <w:p w14:paraId="3F5E99D1">
                            <w:pPr>
                              <w:jc w:val="center"/>
                              <w:rPr>
                                <w:szCs w:val="21"/>
                              </w:rPr>
                            </w:pPr>
                            <w:r>
                              <w:rPr>
                                <w:rFonts w:hint="eastAsia"/>
                                <w:szCs w:val="21"/>
                              </w:rPr>
                              <w:t>委托代理人身份证复印件正、反面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1D531828">
                      <w:pPr>
                        <w:jc w:val="center"/>
                        <w:rPr>
                          <w:rFonts w:hint="eastAsia"/>
                          <w:szCs w:val="21"/>
                        </w:rPr>
                      </w:pPr>
                    </w:p>
                    <w:p w14:paraId="0ACB0690">
                      <w:pPr>
                        <w:jc w:val="center"/>
                        <w:rPr>
                          <w:rFonts w:hint="eastAsia"/>
                          <w:szCs w:val="21"/>
                        </w:rPr>
                      </w:pPr>
                    </w:p>
                    <w:p w14:paraId="0ACEEA4F">
                      <w:pPr>
                        <w:jc w:val="center"/>
                        <w:rPr>
                          <w:rFonts w:hint="eastAsia"/>
                          <w:szCs w:val="21"/>
                        </w:rPr>
                      </w:pPr>
                    </w:p>
                    <w:p w14:paraId="3F5E99D1">
                      <w:pPr>
                        <w:jc w:val="center"/>
                        <w:rPr>
                          <w:szCs w:val="21"/>
                        </w:rPr>
                      </w:pPr>
                      <w:r>
                        <w:rPr>
                          <w:rFonts w:hint="eastAsia"/>
                          <w:szCs w:val="21"/>
                        </w:rPr>
                        <w:t>委托代理人身份证复印件正、反面</w:t>
                      </w:r>
                    </w:p>
                  </w:txbxContent>
                </v:textbox>
              </v:shape>
            </w:pict>
          </mc:Fallback>
        </mc:AlternateContent>
      </w:r>
    </w:p>
    <w:p w14:paraId="33648644">
      <w:pPr>
        <w:pStyle w:val="11"/>
        <w:wordWrap w:val="0"/>
        <w:adjustRightInd w:val="0"/>
        <w:snapToGrid w:val="0"/>
        <w:rPr>
          <w:rFonts w:hint="eastAsia" w:ascii="Times New Roman"/>
          <w:snapToGrid w:val="0"/>
          <w:color w:val="auto"/>
          <w:kern w:val="0"/>
          <w:szCs w:val="24"/>
          <w:highlight w:val="none"/>
        </w:rPr>
      </w:pPr>
    </w:p>
    <w:p w14:paraId="64E394A3">
      <w:pPr>
        <w:pStyle w:val="4"/>
        <w:keepNext w:val="0"/>
        <w:keepLines w:val="0"/>
        <w:wordWrap w:val="0"/>
        <w:adjustRightInd w:val="0"/>
        <w:snapToGrid w:val="0"/>
        <w:rPr>
          <w:rFonts w:hint="eastAsia" w:ascii="Times New Roman"/>
          <w:snapToGrid w:val="0"/>
          <w:color w:val="auto"/>
          <w:kern w:val="0"/>
          <w:highlight w:val="none"/>
        </w:rPr>
      </w:pPr>
    </w:p>
    <w:p w14:paraId="5712F27A">
      <w:pPr>
        <w:pStyle w:val="8"/>
        <w:widowControl w:val="0"/>
        <w:wordWrap w:val="0"/>
        <w:adjustRightInd w:val="0"/>
        <w:snapToGrid w:val="0"/>
        <w:rPr>
          <w:rFonts w:hint="eastAsia" w:ascii="Times New Roman"/>
          <w:snapToGrid w:val="0"/>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49B9D78">
      <w:pPr>
        <w:wordWrap w:val="0"/>
        <w:adjustRightInd w:val="0"/>
        <w:snapToGrid w:val="0"/>
        <w:spacing w:line="440" w:lineRule="exact"/>
        <w:outlineLvl w:val="2"/>
        <w:rPr>
          <w:rFonts w:hint="eastAsia" w:ascii="Times New Roman"/>
          <w:b/>
          <w:snapToGrid w:val="0"/>
          <w:color w:val="auto"/>
          <w:kern w:val="0"/>
          <w:highlight w:val="none"/>
        </w:rPr>
      </w:pPr>
      <w:bookmarkStart w:id="245" w:name="_Toc25736"/>
      <w:r>
        <w:rPr>
          <w:rFonts w:hint="eastAsia" w:ascii="Times New Roman"/>
          <w:b/>
          <w:snapToGrid w:val="0"/>
          <w:color w:val="auto"/>
          <w:kern w:val="0"/>
          <w:highlight w:val="none"/>
        </w:rPr>
        <w:t>格式五 法定代表人身份证明</w:t>
      </w:r>
      <w:bookmarkEnd w:id="245"/>
    </w:p>
    <w:p w14:paraId="46AD8D64">
      <w:pPr>
        <w:wordWrap w:val="0"/>
        <w:adjustRightInd w:val="0"/>
        <w:snapToGrid w:val="0"/>
        <w:spacing w:line="440" w:lineRule="exact"/>
        <w:outlineLvl w:val="2"/>
        <w:rPr>
          <w:rFonts w:hint="eastAsia" w:ascii="Times New Roman"/>
          <w:b/>
          <w:snapToGrid w:val="0"/>
          <w:color w:val="auto"/>
          <w:kern w:val="0"/>
          <w:highlight w:val="none"/>
        </w:rPr>
      </w:pPr>
    </w:p>
    <w:p w14:paraId="6E3C34E8">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2B3B58CD">
      <w:pPr>
        <w:wordWrap w:val="0"/>
        <w:adjustRightInd w:val="0"/>
        <w:snapToGrid w:val="0"/>
        <w:spacing w:line="440" w:lineRule="exact"/>
        <w:rPr>
          <w:rFonts w:hint="eastAsia" w:ascii="Times New Roman"/>
          <w:snapToGrid w:val="0"/>
          <w:color w:val="auto"/>
          <w:kern w:val="0"/>
          <w:szCs w:val="21"/>
          <w:highlight w:val="none"/>
        </w:rPr>
      </w:pPr>
    </w:p>
    <w:p w14:paraId="6C220487">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投标人名称：</w:t>
      </w:r>
      <w:r>
        <w:rPr>
          <w:rFonts w:hint="eastAsia" w:ascii="Times New Roman"/>
          <w:snapToGrid w:val="0"/>
          <w:color w:val="auto"/>
          <w:kern w:val="0"/>
          <w:szCs w:val="21"/>
          <w:highlight w:val="none"/>
          <w:u w:val="single"/>
        </w:rPr>
        <w:t xml:space="preserve">                  </w:t>
      </w:r>
    </w:p>
    <w:p w14:paraId="4798C2A2">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姓名：</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性别：</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年龄：</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职务：</w:t>
      </w:r>
      <w:r>
        <w:rPr>
          <w:rFonts w:hint="eastAsia" w:ascii="Times New Roman"/>
          <w:snapToGrid w:val="0"/>
          <w:color w:val="auto"/>
          <w:kern w:val="0"/>
          <w:szCs w:val="21"/>
          <w:highlight w:val="none"/>
          <w:u w:val="single"/>
        </w:rPr>
        <w:t xml:space="preserve">           </w:t>
      </w:r>
    </w:p>
    <w:p w14:paraId="1FBAA2AB">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w:t>
      </w:r>
    </w:p>
    <w:p w14:paraId="1E512F24">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特此证明。</w:t>
      </w:r>
    </w:p>
    <w:p w14:paraId="1B6027B6">
      <w:pPr>
        <w:wordWrap w:val="0"/>
        <w:adjustRightInd w:val="0"/>
        <w:snapToGrid w:val="0"/>
        <w:spacing w:line="440" w:lineRule="exact"/>
        <w:rPr>
          <w:rFonts w:hint="eastAsia" w:ascii="Times New Roman"/>
          <w:snapToGrid w:val="0"/>
          <w:color w:val="auto"/>
          <w:kern w:val="0"/>
          <w:szCs w:val="21"/>
          <w:highlight w:val="none"/>
        </w:rPr>
      </w:pPr>
    </w:p>
    <w:p w14:paraId="3B71AC5B">
      <w:pPr>
        <w:wordWrap w:val="0"/>
        <w:adjustRightInd w:val="0"/>
        <w:snapToGrid w:val="0"/>
        <w:spacing w:line="440" w:lineRule="exact"/>
        <w:rPr>
          <w:rFonts w:hint="eastAsia" w:ascii="Times New Roman"/>
          <w:snapToGrid w:val="0"/>
          <w:color w:val="auto"/>
          <w:kern w:val="0"/>
          <w:szCs w:val="21"/>
          <w:highlight w:val="none"/>
        </w:rPr>
      </w:pPr>
    </w:p>
    <w:p w14:paraId="1BB70D5F">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投标人：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663057BB">
      <w:pPr>
        <w:wordWrap w:val="0"/>
        <w:adjustRightInd w:val="0"/>
        <w:snapToGrid w:val="0"/>
        <w:spacing w:line="440" w:lineRule="exact"/>
        <w:jc w:val="right"/>
        <w:rPr>
          <w:rFonts w:hint="eastAsia" w:ascii="Times New Roman"/>
          <w:snapToGrid w:val="0"/>
          <w:color w:val="auto"/>
          <w:kern w:val="0"/>
          <w:szCs w:val="21"/>
          <w:highlight w:val="none"/>
        </w:rPr>
      </w:pPr>
    </w:p>
    <w:p w14:paraId="3F9CB0AF">
      <w:pPr>
        <w:wordWrap w:val="0"/>
        <w:adjustRightInd w:val="0"/>
        <w:snapToGrid w:val="0"/>
        <w:spacing w:line="440" w:lineRule="exact"/>
        <w:jc w:val="right"/>
        <w:rPr>
          <w:rFonts w:hint="eastAsia" w:ascii="Times New Roman"/>
          <w:snapToGrid w:val="0"/>
          <w:color w:val="auto"/>
          <w:kern w:val="0"/>
          <w:szCs w:val="21"/>
          <w:highlight w:val="none"/>
        </w:rPr>
      </w:pPr>
    </w:p>
    <w:p w14:paraId="08AB4624">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2BE217A1">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096BD8EF">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 xml:space="preserve">日       </w:t>
      </w:r>
    </w:p>
    <w:p w14:paraId="5D4E6724">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5E055EF9">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6FF6F84C">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3672DF47">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01B98FBA">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97AFCA">
                            <w:pPr>
                              <w:jc w:val="center"/>
                              <w:rPr>
                                <w:rFonts w:hint="eastAsia"/>
                                <w:szCs w:val="21"/>
                              </w:rPr>
                            </w:pPr>
                          </w:p>
                          <w:p w14:paraId="08B5C3D5">
                            <w:pPr>
                              <w:jc w:val="center"/>
                              <w:rPr>
                                <w:rFonts w:hint="eastAsia"/>
                                <w:szCs w:val="21"/>
                              </w:rPr>
                            </w:pPr>
                          </w:p>
                          <w:p w14:paraId="34D34BC8">
                            <w:pPr>
                              <w:jc w:val="center"/>
                              <w:rPr>
                                <w:rFonts w:hint="eastAsia"/>
                                <w:szCs w:val="21"/>
                              </w:rPr>
                            </w:pPr>
                          </w:p>
                          <w:p w14:paraId="415E0ADE">
                            <w:pPr>
                              <w:jc w:val="center"/>
                              <w:rPr>
                                <w:szCs w:val="21"/>
                              </w:rPr>
                            </w:pPr>
                            <w:r>
                              <w:rPr>
                                <w:rFonts w:hint="eastAsia"/>
                                <w:szCs w:val="21"/>
                              </w:rPr>
                              <w:t>法定代表人身份证复印件正、反面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2897AFCA">
                      <w:pPr>
                        <w:jc w:val="center"/>
                        <w:rPr>
                          <w:rFonts w:hint="eastAsia"/>
                          <w:szCs w:val="21"/>
                        </w:rPr>
                      </w:pPr>
                    </w:p>
                    <w:p w14:paraId="08B5C3D5">
                      <w:pPr>
                        <w:jc w:val="center"/>
                        <w:rPr>
                          <w:rFonts w:hint="eastAsia"/>
                          <w:szCs w:val="21"/>
                        </w:rPr>
                      </w:pPr>
                    </w:p>
                    <w:p w14:paraId="34D34BC8">
                      <w:pPr>
                        <w:jc w:val="center"/>
                        <w:rPr>
                          <w:rFonts w:hint="eastAsia"/>
                          <w:szCs w:val="21"/>
                        </w:rPr>
                      </w:pPr>
                    </w:p>
                    <w:p w14:paraId="415E0ADE">
                      <w:pPr>
                        <w:jc w:val="center"/>
                        <w:rPr>
                          <w:szCs w:val="21"/>
                        </w:rPr>
                      </w:pPr>
                      <w:r>
                        <w:rPr>
                          <w:rFonts w:hint="eastAsia"/>
                          <w:szCs w:val="21"/>
                        </w:rPr>
                        <w:t>法定代表人身份证复印件正、反面</w:t>
                      </w:r>
                    </w:p>
                  </w:txbxContent>
                </v:textbox>
              </v:shape>
            </w:pict>
          </mc:Fallback>
        </mc:AlternateContent>
      </w:r>
    </w:p>
    <w:p w14:paraId="67A92186">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14:paraId="75DE0606">
      <w:pPr>
        <w:wordWrap w:val="0"/>
        <w:adjustRightInd w:val="0"/>
        <w:snapToGrid w:val="0"/>
        <w:spacing w:line="480" w:lineRule="exact"/>
        <w:jc w:val="center"/>
        <w:rPr>
          <w:rFonts w:hint="eastAsia" w:ascii="Times New Roman"/>
          <w:b/>
          <w:snapToGrid w:val="0"/>
          <w:color w:val="auto"/>
          <w:kern w:val="0"/>
          <w:sz w:val="28"/>
          <w:szCs w:val="28"/>
          <w:highlight w:val="none"/>
        </w:rPr>
      </w:pPr>
    </w:p>
    <w:p w14:paraId="77F7DC9A">
      <w:pPr>
        <w:wordWrap w:val="0"/>
        <w:adjustRightInd w:val="0"/>
        <w:snapToGrid w:val="0"/>
        <w:spacing w:line="480" w:lineRule="exact"/>
        <w:jc w:val="center"/>
        <w:rPr>
          <w:rFonts w:hint="eastAsia" w:ascii="Times New Roman"/>
          <w:b/>
          <w:snapToGrid w:val="0"/>
          <w:color w:val="auto"/>
          <w:kern w:val="0"/>
          <w:sz w:val="28"/>
          <w:szCs w:val="28"/>
          <w:highlight w:val="none"/>
        </w:rPr>
      </w:pPr>
    </w:p>
    <w:p w14:paraId="674B3157">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7F05BE0">
      <w:pPr>
        <w:pStyle w:val="76"/>
        <w:widowControl w:val="0"/>
        <w:wordWrap w:val="0"/>
        <w:adjustRightInd w:val="0"/>
        <w:snapToGrid w:val="0"/>
        <w:spacing w:line="440" w:lineRule="exact"/>
        <w:ind w:firstLine="0"/>
        <w:rPr>
          <w:rFonts w:hint="eastAsia" w:ascii="Times New Roman"/>
          <w:b/>
          <w:bCs/>
          <w:snapToGrid w:val="0"/>
          <w:color w:val="auto"/>
          <w:sz w:val="24"/>
          <w:szCs w:val="24"/>
          <w:highlight w:val="none"/>
        </w:rPr>
      </w:pPr>
      <w:r>
        <w:rPr>
          <w:rFonts w:hint="eastAsia" w:ascii="Times New Roman"/>
          <w:b/>
          <w:bCs/>
          <w:snapToGrid w:val="0"/>
          <w:color w:val="auto"/>
          <w:sz w:val="24"/>
          <w:szCs w:val="24"/>
          <w:highlight w:val="none"/>
        </w:rPr>
        <w:t>格式六 联合体协议书</w:t>
      </w:r>
    </w:p>
    <w:p w14:paraId="3D1907A8">
      <w:pPr>
        <w:pStyle w:val="76"/>
        <w:widowControl w:val="0"/>
        <w:wordWrap w:val="0"/>
        <w:adjustRightInd w:val="0"/>
        <w:snapToGrid w:val="0"/>
        <w:spacing w:line="440" w:lineRule="exact"/>
        <w:ind w:firstLine="0"/>
        <w:rPr>
          <w:rFonts w:ascii="Times New Roman"/>
          <w:b/>
          <w:bCs/>
          <w:snapToGrid w:val="0"/>
          <w:color w:val="auto"/>
          <w:sz w:val="24"/>
          <w:szCs w:val="24"/>
          <w:highlight w:val="none"/>
        </w:rPr>
      </w:pPr>
    </w:p>
    <w:p w14:paraId="0C18E457">
      <w:pPr>
        <w:pStyle w:val="76"/>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1B2BE562">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2244B4C2">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14:paraId="3BB14F19">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50D99D88">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00707083">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6E5FF475">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14:paraId="14B320A1">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48AB07B9">
      <w:pPr>
        <w:pStyle w:val="76"/>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5E2874B1">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w:t>
      </w:r>
    </w:p>
    <w:p w14:paraId="020921E3">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（项目名称）（以下简称“本项目”）的施工投标并争取赢得本项目施工承包合同（以下简称合同）。现就联合体投标事宜订立如下协议：</w:t>
      </w:r>
    </w:p>
    <w:p w14:paraId="26743D8F">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14:paraId="462A9879">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7808311">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379D73C3">
      <w:pPr>
        <w:pStyle w:val="76"/>
        <w:widowControl w:val="0"/>
        <w:wordWrap w:val="0"/>
        <w:adjustRightInd w:val="0"/>
        <w:snapToGrid w:val="0"/>
        <w:spacing w:line="440" w:lineRule="exact"/>
        <w:ind w:firstLine="480"/>
        <w:rPr>
          <w:rFonts w:hint="eastAsia" w:ascii="Times New Roman"/>
          <w:snapToGrid w:val="0"/>
          <w:color w:val="auto"/>
          <w:sz w:val="24"/>
          <w:szCs w:val="24"/>
          <w:highlight w:val="none"/>
        </w:rPr>
      </w:pPr>
      <w:r>
        <w:rPr>
          <w:rFonts w:hint="eastAsia" w:ascii="Times New Roman"/>
          <w:snapToGrid w:val="0"/>
          <w:color w:val="auto"/>
          <w:sz w:val="24"/>
          <w:szCs w:val="24"/>
          <w:highlight w:val="none"/>
        </w:rPr>
        <w:t>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14:paraId="38356946">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14:paraId="34515E12">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14:paraId="1392600D">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14:paraId="0A1E3417">
      <w:pPr>
        <w:pStyle w:val="76"/>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14:paraId="2E11A7DD">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21F394CD">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4E3F3226">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4DF881BD">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555DDA80">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7773FA22">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1E61A98D">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4C0BD315">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27C04614">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665D8E87">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0C75A39B">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1CC4E2CC">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3B59E784">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0B3E99B3">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p>
    <w:p w14:paraId="11E603E6">
      <w:pPr>
        <w:pStyle w:val="76"/>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713529D1">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633338A6">
      <w:pPr>
        <w:pStyle w:val="76"/>
        <w:widowControl w:val="0"/>
        <w:wordWrap w:val="0"/>
        <w:adjustRightInd w:val="0"/>
        <w:snapToGrid w:val="0"/>
        <w:spacing w:line="440" w:lineRule="exact"/>
        <w:rPr>
          <w:rFonts w:hint="eastAsia" w:ascii="Times New Roman"/>
          <w:snapToGrid w:val="0"/>
          <w:color w:val="auto"/>
          <w:sz w:val="24"/>
          <w:szCs w:val="24"/>
          <w:highlight w:val="none"/>
        </w:rPr>
      </w:pPr>
    </w:p>
    <w:p w14:paraId="04C06064">
      <w:pPr>
        <w:pStyle w:val="76"/>
        <w:widowControl w:val="0"/>
        <w:wordWrap w:val="0"/>
        <w:adjustRightInd w:val="0"/>
        <w:snapToGrid w:val="0"/>
        <w:spacing w:line="440" w:lineRule="exact"/>
        <w:jc w:val="center"/>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14:paraId="7DD02E2A">
      <w:pPr>
        <w:pStyle w:val="76"/>
        <w:widowControl w:val="0"/>
        <w:wordWrap w:val="0"/>
        <w:adjustRightInd w:val="0"/>
        <w:snapToGrid w:val="0"/>
        <w:spacing w:line="440" w:lineRule="exact"/>
        <w:jc w:val="center"/>
        <w:rPr>
          <w:rFonts w:hint="eastAsia" w:ascii="Times New Roman"/>
          <w:snapToGrid w:val="0"/>
          <w:color w:val="auto"/>
          <w:sz w:val="24"/>
          <w:szCs w:val="24"/>
          <w:highlight w:val="none"/>
        </w:rPr>
      </w:pPr>
    </w:p>
    <w:p w14:paraId="131B4091">
      <w:pPr>
        <w:pStyle w:val="76"/>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77E9A84D">
      <w:pPr>
        <w:pStyle w:val="76"/>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5BD637B2">
      <w:pPr>
        <w:wordWrap w:val="0"/>
        <w:adjustRightInd w:val="0"/>
        <w:snapToGrid w:val="0"/>
        <w:spacing w:line="440" w:lineRule="exact"/>
        <w:outlineLvl w:val="2"/>
        <w:rPr>
          <w:rFonts w:hint="eastAsia" w:ascii="Times New Roman"/>
          <w:b/>
          <w:bCs/>
          <w:snapToGrid w:val="0"/>
          <w:color w:val="auto"/>
          <w:kern w:val="0"/>
          <w:szCs w:val="24"/>
          <w:highlight w:val="none"/>
        </w:rPr>
      </w:pPr>
      <w:bookmarkStart w:id="246" w:name="_Toc6336"/>
      <w:r>
        <w:rPr>
          <w:rFonts w:hint="eastAsia" w:ascii="Times New Roman"/>
          <w:b/>
          <w:bCs/>
          <w:snapToGrid w:val="0"/>
          <w:color w:val="auto"/>
          <w:kern w:val="0"/>
          <w:szCs w:val="24"/>
          <w:highlight w:val="none"/>
        </w:rPr>
        <w:t>格式七 投标人基本情况表</w:t>
      </w:r>
      <w:bookmarkEnd w:id="246"/>
    </w:p>
    <w:p w14:paraId="461DFD3F">
      <w:pPr>
        <w:pStyle w:val="76"/>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E3E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C27CB89">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noWrap w:val="0"/>
            <w:vAlign w:val="center"/>
          </w:tcPr>
          <w:p w14:paraId="3883C789">
            <w:pPr>
              <w:pStyle w:val="125"/>
              <w:wordWrap w:val="0"/>
              <w:adjustRightInd w:val="0"/>
              <w:snapToGrid w:val="0"/>
              <w:jc w:val="center"/>
              <w:rPr>
                <w:snapToGrid w:val="0"/>
                <w:color w:val="auto"/>
                <w:kern w:val="0"/>
                <w:szCs w:val="21"/>
                <w:highlight w:val="none"/>
              </w:rPr>
            </w:pPr>
          </w:p>
        </w:tc>
      </w:tr>
      <w:tr w14:paraId="7A6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0C900A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noWrap w:val="0"/>
            <w:vAlign w:val="center"/>
          </w:tcPr>
          <w:p w14:paraId="25666699">
            <w:pPr>
              <w:pStyle w:val="125"/>
              <w:wordWrap w:val="0"/>
              <w:adjustRightInd w:val="0"/>
              <w:snapToGrid w:val="0"/>
              <w:jc w:val="center"/>
              <w:rPr>
                <w:snapToGrid w:val="0"/>
                <w:color w:val="auto"/>
                <w:kern w:val="0"/>
                <w:szCs w:val="21"/>
                <w:highlight w:val="none"/>
              </w:rPr>
            </w:pPr>
          </w:p>
        </w:tc>
        <w:tc>
          <w:tcPr>
            <w:tcW w:w="1246" w:type="dxa"/>
            <w:gridSpan w:val="2"/>
            <w:noWrap w:val="0"/>
            <w:vAlign w:val="center"/>
          </w:tcPr>
          <w:p w14:paraId="6E237BD6">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noWrap w:val="0"/>
            <w:vAlign w:val="center"/>
          </w:tcPr>
          <w:p w14:paraId="3EA7914F">
            <w:pPr>
              <w:pStyle w:val="125"/>
              <w:wordWrap w:val="0"/>
              <w:adjustRightInd w:val="0"/>
              <w:snapToGrid w:val="0"/>
              <w:jc w:val="center"/>
              <w:rPr>
                <w:snapToGrid w:val="0"/>
                <w:color w:val="auto"/>
                <w:kern w:val="0"/>
                <w:szCs w:val="21"/>
                <w:highlight w:val="none"/>
              </w:rPr>
            </w:pPr>
          </w:p>
        </w:tc>
      </w:tr>
      <w:tr w14:paraId="0FA1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73CF1F5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noWrap w:val="0"/>
            <w:vAlign w:val="center"/>
          </w:tcPr>
          <w:p w14:paraId="110817B9">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noWrap w:val="0"/>
            <w:vAlign w:val="center"/>
          </w:tcPr>
          <w:p w14:paraId="5B9405EB">
            <w:pPr>
              <w:pStyle w:val="125"/>
              <w:wordWrap w:val="0"/>
              <w:adjustRightInd w:val="0"/>
              <w:snapToGrid w:val="0"/>
              <w:jc w:val="center"/>
              <w:rPr>
                <w:snapToGrid w:val="0"/>
                <w:color w:val="auto"/>
                <w:kern w:val="0"/>
                <w:szCs w:val="21"/>
                <w:highlight w:val="none"/>
              </w:rPr>
            </w:pPr>
          </w:p>
        </w:tc>
        <w:tc>
          <w:tcPr>
            <w:tcW w:w="1246" w:type="dxa"/>
            <w:gridSpan w:val="2"/>
            <w:noWrap w:val="0"/>
            <w:vAlign w:val="center"/>
          </w:tcPr>
          <w:p w14:paraId="6AFE046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noWrap w:val="0"/>
            <w:vAlign w:val="center"/>
          </w:tcPr>
          <w:p w14:paraId="05E60214">
            <w:pPr>
              <w:pStyle w:val="125"/>
              <w:wordWrap w:val="0"/>
              <w:adjustRightInd w:val="0"/>
              <w:snapToGrid w:val="0"/>
              <w:jc w:val="center"/>
              <w:rPr>
                <w:snapToGrid w:val="0"/>
                <w:color w:val="auto"/>
                <w:kern w:val="0"/>
                <w:szCs w:val="21"/>
                <w:highlight w:val="none"/>
              </w:rPr>
            </w:pPr>
          </w:p>
        </w:tc>
      </w:tr>
      <w:tr w14:paraId="436A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7613624E">
            <w:pPr>
              <w:pStyle w:val="125"/>
              <w:wordWrap w:val="0"/>
              <w:adjustRightInd w:val="0"/>
              <w:snapToGrid w:val="0"/>
              <w:jc w:val="center"/>
              <w:rPr>
                <w:snapToGrid w:val="0"/>
                <w:color w:val="auto"/>
                <w:kern w:val="0"/>
                <w:szCs w:val="21"/>
                <w:highlight w:val="none"/>
              </w:rPr>
            </w:pPr>
          </w:p>
        </w:tc>
        <w:tc>
          <w:tcPr>
            <w:tcW w:w="897" w:type="dxa"/>
            <w:noWrap w:val="0"/>
            <w:vAlign w:val="center"/>
          </w:tcPr>
          <w:p w14:paraId="74C90E6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noWrap w:val="0"/>
            <w:vAlign w:val="center"/>
          </w:tcPr>
          <w:p w14:paraId="41D46286">
            <w:pPr>
              <w:pStyle w:val="125"/>
              <w:wordWrap w:val="0"/>
              <w:adjustRightInd w:val="0"/>
              <w:snapToGrid w:val="0"/>
              <w:jc w:val="center"/>
              <w:rPr>
                <w:snapToGrid w:val="0"/>
                <w:color w:val="auto"/>
                <w:kern w:val="0"/>
                <w:szCs w:val="21"/>
                <w:highlight w:val="none"/>
              </w:rPr>
            </w:pPr>
          </w:p>
        </w:tc>
        <w:tc>
          <w:tcPr>
            <w:tcW w:w="1246" w:type="dxa"/>
            <w:gridSpan w:val="2"/>
            <w:noWrap w:val="0"/>
            <w:vAlign w:val="center"/>
          </w:tcPr>
          <w:p w14:paraId="076FA03D">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noWrap w:val="0"/>
            <w:vAlign w:val="center"/>
          </w:tcPr>
          <w:p w14:paraId="3E1D3D62">
            <w:pPr>
              <w:pStyle w:val="125"/>
              <w:wordWrap w:val="0"/>
              <w:adjustRightInd w:val="0"/>
              <w:snapToGrid w:val="0"/>
              <w:jc w:val="center"/>
              <w:rPr>
                <w:snapToGrid w:val="0"/>
                <w:color w:val="auto"/>
                <w:kern w:val="0"/>
                <w:szCs w:val="21"/>
                <w:highlight w:val="none"/>
              </w:rPr>
            </w:pPr>
          </w:p>
        </w:tc>
      </w:tr>
      <w:tr w14:paraId="6AC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09EFFC9">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noWrap w:val="0"/>
            <w:vAlign w:val="center"/>
          </w:tcPr>
          <w:p w14:paraId="23829ADC">
            <w:pPr>
              <w:pStyle w:val="125"/>
              <w:wordWrap w:val="0"/>
              <w:adjustRightInd w:val="0"/>
              <w:snapToGrid w:val="0"/>
              <w:jc w:val="center"/>
              <w:rPr>
                <w:snapToGrid w:val="0"/>
                <w:color w:val="auto"/>
                <w:kern w:val="0"/>
                <w:szCs w:val="21"/>
                <w:highlight w:val="none"/>
              </w:rPr>
            </w:pPr>
          </w:p>
        </w:tc>
      </w:tr>
      <w:tr w14:paraId="3F3F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5DCFCFB">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noWrap w:val="0"/>
            <w:vAlign w:val="center"/>
          </w:tcPr>
          <w:p w14:paraId="24CDF346">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noWrap w:val="0"/>
            <w:vAlign w:val="center"/>
          </w:tcPr>
          <w:p w14:paraId="77463D01">
            <w:pPr>
              <w:pStyle w:val="125"/>
              <w:wordWrap w:val="0"/>
              <w:adjustRightInd w:val="0"/>
              <w:snapToGrid w:val="0"/>
              <w:jc w:val="center"/>
              <w:rPr>
                <w:snapToGrid w:val="0"/>
                <w:color w:val="auto"/>
                <w:kern w:val="0"/>
                <w:szCs w:val="21"/>
                <w:highlight w:val="none"/>
              </w:rPr>
            </w:pPr>
          </w:p>
        </w:tc>
        <w:tc>
          <w:tcPr>
            <w:tcW w:w="1089" w:type="dxa"/>
            <w:gridSpan w:val="2"/>
            <w:noWrap w:val="0"/>
            <w:vAlign w:val="center"/>
          </w:tcPr>
          <w:p w14:paraId="539B1ED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noWrap w:val="0"/>
            <w:vAlign w:val="center"/>
          </w:tcPr>
          <w:p w14:paraId="111D24B0">
            <w:pPr>
              <w:pStyle w:val="125"/>
              <w:wordWrap w:val="0"/>
              <w:adjustRightInd w:val="0"/>
              <w:snapToGrid w:val="0"/>
              <w:jc w:val="center"/>
              <w:rPr>
                <w:snapToGrid w:val="0"/>
                <w:color w:val="auto"/>
                <w:kern w:val="0"/>
                <w:szCs w:val="21"/>
                <w:highlight w:val="none"/>
              </w:rPr>
            </w:pPr>
          </w:p>
        </w:tc>
        <w:tc>
          <w:tcPr>
            <w:tcW w:w="709" w:type="dxa"/>
            <w:noWrap w:val="0"/>
            <w:vAlign w:val="center"/>
          </w:tcPr>
          <w:p w14:paraId="43148C2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noWrap w:val="0"/>
            <w:vAlign w:val="center"/>
          </w:tcPr>
          <w:p w14:paraId="428DAB7B">
            <w:pPr>
              <w:pStyle w:val="125"/>
              <w:wordWrap w:val="0"/>
              <w:adjustRightInd w:val="0"/>
              <w:snapToGrid w:val="0"/>
              <w:jc w:val="center"/>
              <w:rPr>
                <w:snapToGrid w:val="0"/>
                <w:color w:val="auto"/>
                <w:kern w:val="0"/>
                <w:szCs w:val="21"/>
                <w:highlight w:val="none"/>
              </w:rPr>
            </w:pPr>
          </w:p>
        </w:tc>
      </w:tr>
      <w:tr w14:paraId="1013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AA28427">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noWrap w:val="0"/>
            <w:vAlign w:val="center"/>
          </w:tcPr>
          <w:p w14:paraId="39425D2B">
            <w:pPr>
              <w:pStyle w:val="125"/>
              <w:wordWrap w:val="0"/>
              <w:adjustRightInd w:val="0"/>
              <w:snapToGrid w:val="0"/>
              <w:jc w:val="center"/>
              <w:rPr>
                <w:snapToGrid w:val="0"/>
                <w:color w:val="auto"/>
                <w:kern w:val="0"/>
                <w:szCs w:val="21"/>
                <w:highlight w:val="none"/>
              </w:rPr>
            </w:pPr>
          </w:p>
        </w:tc>
        <w:tc>
          <w:tcPr>
            <w:tcW w:w="4434" w:type="dxa"/>
            <w:gridSpan w:val="6"/>
            <w:noWrap w:val="0"/>
            <w:vAlign w:val="center"/>
          </w:tcPr>
          <w:p w14:paraId="2DD1F16C">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14:paraId="3662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noWrap w:val="0"/>
            <w:vAlign w:val="center"/>
          </w:tcPr>
          <w:p w14:paraId="4954E9E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14:paraId="3986F5FF">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noWrap w:val="0"/>
            <w:vAlign w:val="center"/>
          </w:tcPr>
          <w:p w14:paraId="383A68C0">
            <w:pPr>
              <w:pStyle w:val="125"/>
              <w:wordWrap w:val="0"/>
              <w:adjustRightInd w:val="0"/>
              <w:snapToGrid w:val="0"/>
              <w:jc w:val="center"/>
              <w:rPr>
                <w:snapToGrid w:val="0"/>
                <w:color w:val="auto"/>
                <w:kern w:val="0"/>
                <w:szCs w:val="21"/>
                <w:highlight w:val="none"/>
              </w:rPr>
            </w:pPr>
          </w:p>
        </w:tc>
        <w:tc>
          <w:tcPr>
            <w:tcW w:w="1089" w:type="dxa"/>
            <w:gridSpan w:val="2"/>
            <w:vMerge w:val="restart"/>
            <w:noWrap w:val="0"/>
            <w:vAlign w:val="center"/>
          </w:tcPr>
          <w:p w14:paraId="5520B04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noWrap w:val="0"/>
            <w:vAlign w:val="center"/>
          </w:tcPr>
          <w:p w14:paraId="0664C25D">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noWrap w:val="0"/>
            <w:vAlign w:val="center"/>
          </w:tcPr>
          <w:p w14:paraId="226543A0">
            <w:pPr>
              <w:pStyle w:val="125"/>
              <w:wordWrap w:val="0"/>
              <w:adjustRightInd w:val="0"/>
              <w:snapToGrid w:val="0"/>
              <w:jc w:val="center"/>
              <w:rPr>
                <w:snapToGrid w:val="0"/>
                <w:color w:val="auto"/>
                <w:kern w:val="0"/>
                <w:szCs w:val="21"/>
                <w:highlight w:val="none"/>
              </w:rPr>
            </w:pPr>
          </w:p>
        </w:tc>
      </w:tr>
      <w:tr w14:paraId="3D8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C8D8FA2">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noWrap w:val="0"/>
            <w:vAlign w:val="center"/>
          </w:tcPr>
          <w:p w14:paraId="291AE745">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4CC8594A">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00A7BA48">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noWrap w:val="0"/>
            <w:vAlign w:val="center"/>
          </w:tcPr>
          <w:p w14:paraId="5AF696E4">
            <w:pPr>
              <w:pStyle w:val="125"/>
              <w:wordWrap w:val="0"/>
              <w:adjustRightInd w:val="0"/>
              <w:snapToGrid w:val="0"/>
              <w:jc w:val="center"/>
              <w:rPr>
                <w:snapToGrid w:val="0"/>
                <w:color w:val="auto"/>
                <w:kern w:val="0"/>
                <w:szCs w:val="21"/>
                <w:highlight w:val="none"/>
              </w:rPr>
            </w:pPr>
          </w:p>
        </w:tc>
      </w:tr>
      <w:tr w14:paraId="2876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239F2B50">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noWrap w:val="0"/>
            <w:vAlign w:val="center"/>
          </w:tcPr>
          <w:p w14:paraId="6F15118A">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686BB1E7">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7E9453AB">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noWrap w:val="0"/>
            <w:vAlign w:val="center"/>
          </w:tcPr>
          <w:p w14:paraId="0F6827E2">
            <w:pPr>
              <w:pStyle w:val="125"/>
              <w:wordWrap w:val="0"/>
              <w:adjustRightInd w:val="0"/>
              <w:snapToGrid w:val="0"/>
              <w:jc w:val="center"/>
              <w:rPr>
                <w:snapToGrid w:val="0"/>
                <w:color w:val="auto"/>
                <w:kern w:val="0"/>
                <w:szCs w:val="21"/>
                <w:highlight w:val="none"/>
              </w:rPr>
            </w:pPr>
          </w:p>
        </w:tc>
      </w:tr>
      <w:tr w14:paraId="468F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noWrap w:val="0"/>
            <w:vAlign w:val="center"/>
          </w:tcPr>
          <w:p w14:paraId="48C99EA1">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090B2CFE">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noWrap w:val="0"/>
            <w:vAlign w:val="center"/>
          </w:tcPr>
          <w:p w14:paraId="757C9135">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429EED1E">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29565542">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noWrap w:val="0"/>
            <w:vAlign w:val="center"/>
          </w:tcPr>
          <w:p w14:paraId="330574F7">
            <w:pPr>
              <w:pStyle w:val="125"/>
              <w:wordWrap w:val="0"/>
              <w:adjustRightInd w:val="0"/>
              <w:snapToGrid w:val="0"/>
              <w:jc w:val="center"/>
              <w:rPr>
                <w:snapToGrid w:val="0"/>
                <w:color w:val="auto"/>
                <w:kern w:val="0"/>
                <w:szCs w:val="21"/>
                <w:highlight w:val="none"/>
              </w:rPr>
            </w:pPr>
          </w:p>
        </w:tc>
      </w:tr>
      <w:tr w14:paraId="439F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noWrap w:val="0"/>
            <w:vAlign w:val="center"/>
          </w:tcPr>
          <w:p w14:paraId="50C9FF3C">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7257ACCA">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noWrap w:val="0"/>
            <w:vAlign w:val="center"/>
          </w:tcPr>
          <w:p w14:paraId="5A7DC301">
            <w:pPr>
              <w:pStyle w:val="125"/>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493B174B">
            <w:pPr>
              <w:pStyle w:val="125"/>
              <w:wordWrap w:val="0"/>
              <w:adjustRightInd w:val="0"/>
              <w:snapToGrid w:val="0"/>
              <w:jc w:val="center"/>
              <w:rPr>
                <w:snapToGrid w:val="0"/>
                <w:color w:val="auto"/>
                <w:kern w:val="0"/>
                <w:szCs w:val="21"/>
                <w:highlight w:val="none"/>
              </w:rPr>
            </w:pPr>
          </w:p>
        </w:tc>
        <w:tc>
          <w:tcPr>
            <w:tcW w:w="1929" w:type="dxa"/>
            <w:gridSpan w:val="3"/>
            <w:noWrap w:val="0"/>
            <w:vAlign w:val="center"/>
          </w:tcPr>
          <w:p w14:paraId="0BD41005">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技术员</w:t>
            </w:r>
          </w:p>
        </w:tc>
        <w:tc>
          <w:tcPr>
            <w:tcW w:w="1416" w:type="dxa"/>
            <w:noWrap w:val="0"/>
            <w:vAlign w:val="center"/>
          </w:tcPr>
          <w:p w14:paraId="48EBC056">
            <w:pPr>
              <w:pStyle w:val="125"/>
              <w:wordWrap w:val="0"/>
              <w:adjustRightInd w:val="0"/>
              <w:snapToGrid w:val="0"/>
              <w:jc w:val="center"/>
              <w:rPr>
                <w:snapToGrid w:val="0"/>
                <w:color w:val="auto"/>
                <w:kern w:val="0"/>
                <w:szCs w:val="21"/>
                <w:highlight w:val="none"/>
              </w:rPr>
            </w:pPr>
          </w:p>
        </w:tc>
      </w:tr>
      <w:tr w14:paraId="3029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1485" w:type="dxa"/>
            <w:noWrap w:val="0"/>
            <w:vAlign w:val="center"/>
          </w:tcPr>
          <w:p w14:paraId="797D19B5">
            <w:pPr>
              <w:pStyle w:val="125"/>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noWrap w:val="0"/>
            <w:vAlign w:val="center"/>
          </w:tcPr>
          <w:p w14:paraId="674F97B4">
            <w:pPr>
              <w:pStyle w:val="125"/>
              <w:wordWrap w:val="0"/>
              <w:adjustRightInd w:val="0"/>
              <w:snapToGrid w:val="0"/>
              <w:jc w:val="left"/>
              <w:rPr>
                <w:snapToGrid w:val="0"/>
                <w:color w:val="auto"/>
                <w:kern w:val="0"/>
                <w:szCs w:val="21"/>
                <w:highlight w:val="none"/>
              </w:rPr>
            </w:pPr>
          </w:p>
        </w:tc>
      </w:tr>
      <w:tr w14:paraId="0CC3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1485" w:type="dxa"/>
            <w:noWrap w:val="0"/>
            <w:vAlign w:val="center"/>
          </w:tcPr>
          <w:p w14:paraId="7EC0D94E">
            <w:pPr>
              <w:pStyle w:val="125"/>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noWrap w:val="0"/>
            <w:vAlign w:val="center"/>
          </w:tcPr>
          <w:p w14:paraId="7D3D1979">
            <w:pPr>
              <w:pStyle w:val="125"/>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14:paraId="722FAA56">
            <w:pPr>
              <w:pStyle w:val="125"/>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1．法定代表人为同一人的。</w:t>
            </w:r>
          </w:p>
          <w:p w14:paraId="0B0670B9">
            <w:pPr>
              <w:pStyle w:val="125"/>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2．存在控股、管理关系的。</w:t>
            </w:r>
          </w:p>
          <w:p w14:paraId="2FEB8E61">
            <w:pPr>
              <w:pStyle w:val="125"/>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14:paraId="49D3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20DC6D89">
            <w:pPr>
              <w:pStyle w:val="125"/>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备注</w:t>
            </w:r>
          </w:p>
        </w:tc>
        <w:tc>
          <w:tcPr>
            <w:tcW w:w="7020" w:type="dxa"/>
            <w:gridSpan w:val="8"/>
            <w:noWrap w:val="0"/>
            <w:vAlign w:val="center"/>
          </w:tcPr>
          <w:p w14:paraId="48FB6528">
            <w:pPr>
              <w:pStyle w:val="125"/>
              <w:wordWrap w:val="0"/>
              <w:adjustRightInd w:val="0"/>
              <w:snapToGrid w:val="0"/>
              <w:jc w:val="center"/>
              <w:rPr>
                <w:snapToGrid w:val="0"/>
                <w:color w:val="auto"/>
                <w:kern w:val="0"/>
                <w:szCs w:val="21"/>
                <w:highlight w:val="none"/>
              </w:rPr>
            </w:pPr>
          </w:p>
        </w:tc>
      </w:tr>
    </w:tbl>
    <w:p w14:paraId="661800CD">
      <w:pPr>
        <w:pStyle w:val="125"/>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14:paraId="593ED84F">
      <w:pPr>
        <w:pStyle w:val="125"/>
        <w:wordWrap w:val="0"/>
        <w:adjustRightInd w:val="0"/>
        <w:snapToGrid w:val="0"/>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1．《投标人基本情况表》后应附以下资料：</w:t>
      </w:r>
    </w:p>
    <w:p w14:paraId="75EAF0D2">
      <w:pPr>
        <w:pStyle w:val="125"/>
        <w:wordWrap w:val="0"/>
        <w:adjustRightInd w:val="0"/>
        <w:snapToGrid w:val="0"/>
        <w:spacing w:line="400" w:lineRule="exact"/>
        <w:ind w:firstLine="420" w:firstLineChars="200"/>
        <w:rPr>
          <w:rFonts w:hint="eastAsia"/>
          <w:b/>
          <w:bCs/>
          <w:snapToGrid w:val="0"/>
          <w:color w:val="auto"/>
          <w:kern w:val="0"/>
          <w:szCs w:val="21"/>
          <w:highlight w:val="none"/>
        </w:rPr>
      </w:pPr>
      <w:r>
        <w:rPr>
          <w:rFonts w:hint="eastAsia"/>
          <w:snapToGrid w:val="0"/>
          <w:color w:val="auto"/>
          <w:kern w:val="0"/>
          <w:szCs w:val="21"/>
          <w:highlight w:val="none"/>
        </w:rPr>
        <w:t>（1）企业营业执照、资质证书、安全生产许可证的（</w:t>
      </w:r>
      <w:r>
        <w:rPr>
          <w:rFonts w:hint="eastAsia"/>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061C9298">
      <w:pPr>
        <w:pStyle w:val="125"/>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“进粤企业和人员诚信信息登记平台”企业信息情况打印页。（适用于省外建筑企业）</w:t>
      </w:r>
    </w:p>
    <w:p w14:paraId="3175AA33">
      <w:pPr>
        <w:pStyle w:val="125"/>
        <w:wordWrap w:val="0"/>
        <w:adjustRightInd w:val="0"/>
        <w:snapToGrid w:val="0"/>
        <w:spacing w:line="400" w:lineRule="exact"/>
        <w:ind w:firstLine="420" w:firstLineChars="200"/>
        <w:rPr>
          <w:rFonts w:hint="eastAsia"/>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w:t>
      </w:r>
    </w:p>
    <w:p w14:paraId="4463E54C">
      <w:pPr>
        <w:pStyle w:val="125"/>
        <w:wordWrap w:val="0"/>
        <w:adjustRightInd w:val="0"/>
        <w:snapToGrid w:val="0"/>
        <w:spacing w:line="400" w:lineRule="exact"/>
        <w:rPr>
          <w:snapToGrid w:val="0"/>
          <w:color w:val="auto"/>
          <w:kern w:val="0"/>
          <w:szCs w:val="21"/>
          <w:highlight w:val="none"/>
        </w:rPr>
      </w:pPr>
      <w:r>
        <w:rPr>
          <w:rFonts w:hint="eastAsia"/>
          <w:snapToGrid w:val="0"/>
          <w:color w:val="auto"/>
          <w:kern w:val="0"/>
          <w:highlight w:val="none"/>
        </w:rPr>
        <w:t xml:space="preserve">    </w:t>
      </w:r>
      <w:r>
        <w:rPr>
          <w:rFonts w:hint="eastAsia"/>
          <w:snapToGrid w:val="0"/>
          <w:color w:val="auto"/>
          <w:kern w:val="0"/>
          <w:szCs w:val="21"/>
          <w:highlight w:val="none"/>
        </w:rPr>
        <w:t>2．联合体投标的，联合体成员单位均应填写《投标人基本情况表》并提供以上所需资料</w:t>
      </w:r>
      <w:r>
        <w:rPr>
          <w:snapToGrid w:val="0"/>
          <w:color w:val="auto"/>
          <w:kern w:val="0"/>
          <w:szCs w:val="21"/>
          <w:highlight w:val="none"/>
        </w:rPr>
        <w:t>。</w:t>
      </w:r>
    </w:p>
    <w:p w14:paraId="0A281549">
      <w:pPr>
        <w:pStyle w:val="76"/>
        <w:widowControl w:val="0"/>
        <w:wordWrap w:val="0"/>
        <w:adjustRightInd w:val="0"/>
        <w:snapToGrid w:val="0"/>
        <w:spacing w:line="400" w:lineRule="exact"/>
        <w:jc w:val="center"/>
        <w:rPr>
          <w:rFonts w:hint="eastAsia" w:ascii="Times New Roman"/>
          <w:snapToGrid w:val="0"/>
          <w:color w:val="auto"/>
          <w:sz w:val="21"/>
          <w:szCs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F968CB3">
      <w:pPr>
        <w:wordWrap w:val="0"/>
        <w:adjustRightInd w:val="0"/>
        <w:snapToGrid w:val="0"/>
        <w:spacing w:line="440" w:lineRule="exact"/>
        <w:jc w:val="left"/>
        <w:outlineLvl w:val="2"/>
        <w:rPr>
          <w:rFonts w:ascii="Times New Roman"/>
          <w:b/>
          <w:bCs/>
          <w:snapToGrid w:val="0"/>
          <w:color w:val="auto"/>
          <w:kern w:val="0"/>
          <w:szCs w:val="24"/>
          <w:highlight w:val="none"/>
        </w:rPr>
      </w:pPr>
      <w:bookmarkStart w:id="247" w:name="_Toc2205"/>
      <w:r>
        <w:rPr>
          <w:rFonts w:hint="eastAsia" w:ascii="Times New Roman"/>
          <w:b/>
          <w:snapToGrid w:val="0"/>
          <w:color w:val="auto"/>
          <w:kern w:val="0"/>
          <w:highlight w:val="none"/>
        </w:rPr>
        <w:t>格式八 项目经理简历表</w:t>
      </w:r>
      <w:bookmarkEnd w:id="247"/>
    </w:p>
    <w:p w14:paraId="6596E1AF">
      <w:pPr>
        <w:wordWrap w:val="0"/>
        <w:adjustRightInd w:val="0"/>
        <w:snapToGrid w:val="0"/>
        <w:spacing w:line="440" w:lineRule="exact"/>
        <w:jc w:val="left"/>
        <w:outlineLvl w:val="2"/>
        <w:rPr>
          <w:rFonts w:hint="eastAsia" w:ascii="Times New Roman"/>
          <w:b/>
          <w:bCs/>
          <w:snapToGrid w:val="0"/>
          <w:color w:val="auto"/>
          <w:kern w:val="0"/>
          <w:szCs w:val="24"/>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EF0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4CB925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EF84551">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5CD75F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6ECB3E1">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613E9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ED11AA">
            <w:pPr>
              <w:wordWrap w:val="0"/>
              <w:adjustRightInd w:val="0"/>
              <w:snapToGrid w:val="0"/>
              <w:spacing w:line="240" w:lineRule="auto"/>
              <w:jc w:val="center"/>
              <w:rPr>
                <w:rFonts w:ascii="Times New Roman"/>
                <w:snapToGrid w:val="0"/>
                <w:color w:val="auto"/>
                <w:kern w:val="0"/>
                <w:sz w:val="21"/>
                <w:szCs w:val="21"/>
                <w:highlight w:val="none"/>
              </w:rPr>
            </w:pPr>
          </w:p>
        </w:tc>
      </w:tr>
      <w:tr w14:paraId="6B4D7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A6E84D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6EFC2A2">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AE1DA8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8B19C68">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A841E7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7725304">
            <w:pPr>
              <w:wordWrap w:val="0"/>
              <w:adjustRightInd w:val="0"/>
              <w:snapToGrid w:val="0"/>
              <w:spacing w:line="240" w:lineRule="auto"/>
              <w:jc w:val="center"/>
              <w:rPr>
                <w:rFonts w:ascii="Times New Roman"/>
                <w:snapToGrid w:val="0"/>
                <w:color w:val="auto"/>
                <w:kern w:val="0"/>
                <w:sz w:val="21"/>
                <w:szCs w:val="21"/>
                <w:highlight w:val="none"/>
              </w:rPr>
            </w:pPr>
          </w:p>
        </w:tc>
      </w:tr>
      <w:tr w14:paraId="344EF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733A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32C1A9B">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A993FC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750D6A">
            <w:pPr>
              <w:wordWrap w:val="0"/>
              <w:adjustRightInd w:val="0"/>
              <w:snapToGrid w:val="0"/>
              <w:spacing w:line="240" w:lineRule="auto"/>
              <w:jc w:val="center"/>
              <w:rPr>
                <w:rFonts w:ascii="Times New Roman"/>
                <w:snapToGrid w:val="0"/>
                <w:color w:val="auto"/>
                <w:kern w:val="0"/>
                <w:sz w:val="21"/>
                <w:szCs w:val="21"/>
                <w:highlight w:val="none"/>
              </w:rPr>
            </w:pPr>
          </w:p>
        </w:tc>
      </w:tr>
      <w:tr w14:paraId="6C0B1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6E2919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568E5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F6F15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4AA701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AEBE7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4ECFC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FA7000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E4085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1AAD0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39F624">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FCD9C9">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0A515EF">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A2F6E2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1E5413">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407DFB3">
            <w:pPr>
              <w:wordWrap w:val="0"/>
              <w:adjustRightInd w:val="0"/>
              <w:snapToGrid w:val="0"/>
              <w:spacing w:line="240" w:lineRule="auto"/>
              <w:jc w:val="center"/>
              <w:rPr>
                <w:rFonts w:ascii="Times New Roman"/>
                <w:snapToGrid w:val="0"/>
                <w:color w:val="auto"/>
                <w:kern w:val="0"/>
                <w:sz w:val="21"/>
                <w:szCs w:val="21"/>
                <w:highlight w:val="none"/>
              </w:rPr>
            </w:pPr>
          </w:p>
        </w:tc>
      </w:tr>
      <w:tr w14:paraId="542E1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6EF37">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5D56EF">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F030A96">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E972BE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916B07">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C54F393">
            <w:pPr>
              <w:wordWrap w:val="0"/>
              <w:adjustRightInd w:val="0"/>
              <w:snapToGrid w:val="0"/>
              <w:spacing w:line="240" w:lineRule="auto"/>
              <w:jc w:val="center"/>
              <w:rPr>
                <w:rFonts w:ascii="Times New Roman"/>
                <w:snapToGrid w:val="0"/>
                <w:color w:val="auto"/>
                <w:kern w:val="0"/>
                <w:sz w:val="21"/>
                <w:szCs w:val="21"/>
                <w:highlight w:val="none"/>
              </w:rPr>
            </w:pPr>
          </w:p>
        </w:tc>
      </w:tr>
      <w:tr w14:paraId="1C8AA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264CA3">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5008F3">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F48EA8">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DD64483">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EF8FFC5">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3226A61">
            <w:pPr>
              <w:wordWrap w:val="0"/>
              <w:adjustRightInd w:val="0"/>
              <w:snapToGrid w:val="0"/>
              <w:spacing w:line="240" w:lineRule="auto"/>
              <w:jc w:val="center"/>
              <w:rPr>
                <w:rFonts w:ascii="Times New Roman"/>
                <w:snapToGrid w:val="0"/>
                <w:color w:val="auto"/>
                <w:kern w:val="0"/>
                <w:sz w:val="21"/>
                <w:szCs w:val="21"/>
                <w:highlight w:val="none"/>
              </w:rPr>
            </w:pPr>
          </w:p>
        </w:tc>
      </w:tr>
      <w:tr w14:paraId="64D38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7A361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16E44D0">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F2AACF">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926279">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2DCD7E">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6B956F">
            <w:pPr>
              <w:wordWrap w:val="0"/>
              <w:adjustRightInd w:val="0"/>
              <w:snapToGrid w:val="0"/>
              <w:spacing w:line="240" w:lineRule="auto"/>
              <w:jc w:val="center"/>
              <w:rPr>
                <w:rFonts w:ascii="Times New Roman"/>
                <w:snapToGrid w:val="0"/>
                <w:color w:val="auto"/>
                <w:kern w:val="0"/>
                <w:sz w:val="21"/>
                <w:szCs w:val="21"/>
                <w:highlight w:val="none"/>
              </w:rPr>
            </w:pPr>
          </w:p>
        </w:tc>
      </w:tr>
    </w:tbl>
    <w:p w14:paraId="7BFFE550">
      <w:pPr>
        <w:wordWrap w:val="0"/>
        <w:adjustRightInd w:val="0"/>
        <w:snapToGrid w:val="0"/>
        <w:spacing w:line="440" w:lineRule="exact"/>
        <w:jc w:val="center"/>
        <w:outlineLvl w:val="2"/>
        <w:rPr>
          <w:rFonts w:hint="eastAsia" w:ascii="Times New Roman"/>
          <w:b/>
          <w:bCs/>
          <w:snapToGrid w:val="0"/>
          <w:color w:val="auto"/>
          <w:kern w:val="0"/>
          <w:szCs w:val="24"/>
          <w:highlight w:val="none"/>
        </w:rPr>
      </w:pPr>
      <w:bookmarkStart w:id="248" w:name="_Toc25130"/>
      <w:r>
        <w:rPr>
          <w:rFonts w:hint="eastAsia" w:ascii="Times New Roman"/>
          <w:b/>
          <w:snapToGrid w:val="0"/>
          <w:color w:val="auto"/>
          <w:kern w:val="0"/>
          <w:sz w:val="30"/>
          <w:highlight w:val="none"/>
        </w:rPr>
        <w:t>项目经理简历表</w:t>
      </w:r>
      <w:bookmarkEnd w:id="248"/>
    </w:p>
    <w:p w14:paraId="19F228C5">
      <w:pPr>
        <w:wordWrap w:val="0"/>
        <w:adjustRightInd w:val="0"/>
        <w:snapToGrid w:val="0"/>
        <w:spacing w:line="440" w:lineRule="exact"/>
        <w:ind w:firstLine="570"/>
        <w:rPr>
          <w:rFonts w:hint="eastAsia" w:ascii="Times New Roman"/>
          <w:snapToGrid w:val="0"/>
          <w:color w:val="auto"/>
          <w:kern w:val="0"/>
          <w:szCs w:val="28"/>
          <w:highlight w:val="none"/>
        </w:rPr>
      </w:pPr>
    </w:p>
    <w:p w14:paraId="00FBB0D9">
      <w:pPr>
        <w:pStyle w:val="64"/>
        <w:wordWrap w:val="0"/>
        <w:adjustRightInd w:val="0"/>
        <w:snapToGrid w:val="0"/>
        <w:spacing w:line="440" w:lineRule="exact"/>
        <w:jc w:val="right"/>
        <w:rPr>
          <w:rFonts w:hint="eastAsia" w:ascii="Times New Roman"/>
          <w:snapToGrid w:val="0"/>
          <w:color w:val="auto"/>
          <w:kern w:val="0"/>
          <w:highlight w:val="none"/>
        </w:rPr>
      </w:pPr>
    </w:p>
    <w:p w14:paraId="2BF91841">
      <w:pPr>
        <w:pStyle w:val="64"/>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4123EA6B">
      <w:pPr>
        <w:pStyle w:val="64"/>
        <w:wordWrap w:val="0"/>
        <w:adjustRightInd w:val="0"/>
        <w:snapToGrid w:val="0"/>
        <w:spacing w:line="440" w:lineRule="exact"/>
        <w:jc w:val="right"/>
        <w:rPr>
          <w:rFonts w:hint="eastAsia" w:ascii="Times New Roman"/>
          <w:snapToGrid w:val="0"/>
          <w:color w:val="auto"/>
          <w:kern w:val="0"/>
          <w:highlight w:val="none"/>
        </w:rPr>
      </w:pPr>
    </w:p>
    <w:p w14:paraId="642883E5">
      <w:pPr>
        <w:pStyle w:val="64"/>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10588B13">
      <w:pPr>
        <w:wordWrap w:val="0"/>
        <w:adjustRightInd w:val="0"/>
        <w:snapToGrid w:val="0"/>
        <w:spacing w:line="400" w:lineRule="exact"/>
        <w:ind w:firstLine="570"/>
        <w:rPr>
          <w:rFonts w:hint="eastAsia" w:ascii="Times New Roman"/>
          <w:snapToGrid w:val="0"/>
          <w:color w:val="auto"/>
          <w:kern w:val="0"/>
          <w:szCs w:val="28"/>
          <w:highlight w:val="none"/>
        </w:rPr>
      </w:pPr>
    </w:p>
    <w:p w14:paraId="679CB4FC">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14:paraId="523449E1">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1．身份证彩色扫描件；</w:t>
      </w:r>
    </w:p>
    <w:p w14:paraId="30580F7A">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建造师电子注册证书（在使用有效期内的有效电子证书）彩色扫描件</w:t>
      </w:r>
      <w:r>
        <w:rPr>
          <w:rFonts w:hint="eastAsia" w:ascii="Times New Roman"/>
          <w:snapToGrid w:val="0"/>
          <w:color w:val="auto"/>
          <w:kern w:val="0"/>
          <w:sz w:val="21"/>
          <w:szCs w:val="28"/>
          <w:highlight w:val="none"/>
        </w:rPr>
        <w:t>；</w:t>
      </w:r>
    </w:p>
    <w:p w14:paraId="1C60C312">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或广东省建筑施工企业管理人员安全生产考核系统考核合格信息彩色扫描件；</w:t>
      </w:r>
    </w:p>
    <w:p w14:paraId="3769F9F5">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w:t>
      </w:r>
      <w:r>
        <w:rPr>
          <w:rFonts w:hint="eastAsia" w:ascii="Times New Roman"/>
          <w:snapToGrid w:val="0"/>
          <w:color w:val="FF0000"/>
          <w:kern w:val="0"/>
          <w:sz w:val="21"/>
          <w:szCs w:val="28"/>
          <w:highlight w:val="none"/>
          <w:lang w:eastAsia="zh-CN"/>
        </w:rPr>
        <w:t>（至少连续三个月，其中必须有2025年6月）</w:t>
      </w:r>
      <w:r>
        <w:rPr>
          <w:rFonts w:hint="eastAsia" w:ascii="Times New Roman"/>
          <w:snapToGrid w:val="0"/>
          <w:color w:val="auto"/>
          <w:kern w:val="0"/>
          <w:sz w:val="21"/>
          <w:szCs w:val="28"/>
          <w:highlight w:val="none"/>
        </w:rPr>
        <w:t>复印件或打印件。拟派项目经理为退休返聘人员无法提供社保证明的，提供退休证和劳动合同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361D0FA0">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sz w:val="21"/>
          <w:szCs w:val="28"/>
          <w:highlight w:val="none"/>
        </w:rPr>
        <w:t>5．</w:t>
      </w:r>
      <w:r>
        <w:rPr>
          <w:rFonts w:hint="eastAsia" w:ascii="Times New Roman"/>
          <w:snapToGrid w:val="0"/>
          <w:color w:val="auto"/>
          <w:kern w:val="0"/>
          <w:sz w:val="21"/>
          <w:highlight w:val="none"/>
        </w:rPr>
        <w:t>“进粤企业和人员诚信信息登记平台”个人（项目经理等）信息情况截图。（适用于省外建筑企业）</w:t>
      </w:r>
    </w:p>
    <w:p w14:paraId="6B19E2EF">
      <w:pPr>
        <w:wordWrap w:val="0"/>
        <w:adjustRightInd w:val="0"/>
        <w:snapToGrid w:val="0"/>
        <w:spacing w:line="440" w:lineRule="exact"/>
        <w:jc w:val="left"/>
        <w:outlineLvl w:val="2"/>
        <w:rPr>
          <w:rFonts w:hint="eastAsia" w:ascii="Times New Roman"/>
          <w:b/>
          <w:snapToGrid w:val="0"/>
          <w:color w:val="auto"/>
          <w:kern w:val="0"/>
          <w:highlight w:val="none"/>
        </w:rPr>
      </w:pPr>
      <w:bookmarkStart w:id="249" w:name="_Toc11783"/>
      <w:r>
        <w:rPr>
          <w:rFonts w:hint="eastAsia" w:ascii="Times New Roman"/>
          <w:b/>
          <w:snapToGrid w:val="0"/>
          <w:color w:val="auto"/>
          <w:kern w:val="0"/>
          <w:highlight w:val="none"/>
        </w:rPr>
        <w:t>格式九 项目经理任职声明</w:t>
      </w:r>
      <w:bookmarkEnd w:id="249"/>
    </w:p>
    <w:p w14:paraId="70CE787B">
      <w:pPr>
        <w:wordWrap w:val="0"/>
        <w:adjustRightInd w:val="0"/>
        <w:snapToGrid w:val="0"/>
        <w:spacing w:line="440" w:lineRule="exact"/>
        <w:jc w:val="left"/>
        <w:outlineLvl w:val="2"/>
        <w:rPr>
          <w:rFonts w:ascii="Times New Roman"/>
          <w:b/>
          <w:snapToGrid w:val="0"/>
          <w:color w:val="auto"/>
          <w:kern w:val="0"/>
          <w:highlight w:val="none"/>
        </w:rPr>
      </w:pPr>
    </w:p>
    <w:p w14:paraId="0DF31A37">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50F4A107">
      <w:pPr>
        <w:wordWrap w:val="0"/>
        <w:adjustRightInd w:val="0"/>
        <w:snapToGrid w:val="0"/>
        <w:spacing w:line="440" w:lineRule="exact"/>
        <w:jc w:val="center"/>
        <w:rPr>
          <w:rFonts w:hint="eastAsia" w:ascii="Times New Roman"/>
          <w:snapToGrid w:val="0"/>
          <w:color w:val="auto"/>
          <w:kern w:val="0"/>
          <w:szCs w:val="28"/>
          <w:highlight w:val="none"/>
        </w:rPr>
      </w:pPr>
    </w:p>
    <w:p w14:paraId="0567366B">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（招标人名称）：</w:t>
      </w:r>
    </w:p>
    <w:p w14:paraId="13D5D295">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我方在此声明，我方拟派往</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（项目名称）的项目经理</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（项目经理姓名）现阶段没有担任任何在施（包括已中标未开工、已开工未竣工）建设工程项目的项目经理。</w:t>
      </w:r>
    </w:p>
    <w:p w14:paraId="698B6D29">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我方保证上述信息的真实和准确，并愿意承担因我方就此弄虚作假所引起的一切法律后果。</w:t>
      </w:r>
    </w:p>
    <w:p w14:paraId="72FF21CA">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79680E6E">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特此承诺　　</w:t>
      </w:r>
    </w:p>
    <w:p w14:paraId="5A95FD80">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72038B25">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15F96EB8">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投标人：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（盖单位章）</w:t>
      </w:r>
    </w:p>
    <w:p w14:paraId="06C5F16E">
      <w:pPr>
        <w:wordWrap w:val="0"/>
        <w:adjustRightInd w:val="0"/>
        <w:snapToGrid w:val="0"/>
        <w:spacing w:line="440" w:lineRule="exact"/>
        <w:jc w:val="right"/>
        <w:rPr>
          <w:rFonts w:hint="eastAsia" w:ascii="Times New Roman"/>
          <w:snapToGrid w:val="0"/>
          <w:color w:val="auto"/>
          <w:kern w:val="0"/>
          <w:szCs w:val="28"/>
          <w:highlight w:val="none"/>
        </w:rPr>
      </w:pPr>
    </w:p>
    <w:p w14:paraId="56144022">
      <w:pPr>
        <w:wordWrap w:val="0"/>
        <w:adjustRightInd w:val="0"/>
        <w:snapToGrid w:val="0"/>
        <w:spacing w:line="440" w:lineRule="exact"/>
        <w:jc w:val="right"/>
        <w:rPr>
          <w:rFonts w:hint="eastAsia" w:ascii="Times New Roman"/>
          <w:snapToGrid w:val="0"/>
          <w:color w:val="auto"/>
          <w:kern w:val="0"/>
          <w:szCs w:val="28"/>
          <w:highlight w:val="none"/>
        </w:rPr>
      </w:pPr>
    </w:p>
    <w:p w14:paraId="6E74D216">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法定代表人或其委托代理人：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（签字或盖章）</w:t>
      </w:r>
    </w:p>
    <w:p w14:paraId="183ED6FF">
      <w:pPr>
        <w:wordWrap w:val="0"/>
        <w:adjustRightInd w:val="0"/>
        <w:snapToGrid w:val="0"/>
        <w:spacing w:line="440" w:lineRule="exact"/>
        <w:jc w:val="right"/>
        <w:rPr>
          <w:rFonts w:hint="eastAsia" w:ascii="Times New Roman"/>
          <w:snapToGrid w:val="0"/>
          <w:color w:val="auto"/>
          <w:kern w:val="0"/>
          <w:szCs w:val="28"/>
          <w:highlight w:val="none"/>
        </w:rPr>
      </w:pPr>
    </w:p>
    <w:p w14:paraId="7C33C024">
      <w:pPr>
        <w:wordWrap w:val="0"/>
        <w:adjustRightInd w:val="0"/>
        <w:snapToGrid w:val="0"/>
        <w:spacing w:line="440" w:lineRule="exact"/>
        <w:jc w:val="center"/>
        <w:rPr>
          <w:rFonts w:hint="eastAsia" w:ascii="Times New Roman"/>
          <w:snapToGrid w:val="0"/>
          <w:color w:val="auto"/>
          <w:kern w:val="0"/>
          <w:szCs w:val="28"/>
          <w:highlight w:val="none"/>
        </w:rPr>
      </w:pPr>
      <w:r>
        <w:rPr>
          <w:rFonts w:hint="eastAsia" w:ascii="Times New Roman"/>
          <w:snapToGrid w:val="0"/>
          <w:color w:val="auto"/>
          <w:kern w:val="0"/>
          <w:szCs w:val="28"/>
          <w:highlight w:val="none"/>
        </w:rPr>
        <w:t xml:space="preserve">                            </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月</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日</w:t>
      </w:r>
    </w:p>
    <w:p w14:paraId="551D2E7B">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47E0F83">
      <w:pPr>
        <w:wordWrap w:val="0"/>
        <w:adjustRightInd w:val="0"/>
        <w:snapToGrid w:val="0"/>
        <w:spacing w:line="440" w:lineRule="exact"/>
        <w:jc w:val="left"/>
        <w:outlineLvl w:val="2"/>
        <w:rPr>
          <w:rFonts w:ascii="Times New Roman"/>
          <w:b/>
          <w:bCs/>
          <w:snapToGrid w:val="0"/>
          <w:color w:val="auto"/>
          <w:kern w:val="0"/>
          <w:szCs w:val="24"/>
          <w:highlight w:val="none"/>
        </w:rPr>
      </w:pPr>
      <w:bookmarkStart w:id="250" w:name="_Toc1302"/>
      <w:r>
        <w:rPr>
          <w:rFonts w:hint="eastAsia" w:ascii="Times New Roman"/>
          <w:b/>
          <w:snapToGrid w:val="0"/>
          <w:color w:val="auto"/>
          <w:kern w:val="0"/>
          <w:highlight w:val="none"/>
        </w:rPr>
        <w:t>格式十 项目技术负责人简历表</w:t>
      </w:r>
      <w:bookmarkEnd w:id="250"/>
    </w:p>
    <w:p w14:paraId="7355BE8E">
      <w:pPr>
        <w:wordWrap w:val="0"/>
        <w:adjustRightInd w:val="0"/>
        <w:snapToGrid w:val="0"/>
        <w:spacing w:line="440" w:lineRule="exact"/>
        <w:jc w:val="left"/>
        <w:outlineLvl w:val="2"/>
        <w:rPr>
          <w:rFonts w:hint="eastAsia" w:ascii="Times New Roman"/>
          <w:b/>
          <w:bCs/>
          <w:snapToGrid w:val="0"/>
          <w:color w:val="auto"/>
          <w:kern w:val="0"/>
          <w:szCs w:val="24"/>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D74A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56AD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B665B9D">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88F4AC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246A2FF">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E43382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2E3DCBA">
            <w:pPr>
              <w:wordWrap w:val="0"/>
              <w:adjustRightInd w:val="0"/>
              <w:snapToGrid w:val="0"/>
              <w:spacing w:line="240" w:lineRule="auto"/>
              <w:jc w:val="center"/>
              <w:rPr>
                <w:rFonts w:ascii="Times New Roman"/>
                <w:snapToGrid w:val="0"/>
                <w:color w:val="auto"/>
                <w:kern w:val="0"/>
                <w:sz w:val="21"/>
                <w:szCs w:val="21"/>
                <w:highlight w:val="none"/>
              </w:rPr>
            </w:pPr>
          </w:p>
        </w:tc>
      </w:tr>
      <w:tr w14:paraId="6C3F2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C5F46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59DE580">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2592D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EA262AA">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C824DE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87A57E">
            <w:pPr>
              <w:wordWrap w:val="0"/>
              <w:adjustRightInd w:val="0"/>
              <w:snapToGrid w:val="0"/>
              <w:spacing w:line="240" w:lineRule="auto"/>
              <w:jc w:val="center"/>
              <w:rPr>
                <w:rFonts w:ascii="Times New Roman"/>
                <w:snapToGrid w:val="0"/>
                <w:color w:val="auto"/>
                <w:kern w:val="0"/>
                <w:sz w:val="21"/>
                <w:szCs w:val="21"/>
                <w:highlight w:val="none"/>
              </w:rPr>
            </w:pPr>
          </w:p>
        </w:tc>
      </w:tr>
      <w:tr w14:paraId="1FBB4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1E191D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D1E0DD9">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CE7A81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1BA416">
            <w:pPr>
              <w:wordWrap w:val="0"/>
              <w:adjustRightInd w:val="0"/>
              <w:snapToGrid w:val="0"/>
              <w:spacing w:line="240" w:lineRule="auto"/>
              <w:jc w:val="center"/>
              <w:rPr>
                <w:rFonts w:ascii="Times New Roman"/>
                <w:snapToGrid w:val="0"/>
                <w:color w:val="auto"/>
                <w:kern w:val="0"/>
                <w:sz w:val="21"/>
                <w:szCs w:val="21"/>
                <w:highlight w:val="none"/>
              </w:rPr>
            </w:pPr>
          </w:p>
        </w:tc>
      </w:tr>
      <w:tr w14:paraId="0E485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1BDB53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61D6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3113DC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FB055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176144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5560A1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E5C3B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B98F4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4948C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821749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E6EA799">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02DAA80">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0F7784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8E4A2F">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41024A9">
            <w:pPr>
              <w:wordWrap w:val="0"/>
              <w:adjustRightInd w:val="0"/>
              <w:snapToGrid w:val="0"/>
              <w:spacing w:line="240" w:lineRule="auto"/>
              <w:jc w:val="center"/>
              <w:rPr>
                <w:rFonts w:ascii="Times New Roman"/>
                <w:snapToGrid w:val="0"/>
                <w:color w:val="auto"/>
                <w:kern w:val="0"/>
                <w:sz w:val="21"/>
                <w:szCs w:val="21"/>
                <w:highlight w:val="none"/>
              </w:rPr>
            </w:pPr>
          </w:p>
        </w:tc>
      </w:tr>
      <w:tr w14:paraId="1C152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CE24798">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CABB03">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2A3CDE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3B186C">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2CB7667">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F25E3C8">
            <w:pPr>
              <w:wordWrap w:val="0"/>
              <w:adjustRightInd w:val="0"/>
              <w:snapToGrid w:val="0"/>
              <w:spacing w:line="240" w:lineRule="auto"/>
              <w:jc w:val="center"/>
              <w:rPr>
                <w:rFonts w:ascii="Times New Roman"/>
                <w:snapToGrid w:val="0"/>
                <w:color w:val="auto"/>
                <w:kern w:val="0"/>
                <w:sz w:val="21"/>
                <w:szCs w:val="21"/>
                <w:highlight w:val="none"/>
              </w:rPr>
            </w:pPr>
          </w:p>
        </w:tc>
      </w:tr>
      <w:tr w14:paraId="669297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553E38">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956470">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144371">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DD1961">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B5FC64B">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1EB4F4">
            <w:pPr>
              <w:wordWrap w:val="0"/>
              <w:adjustRightInd w:val="0"/>
              <w:snapToGrid w:val="0"/>
              <w:spacing w:line="240" w:lineRule="auto"/>
              <w:jc w:val="center"/>
              <w:rPr>
                <w:rFonts w:ascii="Times New Roman"/>
                <w:snapToGrid w:val="0"/>
                <w:color w:val="auto"/>
                <w:kern w:val="0"/>
                <w:sz w:val="21"/>
                <w:szCs w:val="21"/>
                <w:highlight w:val="none"/>
              </w:rPr>
            </w:pPr>
          </w:p>
        </w:tc>
      </w:tr>
      <w:tr w14:paraId="1C3DC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C8282F1">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EE0FC32">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87F9C6">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B39776D">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8716BDC">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D28D9D1">
            <w:pPr>
              <w:wordWrap w:val="0"/>
              <w:adjustRightInd w:val="0"/>
              <w:snapToGrid w:val="0"/>
              <w:spacing w:line="240" w:lineRule="auto"/>
              <w:jc w:val="center"/>
              <w:rPr>
                <w:rFonts w:ascii="Times New Roman"/>
                <w:snapToGrid w:val="0"/>
                <w:color w:val="auto"/>
                <w:kern w:val="0"/>
                <w:sz w:val="21"/>
                <w:szCs w:val="21"/>
                <w:highlight w:val="none"/>
              </w:rPr>
            </w:pPr>
          </w:p>
        </w:tc>
      </w:tr>
      <w:tr w14:paraId="4EDB9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BF50CB0">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4D6A912">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0F2DF0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51CE5D8">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7730DA0">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749293">
            <w:pPr>
              <w:wordWrap w:val="0"/>
              <w:adjustRightInd w:val="0"/>
              <w:snapToGrid w:val="0"/>
              <w:spacing w:line="240" w:lineRule="auto"/>
              <w:jc w:val="center"/>
              <w:rPr>
                <w:rFonts w:ascii="Times New Roman"/>
                <w:snapToGrid w:val="0"/>
                <w:color w:val="auto"/>
                <w:kern w:val="0"/>
                <w:sz w:val="21"/>
                <w:szCs w:val="21"/>
                <w:highlight w:val="none"/>
              </w:rPr>
            </w:pPr>
          </w:p>
        </w:tc>
      </w:tr>
    </w:tbl>
    <w:p w14:paraId="3F53C7DB">
      <w:pPr>
        <w:wordWrap w:val="0"/>
        <w:adjustRightInd w:val="0"/>
        <w:snapToGrid w:val="0"/>
        <w:spacing w:line="440" w:lineRule="exact"/>
        <w:jc w:val="center"/>
        <w:outlineLvl w:val="2"/>
        <w:rPr>
          <w:rFonts w:hint="eastAsia" w:ascii="Times New Roman"/>
          <w:b/>
          <w:bCs/>
          <w:snapToGrid w:val="0"/>
          <w:color w:val="auto"/>
          <w:kern w:val="0"/>
          <w:szCs w:val="24"/>
          <w:highlight w:val="none"/>
        </w:rPr>
      </w:pPr>
      <w:bookmarkStart w:id="251" w:name="_Toc17253"/>
      <w:r>
        <w:rPr>
          <w:rFonts w:hint="eastAsia" w:ascii="Times New Roman"/>
          <w:b/>
          <w:snapToGrid w:val="0"/>
          <w:color w:val="auto"/>
          <w:kern w:val="0"/>
          <w:sz w:val="30"/>
          <w:highlight w:val="none"/>
        </w:rPr>
        <w:t>项目技术负责人简历表</w:t>
      </w:r>
      <w:bookmarkEnd w:id="251"/>
    </w:p>
    <w:p w14:paraId="13DD37DC">
      <w:pPr>
        <w:wordWrap w:val="0"/>
        <w:adjustRightInd w:val="0"/>
        <w:snapToGrid w:val="0"/>
        <w:spacing w:line="440" w:lineRule="exact"/>
        <w:ind w:firstLine="570"/>
        <w:rPr>
          <w:rFonts w:hint="eastAsia" w:ascii="Times New Roman"/>
          <w:snapToGrid w:val="0"/>
          <w:color w:val="auto"/>
          <w:kern w:val="0"/>
          <w:szCs w:val="28"/>
          <w:highlight w:val="none"/>
        </w:rPr>
      </w:pPr>
    </w:p>
    <w:p w14:paraId="20241C3C">
      <w:pPr>
        <w:pStyle w:val="64"/>
        <w:wordWrap w:val="0"/>
        <w:adjustRightInd w:val="0"/>
        <w:snapToGrid w:val="0"/>
        <w:spacing w:line="440" w:lineRule="exact"/>
        <w:jc w:val="right"/>
        <w:rPr>
          <w:rFonts w:hint="eastAsia" w:ascii="Times New Roman"/>
          <w:snapToGrid w:val="0"/>
          <w:color w:val="auto"/>
          <w:kern w:val="0"/>
          <w:highlight w:val="none"/>
        </w:rPr>
      </w:pPr>
    </w:p>
    <w:p w14:paraId="2D5AFBE2">
      <w:pPr>
        <w:pStyle w:val="64"/>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1BF207DD">
      <w:pPr>
        <w:pStyle w:val="64"/>
        <w:wordWrap w:val="0"/>
        <w:adjustRightInd w:val="0"/>
        <w:snapToGrid w:val="0"/>
        <w:spacing w:line="440" w:lineRule="exact"/>
        <w:jc w:val="right"/>
        <w:rPr>
          <w:rFonts w:hint="eastAsia" w:ascii="Times New Roman"/>
          <w:snapToGrid w:val="0"/>
          <w:color w:val="auto"/>
          <w:kern w:val="0"/>
          <w:highlight w:val="none"/>
        </w:rPr>
      </w:pPr>
    </w:p>
    <w:p w14:paraId="359CBC1C">
      <w:pPr>
        <w:pStyle w:val="64"/>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3FD32CDA">
      <w:pPr>
        <w:wordWrap w:val="0"/>
        <w:adjustRightInd w:val="0"/>
        <w:snapToGrid w:val="0"/>
        <w:spacing w:line="400" w:lineRule="exact"/>
        <w:ind w:firstLine="570"/>
        <w:rPr>
          <w:rFonts w:hint="eastAsia" w:ascii="Times New Roman"/>
          <w:snapToGrid w:val="0"/>
          <w:color w:val="auto"/>
          <w:kern w:val="0"/>
          <w:szCs w:val="28"/>
          <w:highlight w:val="none"/>
        </w:rPr>
      </w:pPr>
    </w:p>
    <w:p w14:paraId="1A89DCB7">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14:paraId="04173FB0">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bookmarkEnd w:id="223"/>
      <w:bookmarkEnd w:id="224"/>
      <w:bookmarkStart w:id="252" w:name="_Toc8264"/>
      <w:bookmarkStart w:id="253" w:name="_Toc200338098"/>
      <w:r>
        <w:rPr>
          <w:rFonts w:hint="eastAsia" w:ascii="Times New Roman"/>
          <w:snapToGrid w:val="0"/>
          <w:color w:val="auto"/>
          <w:kern w:val="0"/>
          <w:sz w:val="21"/>
          <w:szCs w:val="28"/>
          <w:highlight w:val="none"/>
        </w:rPr>
        <w:t xml:space="preserve">  1．身份证彩色扫描件；</w:t>
      </w:r>
    </w:p>
    <w:p w14:paraId="23F7C7F7">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8"/>
          <w:highlight w:val="none"/>
          <w:lang w:val="en-US" w:eastAsia="zh-CN"/>
        </w:rPr>
        <w:t xml:space="preserve"> </w:t>
      </w: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建造师电子注册证书（在使用有效期内的有效电子证书）彩色扫描件</w:t>
      </w:r>
      <w:r>
        <w:rPr>
          <w:rFonts w:hint="eastAsia" w:ascii="Times New Roman"/>
          <w:snapToGrid w:val="0"/>
          <w:color w:val="auto"/>
          <w:kern w:val="0"/>
          <w:sz w:val="21"/>
          <w:szCs w:val="28"/>
          <w:highlight w:val="none"/>
        </w:rPr>
        <w:t>；</w:t>
      </w:r>
    </w:p>
    <w:p w14:paraId="19D847FC">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8"/>
          <w:highlight w:val="none"/>
          <w:lang w:val="en-US" w:eastAsia="zh-CN"/>
        </w:rPr>
        <w:t xml:space="preserve"> </w:t>
      </w:r>
      <w:r>
        <w:rPr>
          <w:rFonts w:hint="eastAsia" w:ascii="Times New Roman"/>
          <w:snapToGrid w:val="0"/>
          <w:color w:val="auto"/>
          <w:kern w:val="0"/>
          <w:sz w:val="21"/>
          <w:szCs w:val="28"/>
          <w:highlight w:val="none"/>
        </w:rPr>
        <w:t>3．B类安全生产考核合格证书</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或广东省建筑施工企业管理人员安全生产考核系统考核合格信息彩色扫描件；</w:t>
      </w:r>
    </w:p>
    <w:p w14:paraId="6763184C">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w:t>
      </w:r>
      <w:r>
        <w:rPr>
          <w:rFonts w:hint="eastAsia" w:ascii="Times New Roman"/>
          <w:snapToGrid w:val="0"/>
          <w:color w:val="FF0000"/>
          <w:kern w:val="0"/>
          <w:sz w:val="21"/>
          <w:szCs w:val="28"/>
          <w:highlight w:val="none"/>
        </w:rPr>
        <w:t>（至少连续三个月，其中必须有</w:t>
      </w:r>
      <w:r>
        <w:rPr>
          <w:rFonts w:hint="eastAsia" w:ascii="Times New Roman"/>
          <w:snapToGrid w:val="0"/>
          <w:color w:val="FF0000"/>
          <w:kern w:val="0"/>
          <w:sz w:val="21"/>
          <w:szCs w:val="28"/>
          <w:highlight w:val="none"/>
          <w:lang w:eastAsia="zh-CN"/>
        </w:rPr>
        <w:t>2025</w:t>
      </w:r>
      <w:r>
        <w:rPr>
          <w:rFonts w:hint="eastAsia" w:ascii="Times New Roman"/>
          <w:snapToGrid w:val="0"/>
          <w:color w:val="FF0000"/>
          <w:kern w:val="0"/>
          <w:sz w:val="21"/>
          <w:szCs w:val="28"/>
          <w:highlight w:val="none"/>
        </w:rPr>
        <w:t>年</w:t>
      </w:r>
      <w:r>
        <w:rPr>
          <w:rFonts w:hint="eastAsia" w:ascii="Times New Roman"/>
          <w:snapToGrid w:val="0"/>
          <w:color w:val="FF0000"/>
          <w:kern w:val="0"/>
          <w:sz w:val="21"/>
          <w:szCs w:val="28"/>
          <w:highlight w:val="none"/>
          <w:lang w:val="en-US" w:eastAsia="zh-CN"/>
        </w:rPr>
        <w:t>6</w:t>
      </w:r>
      <w:r>
        <w:rPr>
          <w:rFonts w:hint="eastAsia" w:ascii="Times New Roman"/>
          <w:snapToGrid w:val="0"/>
          <w:color w:val="FF0000"/>
          <w:kern w:val="0"/>
          <w:sz w:val="21"/>
          <w:szCs w:val="28"/>
          <w:highlight w:val="none"/>
        </w:rPr>
        <w:t>月）</w:t>
      </w:r>
      <w:r>
        <w:rPr>
          <w:rFonts w:hint="eastAsia" w:ascii="Times New Roman"/>
          <w:snapToGrid w:val="0"/>
          <w:color w:val="auto"/>
          <w:kern w:val="0"/>
          <w:sz w:val="21"/>
          <w:szCs w:val="28"/>
          <w:highlight w:val="none"/>
        </w:rPr>
        <w:t>复印件或打印件。拟派项目经理为退休返聘人员无法提供社保证明的，提供退休证和劳动合同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6B6A1992">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kern w:val="0"/>
          <w:sz w:val="21"/>
          <w:szCs w:val="28"/>
          <w:highlight w:val="none"/>
        </w:rPr>
        <w:t>5．</w:t>
      </w:r>
      <w:r>
        <w:rPr>
          <w:rFonts w:hint="eastAsia" w:ascii="Times New Roman"/>
          <w:snapToGrid w:val="0"/>
          <w:color w:val="auto"/>
          <w:kern w:val="0"/>
          <w:sz w:val="21"/>
          <w:highlight w:val="none"/>
        </w:rPr>
        <w:t>“进粤企业和人员诚信信息登记平台”个人（项目经理等）信息情况截图。（适用于省外建筑企业）</w:t>
      </w:r>
    </w:p>
    <w:p w14:paraId="2FBAD1BC">
      <w:pPr>
        <w:wordWrap w:val="0"/>
        <w:adjustRightInd w:val="0"/>
        <w:snapToGrid w:val="0"/>
        <w:spacing w:line="440" w:lineRule="exact"/>
        <w:ind w:left="2609" w:leftChars="15" w:hanging="2573" w:hangingChars="1068"/>
        <w:outlineLvl w:val="2"/>
        <w:rPr>
          <w:rFonts w:hint="eastAsia" w:ascii="Times New Roman"/>
          <w:b/>
          <w:bCs/>
          <w:snapToGrid w:val="0"/>
          <w:color w:val="auto"/>
          <w:kern w:val="0"/>
          <w:szCs w:val="24"/>
          <w:highlight w:val="none"/>
        </w:rPr>
      </w:pPr>
      <w:bookmarkStart w:id="254" w:name="_Toc9135"/>
      <w:r>
        <w:rPr>
          <w:rFonts w:hint="eastAsia" w:ascii="Times New Roman"/>
          <w:b/>
          <w:snapToGrid w:val="0"/>
          <w:color w:val="auto"/>
          <w:kern w:val="0"/>
          <w:highlight w:val="none"/>
        </w:rPr>
        <w:t>格式</w:t>
      </w:r>
      <w:bookmarkStart w:id="255" w:name="_Hlt287950384"/>
      <w:bookmarkEnd w:id="255"/>
      <w:r>
        <w:rPr>
          <w:rFonts w:hint="eastAsia" w:ascii="Times New Roman"/>
          <w:b/>
          <w:bCs/>
          <w:snapToGrid w:val="0"/>
          <w:color w:val="auto"/>
          <w:kern w:val="0"/>
          <w:szCs w:val="24"/>
          <w:highlight w:val="none"/>
        </w:rPr>
        <w:t>十一 项目管理机构组成表</w:t>
      </w:r>
      <w:bookmarkEnd w:id="254"/>
    </w:p>
    <w:p w14:paraId="096CD897">
      <w:pPr>
        <w:wordWrap w:val="0"/>
        <w:adjustRightInd w:val="0"/>
        <w:snapToGrid w:val="0"/>
        <w:spacing w:line="440" w:lineRule="exact"/>
        <w:ind w:left="2609" w:leftChars="15" w:hanging="2573" w:hangingChars="1068"/>
        <w:outlineLvl w:val="2"/>
        <w:rPr>
          <w:rFonts w:ascii="Times New Roman"/>
          <w:b/>
          <w:bCs/>
          <w:snapToGrid w:val="0"/>
          <w:color w:val="auto"/>
          <w:kern w:val="0"/>
          <w:szCs w:val="24"/>
          <w:highlight w:val="none"/>
        </w:rPr>
      </w:pPr>
    </w:p>
    <w:p w14:paraId="46DA4163">
      <w:pPr>
        <w:wordWrap w:val="0"/>
        <w:adjustRightInd w:val="0"/>
        <w:snapToGrid w:val="0"/>
        <w:spacing w:before="260" w:after="260" w:line="440" w:lineRule="exact"/>
        <w:jc w:val="center"/>
        <w:outlineLvl w:val="2"/>
        <w:rPr>
          <w:rFonts w:hint="eastAsia" w:ascii="Times New Roman"/>
          <w:b/>
          <w:snapToGrid w:val="0"/>
          <w:color w:val="auto"/>
          <w:kern w:val="0"/>
          <w:highlight w:val="none"/>
        </w:rPr>
      </w:pPr>
      <w:bookmarkStart w:id="256" w:name="_Toc16413"/>
      <w:r>
        <w:rPr>
          <w:rFonts w:hint="eastAsia" w:ascii="Times New Roman"/>
          <w:b/>
          <w:snapToGrid w:val="0"/>
          <w:color w:val="auto"/>
          <w:kern w:val="0"/>
          <w:sz w:val="30"/>
          <w:highlight w:val="none"/>
        </w:rPr>
        <w:t>项目管理机构组成表</w:t>
      </w:r>
      <w:bookmarkEnd w:id="256"/>
    </w:p>
    <w:tbl>
      <w:tblPr>
        <w:tblStyle w:val="3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585"/>
        <w:gridCol w:w="1800"/>
        <w:gridCol w:w="1455"/>
        <w:gridCol w:w="945"/>
        <w:gridCol w:w="930"/>
        <w:gridCol w:w="1440"/>
        <w:gridCol w:w="1783"/>
      </w:tblGrid>
      <w:tr w14:paraId="2D0E1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6E80BAC8">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74854D6">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岗位</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A686172">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45" w:type="dxa"/>
            <w:tcBorders>
              <w:top w:val="single" w:color="auto" w:sz="6" w:space="0"/>
              <w:left w:val="single" w:color="auto" w:sz="6" w:space="0"/>
              <w:bottom w:val="single" w:color="auto" w:sz="6" w:space="0"/>
              <w:right w:val="single" w:color="auto" w:sz="6" w:space="0"/>
            </w:tcBorders>
            <w:noWrap w:val="0"/>
            <w:vAlign w:val="center"/>
          </w:tcPr>
          <w:p w14:paraId="494DF31E">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930" w:type="dxa"/>
            <w:tcBorders>
              <w:top w:val="single" w:color="auto" w:sz="6" w:space="0"/>
              <w:left w:val="single" w:color="auto" w:sz="6" w:space="0"/>
              <w:bottom w:val="single" w:color="auto" w:sz="6" w:space="0"/>
              <w:right w:val="single" w:color="auto" w:sz="6" w:space="0"/>
            </w:tcBorders>
            <w:noWrap w:val="0"/>
            <w:vAlign w:val="center"/>
          </w:tcPr>
          <w:p w14:paraId="52718F76">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7E08AAE">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1783" w:type="dxa"/>
            <w:tcBorders>
              <w:top w:val="single" w:color="auto" w:sz="6" w:space="0"/>
              <w:left w:val="single" w:color="auto" w:sz="6" w:space="0"/>
              <w:bottom w:val="single" w:color="auto" w:sz="6" w:space="0"/>
              <w:right w:val="single" w:color="auto" w:sz="6" w:space="0"/>
            </w:tcBorders>
            <w:noWrap w:val="0"/>
            <w:vAlign w:val="center"/>
          </w:tcPr>
          <w:p w14:paraId="0F1EAA5C">
            <w:pPr>
              <w:wordWrap w:val="0"/>
              <w:adjustRightInd w:val="0"/>
              <w:snapToGrid w:val="0"/>
              <w:spacing w:line="240" w:lineRule="auto"/>
              <w:jc w:val="center"/>
              <w:textAlignment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14:paraId="38676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5D67EA7">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23197BF">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DB1027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4BB9AC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7F37AC98">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BC5CF8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1E332C1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3D25F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8C5B4F6">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D1A6779">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项目技术负责人</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058524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D2F4D88">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4E2C6DB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A23E417">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76C09269">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49E04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3E553080">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34AE999">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68EE617F">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766547B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73C80382">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65416F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0B96661F">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4A23C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6F8562D">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2F3B771B">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648D399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754519DB">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665858F9">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30D566A5">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7364305C">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1B52C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27A7B94A">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217DB623">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29E5F12">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1C6BE950">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1FB41733">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8C7FC4C">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2E0C6CE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267FF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75A1DC27">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1D17EA52">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EBCFE08">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196A494E">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57CF1B44">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A1C3197">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25E77644">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76B83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76459705">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64230450">
            <w:pPr>
              <w:wordWrap w:val="0"/>
              <w:adjustRightInd w:val="0"/>
              <w:snapToGrid w:val="0"/>
              <w:spacing w:line="240" w:lineRule="auto"/>
              <w:jc w:val="center"/>
              <w:textAlignment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014B9B2">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5C7618EA">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4E041004">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FC5659D">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1E54A7AE">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r w14:paraId="2EE98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6CB29F3B">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AB3783F">
            <w:pPr>
              <w:wordWrap w:val="0"/>
              <w:adjustRightInd w:val="0"/>
              <w:snapToGrid w:val="0"/>
              <w:spacing w:line="240" w:lineRule="auto"/>
              <w:jc w:val="center"/>
              <w:textAlignment w:val="center"/>
              <w:rPr>
                <w:rFonts w:hint="eastAsia" w:ascii="Times New Roman"/>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noWrap w:val="0"/>
            <w:vAlign w:val="center"/>
          </w:tcPr>
          <w:p w14:paraId="3D0CE037">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4B165AA">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5EFE9CC3">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6F645A9D">
            <w:pPr>
              <w:wordWrap w:val="0"/>
              <w:adjustRightInd w:val="0"/>
              <w:snapToGrid w:val="0"/>
              <w:spacing w:line="240" w:lineRule="auto"/>
              <w:jc w:val="center"/>
              <w:textAlignment w:val="center"/>
              <w:rPr>
                <w:rFonts w:ascii="Times New Roman"/>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459122A1">
            <w:pPr>
              <w:wordWrap w:val="0"/>
              <w:adjustRightInd w:val="0"/>
              <w:snapToGrid w:val="0"/>
              <w:spacing w:line="240" w:lineRule="auto"/>
              <w:jc w:val="center"/>
              <w:textAlignment w:val="center"/>
              <w:rPr>
                <w:rFonts w:ascii="Times New Roman"/>
                <w:snapToGrid w:val="0"/>
                <w:color w:val="auto"/>
                <w:kern w:val="0"/>
                <w:sz w:val="21"/>
                <w:szCs w:val="21"/>
                <w:highlight w:val="none"/>
              </w:rPr>
            </w:pPr>
          </w:p>
        </w:tc>
      </w:tr>
    </w:tbl>
    <w:p w14:paraId="7C1A2AC2">
      <w:pPr>
        <w:pStyle w:val="76"/>
        <w:widowControl w:val="0"/>
        <w:wordWrap w:val="0"/>
        <w:adjustRightInd w:val="0"/>
        <w:snapToGrid w:val="0"/>
        <w:spacing w:line="400" w:lineRule="exact"/>
        <w:rPr>
          <w:rFonts w:hint="eastAsia" w:ascii="Times New Roman"/>
          <w:snapToGrid w:val="0"/>
          <w:color w:val="auto"/>
          <w:sz w:val="21"/>
          <w:highlight w:val="none"/>
        </w:rPr>
      </w:pPr>
    </w:p>
    <w:p w14:paraId="3BB5421A">
      <w:pPr>
        <w:pStyle w:val="76"/>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2AD3E576">
      <w:pPr>
        <w:pStyle w:val="76"/>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《项目管理机构组成表》后应附表中拟派人员（项目经理、项目技术负责人除外）以下资料：</w:t>
      </w:r>
    </w:p>
    <w:p w14:paraId="09C2C041">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1．身份证彩色扫描件；</w:t>
      </w:r>
    </w:p>
    <w:p w14:paraId="4EBEEFC6">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（1）身份证彩色扫描件；</w:t>
      </w:r>
    </w:p>
    <w:p w14:paraId="1C4CED27">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（2）岗位证或培训证彩色扫描件；</w:t>
      </w:r>
    </w:p>
    <w:p w14:paraId="23D47B0F">
      <w:pPr>
        <w:wordWrap w:val="0"/>
        <w:adjustRightInd w:val="0"/>
        <w:snapToGrid w:val="0"/>
        <w:spacing w:line="400" w:lineRule="exact"/>
        <w:ind w:firstLine="420" w:firstLineChars="200"/>
        <w:rPr>
          <w:rFonts w:hint="eastAsia" w:ascii="Times New Roman"/>
          <w:snapToGrid w:val="0"/>
          <w:color w:val="auto"/>
          <w:kern w:val="0"/>
          <w:sz w:val="21"/>
          <w:szCs w:val="28"/>
        </w:rPr>
      </w:pPr>
      <w:r>
        <w:rPr>
          <w:rFonts w:hint="eastAsia" w:ascii="Times New Roman"/>
          <w:snapToGrid w:val="0"/>
          <w:color w:val="auto"/>
          <w:kern w:val="0"/>
          <w:sz w:val="21"/>
          <w:szCs w:val="28"/>
        </w:rPr>
        <w:t>（3）在本单位缴纳社保的证明</w:t>
      </w:r>
      <w:r>
        <w:rPr>
          <w:rFonts w:hint="eastAsia" w:ascii="Times New Roman"/>
          <w:snapToGrid w:val="0"/>
          <w:color w:val="FF0000"/>
          <w:kern w:val="0"/>
          <w:sz w:val="21"/>
          <w:szCs w:val="28"/>
          <w:highlight w:val="none"/>
          <w:lang w:eastAsia="zh-CN"/>
        </w:rPr>
        <w:t>（至少连续三个月，其中必须有2025年6月）</w:t>
      </w:r>
      <w:r>
        <w:rPr>
          <w:rFonts w:hint="eastAsia" w:ascii="Times New Roman"/>
          <w:snapToGrid w:val="0"/>
          <w:color w:val="auto"/>
          <w:kern w:val="0"/>
          <w:sz w:val="21"/>
          <w:szCs w:val="28"/>
        </w:rPr>
        <w:t>彩色扫描件。拟派人员为退休返聘人员无法提供社保证明的，提供退休证和劳动合同彩色扫描件。</w:t>
      </w:r>
    </w:p>
    <w:p w14:paraId="54CD70D6">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rPr>
      </w:pPr>
      <w:r>
        <w:rPr>
          <w:rFonts w:hint="eastAsia" w:ascii="Times New Roman" w:hAnsi="Times New Roman" w:eastAsia="宋体" w:cs="Times New Roman"/>
          <w:snapToGrid w:val="0"/>
          <w:color w:val="auto"/>
          <w:kern w:val="0"/>
          <w:sz w:val="21"/>
          <w:szCs w:val="28"/>
        </w:rPr>
        <w:t>（4）“进粤企业和人员诚信信息登记平台”个人信息情况截图。（适用于省外建筑企业）</w:t>
      </w:r>
    </w:p>
    <w:p w14:paraId="6D1B9CD4">
      <w:pPr>
        <w:wordWrap w:val="0"/>
        <w:adjustRightInd w:val="0"/>
        <w:snapToGrid w:val="0"/>
        <w:spacing w:line="400" w:lineRule="exact"/>
        <w:ind w:firstLine="420" w:firstLineChars="200"/>
        <w:rPr>
          <w:rFonts w:hint="eastAsia" w:ascii="Times New Roman"/>
          <w:snapToGrid w:val="0"/>
          <w:color w:val="auto"/>
          <w:kern w:val="0"/>
          <w:sz w:val="21"/>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sz w:val="21"/>
          <w:szCs w:val="21"/>
        </w:rPr>
        <w:t>2．联合体投标的，《项目管理机构组成表》应包括联合体成员单位参与项目管理机构的人员，并提供以上所需资料。</w:t>
      </w:r>
    </w:p>
    <w:bookmarkEnd w:id="252"/>
    <w:bookmarkEnd w:id="253"/>
    <w:p w14:paraId="04F9C911">
      <w:pPr>
        <w:pStyle w:val="76"/>
        <w:widowControl w:val="0"/>
        <w:wordWrap w:val="0"/>
        <w:adjustRightInd w:val="0"/>
        <w:snapToGrid w:val="0"/>
        <w:spacing w:line="400" w:lineRule="exact"/>
        <w:ind w:firstLine="0"/>
        <w:rPr>
          <w:rFonts w:hint="eastAsia" w:ascii="Times New Roman"/>
          <w:b/>
          <w:bCs/>
          <w:snapToGrid w:val="0"/>
          <w:color w:val="auto"/>
          <w:sz w:val="24"/>
          <w:szCs w:val="24"/>
          <w:highlight w:val="none"/>
        </w:rPr>
      </w:pPr>
      <w:r>
        <w:rPr>
          <w:rFonts w:hint="eastAsia" w:ascii="Times New Roman"/>
          <w:b/>
          <w:bCs/>
          <w:snapToGrid w:val="0"/>
          <w:color w:val="auto"/>
          <w:sz w:val="24"/>
          <w:szCs w:val="24"/>
          <w:highlight w:val="none"/>
        </w:rPr>
        <w:t>格式十二 建造师查询页（有效期）</w:t>
      </w:r>
    </w:p>
    <w:p w14:paraId="35F4B8C6">
      <w:pPr>
        <w:pStyle w:val="76"/>
        <w:widowControl w:val="0"/>
        <w:wordWrap w:val="0"/>
        <w:adjustRightInd w:val="0"/>
        <w:snapToGrid w:val="0"/>
        <w:spacing w:line="400" w:lineRule="exact"/>
        <w:ind w:firstLine="0"/>
        <w:rPr>
          <w:rFonts w:hint="eastAsia" w:ascii="Times New Roman"/>
          <w:b/>
          <w:bCs/>
          <w:snapToGrid w:val="0"/>
          <w:color w:val="auto"/>
          <w:sz w:val="24"/>
          <w:szCs w:val="24"/>
          <w:highlight w:val="none"/>
        </w:rPr>
      </w:pPr>
    </w:p>
    <w:p w14:paraId="78E8AADF">
      <w:pPr>
        <w:pStyle w:val="76"/>
        <w:widowControl w:val="0"/>
        <w:wordWrap w:val="0"/>
        <w:adjustRightInd w:val="0"/>
        <w:snapToGrid w:val="0"/>
        <w:spacing w:line="400" w:lineRule="exact"/>
        <w:ind w:firstLine="482" w:firstLineChars="200"/>
        <w:rPr>
          <w:rFonts w:hint="eastAsia" w:ascii="Times New Roman"/>
          <w:snapToGrid w:val="0"/>
          <w:color w:val="auto"/>
          <w:sz w:val="21"/>
          <w:highlight w:val="none"/>
        </w:rPr>
      </w:pPr>
      <w:r>
        <w:rPr>
          <w:rFonts w:hint="eastAsia" w:ascii="Times New Roman"/>
          <w:b/>
          <w:bCs/>
          <w:snapToGrid w:val="0"/>
          <w:color w:val="auto"/>
          <w:sz w:val="24"/>
          <w:szCs w:val="24"/>
          <w:highlight w:val="none"/>
        </w:rPr>
        <w:t>建筑工程：</w:t>
      </w:r>
    </w:p>
    <w:p w14:paraId="70F216F6">
      <w:pPr>
        <w:pStyle w:val="76"/>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344160" cy="7471410"/>
            <wp:effectExtent l="0" t="0" r="8890" b="15240"/>
            <wp:docPr id="35" name="图片 15"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b7c3fa9a6b84aa75afaa6419d149817"/>
                    <pic:cNvPicPr>
                      <a:picLocks noChangeAspect="1"/>
                    </pic:cNvPicPr>
                  </pic:nvPicPr>
                  <pic:blipFill>
                    <a:blip r:embed="rId9"/>
                    <a:stretch>
                      <a:fillRect/>
                    </a:stretch>
                  </pic:blipFill>
                  <pic:spPr>
                    <a:xfrm>
                      <a:off x="0" y="0"/>
                      <a:ext cx="5344160" cy="7471410"/>
                    </a:xfrm>
                    <a:prstGeom prst="rect">
                      <a:avLst/>
                    </a:prstGeom>
                    <a:noFill/>
                    <a:ln>
                      <a:noFill/>
                    </a:ln>
                  </pic:spPr>
                </pic:pic>
              </a:graphicData>
            </a:graphic>
          </wp:inline>
        </w:drawing>
      </w:r>
    </w:p>
    <w:p w14:paraId="13A3ACF1">
      <w:pPr>
        <w:pStyle w:val="76"/>
        <w:widowControl w:val="0"/>
        <w:wordWrap w:val="0"/>
        <w:adjustRightInd w:val="0"/>
        <w:snapToGrid w:val="0"/>
        <w:spacing w:line="240" w:lineRule="auto"/>
        <w:ind w:firstLine="0"/>
        <w:rPr>
          <w:rFonts w:ascii="Times New Roman"/>
          <w:snapToGrid w:val="0"/>
          <w:color w:val="auto"/>
          <w:sz w:val="21"/>
          <w:highlight w:val="none"/>
        </w:rPr>
      </w:pPr>
    </w:p>
    <w:p w14:paraId="2250DF24">
      <w:pPr>
        <w:pStyle w:val="76"/>
        <w:widowControl w:val="0"/>
        <w:wordWrap w:val="0"/>
        <w:adjustRightInd w:val="0"/>
        <w:snapToGrid w:val="0"/>
        <w:spacing w:line="240" w:lineRule="auto"/>
        <w:ind w:firstLine="0"/>
        <w:rPr>
          <w:rFonts w:ascii="Times New Roman"/>
          <w:snapToGrid w:val="0"/>
          <w:color w:val="auto"/>
          <w:sz w:val="21"/>
          <w:highlight w:val="none"/>
        </w:rPr>
      </w:pPr>
    </w:p>
    <w:p w14:paraId="3F5780BA">
      <w:pPr>
        <w:pStyle w:val="76"/>
        <w:widowControl w:val="0"/>
        <w:wordWrap w:val="0"/>
        <w:adjustRightInd w:val="0"/>
        <w:snapToGrid w:val="0"/>
        <w:spacing w:line="240" w:lineRule="auto"/>
        <w:ind w:firstLine="0"/>
        <w:rPr>
          <w:rFonts w:ascii="Times New Roman"/>
          <w:snapToGrid w:val="0"/>
          <w:color w:val="auto"/>
          <w:sz w:val="21"/>
          <w:highlight w:val="none"/>
        </w:rPr>
      </w:pPr>
    </w:p>
    <w:p w14:paraId="62D97663">
      <w:pPr>
        <w:pStyle w:val="76"/>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2F4A6754">
      <w:pPr>
        <w:pStyle w:val="76"/>
        <w:widowControl w:val="0"/>
        <w:wordWrap w:val="0"/>
        <w:adjustRightInd w:val="0"/>
        <w:snapToGrid w:val="0"/>
        <w:spacing w:line="240" w:lineRule="auto"/>
        <w:ind w:firstLine="482" w:firstLineChars="200"/>
        <w:rPr>
          <w:rFonts w:ascii="Times New Roman"/>
          <w:b/>
          <w:bCs/>
          <w:snapToGrid w:val="0"/>
          <w:color w:val="auto"/>
          <w:sz w:val="24"/>
          <w:szCs w:val="24"/>
          <w:highlight w:val="none"/>
        </w:rPr>
      </w:pPr>
      <w:r>
        <w:rPr>
          <w:rFonts w:hint="eastAsia" w:ascii="Times New Roman"/>
          <w:b/>
          <w:bCs/>
          <w:snapToGrid w:val="0"/>
          <w:color w:val="auto"/>
          <w:sz w:val="24"/>
          <w:szCs w:val="24"/>
          <w:highlight w:val="none"/>
        </w:rPr>
        <w:t>市政工程：</w:t>
      </w:r>
    </w:p>
    <w:p w14:paraId="6C8FEB42">
      <w:pPr>
        <w:pStyle w:val="76"/>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202555" cy="7320915"/>
            <wp:effectExtent l="0" t="0" r="17145" b="13335"/>
            <wp:docPr id="36" name="图片 18" descr="ff38638e3efd3e260877c89525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ff38638e3efd3e260877c895254a317"/>
                    <pic:cNvPicPr>
                      <a:picLocks noChangeAspect="1"/>
                    </pic:cNvPicPr>
                  </pic:nvPicPr>
                  <pic:blipFill>
                    <a:blip r:embed="rId10"/>
                    <a:stretch>
                      <a:fillRect/>
                    </a:stretch>
                  </pic:blipFill>
                  <pic:spPr>
                    <a:xfrm>
                      <a:off x="0" y="0"/>
                      <a:ext cx="5202555" cy="7320915"/>
                    </a:xfrm>
                    <a:prstGeom prst="rect">
                      <a:avLst/>
                    </a:prstGeom>
                    <a:noFill/>
                    <a:ln>
                      <a:noFill/>
                    </a:ln>
                  </pic:spPr>
                </pic:pic>
              </a:graphicData>
            </a:graphic>
          </wp:inline>
        </w:drawing>
      </w:r>
    </w:p>
    <w:bookmarkEnd w:id="7"/>
    <w:bookmarkEnd w:id="225"/>
    <w:bookmarkEnd w:id="226"/>
    <w:p w14:paraId="7FB12F1A">
      <w:pPr>
        <w:pStyle w:val="80"/>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57" w:name="_附件二十一：土建工程、电气工程、给排水工程工程清单项目费汇总表"/>
      <w:bookmarkEnd w:id="257"/>
      <w:bookmarkStart w:id="258" w:name="_附件十六：措施项目清单计价表"/>
      <w:bookmarkEnd w:id="258"/>
      <w:bookmarkStart w:id="259" w:name="_Hlt87783244"/>
      <w:bookmarkEnd w:id="259"/>
      <w:bookmarkStart w:id="260" w:name="_Hlt87793582"/>
      <w:bookmarkEnd w:id="260"/>
      <w:bookmarkStart w:id="261" w:name="_Toc22677"/>
      <w:bookmarkStart w:id="262" w:name="_Toc21495"/>
      <w:bookmarkStart w:id="263" w:name="_Toc17955"/>
      <w:bookmarkStart w:id="264" w:name="_Toc346"/>
      <w:bookmarkStart w:id="265" w:name="_Toc13722"/>
      <w:bookmarkStart w:id="266" w:name="_Toc137444778"/>
      <w:bookmarkStart w:id="267" w:name="_Toc133160683"/>
      <w:bookmarkStart w:id="268" w:name="_Toc142468134"/>
      <w:bookmarkStart w:id="269" w:name="_Toc132687128"/>
      <w:bookmarkStart w:id="270" w:name="_Toc78794873"/>
      <w:bookmarkStart w:id="271" w:name="_Toc133815902"/>
      <w:r>
        <w:rPr>
          <w:rFonts w:hint="eastAsia"/>
          <w:b/>
          <w:snapToGrid w:val="0"/>
          <w:color w:val="auto"/>
          <w:highlight w:val="none"/>
        </w:rPr>
        <w:t>格式十三 原件一览表</w:t>
      </w:r>
      <w:bookmarkEnd w:id="261"/>
      <w:bookmarkEnd w:id="262"/>
      <w:bookmarkEnd w:id="263"/>
      <w:bookmarkEnd w:id="264"/>
    </w:p>
    <w:p w14:paraId="2BD991C5">
      <w:pPr>
        <w:spacing w:line="336" w:lineRule="auto"/>
        <w:contextualSpacing/>
        <w:jc w:val="left"/>
        <w:rPr>
          <w:rFonts w:hint="eastAsia" w:hAnsi="宋体"/>
          <w:color w:val="auto"/>
          <w:highlight w:val="none"/>
        </w:rPr>
      </w:pPr>
    </w:p>
    <w:tbl>
      <w:tblPr>
        <w:tblStyle w:val="3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750F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4EFC3C7E">
            <w:pPr>
              <w:jc w:val="center"/>
              <w:rPr>
                <w:rFonts w:hAnsi="宋体" w:cs="宋体"/>
                <w:color w:val="auto"/>
                <w:highlight w:val="none"/>
              </w:rPr>
            </w:pPr>
            <w:r>
              <w:rPr>
                <w:rFonts w:hAnsi="宋体" w:cs="宋体"/>
                <w:b/>
                <w:color w:val="auto"/>
                <w:highlight w:val="none"/>
              </w:rPr>
              <w:t>原件一览表</w:t>
            </w:r>
          </w:p>
        </w:tc>
      </w:tr>
      <w:tr w14:paraId="2069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75562A59">
            <w:pPr>
              <w:jc w:val="center"/>
              <w:rPr>
                <w:rFonts w:hAnsi="宋体" w:cs="宋体"/>
                <w:color w:val="auto"/>
                <w:sz w:val="20"/>
                <w:highlight w:val="none"/>
              </w:rPr>
            </w:pPr>
            <w:r>
              <w:rPr>
                <w:rFonts w:hAnsi="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62EEE682">
            <w:pPr>
              <w:jc w:val="center"/>
              <w:rPr>
                <w:rFonts w:hAnsi="宋体" w:cs="宋体"/>
                <w:color w:val="auto"/>
                <w:sz w:val="20"/>
                <w:highlight w:val="none"/>
              </w:rPr>
            </w:pPr>
            <w:r>
              <w:rPr>
                <w:rFonts w:hAnsi="宋体" w:cs="宋体"/>
                <w:color w:val="auto"/>
                <w:sz w:val="20"/>
                <w:highlight w:val="none"/>
              </w:rPr>
              <w:t xml:space="preserve"> </w:t>
            </w:r>
          </w:p>
        </w:tc>
      </w:tr>
      <w:tr w14:paraId="2CFA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4C5AA1AD">
            <w:pPr>
              <w:jc w:val="center"/>
              <w:rPr>
                <w:rFonts w:hAnsi="宋体" w:cs="宋体"/>
                <w:color w:val="auto"/>
                <w:sz w:val="20"/>
                <w:highlight w:val="none"/>
              </w:rPr>
            </w:pPr>
            <w:r>
              <w:rPr>
                <w:rFonts w:hAnsi="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3CC21C74">
            <w:pPr>
              <w:jc w:val="center"/>
              <w:rPr>
                <w:rFonts w:hAnsi="宋体" w:cs="宋体"/>
                <w:color w:val="auto"/>
                <w:sz w:val="20"/>
                <w:highlight w:val="none"/>
              </w:rPr>
            </w:pPr>
            <w:r>
              <w:rPr>
                <w:rFonts w:hAnsi="宋体" w:cs="宋体"/>
                <w:color w:val="auto"/>
                <w:sz w:val="20"/>
                <w:highlight w:val="none"/>
              </w:rPr>
              <w:t>　</w:t>
            </w:r>
          </w:p>
        </w:tc>
      </w:tr>
      <w:tr w14:paraId="7042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91B14DF">
            <w:pPr>
              <w:jc w:val="center"/>
              <w:rPr>
                <w:rFonts w:hint="eastAsia" w:hAnsi="宋体" w:cs="宋体"/>
                <w:color w:val="auto"/>
                <w:sz w:val="20"/>
                <w:highlight w:val="none"/>
              </w:rPr>
            </w:pPr>
            <w:r>
              <w:rPr>
                <w:rFonts w:hAnsi="宋体" w:cs="宋体"/>
                <w:color w:val="auto"/>
                <w:sz w:val="20"/>
                <w:highlight w:val="none"/>
              </w:rPr>
              <w:t>投标人法定代表人或其</w:t>
            </w:r>
          </w:p>
          <w:p w14:paraId="40334E1B">
            <w:pPr>
              <w:jc w:val="center"/>
              <w:rPr>
                <w:rFonts w:hAnsi="宋体" w:cs="宋体"/>
                <w:color w:val="auto"/>
                <w:sz w:val="20"/>
                <w:highlight w:val="none"/>
              </w:rPr>
            </w:pPr>
            <w:r>
              <w:rPr>
                <w:rFonts w:hAnsi="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56C3C04A">
            <w:pPr>
              <w:jc w:val="center"/>
              <w:rPr>
                <w:rFonts w:hAnsi="宋体" w:cs="宋体"/>
                <w:color w:val="auto"/>
                <w:sz w:val="20"/>
                <w:highlight w:val="none"/>
              </w:rPr>
            </w:pPr>
            <w:r>
              <w:rPr>
                <w:rFonts w:hAnsi="宋体" w:cs="宋体"/>
                <w:color w:val="auto"/>
                <w:sz w:val="20"/>
                <w:highlight w:val="none"/>
              </w:rPr>
              <w:t>　</w:t>
            </w:r>
          </w:p>
        </w:tc>
        <w:tc>
          <w:tcPr>
            <w:tcW w:w="754" w:type="dxa"/>
            <w:shd w:val="clear" w:color="000000" w:fill="FFFFFF"/>
            <w:noWrap w:val="0"/>
            <w:tcMar>
              <w:left w:w="108" w:type="dxa"/>
              <w:right w:w="108" w:type="dxa"/>
            </w:tcMar>
            <w:vAlign w:val="center"/>
          </w:tcPr>
          <w:p w14:paraId="6C160A20">
            <w:pPr>
              <w:jc w:val="center"/>
              <w:rPr>
                <w:rFonts w:hAnsi="宋体" w:cs="宋体"/>
                <w:color w:val="auto"/>
                <w:sz w:val="20"/>
                <w:highlight w:val="none"/>
              </w:rPr>
            </w:pPr>
            <w:r>
              <w:rPr>
                <w:rFonts w:hAnsi="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347957A">
            <w:pPr>
              <w:jc w:val="center"/>
              <w:rPr>
                <w:rFonts w:hAnsi="宋体" w:cs="宋体"/>
                <w:color w:val="auto"/>
                <w:sz w:val="20"/>
                <w:highlight w:val="none"/>
              </w:rPr>
            </w:pPr>
            <w:r>
              <w:rPr>
                <w:rFonts w:hAnsi="宋体" w:cs="宋体"/>
                <w:color w:val="auto"/>
                <w:sz w:val="20"/>
                <w:highlight w:val="none"/>
              </w:rPr>
              <w:t>　</w:t>
            </w:r>
          </w:p>
        </w:tc>
      </w:tr>
      <w:tr w14:paraId="061A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7E8EE34F">
            <w:pPr>
              <w:jc w:val="center"/>
              <w:rPr>
                <w:rFonts w:hAnsi="宋体" w:cs="宋体"/>
                <w:color w:val="auto"/>
                <w:sz w:val="20"/>
                <w:highlight w:val="none"/>
              </w:rPr>
            </w:pPr>
            <w:r>
              <w:rPr>
                <w:rFonts w:hAnsi="宋体" w:cs="宋体"/>
                <w:color w:val="auto"/>
                <w:sz w:val="20"/>
                <w:highlight w:val="none"/>
              </w:rPr>
              <w:t>递交的证明材料原件如下：</w:t>
            </w:r>
          </w:p>
        </w:tc>
      </w:tr>
      <w:tr w14:paraId="0A8E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28D90AFB">
            <w:pPr>
              <w:jc w:val="center"/>
              <w:rPr>
                <w:rFonts w:hAnsi="宋体" w:cs="宋体"/>
                <w:color w:val="auto"/>
                <w:sz w:val="20"/>
                <w:highlight w:val="none"/>
              </w:rPr>
            </w:pPr>
            <w:r>
              <w:rPr>
                <w:rFonts w:hAnsi="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721F2504">
            <w:pPr>
              <w:jc w:val="center"/>
              <w:rPr>
                <w:rFonts w:hAnsi="宋体" w:cs="宋体"/>
                <w:color w:val="auto"/>
                <w:sz w:val="20"/>
                <w:highlight w:val="none"/>
              </w:rPr>
            </w:pPr>
            <w:r>
              <w:rPr>
                <w:rFonts w:hAnsi="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5BB722A0">
            <w:pPr>
              <w:jc w:val="center"/>
              <w:rPr>
                <w:rFonts w:hAnsi="宋体" w:cs="宋体"/>
                <w:color w:val="auto"/>
                <w:sz w:val="20"/>
                <w:highlight w:val="none"/>
              </w:rPr>
            </w:pPr>
            <w:r>
              <w:rPr>
                <w:rFonts w:hAnsi="宋体" w:cs="宋体"/>
                <w:color w:val="auto"/>
                <w:sz w:val="20"/>
                <w:highlight w:val="none"/>
              </w:rPr>
              <w:t>单位</w:t>
            </w:r>
          </w:p>
        </w:tc>
        <w:tc>
          <w:tcPr>
            <w:tcW w:w="1570" w:type="dxa"/>
            <w:shd w:val="clear" w:color="auto" w:fill="FFFFFF"/>
            <w:noWrap w:val="0"/>
            <w:tcMar>
              <w:left w:w="108" w:type="dxa"/>
              <w:right w:w="108" w:type="dxa"/>
            </w:tcMar>
            <w:vAlign w:val="center"/>
          </w:tcPr>
          <w:p w14:paraId="0D42D1F2">
            <w:pPr>
              <w:jc w:val="center"/>
              <w:rPr>
                <w:rFonts w:hAnsi="宋体" w:cs="宋体"/>
                <w:color w:val="auto"/>
                <w:sz w:val="20"/>
                <w:highlight w:val="none"/>
              </w:rPr>
            </w:pPr>
            <w:r>
              <w:rPr>
                <w:rFonts w:hAnsi="宋体" w:cs="宋体"/>
                <w:color w:val="auto"/>
                <w:sz w:val="20"/>
                <w:highlight w:val="none"/>
              </w:rPr>
              <w:t>数量</w:t>
            </w:r>
          </w:p>
        </w:tc>
      </w:tr>
      <w:tr w14:paraId="359A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EBA759F">
            <w:pPr>
              <w:jc w:val="center"/>
              <w:rPr>
                <w:rFonts w:hint="eastAsia" w:hAnsi="宋体" w:cs="宋体"/>
                <w:color w:val="auto"/>
                <w:highlight w:val="none"/>
              </w:rPr>
            </w:pPr>
            <w:r>
              <w:rPr>
                <w:rFonts w:hint="eastAsia" w:hAnsi="宋体" w:cs="宋体"/>
                <w:color w:val="auto"/>
                <w:highlight w:val="none"/>
              </w:rPr>
              <w:t>1</w:t>
            </w:r>
          </w:p>
        </w:tc>
        <w:tc>
          <w:tcPr>
            <w:tcW w:w="5125" w:type="dxa"/>
            <w:gridSpan w:val="4"/>
            <w:shd w:val="clear" w:color="000000" w:fill="FFFFFF"/>
            <w:noWrap w:val="0"/>
            <w:tcMar>
              <w:left w:w="108" w:type="dxa"/>
              <w:right w:w="108" w:type="dxa"/>
            </w:tcMar>
            <w:vAlign w:val="center"/>
          </w:tcPr>
          <w:p w14:paraId="7AD06273">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4FF3A6A1">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58550857">
            <w:pPr>
              <w:jc w:val="center"/>
              <w:rPr>
                <w:rFonts w:hAnsi="宋体" w:cs="宋体"/>
                <w:color w:val="auto"/>
                <w:highlight w:val="none"/>
              </w:rPr>
            </w:pPr>
            <w:r>
              <w:rPr>
                <w:rFonts w:hAnsi="宋体" w:cs="宋体"/>
                <w:color w:val="auto"/>
                <w:highlight w:val="none"/>
              </w:rPr>
              <w:t>　</w:t>
            </w:r>
          </w:p>
        </w:tc>
      </w:tr>
      <w:tr w14:paraId="06EE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0C264BBE">
            <w:pPr>
              <w:jc w:val="center"/>
              <w:rPr>
                <w:rFonts w:hint="eastAsia" w:hAnsi="宋体" w:cs="宋体"/>
                <w:color w:val="auto"/>
                <w:highlight w:val="none"/>
              </w:rPr>
            </w:pPr>
            <w:r>
              <w:rPr>
                <w:rFonts w:hint="eastAsia" w:hAnsi="宋体" w:cs="宋体"/>
                <w:color w:val="auto"/>
                <w:highlight w:val="none"/>
              </w:rPr>
              <w:t>2</w:t>
            </w:r>
          </w:p>
        </w:tc>
        <w:tc>
          <w:tcPr>
            <w:tcW w:w="5125" w:type="dxa"/>
            <w:gridSpan w:val="4"/>
            <w:shd w:val="clear" w:color="000000" w:fill="FFFFFF"/>
            <w:noWrap w:val="0"/>
            <w:tcMar>
              <w:left w:w="108" w:type="dxa"/>
              <w:right w:w="108" w:type="dxa"/>
            </w:tcMar>
            <w:vAlign w:val="center"/>
          </w:tcPr>
          <w:p w14:paraId="6025FECB">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264ECA73">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0C8B1B27">
            <w:pPr>
              <w:jc w:val="center"/>
              <w:rPr>
                <w:rFonts w:hAnsi="宋体" w:cs="宋体"/>
                <w:color w:val="auto"/>
                <w:highlight w:val="none"/>
              </w:rPr>
            </w:pPr>
          </w:p>
        </w:tc>
      </w:tr>
      <w:tr w14:paraId="5523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B2DC02E">
            <w:pPr>
              <w:jc w:val="center"/>
              <w:rPr>
                <w:rFonts w:hint="eastAsia" w:hAnsi="宋体" w:cs="宋体"/>
                <w:color w:val="auto"/>
                <w:highlight w:val="none"/>
              </w:rPr>
            </w:pPr>
            <w:r>
              <w:rPr>
                <w:rFonts w:hint="eastAsia" w:hAnsi="宋体" w:cs="宋体"/>
                <w:color w:val="auto"/>
                <w:highlight w:val="none"/>
              </w:rPr>
              <w:t>3</w:t>
            </w:r>
          </w:p>
        </w:tc>
        <w:tc>
          <w:tcPr>
            <w:tcW w:w="5125" w:type="dxa"/>
            <w:gridSpan w:val="4"/>
            <w:shd w:val="clear" w:color="000000" w:fill="FFFFFF"/>
            <w:noWrap w:val="0"/>
            <w:tcMar>
              <w:left w:w="108" w:type="dxa"/>
              <w:right w:w="108" w:type="dxa"/>
            </w:tcMar>
            <w:vAlign w:val="center"/>
          </w:tcPr>
          <w:p w14:paraId="6388C33E">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0918970B">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08486DD6">
            <w:pPr>
              <w:jc w:val="center"/>
              <w:rPr>
                <w:rFonts w:hAnsi="宋体" w:cs="宋体"/>
                <w:color w:val="auto"/>
                <w:highlight w:val="none"/>
              </w:rPr>
            </w:pPr>
          </w:p>
        </w:tc>
      </w:tr>
      <w:tr w14:paraId="3F36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D583F68">
            <w:pPr>
              <w:jc w:val="center"/>
              <w:rPr>
                <w:rFonts w:hint="eastAsia" w:hAnsi="宋体" w:cs="宋体"/>
                <w:color w:val="auto"/>
                <w:highlight w:val="none"/>
              </w:rPr>
            </w:pPr>
            <w:r>
              <w:rPr>
                <w:rFonts w:hint="eastAsia" w:hAnsi="宋体" w:cs="宋体"/>
                <w:color w:val="auto"/>
                <w:highlight w:val="none"/>
              </w:rPr>
              <w:t>...</w:t>
            </w:r>
          </w:p>
        </w:tc>
        <w:tc>
          <w:tcPr>
            <w:tcW w:w="5125" w:type="dxa"/>
            <w:gridSpan w:val="4"/>
            <w:shd w:val="clear" w:color="000000" w:fill="FFFFFF"/>
            <w:noWrap w:val="0"/>
            <w:tcMar>
              <w:left w:w="108" w:type="dxa"/>
              <w:right w:w="108" w:type="dxa"/>
            </w:tcMar>
            <w:vAlign w:val="center"/>
          </w:tcPr>
          <w:p w14:paraId="4B2C3502">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2364B09D">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6F77D19D">
            <w:pPr>
              <w:jc w:val="center"/>
              <w:rPr>
                <w:rFonts w:hAnsi="宋体" w:cs="宋体"/>
                <w:color w:val="auto"/>
                <w:highlight w:val="none"/>
              </w:rPr>
            </w:pPr>
            <w:r>
              <w:rPr>
                <w:rFonts w:hAnsi="宋体" w:cs="宋体"/>
                <w:color w:val="auto"/>
                <w:highlight w:val="none"/>
              </w:rPr>
              <w:t>　</w:t>
            </w:r>
          </w:p>
        </w:tc>
      </w:tr>
      <w:tr w14:paraId="7843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3A1E01D0">
            <w:pPr>
              <w:ind w:left="8" w:hanging="94"/>
              <w:jc w:val="center"/>
              <w:rPr>
                <w:rFonts w:hint="eastAsia" w:hAnsi="宋体" w:cs="宋体"/>
                <w:color w:val="auto"/>
                <w:sz w:val="20"/>
                <w:highlight w:val="none"/>
              </w:rPr>
            </w:pPr>
            <w:r>
              <w:rPr>
                <w:rFonts w:hint="eastAsia" w:hAnsi="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04E682FB">
            <w:pPr>
              <w:ind w:firstLine="480"/>
              <w:rPr>
                <w:rFonts w:hint="eastAsia" w:hAnsi="宋体" w:cs="宋体"/>
                <w:color w:val="auto"/>
                <w:sz w:val="20"/>
                <w:highlight w:val="none"/>
              </w:rPr>
            </w:pPr>
            <w:r>
              <w:rPr>
                <w:rFonts w:hint="eastAsia" w:hAnsi="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05C8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E9570E5">
            <w:pPr>
              <w:jc w:val="center"/>
              <w:rPr>
                <w:rFonts w:hint="eastAsia" w:hAnsi="宋体" w:cs="宋体"/>
                <w:color w:val="auto"/>
                <w:sz w:val="20"/>
                <w:highlight w:val="none"/>
              </w:rPr>
            </w:pPr>
          </w:p>
          <w:p w14:paraId="169A2E29">
            <w:pPr>
              <w:jc w:val="center"/>
              <w:rPr>
                <w:rFonts w:hint="eastAsia" w:hAnsi="宋体" w:cs="宋体"/>
                <w:color w:val="auto"/>
                <w:sz w:val="20"/>
                <w:highlight w:val="none"/>
              </w:rPr>
            </w:pPr>
            <w:r>
              <w:rPr>
                <w:rFonts w:hint="eastAsia" w:hAnsi="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164AF934">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14:paraId="5F3119F8">
            <w:pPr>
              <w:jc w:val="center"/>
              <w:rPr>
                <w:rFonts w:hint="eastAsia" w:hAnsi="宋体" w:cs="宋体"/>
                <w:color w:val="auto"/>
                <w:sz w:val="20"/>
                <w:highlight w:val="none"/>
              </w:rPr>
            </w:pPr>
            <w:r>
              <w:rPr>
                <w:rFonts w:hint="eastAsia" w:hAnsi="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E3CCF82">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r w14:paraId="2FEC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5EB768B7">
            <w:pPr>
              <w:jc w:val="center"/>
              <w:rPr>
                <w:rFonts w:hint="eastAsia" w:hAnsi="宋体" w:cs="宋体"/>
                <w:color w:val="auto"/>
                <w:sz w:val="20"/>
                <w:highlight w:val="none"/>
              </w:rPr>
            </w:pPr>
            <w:r>
              <w:rPr>
                <w:rFonts w:hint="eastAsia" w:hAnsi="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00B10958">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14:paraId="44AD7A1E">
            <w:pPr>
              <w:jc w:val="center"/>
              <w:rPr>
                <w:rFonts w:hint="eastAsia" w:hAnsi="宋体" w:cs="宋体"/>
                <w:color w:val="auto"/>
                <w:sz w:val="20"/>
                <w:highlight w:val="none"/>
              </w:rPr>
            </w:pPr>
            <w:r>
              <w:rPr>
                <w:rFonts w:hint="eastAsia" w:hAnsi="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5BFD7649">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bl>
    <w:p w14:paraId="72CC3E31">
      <w:pPr>
        <w:pStyle w:val="76"/>
        <w:widowControl w:val="0"/>
        <w:wordWrap w:val="0"/>
        <w:adjustRightInd w:val="0"/>
        <w:snapToGrid w:val="0"/>
        <w:spacing w:line="400" w:lineRule="exact"/>
        <w:rPr>
          <w:rFonts w:hint="eastAsia" w:ascii="Times New Roman"/>
          <w:snapToGrid w:val="0"/>
          <w:color w:val="auto"/>
          <w:sz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19D76C17">
      <w:pPr>
        <w:pStyle w:val="2"/>
        <w:wordWrap w:val="0"/>
        <w:autoSpaceDE/>
        <w:autoSpaceDN/>
        <w:snapToGrid w:val="0"/>
        <w:spacing w:line="440" w:lineRule="exact"/>
        <w:jc w:val="center"/>
        <w:rPr>
          <w:rFonts w:hint="eastAsia" w:ascii="Times New Roman"/>
          <w:b/>
          <w:snapToGrid w:val="0"/>
          <w:color w:val="auto"/>
          <w:sz w:val="24"/>
          <w:highlight w:val="none"/>
        </w:rPr>
      </w:pPr>
      <w:bookmarkStart w:id="272" w:name="_Toc10387"/>
      <w:bookmarkStart w:id="273" w:name="_Toc10339"/>
      <w:r>
        <w:rPr>
          <w:rFonts w:hint="eastAsia" w:ascii="Times New Roman"/>
          <w:b/>
          <w:snapToGrid w:val="0"/>
          <w:color w:val="auto"/>
          <w:sz w:val="24"/>
          <w:highlight w:val="none"/>
        </w:rPr>
        <w:t>第七章 建设工程施工合同</w:t>
      </w:r>
      <w:bookmarkEnd w:id="265"/>
      <w:bookmarkEnd w:id="266"/>
      <w:bookmarkEnd w:id="267"/>
      <w:bookmarkEnd w:id="268"/>
      <w:bookmarkEnd w:id="269"/>
      <w:bookmarkEnd w:id="272"/>
      <w:bookmarkEnd w:id="273"/>
    </w:p>
    <w:p w14:paraId="5838FEE5">
      <w:pPr>
        <w:wordWrap w:val="0"/>
        <w:adjustRightInd w:val="0"/>
        <w:snapToGrid w:val="0"/>
        <w:spacing w:line="440" w:lineRule="exact"/>
        <w:rPr>
          <w:rFonts w:hint="eastAsia" w:ascii="Times New Roman"/>
          <w:snapToGrid w:val="0"/>
          <w:color w:val="auto"/>
          <w:kern w:val="0"/>
          <w:highlight w:val="none"/>
        </w:rPr>
      </w:pPr>
    </w:p>
    <w:p w14:paraId="45B96607">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270"/>
      <w:bookmarkEnd w:id="271"/>
      <w:r>
        <w:rPr>
          <w:rFonts w:hint="eastAsia" w:ascii="Times New Roman"/>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63ED">
    <w:pPr>
      <w:pStyle w:val="21"/>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79E82">
    <w:pPr>
      <w:pStyle w:val="21"/>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0807E">
                          <w:pPr>
                            <w:pStyle w:val="21"/>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5F70807E">
                    <w:pPr>
                      <w:pStyle w:val="21"/>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8FC0"/>
    <w:multiLevelType w:val="singleLevel"/>
    <w:tmpl w:val="EF148FC0"/>
    <w:lvl w:ilvl="0" w:tentative="0">
      <w:start w:val="1"/>
      <w:numFmt w:val="decimal"/>
      <w:suff w:val="nothing"/>
      <w:lvlText w:val="（%1）"/>
      <w:lvlJc w:val="left"/>
    </w:lvl>
  </w:abstractNum>
  <w:abstractNum w:abstractNumId="1">
    <w:nsid w:val="1340181E"/>
    <w:multiLevelType w:val="singleLevel"/>
    <w:tmpl w:val="1340181E"/>
    <w:lvl w:ilvl="0" w:tentative="0">
      <w:start w:val="1"/>
      <w:numFmt w:val="decimal"/>
      <w:suff w:val="nothing"/>
      <w:lvlText w:val="（%1）"/>
      <w:lvlJc w:val="left"/>
    </w:lvl>
  </w:abstractNum>
  <w:abstractNum w:abstractNumId="2">
    <w:nsid w:val="1F2EA92A"/>
    <w:multiLevelType w:val="singleLevel"/>
    <w:tmpl w:val="1F2EA92A"/>
    <w:lvl w:ilvl="0" w:tentative="0">
      <w:start w:val="1"/>
      <w:numFmt w:val="decimal"/>
      <w:suff w:val="nothing"/>
      <w:lvlText w:val="（%1）"/>
      <w:lvlJc w:val="left"/>
    </w:lvl>
  </w:abstractNum>
  <w:abstractNum w:abstractNumId="3">
    <w:nsid w:val="4D16E602"/>
    <w:multiLevelType w:val="singleLevel"/>
    <w:tmpl w:val="4D16E602"/>
    <w:lvl w:ilvl="0" w:tentative="0">
      <w:start w:val="1"/>
      <w:numFmt w:val="decimal"/>
      <w:lvlText w:val="%1."/>
      <w:lvlJc w:val="left"/>
      <w:pPr>
        <w:tabs>
          <w:tab w:val="left" w:pos="312"/>
        </w:tabs>
      </w:pPr>
    </w:lvl>
  </w:abstractNum>
  <w:abstractNum w:abstractNumId="4">
    <w:nsid w:val="4D5CBB09"/>
    <w:multiLevelType w:val="singleLevel"/>
    <w:tmpl w:val="4D5CBB09"/>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0ZmRiNTk0MzQwN2FiNGY5MGZmNzJjNmZjYWQ0YjMifQ=="/>
    <w:docVar w:name="KSO_WPS_MARK_KEY" w:val="5195f47c-0e55-4c38-91a5-2c0bfe841f66"/>
  </w:docVars>
  <w:rsids>
    <w:rsidRoot w:val="00172A27"/>
    <w:rsid w:val="000813CE"/>
    <w:rsid w:val="00156E02"/>
    <w:rsid w:val="001740E2"/>
    <w:rsid w:val="00204CA9"/>
    <w:rsid w:val="00253E2F"/>
    <w:rsid w:val="004804C4"/>
    <w:rsid w:val="00485BD6"/>
    <w:rsid w:val="004A677C"/>
    <w:rsid w:val="00512F4B"/>
    <w:rsid w:val="005D2C6E"/>
    <w:rsid w:val="00662AF1"/>
    <w:rsid w:val="00735061"/>
    <w:rsid w:val="00783750"/>
    <w:rsid w:val="008859E0"/>
    <w:rsid w:val="008B6453"/>
    <w:rsid w:val="00976E7B"/>
    <w:rsid w:val="009E7023"/>
    <w:rsid w:val="009F585C"/>
    <w:rsid w:val="00D5717A"/>
    <w:rsid w:val="011F3697"/>
    <w:rsid w:val="01930B36"/>
    <w:rsid w:val="01D953BA"/>
    <w:rsid w:val="021717B9"/>
    <w:rsid w:val="034C6D1C"/>
    <w:rsid w:val="03710342"/>
    <w:rsid w:val="04A74F4D"/>
    <w:rsid w:val="05717EE4"/>
    <w:rsid w:val="057E6B27"/>
    <w:rsid w:val="05A465A0"/>
    <w:rsid w:val="06473D8B"/>
    <w:rsid w:val="06C4753C"/>
    <w:rsid w:val="07031B00"/>
    <w:rsid w:val="07D62FDE"/>
    <w:rsid w:val="082A5712"/>
    <w:rsid w:val="08472853"/>
    <w:rsid w:val="08DB54AE"/>
    <w:rsid w:val="09AA019F"/>
    <w:rsid w:val="09CE23B5"/>
    <w:rsid w:val="0A0A7E5D"/>
    <w:rsid w:val="0B112BB9"/>
    <w:rsid w:val="0C473915"/>
    <w:rsid w:val="0C6D2071"/>
    <w:rsid w:val="0C982D80"/>
    <w:rsid w:val="0C9D360F"/>
    <w:rsid w:val="0CE47C0E"/>
    <w:rsid w:val="0D161723"/>
    <w:rsid w:val="0D366D45"/>
    <w:rsid w:val="0D4232B6"/>
    <w:rsid w:val="0D9A0BCD"/>
    <w:rsid w:val="0F1D2798"/>
    <w:rsid w:val="10162E29"/>
    <w:rsid w:val="101B48E8"/>
    <w:rsid w:val="102739F7"/>
    <w:rsid w:val="10336C65"/>
    <w:rsid w:val="109045B9"/>
    <w:rsid w:val="10DF5DAE"/>
    <w:rsid w:val="10E40A26"/>
    <w:rsid w:val="1145536B"/>
    <w:rsid w:val="11934328"/>
    <w:rsid w:val="126B7053"/>
    <w:rsid w:val="12C12CBB"/>
    <w:rsid w:val="148A7ED6"/>
    <w:rsid w:val="149D77CF"/>
    <w:rsid w:val="15B42ABF"/>
    <w:rsid w:val="162B0E39"/>
    <w:rsid w:val="163E52CD"/>
    <w:rsid w:val="165F4FF2"/>
    <w:rsid w:val="167852A0"/>
    <w:rsid w:val="16825090"/>
    <w:rsid w:val="16E3365C"/>
    <w:rsid w:val="1751770F"/>
    <w:rsid w:val="17B95607"/>
    <w:rsid w:val="184719C8"/>
    <w:rsid w:val="18517A73"/>
    <w:rsid w:val="18B9419E"/>
    <w:rsid w:val="192E3E91"/>
    <w:rsid w:val="1BF06998"/>
    <w:rsid w:val="1C5635D6"/>
    <w:rsid w:val="1D141CAC"/>
    <w:rsid w:val="1D1922CB"/>
    <w:rsid w:val="1D55171C"/>
    <w:rsid w:val="1D69459E"/>
    <w:rsid w:val="1ECB21F4"/>
    <w:rsid w:val="1F6F04E9"/>
    <w:rsid w:val="20831BA0"/>
    <w:rsid w:val="2192066D"/>
    <w:rsid w:val="219569C3"/>
    <w:rsid w:val="22F56BF1"/>
    <w:rsid w:val="232B39B9"/>
    <w:rsid w:val="23381CEE"/>
    <w:rsid w:val="24962A42"/>
    <w:rsid w:val="25C04D26"/>
    <w:rsid w:val="25CD411B"/>
    <w:rsid w:val="260C5F07"/>
    <w:rsid w:val="26526878"/>
    <w:rsid w:val="28772936"/>
    <w:rsid w:val="289317BC"/>
    <w:rsid w:val="29135C0E"/>
    <w:rsid w:val="2A251746"/>
    <w:rsid w:val="2AC27A05"/>
    <w:rsid w:val="2C1F4CDE"/>
    <w:rsid w:val="2C290723"/>
    <w:rsid w:val="2C4D3FF3"/>
    <w:rsid w:val="2C724190"/>
    <w:rsid w:val="2C8F66E7"/>
    <w:rsid w:val="2D38581D"/>
    <w:rsid w:val="2D51162C"/>
    <w:rsid w:val="2F3E191F"/>
    <w:rsid w:val="2FC03227"/>
    <w:rsid w:val="2FD933F6"/>
    <w:rsid w:val="2FDA63FB"/>
    <w:rsid w:val="3018665F"/>
    <w:rsid w:val="30243C5E"/>
    <w:rsid w:val="304550B1"/>
    <w:rsid w:val="30B30AAC"/>
    <w:rsid w:val="30BF083E"/>
    <w:rsid w:val="31D51879"/>
    <w:rsid w:val="327F0285"/>
    <w:rsid w:val="32BE2779"/>
    <w:rsid w:val="34207B5A"/>
    <w:rsid w:val="342C1BED"/>
    <w:rsid w:val="3519654E"/>
    <w:rsid w:val="35F15BE6"/>
    <w:rsid w:val="365B7948"/>
    <w:rsid w:val="369F1D0C"/>
    <w:rsid w:val="36FE3E1F"/>
    <w:rsid w:val="37935F95"/>
    <w:rsid w:val="383D25F2"/>
    <w:rsid w:val="398C62F9"/>
    <w:rsid w:val="39E40907"/>
    <w:rsid w:val="3A096720"/>
    <w:rsid w:val="3A385253"/>
    <w:rsid w:val="3ACB36F8"/>
    <w:rsid w:val="3AD854FE"/>
    <w:rsid w:val="3BB50377"/>
    <w:rsid w:val="3BDA6051"/>
    <w:rsid w:val="3C890B1C"/>
    <w:rsid w:val="3D142020"/>
    <w:rsid w:val="3DA821F1"/>
    <w:rsid w:val="3DE93F38"/>
    <w:rsid w:val="3DFA3EDF"/>
    <w:rsid w:val="3EC172A2"/>
    <w:rsid w:val="3F47212A"/>
    <w:rsid w:val="3FBB5D0C"/>
    <w:rsid w:val="3FC61702"/>
    <w:rsid w:val="414836DE"/>
    <w:rsid w:val="42240113"/>
    <w:rsid w:val="42B526FB"/>
    <w:rsid w:val="42B97D28"/>
    <w:rsid w:val="42DE3A88"/>
    <w:rsid w:val="42E020F1"/>
    <w:rsid w:val="435A387A"/>
    <w:rsid w:val="440E0661"/>
    <w:rsid w:val="456A0D8D"/>
    <w:rsid w:val="45CE4402"/>
    <w:rsid w:val="45D16987"/>
    <w:rsid w:val="4666543F"/>
    <w:rsid w:val="46A761E9"/>
    <w:rsid w:val="47D51828"/>
    <w:rsid w:val="484F4B6F"/>
    <w:rsid w:val="48D507A7"/>
    <w:rsid w:val="4901207C"/>
    <w:rsid w:val="4A927004"/>
    <w:rsid w:val="4AD17C6A"/>
    <w:rsid w:val="4AFD42C5"/>
    <w:rsid w:val="4BEC431A"/>
    <w:rsid w:val="4DE906B8"/>
    <w:rsid w:val="4E8C7B5A"/>
    <w:rsid w:val="4E9D3A56"/>
    <w:rsid w:val="4ED06ACC"/>
    <w:rsid w:val="4EF11423"/>
    <w:rsid w:val="500A476B"/>
    <w:rsid w:val="5023629C"/>
    <w:rsid w:val="511424B5"/>
    <w:rsid w:val="5167777C"/>
    <w:rsid w:val="51E341EA"/>
    <w:rsid w:val="52831CC6"/>
    <w:rsid w:val="52DD4AA0"/>
    <w:rsid w:val="53334E5E"/>
    <w:rsid w:val="53414F13"/>
    <w:rsid w:val="539179C0"/>
    <w:rsid w:val="54DB6CF8"/>
    <w:rsid w:val="550860CF"/>
    <w:rsid w:val="553053B0"/>
    <w:rsid w:val="55843DEA"/>
    <w:rsid w:val="565572D8"/>
    <w:rsid w:val="56B87FEA"/>
    <w:rsid w:val="576A2A02"/>
    <w:rsid w:val="59455828"/>
    <w:rsid w:val="59751EED"/>
    <w:rsid w:val="59BE7B1D"/>
    <w:rsid w:val="59FF2D86"/>
    <w:rsid w:val="5A4A47AB"/>
    <w:rsid w:val="5ACF4493"/>
    <w:rsid w:val="5B2D5760"/>
    <w:rsid w:val="5B423EDE"/>
    <w:rsid w:val="5B8272E2"/>
    <w:rsid w:val="5C8A5924"/>
    <w:rsid w:val="5CED5785"/>
    <w:rsid w:val="5D191EB0"/>
    <w:rsid w:val="5D7E531B"/>
    <w:rsid w:val="5DFF4CA0"/>
    <w:rsid w:val="5E806055"/>
    <w:rsid w:val="5F456F62"/>
    <w:rsid w:val="5FB971CA"/>
    <w:rsid w:val="5FDA7209"/>
    <w:rsid w:val="5FE7724F"/>
    <w:rsid w:val="636812F3"/>
    <w:rsid w:val="64BD6E23"/>
    <w:rsid w:val="64E9313E"/>
    <w:rsid w:val="65B348B5"/>
    <w:rsid w:val="674622CC"/>
    <w:rsid w:val="674F55EC"/>
    <w:rsid w:val="676F0E01"/>
    <w:rsid w:val="677E56A0"/>
    <w:rsid w:val="67B176A0"/>
    <w:rsid w:val="67D675CC"/>
    <w:rsid w:val="681D04F5"/>
    <w:rsid w:val="68654C52"/>
    <w:rsid w:val="687C2F32"/>
    <w:rsid w:val="68F8079F"/>
    <w:rsid w:val="69180510"/>
    <w:rsid w:val="69814BE7"/>
    <w:rsid w:val="6A090914"/>
    <w:rsid w:val="6B562CBF"/>
    <w:rsid w:val="6BDD77EF"/>
    <w:rsid w:val="6C4C35F0"/>
    <w:rsid w:val="6C986FDB"/>
    <w:rsid w:val="6CC961B8"/>
    <w:rsid w:val="6D9258E0"/>
    <w:rsid w:val="6DAA1953"/>
    <w:rsid w:val="6E4121AE"/>
    <w:rsid w:val="6E435064"/>
    <w:rsid w:val="6EB45747"/>
    <w:rsid w:val="6EED58A5"/>
    <w:rsid w:val="6F37578E"/>
    <w:rsid w:val="70EC4904"/>
    <w:rsid w:val="70F8517F"/>
    <w:rsid w:val="70FA0CE8"/>
    <w:rsid w:val="71861FE4"/>
    <w:rsid w:val="72702E0F"/>
    <w:rsid w:val="72A43708"/>
    <w:rsid w:val="72A835E1"/>
    <w:rsid w:val="72D4529A"/>
    <w:rsid w:val="73F303E1"/>
    <w:rsid w:val="749B12FB"/>
    <w:rsid w:val="74A40D4F"/>
    <w:rsid w:val="75F401CA"/>
    <w:rsid w:val="76A96199"/>
    <w:rsid w:val="77494EF6"/>
    <w:rsid w:val="77912588"/>
    <w:rsid w:val="781E5D2E"/>
    <w:rsid w:val="7843417C"/>
    <w:rsid w:val="78F833FC"/>
    <w:rsid w:val="79A62319"/>
    <w:rsid w:val="79AA0D57"/>
    <w:rsid w:val="7A4805DF"/>
    <w:rsid w:val="7AA11B1E"/>
    <w:rsid w:val="7ABE3062"/>
    <w:rsid w:val="7AF4245F"/>
    <w:rsid w:val="7AFB559C"/>
    <w:rsid w:val="7B026E3F"/>
    <w:rsid w:val="7C7400FF"/>
    <w:rsid w:val="7CAA0B7E"/>
    <w:rsid w:val="7D083658"/>
    <w:rsid w:val="7D402DFE"/>
    <w:rsid w:val="7D4F6A43"/>
    <w:rsid w:val="7D622B91"/>
    <w:rsid w:val="7DBF2BE5"/>
    <w:rsid w:val="7F2B4AF7"/>
    <w:rsid w:val="7F9B73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autoRedefine/>
    <w:qFormat/>
    <w:uiPriority w:val="0"/>
    <w:pPr>
      <w:autoSpaceDE w:val="0"/>
      <w:autoSpaceDN w:val="0"/>
      <w:adjustRightInd w:val="0"/>
      <w:jc w:val="left"/>
      <w:outlineLvl w:val="1"/>
    </w:pPr>
    <w:rPr>
      <w:kern w:val="0"/>
      <w:sz w:val="24"/>
    </w:rPr>
  </w:style>
  <w:style w:type="paragraph" w:styleId="4">
    <w:name w:val="heading 3"/>
    <w:basedOn w:val="1"/>
    <w:next w:val="1"/>
    <w:autoRedefine/>
    <w:qFormat/>
    <w:uiPriority w:val="0"/>
    <w:pPr>
      <w:keepNext/>
      <w:keepLines/>
      <w:spacing w:before="120" w:beforeLines="0" w:beforeAutospacing="0" w:after="120" w:afterLines="0" w:afterAutospacing="0"/>
      <w:jc w:val="center"/>
      <w:outlineLvl w:val="2"/>
    </w:pPr>
    <w:rPr>
      <w:sz w:val="24"/>
    </w:rPr>
  </w:style>
  <w:style w:type="paragraph" w:styleId="5">
    <w:name w:val="heading 4"/>
    <w:basedOn w:val="1"/>
    <w:next w:val="1"/>
    <w:autoRedefine/>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autoRedefine/>
    <w:qFormat/>
    <w:uiPriority w:val="0"/>
  </w:style>
  <w:style w:type="table" w:default="1" w:styleId="32">
    <w:name w:val="Normal Table"/>
    <w:autoRedefine/>
    <w:semiHidden/>
    <w:qFormat/>
    <w:uiPriority w:val="0"/>
    <w:tblPr>
      <w:tblCellMar>
        <w:top w:w="0" w:type="dxa"/>
        <w:left w:w="108" w:type="dxa"/>
        <w:bottom w:w="0" w:type="dxa"/>
        <w:right w:w="108" w:type="dxa"/>
      </w:tblCellMar>
    </w:tblPr>
  </w:style>
  <w:style w:type="paragraph" w:styleId="6">
    <w:name w:val="toc 7"/>
    <w:basedOn w:val="1"/>
    <w:next w:val="1"/>
    <w:autoRedefine/>
    <w:qFormat/>
    <w:uiPriority w:val="0"/>
    <w:pPr>
      <w:ind w:left="1680"/>
      <w:jc w:val="left"/>
    </w:pPr>
  </w:style>
  <w:style w:type="paragraph" w:styleId="7">
    <w:name w:val="table of authorities"/>
    <w:basedOn w:val="1"/>
    <w:next w:val="1"/>
    <w:autoRedefine/>
    <w:qFormat/>
    <w:uiPriority w:val="0"/>
    <w:pPr>
      <w:ind w:left="420" w:leftChars="200"/>
    </w:pPr>
  </w:style>
  <w:style w:type="paragraph" w:styleId="8">
    <w:name w:val="Normal Indent"/>
    <w:basedOn w:val="1"/>
    <w:autoRedefine/>
    <w:qFormat/>
    <w:uiPriority w:val="0"/>
    <w:pPr>
      <w:widowControl/>
      <w:ind w:firstLine="420"/>
      <w:jc w:val="left"/>
    </w:pPr>
    <w:rPr>
      <w:kern w:val="0"/>
      <w:sz w:val="20"/>
    </w:rPr>
  </w:style>
  <w:style w:type="paragraph" w:styleId="9">
    <w:name w:val="Document Map"/>
    <w:basedOn w:val="1"/>
    <w:autoRedefine/>
    <w:qFormat/>
    <w:uiPriority w:val="0"/>
    <w:pPr>
      <w:shd w:val="clear" w:color="auto" w:fill="000080"/>
    </w:pPr>
  </w:style>
  <w:style w:type="paragraph" w:styleId="10">
    <w:name w:val="annotation text"/>
    <w:basedOn w:val="1"/>
    <w:next w:val="1"/>
    <w:autoRedefine/>
    <w:qFormat/>
    <w:uiPriority w:val="0"/>
    <w:pPr>
      <w:adjustRightInd w:val="0"/>
      <w:spacing w:line="360" w:lineRule="atLeast"/>
      <w:jc w:val="left"/>
      <w:textAlignment w:val="baseline"/>
    </w:pPr>
    <w:rPr>
      <w:rFonts w:ascii="宋体"/>
      <w:kern w:val="0"/>
      <w:sz w:val="24"/>
    </w:rPr>
  </w:style>
  <w:style w:type="paragraph" w:styleId="11">
    <w:name w:val="Body Text"/>
    <w:basedOn w:val="1"/>
    <w:autoRedefine/>
    <w:qFormat/>
    <w:uiPriority w:val="0"/>
    <w:pPr>
      <w:spacing w:after="120" w:afterLines="0" w:afterAutospacing="0"/>
    </w:pPr>
  </w:style>
  <w:style w:type="paragraph" w:styleId="12">
    <w:name w:val="Body Text Indent"/>
    <w:basedOn w:val="1"/>
    <w:next w:val="13"/>
    <w:link w:val="41"/>
    <w:autoRedefine/>
    <w:qFormat/>
    <w:uiPriority w:val="0"/>
    <w:pPr>
      <w:ind w:firstLine="560" w:firstLineChars="200"/>
    </w:pPr>
  </w:style>
  <w:style w:type="paragraph" w:styleId="13">
    <w:name w:val="envelope return"/>
    <w:basedOn w:val="1"/>
    <w:autoRedefine/>
    <w:qFormat/>
    <w:uiPriority w:val="99"/>
    <w:pPr>
      <w:snapToGrid w:val="0"/>
    </w:pPr>
    <w:rPr>
      <w:rFonts w:ascii="Arial" w:hAnsi="Arial"/>
    </w:rPr>
  </w:style>
  <w:style w:type="paragraph" w:styleId="14">
    <w:name w:val="toc 5"/>
    <w:basedOn w:val="1"/>
    <w:next w:val="1"/>
    <w:autoRedefine/>
    <w:qFormat/>
    <w:uiPriority w:val="0"/>
    <w:pPr>
      <w:ind w:left="1120"/>
      <w:jc w:val="left"/>
    </w:pPr>
  </w:style>
  <w:style w:type="paragraph" w:styleId="15">
    <w:name w:val="toc 3"/>
    <w:basedOn w:val="1"/>
    <w:next w:val="1"/>
    <w:autoRedefine/>
    <w:qFormat/>
    <w:uiPriority w:val="0"/>
    <w:pPr>
      <w:ind w:left="561"/>
      <w:jc w:val="left"/>
    </w:pPr>
    <w:rPr>
      <w:sz w:val="24"/>
    </w:rPr>
  </w:style>
  <w:style w:type="paragraph" w:styleId="16">
    <w:name w:val="Plain Text"/>
    <w:basedOn w:val="1"/>
    <w:next w:val="17"/>
    <w:qFormat/>
    <w:uiPriority w:val="0"/>
    <w:pPr>
      <w:ind w:firstLine="200" w:firstLineChars="200"/>
    </w:pPr>
    <w:rPr>
      <w:rFonts w:ascii="宋体" w:hAnsi="Courier New"/>
      <w:szCs w:val="21"/>
    </w:rPr>
  </w:style>
  <w:style w:type="paragraph" w:customStyle="1" w:styleId="17">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8">
    <w:name w:val="toc 8"/>
    <w:basedOn w:val="1"/>
    <w:next w:val="1"/>
    <w:autoRedefine/>
    <w:qFormat/>
    <w:uiPriority w:val="0"/>
    <w:pPr>
      <w:ind w:left="1960"/>
      <w:jc w:val="left"/>
    </w:pPr>
  </w:style>
  <w:style w:type="paragraph" w:styleId="19">
    <w:name w:val="Body Text Indent 2"/>
    <w:basedOn w:val="1"/>
    <w:autoRedefine/>
    <w:qFormat/>
    <w:uiPriority w:val="0"/>
    <w:pPr>
      <w:spacing w:line="480" w:lineRule="auto"/>
      <w:ind w:firstLine="561"/>
    </w:pPr>
    <w:rPr>
      <w:rFonts w:ascii="宋体"/>
    </w:rPr>
  </w:style>
  <w:style w:type="paragraph" w:styleId="20">
    <w:name w:val="Balloon Text"/>
    <w:basedOn w:val="1"/>
    <w:autoRedefine/>
    <w:qFormat/>
    <w:uiPriority w:val="0"/>
    <w:rPr>
      <w:sz w:val="18"/>
      <w:szCs w:val="18"/>
    </w:rPr>
  </w:style>
  <w:style w:type="paragraph" w:styleId="21">
    <w:name w:val="footer"/>
    <w:basedOn w:val="1"/>
    <w:autoRedefine/>
    <w:qFormat/>
    <w:uiPriority w:val="0"/>
    <w:pPr>
      <w:widowControl/>
      <w:tabs>
        <w:tab w:val="center" w:pos="4153"/>
        <w:tab w:val="right" w:pos="8306"/>
      </w:tabs>
      <w:snapToGrid w:val="0"/>
      <w:jc w:val="left"/>
    </w:pPr>
    <w:rPr>
      <w:kern w:val="0"/>
      <w:sz w:val="18"/>
    </w:rPr>
  </w:style>
  <w:style w:type="paragraph" w:styleId="22">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23">
    <w:name w:val="toc 1"/>
    <w:basedOn w:val="1"/>
    <w:next w:val="1"/>
    <w:autoRedefine/>
    <w:qFormat/>
    <w:uiPriority w:val="0"/>
    <w:pPr>
      <w:spacing w:before="120" w:beforeLines="0" w:beforeAutospacing="0" w:after="120" w:afterLines="0" w:afterAutospacing="0"/>
      <w:jc w:val="left"/>
    </w:pPr>
    <w:rPr>
      <w:caps/>
      <w:sz w:val="24"/>
    </w:rPr>
  </w:style>
  <w:style w:type="paragraph" w:styleId="24">
    <w:name w:val="toc 4"/>
    <w:basedOn w:val="1"/>
    <w:next w:val="1"/>
    <w:autoRedefine/>
    <w:qFormat/>
    <w:uiPriority w:val="0"/>
    <w:pPr>
      <w:ind w:left="840"/>
      <w:jc w:val="left"/>
    </w:pPr>
  </w:style>
  <w:style w:type="paragraph" w:styleId="25">
    <w:name w:val="toc 6"/>
    <w:basedOn w:val="1"/>
    <w:next w:val="1"/>
    <w:autoRedefine/>
    <w:qFormat/>
    <w:uiPriority w:val="0"/>
    <w:pPr>
      <w:ind w:left="1400"/>
      <w:jc w:val="left"/>
    </w:pPr>
  </w:style>
  <w:style w:type="paragraph" w:styleId="26">
    <w:name w:val="Body Text Indent 3"/>
    <w:basedOn w:val="1"/>
    <w:link w:val="42"/>
    <w:autoRedefine/>
    <w:qFormat/>
    <w:uiPriority w:val="0"/>
    <w:pPr>
      <w:ind w:firstLine="560"/>
    </w:pPr>
    <w:rPr>
      <w:color w:val="FF0000"/>
    </w:rPr>
  </w:style>
  <w:style w:type="paragraph" w:styleId="27">
    <w:name w:val="toc 2"/>
    <w:basedOn w:val="1"/>
    <w:next w:val="1"/>
    <w:autoRedefine/>
    <w:qFormat/>
    <w:uiPriority w:val="0"/>
    <w:pPr>
      <w:ind w:left="278"/>
      <w:jc w:val="left"/>
    </w:pPr>
    <w:rPr>
      <w:smallCaps/>
      <w:sz w:val="24"/>
    </w:rPr>
  </w:style>
  <w:style w:type="paragraph" w:styleId="28">
    <w:name w:val="toc 9"/>
    <w:basedOn w:val="1"/>
    <w:next w:val="1"/>
    <w:autoRedefine/>
    <w:qFormat/>
    <w:uiPriority w:val="0"/>
    <w:pPr>
      <w:ind w:left="2240"/>
      <w:jc w:val="left"/>
    </w:pPr>
  </w:style>
  <w:style w:type="paragraph" w:styleId="29">
    <w:name w:val="Body Text 2"/>
    <w:basedOn w:val="1"/>
    <w:autoRedefine/>
    <w:qFormat/>
    <w:uiPriority w:val="0"/>
    <w:pPr>
      <w:spacing w:line="500" w:lineRule="exact"/>
    </w:pPr>
    <w:rPr>
      <w:rFonts w:ascii="宋体"/>
      <w:sz w:val="24"/>
    </w:rPr>
  </w:style>
  <w:style w:type="paragraph" w:styleId="3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31">
    <w:name w:val="annotation subject"/>
    <w:basedOn w:val="10"/>
    <w:next w:val="10"/>
    <w:autoRedefine/>
    <w:qFormat/>
    <w:uiPriority w:val="0"/>
    <w:pPr>
      <w:adjustRightInd/>
      <w:spacing w:line="360" w:lineRule="auto"/>
      <w:textAlignment w:val="auto"/>
    </w:pPr>
    <w:rPr>
      <w:b/>
      <w:bCs/>
      <w:kern w:val="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bCs/>
    </w:rPr>
  </w:style>
  <w:style w:type="character" w:styleId="36">
    <w:name w:val="page number"/>
    <w:autoRedefine/>
    <w:qFormat/>
    <w:uiPriority w:val="0"/>
  </w:style>
  <w:style w:type="character" w:styleId="37">
    <w:name w:val="FollowedHyperlink"/>
    <w:autoRedefine/>
    <w:qFormat/>
    <w:uiPriority w:val="0"/>
    <w:rPr>
      <w:color w:val="800080"/>
      <w:u w:val="single"/>
    </w:rPr>
  </w:style>
  <w:style w:type="character" w:styleId="38">
    <w:name w:val="Emphasis"/>
    <w:autoRedefine/>
    <w:qFormat/>
    <w:uiPriority w:val="0"/>
    <w:rPr>
      <w:i/>
    </w:rPr>
  </w:style>
  <w:style w:type="character" w:styleId="39">
    <w:name w:val="Hyperlink"/>
    <w:autoRedefine/>
    <w:qFormat/>
    <w:uiPriority w:val="0"/>
    <w:rPr>
      <w:color w:val="0000FF"/>
      <w:u w:val="single"/>
    </w:rPr>
  </w:style>
  <w:style w:type="character" w:styleId="40">
    <w:name w:val="annotation reference"/>
    <w:autoRedefine/>
    <w:qFormat/>
    <w:uiPriority w:val="0"/>
    <w:rPr>
      <w:sz w:val="21"/>
    </w:rPr>
  </w:style>
  <w:style w:type="character" w:customStyle="1" w:styleId="41">
    <w:name w:val="正文文本缩进 字符"/>
    <w:link w:val="12"/>
    <w:autoRedefine/>
    <w:qFormat/>
    <w:uiPriority w:val="0"/>
    <w:rPr>
      <w:rFonts w:ascii="宋体"/>
      <w:kern w:val="2"/>
      <w:sz w:val="24"/>
    </w:rPr>
  </w:style>
  <w:style w:type="character" w:customStyle="1" w:styleId="42">
    <w:name w:val="正文文本缩进 3 字符"/>
    <w:link w:val="26"/>
    <w:autoRedefine/>
    <w:qFormat/>
    <w:uiPriority w:val="0"/>
    <w:rPr>
      <w:rFonts w:ascii="宋体" w:eastAsia="宋体"/>
      <w:color w:val="FF0000"/>
      <w:kern w:val="2"/>
      <w:sz w:val="24"/>
      <w:lang w:val="en-US" w:eastAsia="zh-CN" w:bidi="ar-SA"/>
    </w:rPr>
  </w:style>
  <w:style w:type="paragraph" w:customStyle="1" w:styleId="43">
    <w:name w:val=" Char Char2"/>
    <w:basedOn w:val="9"/>
    <w:autoRedefine/>
    <w:qFormat/>
    <w:uiPriority w:val="0"/>
    <w:pPr>
      <w:spacing w:line="240" w:lineRule="auto"/>
    </w:pPr>
  </w:style>
  <w:style w:type="character" w:customStyle="1" w:styleId="44">
    <w:name w:val="超链接 New"/>
    <w:autoRedefine/>
    <w:qFormat/>
    <w:uiPriority w:val="0"/>
    <w:rPr>
      <w:color w:val="000000"/>
      <w:sz w:val="18"/>
      <w:szCs w:val="18"/>
      <w:u w:val="none"/>
    </w:rPr>
  </w:style>
  <w:style w:type="character" w:customStyle="1" w:styleId="45">
    <w:name w:val=" Char Char1"/>
    <w:autoRedefine/>
    <w:qFormat/>
    <w:uiPriority w:val="0"/>
    <w:rPr>
      <w:rFonts w:ascii="宋体" w:eastAsia="宋体"/>
      <w:color w:val="FF0000"/>
      <w:kern w:val="2"/>
      <w:sz w:val="24"/>
      <w:lang w:val="en-US" w:eastAsia="zh-CN" w:bidi="ar-SA"/>
    </w:rPr>
  </w:style>
  <w:style w:type="character" w:customStyle="1" w:styleId="46">
    <w:name w:val="Default Paragraph Font"/>
    <w:autoRedefine/>
    <w:qFormat/>
    <w:uiPriority w:val="0"/>
    <w:rPr>
      <w:rFonts w:hint="default"/>
    </w:rPr>
  </w:style>
  <w:style w:type="character" w:customStyle="1" w:styleId="47">
    <w:name w:val="正文文本 (2) + 间距 0 pt3"/>
    <w:autoRedefine/>
    <w:qFormat/>
    <w:uiPriority w:val="99"/>
    <w:rPr>
      <w:rFonts w:ascii="MingLiU" w:eastAsia="MingLiU" w:cs="MingLiU"/>
      <w:spacing w:val="0"/>
      <w:sz w:val="22"/>
      <w:szCs w:val="22"/>
      <w:u w:val="none"/>
    </w:rPr>
  </w:style>
  <w:style w:type="character" w:customStyle="1" w:styleId="48">
    <w:name w:val="页码 New New"/>
    <w:autoRedefine/>
    <w:qFormat/>
    <w:uiPriority w:val="0"/>
    <w:rPr>
      <w:rFonts w:eastAsia="宋体"/>
      <w:kern w:val="2"/>
      <w:sz w:val="24"/>
      <w:szCs w:val="24"/>
      <w:lang w:val="en-US" w:eastAsia="zh-CN" w:bidi="ar-SA"/>
    </w:rPr>
  </w:style>
  <w:style w:type="character" w:customStyle="1" w:styleId="49">
    <w:name w:val="默认段落字体 New New"/>
    <w:link w:val="50"/>
    <w:autoRedefine/>
    <w:qFormat/>
    <w:uiPriority w:val="0"/>
    <w:rPr>
      <w:rFonts w:ascii="Tahoma" w:hAnsi="Tahoma"/>
      <w:szCs w:val="24"/>
    </w:rPr>
  </w:style>
  <w:style w:type="paragraph" w:customStyle="1" w:styleId="50">
    <w:name w:val=" Char New New"/>
    <w:basedOn w:val="1"/>
    <w:link w:val="49"/>
    <w:autoRedefine/>
    <w:qFormat/>
    <w:uiPriority w:val="0"/>
    <w:pPr>
      <w:spacing w:line="240" w:lineRule="auto"/>
    </w:pPr>
    <w:rPr>
      <w:rFonts w:ascii="Tahoma" w:hAnsi="Tahoma"/>
      <w:kern w:val="0"/>
      <w:sz w:val="20"/>
      <w:szCs w:val="24"/>
    </w:rPr>
  </w:style>
  <w:style w:type="character" w:customStyle="1" w:styleId="51">
    <w:name w:val="超链接 New New"/>
    <w:autoRedefine/>
    <w:qFormat/>
    <w:uiPriority w:val="0"/>
    <w:rPr>
      <w:color w:val="000000"/>
      <w:sz w:val="18"/>
      <w:szCs w:val="18"/>
      <w:u w:val="none"/>
    </w:rPr>
  </w:style>
  <w:style w:type="character" w:customStyle="1" w:styleId="52">
    <w:name w:val="页码 New New New"/>
    <w:autoRedefine/>
    <w:qFormat/>
    <w:uiPriority w:val="0"/>
    <w:rPr>
      <w:rFonts w:eastAsia="宋体"/>
      <w:kern w:val="2"/>
      <w:sz w:val="24"/>
      <w:szCs w:val="24"/>
      <w:lang w:val="en-US" w:eastAsia="zh-CN" w:bidi="ar-SA"/>
    </w:rPr>
  </w:style>
  <w:style w:type="character" w:customStyle="1" w:styleId="53">
    <w:name w:val="页码 New"/>
    <w:autoRedefine/>
    <w:qFormat/>
    <w:uiPriority w:val="0"/>
    <w:rPr>
      <w:rFonts w:eastAsia="宋体"/>
      <w:kern w:val="2"/>
      <w:sz w:val="24"/>
      <w:szCs w:val="24"/>
      <w:lang w:val="en-US" w:eastAsia="zh-CN" w:bidi="ar-SA"/>
    </w:rPr>
  </w:style>
  <w:style w:type="character" w:customStyle="1" w:styleId="54">
    <w:name w:val="默认段落字体 New"/>
    <w:link w:val="55"/>
    <w:autoRedefine/>
    <w:qFormat/>
    <w:uiPriority w:val="0"/>
    <w:rPr>
      <w:rFonts w:ascii="Tahoma" w:hAnsi="Tahoma"/>
      <w:szCs w:val="24"/>
    </w:rPr>
  </w:style>
  <w:style w:type="paragraph" w:customStyle="1" w:styleId="55">
    <w:name w:val=" Char New"/>
    <w:basedOn w:val="1"/>
    <w:link w:val="54"/>
    <w:autoRedefine/>
    <w:qFormat/>
    <w:uiPriority w:val="0"/>
    <w:pPr>
      <w:spacing w:line="240" w:lineRule="auto"/>
    </w:pPr>
    <w:rPr>
      <w:rFonts w:ascii="Tahoma" w:hAnsi="Tahoma"/>
      <w:kern w:val="0"/>
      <w:sz w:val="20"/>
      <w:szCs w:val="24"/>
    </w:rPr>
  </w:style>
  <w:style w:type="paragraph" w:customStyle="1" w:styleId="56">
    <w:name w:val="页脚 New New"/>
    <w:basedOn w:val="57"/>
    <w:autoRedefine/>
    <w:qFormat/>
    <w:uiPriority w:val="0"/>
    <w:pPr>
      <w:tabs>
        <w:tab w:val="center" w:pos="4153"/>
        <w:tab w:val="right" w:pos="8306"/>
      </w:tabs>
      <w:snapToGrid w:val="0"/>
      <w:jc w:val="left"/>
    </w:pPr>
    <w:rPr>
      <w:sz w:val="18"/>
      <w:szCs w:val="18"/>
    </w:rPr>
  </w:style>
  <w:style w:type="paragraph" w:customStyle="1" w:styleId="57">
    <w:name w:val="正文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正文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p18"/>
    <w:autoRedefine/>
    <w:qFormat/>
    <w:uiPriority w:val="0"/>
    <w:pPr>
      <w:spacing w:after="120" w:line="360" w:lineRule="auto"/>
    </w:pPr>
    <w:rPr>
      <w:rFonts w:ascii="宋体" w:hAnsi="宋体" w:eastAsia="宋体" w:cs="宋体"/>
      <w:sz w:val="24"/>
      <w:szCs w:val="24"/>
      <w:lang w:val="en-US" w:eastAsia="zh-CN" w:bidi="ar-SA"/>
    </w:rPr>
  </w:style>
  <w:style w:type="paragraph" w:customStyle="1" w:styleId="60">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1">
    <w:name w:val="正文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样式 宋体 行距: 1.5 倍行距"/>
    <w:basedOn w:val="63"/>
    <w:next w:val="1"/>
    <w:autoRedefine/>
    <w:qFormat/>
    <w:uiPriority w:val="99"/>
    <w:pPr>
      <w:jc w:val="center"/>
    </w:pPr>
    <w:rPr>
      <w:b/>
    </w:rPr>
  </w:style>
  <w:style w:type="paragraph" w:customStyle="1" w:styleId="63">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2"/>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64">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5">
    <w:name w:val="纯文本 New New"/>
    <w:basedOn w:val="58"/>
    <w:autoRedefine/>
    <w:qFormat/>
    <w:uiPriority w:val="0"/>
    <w:rPr>
      <w:rFonts w:ascii="宋体" w:hAnsi="Courier New" w:eastAsia="楷体_GB2312"/>
      <w:kern w:val="2"/>
      <w:sz w:val="21"/>
      <w:szCs w:val="24"/>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9">
    <w:name w:val="页脚 New New New New"/>
    <w:basedOn w:val="70"/>
    <w:autoRedefine/>
    <w:qFormat/>
    <w:uiPriority w:val="0"/>
    <w:pPr>
      <w:tabs>
        <w:tab w:val="center" w:pos="4153"/>
        <w:tab w:val="right" w:pos="8306"/>
      </w:tabs>
      <w:snapToGrid w:val="0"/>
      <w:jc w:val="left"/>
    </w:pPr>
    <w:rPr>
      <w:sz w:val="18"/>
      <w:szCs w:val="18"/>
    </w:rPr>
  </w:style>
  <w:style w:type="paragraph" w:customStyle="1" w:styleId="70">
    <w:name w:val="正文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2">
    <w:name w:val="正文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3">
    <w:name w:val="页眉 New New New New New New New"/>
    <w:basedOn w:val="71"/>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4">
    <w:name w:val="样式2"/>
    <w:basedOn w:val="23"/>
    <w:autoRedefine/>
    <w:qFormat/>
    <w:uiPriority w:val="0"/>
    <w:pPr>
      <w:tabs>
        <w:tab w:val="right" w:leader="dot" w:pos="9345"/>
      </w:tabs>
    </w:pPr>
    <w:rPr>
      <w:rFonts w:ascii="宋体" w:hAnsi="宋体"/>
      <w:b/>
      <w:color w:val="0000FF"/>
      <w:u w:val="single"/>
    </w:rPr>
  </w:style>
  <w:style w:type="paragraph" w:customStyle="1" w:styleId="75">
    <w:name w:val="正文 New New New New New New New New New New New New New New New New New New New New New New New New"/>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6">
    <w:name w:val="正文缩进 New"/>
    <w:basedOn w:val="64"/>
    <w:autoRedefine/>
    <w:qFormat/>
    <w:uiPriority w:val="0"/>
    <w:pPr>
      <w:widowControl/>
      <w:ind w:firstLine="420"/>
      <w:jc w:val="left"/>
    </w:pPr>
    <w:rPr>
      <w:kern w:val="0"/>
      <w:sz w:val="20"/>
    </w:rPr>
  </w:style>
  <w:style w:type="paragraph" w:customStyle="1" w:styleId="77">
    <w:name w:val="页眉 New"/>
    <w:basedOn w:val="7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78">
    <w:name w:val="正文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9">
    <w:name w:val="样式1"/>
    <w:basedOn w:val="5"/>
    <w:autoRedefine/>
    <w:qFormat/>
    <w:uiPriority w:val="0"/>
    <w:pPr>
      <w:tabs>
        <w:tab w:val="right" w:leader="dot" w:pos="9345"/>
      </w:tabs>
    </w:pPr>
    <w:rPr>
      <w:rFonts w:ascii="宋体" w:hAnsi="宋体" w:eastAsia="宋体"/>
      <w:b/>
      <w:caps/>
      <w:sz w:val="24"/>
      <w:u w:val="single"/>
    </w:rPr>
  </w:style>
  <w:style w:type="paragraph" w:customStyle="1" w:styleId="80">
    <w:name w:val="标题 3 New New"/>
    <w:basedOn w:val="76"/>
    <w:next w:val="76"/>
    <w:autoRedefine/>
    <w:qFormat/>
    <w:uiPriority w:val="0"/>
    <w:pPr>
      <w:keepNext/>
      <w:keepLines/>
      <w:spacing w:before="120" w:beforeLines="0" w:beforeAutospacing="0" w:after="120" w:afterLines="0" w:afterAutospacing="0"/>
      <w:jc w:val="center"/>
      <w:outlineLvl w:val="2"/>
    </w:pPr>
    <w:rPr>
      <w:sz w:val="24"/>
    </w:rPr>
  </w:style>
  <w:style w:type="paragraph" w:customStyle="1" w:styleId="81">
    <w:name w:val="页脚 New New New New New New New New New New New New"/>
    <w:basedOn w:val="82"/>
    <w:autoRedefine/>
    <w:qFormat/>
    <w:uiPriority w:val="0"/>
    <w:pPr>
      <w:tabs>
        <w:tab w:val="center" w:pos="4153"/>
        <w:tab w:val="right" w:pos="8306"/>
      </w:tabs>
      <w:snapToGrid w:val="0"/>
      <w:jc w:val="left"/>
    </w:pPr>
    <w:rPr>
      <w:rFonts w:eastAsia="楷体_GB2312"/>
      <w:kern w:val="2"/>
      <w:sz w:val="18"/>
      <w:szCs w:val="18"/>
    </w:rPr>
  </w:style>
  <w:style w:type="paragraph" w:customStyle="1" w:styleId="82">
    <w:name w:val="正文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页脚 New New New New New New New New New"/>
    <w:basedOn w:val="84"/>
    <w:autoRedefine/>
    <w:qFormat/>
    <w:uiPriority w:val="0"/>
    <w:pPr>
      <w:tabs>
        <w:tab w:val="center" w:pos="4153"/>
        <w:tab w:val="right" w:pos="8306"/>
      </w:tabs>
      <w:snapToGrid w:val="0"/>
      <w:jc w:val="left"/>
    </w:pPr>
    <w:rPr>
      <w:kern w:val="2"/>
      <w:sz w:val="18"/>
      <w:szCs w:val="18"/>
    </w:rPr>
  </w:style>
  <w:style w:type="paragraph" w:customStyle="1" w:styleId="84">
    <w:name w:val="正文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页眉 New New New"/>
    <w:basedOn w:val="58"/>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86">
    <w:name w:val="正文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9">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0">
    <w:name w:val="正文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正文缩进1"/>
    <w:basedOn w:val="1"/>
    <w:autoRedefine/>
    <w:qFormat/>
    <w:uiPriority w:val="0"/>
    <w:pPr>
      <w:widowControl/>
      <w:ind w:firstLine="420"/>
      <w:jc w:val="left"/>
    </w:pPr>
    <w:rPr>
      <w:kern w:val="0"/>
      <w:szCs w:val="20"/>
    </w:rPr>
  </w:style>
  <w:style w:type="paragraph" w:customStyle="1" w:styleId="92">
    <w:name w:val="页眉 New New"/>
    <w:basedOn w:val="5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93">
    <w:name w:val="正文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4">
    <w:name w:val=" Char"/>
    <w:basedOn w:val="9"/>
    <w:autoRedefine/>
    <w:qFormat/>
    <w:uiPriority w:val="0"/>
    <w:pPr>
      <w:spacing w:line="240" w:lineRule="auto"/>
    </w:pPr>
  </w:style>
  <w:style w:type="paragraph" w:customStyle="1" w:styleId="95">
    <w:name w:val="正文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6">
    <w:name w:val="正文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
    <w:name w:val="正文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8">
    <w:name w:val="页眉 New New New New New New New New New"/>
    <w:basedOn w:val="99"/>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9">
    <w:name w:val="正文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页脚 New New New New New New"/>
    <w:basedOn w:val="89"/>
    <w:autoRedefine/>
    <w:qFormat/>
    <w:uiPriority w:val="0"/>
    <w:pPr>
      <w:tabs>
        <w:tab w:val="center" w:pos="4153"/>
        <w:tab w:val="right" w:pos="8306"/>
      </w:tabs>
      <w:snapToGrid w:val="0"/>
      <w:jc w:val="left"/>
    </w:pPr>
    <w:rPr>
      <w:sz w:val="18"/>
    </w:rPr>
  </w:style>
  <w:style w:type="paragraph" w:customStyle="1" w:styleId="101">
    <w:name w:val="正文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文本缩进 New New New New"/>
    <w:basedOn w:val="95"/>
    <w:autoRedefine/>
    <w:qFormat/>
    <w:uiPriority w:val="0"/>
    <w:pPr>
      <w:ind w:firstLine="560" w:firstLineChars="200"/>
    </w:pPr>
    <w:rPr>
      <w:rFonts w:ascii="宋体"/>
      <w:kern w:val="2"/>
      <w:sz w:val="24"/>
      <w:szCs w:val="28"/>
    </w:rPr>
  </w:style>
  <w:style w:type="paragraph" w:customStyle="1" w:styleId="103">
    <w:name w:val="正文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5">
    <w:name w:val="正文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正文文本缩进 New"/>
    <w:basedOn w:val="64"/>
    <w:autoRedefine/>
    <w:qFormat/>
    <w:uiPriority w:val="0"/>
    <w:pPr>
      <w:ind w:firstLine="560" w:firstLineChars="200"/>
    </w:pPr>
    <w:rPr>
      <w:rFonts w:ascii="宋体"/>
      <w:kern w:val="2"/>
      <w:sz w:val="24"/>
    </w:rPr>
  </w:style>
  <w:style w:type="paragraph" w:customStyle="1" w:styleId="108">
    <w:name w:val="正文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
    <w:name w:val="页脚 New New New New New"/>
    <w:basedOn w:val="96"/>
    <w:autoRedefine/>
    <w:qFormat/>
    <w:uiPriority w:val="0"/>
    <w:pPr>
      <w:tabs>
        <w:tab w:val="center" w:pos="4153"/>
        <w:tab w:val="right" w:pos="8306"/>
      </w:tabs>
      <w:snapToGrid w:val="0"/>
      <w:jc w:val="left"/>
    </w:pPr>
    <w:rPr>
      <w:sz w:val="18"/>
    </w:rPr>
  </w:style>
  <w:style w:type="paragraph" w:customStyle="1" w:styleId="111">
    <w:name w:val="页眉 New New New New"/>
    <w:basedOn w:val="96"/>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2">
    <w:name w:val="页脚 New New New"/>
    <w:basedOn w:val="58"/>
    <w:autoRedefine/>
    <w:qFormat/>
    <w:uiPriority w:val="0"/>
    <w:pPr>
      <w:tabs>
        <w:tab w:val="center" w:pos="4153"/>
        <w:tab w:val="right" w:pos="8306"/>
      </w:tabs>
      <w:snapToGrid w:val="0"/>
      <w:jc w:val="left"/>
    </w:pPr>
    <w:rPr>
      <w:sz w:val="18"/>
      <w:szCs w:val="18"/>
    </w:rPr>
  </w:style>
  <w:style w:type="paragraph" w:customStyle="1" w:styleId="113">
    <w:name w:val="toc 3"/>
    <w:basedOn w:val="114"/>
    <w:next w:val="114"/>
    <w:autoRedefine/>
    <w:qFormat/>
    <w:uiPriority w:val="0"/>
    <w:pPr>
      <w:ind w:left="561"/>
      <w:jc w:val="left"/>
    </w:pPr>
    <w:rPr>
      <w:rFonts w:hint="eastAsia"/>
    </w:rPr>
  </w:style>
  <w:style w:type="paragraph" w:customStyle="1" w:styleId="114">
    <w:name w:val="Normal"/>
    <w:autoRedefine/>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5">
    <w:name w:val="页脚 New New New New New New New"/>
    <w:basedOn w:val="104"/>
    <w:autoRedefine/>
    <w:qFormat/>
    <w:uiPriority w:val="0"/>
    <w:pPr>
      <w:widowControl/>
      <w:tabs>
        <w:tab w:val="center" w:pos="4153"/>
        <w:tab w:val="right" w:pos="8306"/>
      </w:tabs>
      <w:snapToGrid w:val="0"/>
      <w:jc w:val="left"/>
    </w:pPr>
    <w:rPr>
      <w:kern w:val="0"/>
      <w:sz w:val="18"/>
      <w:szCs w:val="20"/>
    </w:rPr>
  </w:style>
  <w:style w:type="paragraph" w:customStyle="1" w:styleId="116">
    <w:name w:val="页眉 New New New New New New"/>
    <w:basedOn w:val="104"/>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7">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8">
    <w:name w:val="footer"/>
    <w:basedOn w:val="114"/>
    <w:autoRedefine/>
    <w:qFormat/>
    <w:uiPriority w:val="0"/>
    <w:pPr>
      <w:widowControl/>
      <w:tabs>
        <w:tab w:val="center" w:pos="4153"/>
        <w:tab w:val="right" w:pos="8306"/>
      </w:tabs>
      <w:snapToGrid w:val="0"/>
      <w:jc w:val="left"/>
    </w:pPr>
    <w:rPr>
      <w:rFonts w:hint="eastAsia"/>
      <w:kern w:val="0"/>
      <w:sz w:val="18"/>
    </w:rPr>
  </w:style>
  <w:style w:type="paragraph" w:customStyle="1" w:styleId="119">
    <w:name w:val="p0"/>
    <w:basedOn w:val="90"/>
    <w:autoRedefine/>
    <w:qFormat/>
    <w:uiPriority w:val="0"/>
    <w:pPr>
      <w:widowControl/>
      <w:spacing w:line="360" w:lineRule="auto"/>
    </w:pPr>
    <w:rPr>
      <w:rFonts w:ascii="宋体" w:hAnsi="宋体" w:eastAsia="宋体" w:cs="宋体"/>
      <w:kern w:val="0"/>
      <w:sz w:val="24"/>
      <w:szCs w:val="24"/>
    </w:rPr>
  </w:style>
  <w:style w:type="paragraph" w:customStyle="1" w:styleId="120">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1">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3">
    <w:name w:val="正文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7">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标题 3 New"/>
    <w:basedOn w:val="8"/>
    <w:next w:val="8"/>
    <w:autoRedefine/>
    <w:qFormat/>
    <w:uiPriority w:val="0"/>
    <w:pPr>
      <w:keepNext/>
      <w:keepLines/>
      <w:spacing w:before="120" w:beforeLines="0" w:after="120" w:afterLines="0"/>
      <w:jc w:val="center"/>
      <w:outlineLvl w:val="2"/>
    </w:pPr>
    <w:rPr>
      <w:sz w:val="24"/>
    </w:rPr>
  </w:style>
  <w:style w:type="paragraph" w:customStyle="1" w:styleId="129">
    <w:name w:val="页脚 New New New New New New New New New New"/>
    <w:basedOn w:val="71"/>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0">
    <w:name w:val="页眉 New New New New New New New New"/>
    <w:basedOn w:val="131"/>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1">
    <w:name w:val="正文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2">
    <w:name w:val="页眉 New New New New New"/>
    <w:basedOn w:val="8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3">
    <w:name w:val="页脚 New New New New New New New New New New New New New"/>
    <w:basedOn w:val="99"/>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4">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7">
    <w:name w:val="正文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8">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页脚 New New New New New New New New New New New"/>
    <w:basedOn w:val="131"/>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0">
    <w:name w:val="正文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1">
    <w:name w:val="正文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2">
    <w:name w:val="普通(网站) New"/>
    <w:basedOn w:val="89"/>
    <w:autoRedefine/>
    <w:qFormat/>
    <w:uiPriority w:val="0"/>
    <w:rPr>
      <w:sz w:val="24"/>
    </w:rPr>
  </w:style>
  <w:style w:type="paragraph" w:customStyle="1" w:styleId="143">
    <w:name w:val="页脚 New New New New New New New New"/>
    <w:basedOn w:val="140"/>
    <w:autoRedefine/>
    <w:qFormat/>
    <w:uiPriority w:val="0"/>
    <w:pPr>
      <w:tabs>
        <w:tab w:val="center" w:pos="4153"/>
        <w:tab w:val="right" w:pos="8306"/>
      </w:tabs>
      <w:snapToGrid w:val="0"/>
      <w:jc w:val="left"/>
    </w:pPr>
    <w:rPr>
      <w:kern w:val="2"/>
      <w:sz w:val="18"/>
      <w:szCs w:val="18"/>
    </w:rPr>
  </w:style>
  <w:style w:type="paragraph" w:customStyle="1" w:styleId="144">
    <w:name w:val="标题 2 New"/>
    <w:basedOn w:val="138"/>
    <w:autoRedefine/>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5">
    <w:name w:val="blockquote"/>
    <w:basedOn w:val="1"/>
    <w:autoRedefine/>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6">
    <w:name w:val="纯文本 New"/>
    <w:basedOn w:val="57"/>
    <w:autoRedefine/>
    <w:qFormat/>
    <w:uiPriority w:val="0"/>
    <w:rPr>
      <w:rFonts w:ascii="宋体" w:hAnsi="Courier New" w:eastAsia="楷体_GB2312"/>
      <w:kern w:val="2"/>
      <w:sz w:val="21"/>
      <w:szCs w:val="24"/>
      <w:lang w:val="en-US" w:eastAsia="zh-CN" w:bidi="ar-SA"/>
    </w:rPr>
  </w:style>
  <w:style w:type="paragraph" w:customStyle="1" w:styleId="147">
    <w:name w:val="页脚 New"/>
    <w:basedOn w:val="78"/>
    <w:autoRedefine/>
    <w:qFormat/>
    <w:uiPriority w:val="0"/>
    <w:pPr>
      <w:tabs>
        <w:tab w:val="center" w:pos="4153"/>
        <w:tab w:val="right" w:pos="8306"/>
      </w:tabs>
      <w:snapToGrid w:val="0"/>
      <w:jc w:val="left"/>
    </w:pPr>
    <w:rPr>
      <w:sz w:val="18"/>
      <w:szCs w:val="18"/>
    </w:rPr>
  </w:style>
  <w:style w:type="paragraph" w:customStyle="1" w:styleId="148">
    <w:name w:val="_Style 1"/>
    <w:basedOn w:val="1"/>
    <w:autoRedefine/>
    <w:qFormat/>
    <w:uiPriority w:val="0"/>
    <w:pPr>
      <w:spacing w:line="240" w:lineRule="auto"/>
      <w:ind w:firstLine="420" w:firstLineChars="200"/>
    </w:pPr>
    <w:rPr>
      <w:rFonts w:ascii="Calibri" w:hAnsi="Calibri"/>
      <w:sz w:val="21"/>
      <w:szCs w:val="22"/>
    </w:rPr>
  </w:style>
  <w:style w:type="paragraph" w:customStyle="1" w:styleId="149">
    <w:name w:val="文一"/>
    <w:basedOn w:val="1"/>
    <w:autoRedefine/>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50">
    <w:name w:val="UserStyle_19"/>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1">
    <w:name w:val="NormalCharacter"/>
    <w:autoRedefine/>
    <w:semiHidden/>
    <w:qFormat/>
    <w:uiPriority w:val="0"/>
    <w:rPr>
      <w:rFonts w:ascii="宋体"/>
      <w:kern w:val="2"/>
      <w:sz w:val="24"/>
      <w:lang w:val="en-US" w:eastAsia="zh-CN" w:bidi="ar-SA"/>
    </w:rPr>
  </w:style>
  <w:style w:type="paragraph" w:customStyle="1" w:styleId="152">
    <w:name w:val="BodyText"/>
    <w:basedOn w:val="1"/>
    <w:next w:val="153"/>
    <w:autoRedefine/>
    <w:qFormat/>
    <w:uiPriority w:val="99"/>
    <w:pPr>
      <w:spacing w:after="120"/>
    </w:pPr>
  </w:style>
  <w:style w:type="paragraph" w:customStyle="1" w:styleId="153">
    <w:name w:val="BodyText2"/>
    <w:basedOn w:val="1"/>
    <w:autoRedefine/>
    <w:qFormat/>
    <w:uiPriority w:val="99"/>
    <w:pPr>
      <w:spacing w:line="500" w:lineRule="exact"/>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77</Pages>
  <Words>158</Words>
  <Characters>167</Characters>
  <Lines>721</Lines>
  <Paragraphs>203</Paragraphs>
  <TotalTime>0</TotalTime>
  <ScaleCrop>false</ScaleCrop>
  <LinksUpToDate>false</LinksUpToDate>
  <CharactersWithSpaces>197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梵高的向日葵</cp:lastModifiedBy>
  <cp:lastPrinted>2025-07-09T09:02:00Z</cp:lastPrinted>
  <dcterms:modified xsi:type="dcterms:W3CDTF">2025-07-10T02:38:40Z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0E11532E1420437490E8D0D10A2EF458_13</vt:lpwstr>
  </property>
  <property fmtid="{D5CDD505-2E9C-101B-9397-08002B2CF9AE}" pid="4" name="ribbonExt">
    <vt:lpwstr>{"WPSExtOfficeTab":{"OnGetEnabled":false,"OnGetVisible":false}}</vt:lpwstr>
  </property>
  <property fmtid="{D5CDD505-2E9C-101B-9397-08002B2CF9AE}" pid="5" name="KSOTemplateDocerSaveRecord">
    <vt:lpwstr>eyJoZGlkIjoiMWY0ZmRiNTk0MzQwN2FiNGY5MGZmNzJjNmZjYWQ0YjMiLCJ1c2VySWQiOiI1MjEzNjgxMzQifQ==</vt:lpwstr>
  </property>
</Properties>
</file>