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24F87">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lang w:eastAsia="zh-CN"/>
        </w:rPr>
      </w:pPr>
    </w:p>
    <w:p w14:paraId="53991011">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eastAsia="zh-CN"/>
        </w:rPr>
        <w:drawing>
          <wp:anchor distT="0" distB="0" distL="114300" distR="114300" simplePos="0" relativeHeight="251661312" behindDoc="0" locked="0" layoutInCell="1" allowOverlap="1">
            <wp:simplePos x="0" y="0"/>
            <wp:positionH relativeFrom="column">
              <wp:posOffset>78105</wp:posOffset>
            </wp:positionH>
            <wp:positionV relativeFrom="paragraph">
              <wp:posOffset>1270</wp:posOffset>
            </wp:positionV>
            <wp:extent cx="5968365" cy="7779385"/>
            <wp:effectExtent l="0" t="0" r="13335" b="12065"/>
            <wp:wrapNone/>
            <wp:docPr id="6" name="图片 6" descr="174848382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8483825936"/>
                    <pic:cNvPicPr>
                      <a:picLocks noChangeAspect="1"/>
                    </pic:cNvPicPr>
                  </pic:nvPicPr>
                  <pic:blipFill>
                    <a:blip r:embed="rId8"/>
                    <a:stretch>
                      <a:fillRect/>
                    </a:stretch>
                  </pic:blipFill>
                  <pic:spPr>
                    <a:xfrm>
                      <a:off x="0" y="0"/>
                      <a:ext cx="5968365" cy="7779385"/>
                    </a:xfrm>
                    <a:prstGeom prst="rect">
                      <a:avLst/>
                    </a:prstGeom>
                  </pic:spPr>
                </pic:pic>
              </a:graphicData>
            </a:graphic>
          </wp:anchor>
        </w:drawing>
      </w:r>
    </w:p>
    <w:p w14:paraId="71D15F91">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330ECFE9">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lang w:eastAsia="zh-CN"/>
        </w:rPr>
      </w:pPr>
    </w:p>
    <w:p w14:paraId="790439B4">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0732B981">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13594CC0">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7429B708">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439BC43B">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3642D931">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0EC50BAB">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38AFCF97">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02364DDE">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4ED6AE47">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2DD21E7A">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193B3A16">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1DDAB4E2">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304EAEB8">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6A491D16">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63ABF565">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762CA85F">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3DABCF8A">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6FEFF7AC">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790BA541">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1ADEC332">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5D8A915F">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1A4A6E65">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16FA546B">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34CDD3A5">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0132C4F3">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284B7CAC">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p>
    <w:p w14:paraId="7A0088EC">
      <w:pP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14:paraId="7A804691">
      <w:pP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14:paraId="689BD855">
      <w:pPr>
        <w:pStyle w:val="10"/>
        <w:shd w:val="clear"/>
        <w:wordWrap w:val="0"/>
        <w:adjustRightInd w:val="0"/>
        <w:snapToGrid w:val="0"/>
        <w:spacing w:line="440" w:lineRule="exact"/>
        <w:ind w:left="0"/>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目    录</w:t>
      </w:r>
      <w:bookmarkStart w:id="0" w:name="_Hlt66153951"/>
      <w:bookmarkEnd w:id="0"/>
      <w:bookmarkStart w:id="1" w:name="_Hlt66104981"/>
      <w:bookmarkEnd w:id="1"/>
      <w:bookmarkStart w:id="2" w:name="_Hlt122423813"/>
      <w:bookmarkEnd w:id="2"/>
      <w:bookmarkStart w:id="3" w:name="_Toc14094"/>
      <w:bookmarkStart w:id="4" w:name="_Toc476739600"/>
      <w:bookmarkStart w:id="5" w:name="_Hlt111690251"/>
    </w:p>
    <w:p w14:paraId="3ABABEC1">
      <w:pPr>
        <w:pStyle w:val="16"/>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第一章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CF1710">
      <w:pPr>
        <w:pStyle w:val="17"/>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_Toc24800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第一节 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9F3EA6">
      <w:pPr>
        <w:pStyle w:val="17"/>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_Toc2241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第二节 重要事项时间地点一览表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957A23F">
      <w:pPr>
        <w:pStyle w:val="17"/>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_Toc22644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第三节 投标人须知正文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09FDAA">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_Toc26179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1．项目概况、招标范围和标段划分、投标费用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3321B7">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_Toc3407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2．投标人资格要求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16C743">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_Toc4403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3．招标文件获取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_Toc4403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CE9D91">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_Toc6940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4．服务期限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E69C85">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_Toc31374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5．服务标准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661C91">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_Toc27367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6．现场踏勘</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12F1D3">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_Toc6981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szCs w:val="24"/>
          <w:highlight w:val="none"/>
        </w:rPr>
        <w:t>7．招标文件的提问和答疑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486D4D">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_Toc15770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8．最高投标限价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_Toc15770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8295164">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_Toc21815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9．投标报价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4AD72A">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_Toc25728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10．投标文件的编制要求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208A7E4">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_Toc4068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11．电子投标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2171368">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_Toc11440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12．电子投标及投标解密失败及突发情况的补救方案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1A3540">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_Toc3479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13．投标有效期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_Toc3479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5D14D3">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_Toc18547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14．开标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_Toc18547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3FFD91C">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_Toc13528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15．评标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642A791">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_Toc14248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16．推荐中标候选人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5DCA40">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_Toc14955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17．中标候选人公示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D3A067">
      <w:pPr>
        <w:pStyle w:val="17"/>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_Toc9979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第四节 否决投标条件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D342E9">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_Toc32629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1．资格评审环节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65E981">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_Toc25976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2．形式评审环节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D3828D">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_Toc18248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3．响应性评审环节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531DFF">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_Toc32705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highlight w:val="none"/>
        </w:rPr>
        <w:t>4．其他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993A56">
      <w:pPr>
        <w:pStyle w:val="16"/>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_Toc12363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第二章 中标人须知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8DB2B3">
      <w:pPr>
        <w:pStyle w:val="16"/>
        <w:shd w:val="clear"/>
        <w:tabs>
          <w:tab w:val="right" w:leader="dot" w:pos="8844"/>
        </w:tabs>
        <w:rPr>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_Toc12639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第三章 拟签订合同的主要条款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C7C7B6">
      <w:pPr>
        <w:pStyle w:val="16"/>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_Toc26371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第四章 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366DE7">
      <w:pPr>
        <w:pStyle w:val="16"/>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_Toc10032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第五章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0A187C">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_Toc13127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格式一 封面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_Toc13127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372FB2">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_Toc6488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格式二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C1680D">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_Toc14232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格式三 各项承诺一览表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C8E8F1">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_Toc22067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szCs w:val="24"/>
          <w:highlight w:val="none"/>
        </w:rPr>
        <w:t>格式四 法定代表人授权委托书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70D64E9">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_Toc11496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highlight w:val="none"/>
        </w:rPr>
        <w:t>格式五 法定代表人身份证明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92DEAB">
      <w:pPr>
        <w:pStyle w:val="10"/>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_Toc9774 </w:instrText>
      </w:r>
      <w:r>
        <w:rPr>
          <w:rFonts w:hint="eastAsia" w:ascii="宋体" w:hAnsi="宋体" w:eastAsia="宋体" w:cs="宋体"/>
          <w:color w:val="auto"/>
          <w:highlight w:val="none"/>
        </w:rPr>
        <w:fldChar w:fldCharType="separate"/>
      </w:r>
      <w:r>
        <w:rPr>
          <w:rFonts w:hint="eastAsia" w:ascii="宋体" w:hAnsi="宋体" w:eastAsia="宋体" w:cs="宋体"/>
          <w:bCs/>
          <w:snapToGrid w:val="0"/>
          <w:color w:val="auto"/>
          <w:kern w:val="0"/>
          <w:szCs w:val="24"/>
          <w:highlight w:val="none"/>
        </w:rPr>
        <w:t>格式六 投标人基本情况表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560CC86">
      <w:pPr>
        <w:pStyle w:val="10"/>
        <w:shd w:val="clear"/>
        <w:tabs>
          <w:tab w:val="right" w:leader="dot" w:pos="8834"/>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"_Toc35334265"</w:instrText>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26"/>
          <w:rFonts w:hint="eastAsia" w:ascii="宋体" w:hAnsi="宋体" w:eastAsia="宋体" w:cs="宋体"/>
          <w:snapToGrid w:val="0"/>
          <w:color w:val="auto"/>
          <w:highlight w:val="none"/>
        </w:rPr>
        <w:t>格式七 总监理工程师任职声明（适用于无任职项目）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_Toc35334265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6F0F61">
      <w:pPr>
        <w:pStyle w:val="10"/>
        <w:shd w:val="clear"/>
        <w:tabs>
          <w:tab w:val="right" w:leader="dot" w:pos="8834"/>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"_Toc35334266"</w:instrText>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26"/>
          <w:rFonts w:hint="eastAsia" w:ascii="宋体" w:hAnsi="宋体" w:eastAsia="宋体" w:cs="宋体"/>
          <w:snapToGrid w:val="0"/>
          <w:color w:val="auto"/>
          <w:highlight w:val="none"/>
        </w:rPr>
        <w:t>格式八 总监理工程师任职声明（适用于有任职项目）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_Toc35334266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AAB9D2">
      <w:pPr>
        <w:pStyle w:val="10"/>
        <w:shd w:val="clear"/>
        <w:tabs>
          <w:tab w:val="right" w:leader="dot" w:pos="8834"/>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"_Toc35334267"</w:instrText>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26"/>
          <w:rFonts w:hint="eastAsia" w:ascii="宋体" w:hAnsi="宋体" w:eastAsia="宋体" w:cs="宋体"/>
          <w:snapToGrid w:val="0"/>
          <w:color w:val="auto"/>
          <w:highlight w:val="none"/>
        </w:rPr>
        <w:t>格式九 总监理工程师任职项目情况表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_Toc35334267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CD1C42">
      <w:pPr>
        <w:pStyle w:val="10"/>
        <w:shd w:val="clear"/>
        <w:tabs>
          <w:tab w:val="right" w:leader="dot" w:pos="8834"/>
        </w:tabs>
        <w:rPr>
          <w:rFonts w:hint="eastAsia" w:ascii="宋体" w:hAnsi="宋体" w:eastAsia="宋体" w:cs="宋体"/>
          <w:color w:val="auto"/>
          <w:sz w:val="21"/>
          <w:szCs w:val="22"/>
          <w:highlight w:val="none"/>
          <w:lang w:val="en-US" w:eastAsia="zh-CN"/>
        </w:rPr>
      </w:pPr>
      <w:r>
        <w:rPr>
          <w:rFonts w:hint="eastAsia" w:ascii="宋体" w:hAnsi="宋体" w:eastAsia="宋体" w:cs="宋体"/>
          <w:color w:val="auto"/>
          <w:highlight w:val="none"/>
        </w:rPr>
        <w:fldChar w:fldCharType="begin"/>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"_Toc35334268"</w:instrText>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26"/>
          <w:rFonts w:hint="eastAsia" w:ascii="宋体" w:hAnsi="宋体" w:eastAsia="宋体" w:cs="宋体"/>
          <w:snapToGrid w:val="0"/>
          <w:color w:val="auto"/>
          <w:highlight w:val="none"/>
        </w:rPr>
        <w:t>格式十 项目监理机构组成人员汇总表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67</w:t>
      </w:r>
    </w:p>
    <w:p w14:paraId="57F0E45C">
      <w:pPr>
        <w:pStyle w:val="10"/>
        <w:shd w:val="clear"/>
        <w:tabs>
          <w:tab w:val="right" w:leader="dot" w:pos="8834"/>
        </w:tabs>
        <w:rPr>
          <w:rFonts w:hint="eastAsia" w:ascii="宋体" w:hAnsi="宋体" w:eastAsia="宋体" w:cs="宋体"/>
          <w:color w:val="auto"/>
          <w:sz w:val="21"/>
          <w:szCs w:val="22"/>
          <w:highlight w:val="none"/>
          <w:lang w:val="en-US" w:eastAsia="zh-CN"/>
        </w:rPr>
      </w:pPr>
      <w:r>
        <w:rPr>
          <w:rFonts w:hint="eastAsia" w:ascii="宋体" w:hAnsi="宋体" w:eastAsia="宋体" w:cs="宋体"/>
          <w:color w:val="auto"/>
          <w:highlight w:val="none"/>
        </w:rPr>
        <w:fldChar w:fldCharType="begin"/>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"_Toc35334269"</w:instrText>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26"/>
          <w:rFonts w:hint="eastAsia" w:ascii="宋体" w:hAnsi="宋体" w:eastAsia="宋体" w:cs="宋体"/>
          <w:snapToGrid w:val="0"/>
          <w:color w:val="auto"/>
          <w:highlight w:val="none"/>
        </w:rPr>
        <w:t>格式十一 总监理工程师简历表</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8</w:t>
      </w:r>
    </w:p>
    <w:p w14:paraId="6E306C32">
      <w:pPr>
        <w:pStyle w:val="10"/>
        <w:shd w:val="clear"/>
        <w:tabs>
          <w:tab w:val="right" w:leader="dot" w:pos="8834"/>
        </w:tabs>
        <w:rPr>
          <w:rFonts w:hint="eastAsia" w:ascii="宋体" w:hAnsi="宋体" w:eastAsia="宋体" w:cs="宋体"/>
          <w:color w:val="auto"/>
          <w:sz w:val="21"/>
          <w:szCs w:val="22"/>
          <w:highlight w:val="none"/>
          <w:lang w:val="en-US" w:eastAsia="zh-CN"/>
        </w:rPr>
      </w:pPr>
      <w:r>
        <w:rPr>
          <w:rFonts w:hint="eastAsia" w:ascii="宋体" w:hAnsi="宋体" w:eastAsia="宋体" w:cs="宋体"/>
          <w:color w:val="auto"/>
          <w:highlight w:val="none"/>
        </w:rPr>
        <w:fldChar w:fldCharType="begin"/>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"_Toc35334270"</w:instrText>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26"/>
          <w:rFonts w:hint="eastAsia" w:ascii="宋体" w:hAnsi="宋体" w:eastAsia="宋体" w:cs="宋体"/>
          <w:snapToGrid w:val="0"/>
          <w:color w:val="auto"/>
          <w:highlight w:val="none"/>
        </w:rPr>
        <w:t>格式十二 其他拟派人员简历表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69</w:t>
      </w:r>
    </w:p>
    <w:p w14:paraId="25B8B58C">
      <w:pPr>
        <w:pStyle w:val="10"/>
        <w:shd w:val="clear"/>
        <w:tabs>
          <w:tab w:val="right" w:leader="dot" w:pos="8844"/>
        </w:tabs>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"_Toc35334271"</w:instrText>
      </w:r>
      <w:r>
        <w:rPr>
          <w:rStyle w:val="26"/>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fldChar w:fldCharType="separate"/>
      </w:r>
      <w:r>
        <w:rPr>
          <w:rStyle w:val="26"/>
          <w:rFonts w:hint="eastAsia" w:ascii="宋体" w:hAnsi="宋体" w:eastAsia="宋体" w:cs="宋体"/>
          <w:snapToGrid w:val="0"/>
          <w:color w:val="auto"/>
          <w:highlight w:val="none"/>
        </w:rPr>
        <w:t>格式十三 监理及相关服务报酬清单</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0</w:t>
      </w:r>
    </w:p>
    <w:p w14:paraId="1739D131">
      <w:pPr>
        <w:pStyle w:val="16"/>
        <w:shd w:val="clear"/>
        <w:tabs>
          <w:tab w:val="right" w:leader="dot" w:pos="8844"/>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_Toc10006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highlight w:val="none"/>
        </w:rPr>
        <w:t>第六章 建设工程监理合同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7FF179">
      <w:pPr>
        <w:shd w:val="clea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891D325">
      <w:pPr>
        <w:rPr>
          <w:rFonts w:hint="eastAsia" w:ascii="宋体" w:hAnsi="宋体" w:eastAsia="宋体" w:cs="宋体"/>
          <w:b/>
          <w:snapToGrid w:val="0"/>
          <w:color w:val="auto"/>
          <w:kern w:val="0"/>
          <w:highlight w:val="none"/>
        </w:rPr>
      </w:pPr>
      <w:bookmarkStart w:id="6" w:name="_Toc23113"/>
      <w:bookmarkStart w:id="7" w:name="_Toc26307"/>
      <w:bookmarkStart w:id="8" w:name="_Toc15229"/>
      <w:bookmarkStart w:id="9" w:name="_Toc22752"/>
      <w:bookmarkStart w:id="10" w:name="_Toc5583"/>
      <w:bookmarkStart w:id="11" w:name="_Toc1285"/>
      <w:bookmarkStart w:id="12" w:name="_Toc5663"/>
      <w:bookmarkStart w:id="13" w:name="_Toc1802"/>
      <w:bookmarkStart w:id="14" w:name="_Toc21126"/>
      <w:bookmarkStart w:id="15" w:name="_Toc30630"/>
      <w:r>
        <w:rPr>
          <w:rFonts w:hint="eastAsia" w:ascii="宋体" w:hAnsi="宋体" w:eastAsia="宋体" w:cs="宋体"/>
          <w:b/>
          <w:snapToGrid w:val="0"/>
          <w:color w:val="auto"/>
          <w:kern w:val="0"/>
          <w:highlight w:val="none"/>
        </w:rPr>
        <w:br w:type="page"/>
      </w:r>
    </w:p>
    <w:p w14:paraId="377A4A79">
      <w:pPr>
        <w:pStyle w:val="10"/>
        <w:shd w:val="clear"/>
        <w:wordWrap w:val="0"/>
        <w:adjustRightInd w:val="0"/>
        <w:snapToGrid w:val="0"/>
        <w:spacing w:line="440" w:lineRule="exact"/>
        <w:jc w:val="center"/>
        <w:outlineLvl w:val="0"/>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第一章 投标人须知</w:t>
      </w:r>
      <w:bookmarkEnd w:id="3"/>
      <w:bookmarkEnd w:id="4"/>
      <w:bookmarkEnd w:id="6"/>
      <w:bookmarkEnd w:id="7"/>
      <w:bookmarkEnd w:id="8"/>
      <w:bookmarkEnd w:id="9"/>
      <w:bookmarkEnd w:id="10"/>
      <w:bookmarkEnd w:id="11"/>
      <w:bookmarkEnd w:id="12"/>
      <w:bookmarkEnd w:id="13"/>
      <w:bookmarkEnd w:id="14"/>
      <w:bookmarkEnd w:id="15"/>
    </w:p>
    <w:p w14:paraId="79AAADE9">
      <w:pPr>
        <w:pStyle w:val="4"/>
        <w:keepNext w:val="0"/>
        <w:keepLines w:val="0"/>
        <w:pageBreakBefore w:val="0"/>
        <w:widowControl w:val="0"/>
        <w:shd w:val="clear"/>
        <w:kinsoku/>
        <w:wordWrap w:val="0"/>
        <w:overflowPunct/>
        <w:topLinePunct w:val="0"/>
        <w:autoSpaceDE/>
        <w:autoSpaceDN/>
        <w:bidi w:val="0"/>
        <w:adjustRightInd w:val="0"/>
        <w:snapToGrid w:val="0"/>
        <w:spacing w:before="140" w:after="140" w:line="440" w:lineRule="exact"/>
        <w:jc w:val="both"/>
        <w:textAlignment w:val="auto"/>
        <w:rPr>
          <w:rFonts w:hint="eastAsia" w:ascii="宋体" w:hAnsi="宋体" w:eastAsia="宋体" w:cs="宋体"/>
          <w:b/>
          <w:snapToGrid w:val="0"/>
          <w:color w:val="auto"/>
          <w:highlight w:val="none"/>
        </w:rPr>
      </w:pPr>
      <w:bookmarkStart w:id="16" w:name="_Hlt127175444"/>
      <w:bookmarkEnd w:id="16"/>
      <w:bookmarkStart w:id="17" w:name="_Toc16331"/>
      <w:bookmarkStart w:id="18" w:name="_Toc3285"/>
      <w:bookmarkStart w:id="19" w:name="_Toc11024"/>
      <w:bookmarkStart w:id="20" w:name="_Toc20462"/>
      <w:bookmarkStart w:id="21" w:name="_Toc24800"/>
      <w:bookmarkStart w:id="22" w:name="_Toc26922"/>
      <w:bookmarkStart w:id="23" w:name="_Toc28652"/>
      <w:bookmarkStart w:id="24" w:name="_Toc3634"/>
      <w:bookmarkStart w:id="25" w:name="_Toc24724"/>
      <w:bookmarkStart w:id="26" w:name="_Toc11495"/>
      <w:bookmarkStart w:id="27" w:name="_Toc25631"/>
      <w:bookmarkStart w:id="28" w:name="_Hlt120077520"/>
      <w:r>
        <w:rPr>
          <w:rFonts w:hint="eastAsia" w:ascii="宋体" w:hAnsi="宋体" w:eastAsia="宋体" w:cs="宋体"/>
          <w:b/>
          <w:snapToGrid w:val="0"/>
          <w:color w:val="auto"/>
          <w:highlight w:val="none"/>
        </w:rPr>
        <w:t>第一节 投标人须知前附表</w:t>
      </w:r>
      <w:bookmarkEnd w:id="17"/>
      <w:bookmarkEnd w:id="18"/>
      <w:bookmarkEnd w:id="19"/>
      <w:bookmarkEnd w:id="20"/>
      <w:bookmarkEnd w:id="21"/>
      <w:bookmarkEnd w:id="22"/>
      <w:bookmarkEnd w:id="23"/>
      <w:bookmarkEnd w:id="24"/>
      <w:bookmarkEnd w:id="25"/>
      <w:bookmarkEnd w:id="26"/>
      <w:bookmarkEnd w:id="27"/>
    </w:p>
    <w:tbl>
      <w:tblPr>
        <w:tblStyle w:val="23"/>
        <w:tblW w:w="9187"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58"/>
        <w:gridCol w:w="1995"/>
        <w:gridCol w:w="6534"/>
      </w:tblGrid>
      <w:tr w14:paraId="43E21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FB1FCFB">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序号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6C64872">
            <w:pPr>
              <w:shd w:val="clear"/>
              <w:wordWrap w:val="0"/>
              <w:adjustRightInd w:val="0"/>
              <w:snapToGrid w:val="0"/>
              <w:spacing w:line="240" w:lineRule="auto"/>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内容</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72A8DDB8">
            <w:pPr>
              <w:shd w:val="clear"/>
              <w:tabs>
                <w:tab w:val="left" w:pos="1180"/>
              </w:tabs>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说明与要求</w:t>
            </w:r>
          </w:p>
        </w:tc>
      </w:tr>
      <w:tr w14:paraId="6BE59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8"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926B1B8">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811A513">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项目名称</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0FFBDF86">
            <w:pPr>
              <w:shd w:val="clear"/>
              <w:tabs>
                <w:tab w:val="left" w:pos="1180"/>
              </w:tabs>
              <w:wordWrap w:val="0"/>
              <w:adjustRightInd w:val="0"/>
              <w:snapToGrid w:val="0"/>
              <w:spacing w:line="400" w:lineRule="exact"/>
              <w:ind w:firstLine="240" w:firstLineChars="100"/>
              <w:jc w:val="left"/>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b w:val="0"/>
                <w:snapToGrid w:val="0"/>
                <w:color w:val="auto"/>
                <w:kern w:val="0"/>
                <w:sz w:val="24"/>
                <w:szCs w:val="24"/>
                <w:highlight w:val="none"/>
                <w:lang w:eastAsia="zh-CN"/>
              </w:rPr>
              <w:t>仁化县城市管网补短板建设项目（二期）二标段监理</w:t>
            </w:r>
          </w:p>
        </w:tc>
      </w:tr>
      <w:tr w14:paraId="1AD13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3166FB38">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7D19349">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项目业主</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EEF12F8">
            <w:pPr>
              <w:pStyle w:val="47"/>
              <w:shd w:val="clear"/>
              <w:spacing w:line="240" w:lineRule="auto"/>
              <w:ind w:firstLine="240" w:firstLineChars="1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仁化县市政工程公司</w:t>
            </w:r>
          </w:p>
        </w:tc>
      </w:tr>
      <w:tr w14:paraId="1B7D5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58CC206E">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ACB01CF">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lang w:val="en-US" w:eastAsia="zh-CN"/>
              </w:rPr>
              <w:t>项目批准部门及项目批准文号</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75546F96">
            <w:pPr>
              <w:pStyle w:val="47"/>
              <w:shd w:val="clear"/>
              <w:spacing w:line="240" w:lineRule="auto"/>
              <w:ind w:firstLine="240" w:firstLineChars="1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仁化县发展和改革局/ 仁发改投审【2022】53号</w:t>
            </w:r>
          </w:p>
        </w:tc>
      </w:tr>
      <w:tr w14:paraId="17873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6C2F135D">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EED99FE">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sz w:val="24"/>
                <w:szCs w:val="24"/>
                <w:highlight w:val="none"/>
                <w:lang w:val="en-US" w:eastAsia="zh-CN" w:bidi="ar-SA"/>
              </w:rPr>
              <w:t>建设地点</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153A8F0B">
            <w:pPr>
              <w:pStyle w:val="6"/>
              <w:shd w:val="clear"/>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韶关市仁化县</w:t>
            </w:r>
          </w:p>
        </w:tc>
      </w:tr>
      <w:tr w14:paraId="7BF95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72A6AED">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val="en-US" w:eastAsia="zh-CN"/>
              </w:rPr>
              <w:t>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5028923">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项目代码</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4C583D90">
            <w:pPr>
              <w:pStyle w:val="6"/>
              <w:shd w:val="clear"/>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2207-440224-04-01-564900</w:t>
            </w:r>
          </w:p>
        </w:tc>
      </w:tr>
      <w:tr w14:paraId="74BC8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A41ACC8">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val="en-US" w:eastAsia="zh-CN"/>
              </w:rPr>
              <w:t>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2692403">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资金来源</w:t>
            </w:r>
          </w:p>
          <w:p w14:paraId="1F2268D4">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及出资比例</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1A3688FD">
            <w:pPr>
              <w:pStyle w:val="6"/>
              <w:shd w:val="clear"/>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上级资金和县级财政资金安排解决，100%。</w:t>
            </w:r>
          </w:p>
        </w:tc>
      </w:tr>
      <w:tr w14:paraId="28ED4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2C9D13A3">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val="en-US" w:eastAsia="zh-CN"/>
              </w:rPr>
              <w:t>7</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FAB4746">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招标人</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27AEA1D3">
            <w:pPr>
              <w:pStyle w:val="6"/>
              <w:shd w:val="clear"/>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仁化县市政工程公司</w:t>
            </w:r>
          </w:p>
        </w:tc>
      </w:tr>
      <w:tr w14:paraId="6B5D0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630E441B">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val="en-US" w:eastAsia="zh-CN"/>
              </w:rPr>
              <w:t>8</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BFADBE1">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招标代理机构</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5435003">
            <w:pPr>
              <w:shd w:val="clear"/>
              <w:wordWrap w:val="0"/>
              <w:adjustRightInd w:val="0"/>
              <w:snapToGrid w:val="0"/>
              <w:spacing w:line="400" w:lineRule="exact"/>
              <w:ind w:firstLine="240" w:firstLineChars="100"/>
              <w:jc w:val="left"/>
              <w:rPr>
                <w:rFonts w:hint="eastAsia" w:ascii="宋体" w:hAnsi="宋体" w:eastAsia="宋体" w:cs="宋体"/>
                <w:bCs/>
                <w:snapToGrid w:val="0"/>
                <w:color w:val="auto"/>
                <w:kern w:val="0"/>
                <w:szCs w:val="24"/>
                <w:highlight w:val="none"/>
                <w:lang w:eastAsia="zh-CN"/>
              </w:rPr>
            </w:pPr>
            <w:r>
              <w:rPr>
                <w:rFonts w:hint="eastAsia" w:ascii="宋体" w:hAnsi="宋体" w:eastAsia="宋体" w:cs="宋体"/>
                <w:bCs/>
                <w:snapToGrid w:val="0"/>
                <w:color w:val="auto"/>
                <w:kern w:val="0"/>
                <w:szCs w:val="24"/>
                <w:highlight w:val="none"/>
                <w:lang w:eastAsia="zh-CN"/>
              </w:rPr>
              <w:t>广东爱科工程咨询管理有限公司</w:t>
            </w:r>
          </w:p>
        </w:tc>
      </w:tr>
      <w:tr w14:paraId="63098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1B1AB6D8">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val="en-US" w:eastAsia="zh-CN"/>
              </w:rPr>
              <w:t>9</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FD630FF">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sz w:val="24"/>
                <w:szCs w:val="24"/>
                <w:highlight w:val="none"/>
                <w:lang w:val="en-US" w:eastAsia="zh-CN" w:bidi="ar-SA"/>
              </w:rPr>
              <w:t>设计单位</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5BD51AE1">
            <w:pPr>
              <w:pStyle w:val="6"/>
              <w:shd w:val="clear"/>
              <w:ind w:firstLine="240" w:firstLineChars="100"/>
              <w:rPr>
                <w:rFonts w:hint="eastAsia" w:ascii="宋体" w:hAnsi="宋体" w:eastAsia="宋体" w:cs="宋体"/>
                <w:bCs/>
                <w:snapToGrid w:val="0"/>
                <w:color w:val="auto"/>
                <w:kern w:val="0"/>
                <w:szCs w:val="24"/>
                <w:highlight w:val="none"/>
                <w:lang w:val="en-US" w:eastAsia="zh-CN"/>
              </w:rPr>
            </w:pPr>
            <w:r>
              <w:rPr>
                <w:rFonts w:hint="eastAsia" w:ascii="宋体" w:hAnsi="宋体" w:eastAsia="宋体" w:cs="宋体"/>
                <w:bCs/>
                <w:snapToGrid w:val="0"/>
                <w:color w:val="auto"/>
                <w:kern w:val="0"/>
                <w:szCs w:val="24"/>
                <w:highlight w:val="none"/>
                <w:lang w:val="en-US" w:eastAsia="zh-CN"/>
              </w:rPr>
              <w:t>中誉设计有限公司</w:t>
            </w:r>
          </w:p>
        </w:tc>
      </w:tr>
      <w:tr w14:paraId="5BB45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63D663C">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428921E">
            <w:pPr>
              <w:shd w:val="clear"/>
              <w:spacing w:before="197" w:line="227"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造价咨询单位</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015D8D78">
            <w:pPr>
              <w:shd w:val="clear"/>
              <w:spacing w:before="185" w:line="219" w:lineRule="auto"/>
              <w:ind w:left="33" w:leftChars="0" w:firstLine="236" w:firstLineChars="100"/>
              <w:rPr>
                <w:rFonts w:hint="eastAsia" w:ascii="宋体" w:hAnsi="宋体" w:eastAsia="宋体" w:cs="宋体"/>
                <w:bCs/>
                <w:snapToGrid w:val="0"/>
                <w:color w:val="auto"/>
                <w:kern w:val="0"/>
                <w:szCs w:val="24"/>
                <w:highlight w:val="none"/>
                <w:lang w:val="en-US"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非全过程造价咨询</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全过程造价咨询</w:t>
            </w:r>
            <w:r>
              <w:rPr>
                <w:rFonts w:hint="eastAsia" w:ascii="宋体" w:hAnsi="宋体" w:eastAsia="宋体" w:cs="宋体"/>
                <w:snapToGrid w:val="0"/>
                <w:color w:val="auto"/>
                <w:sz w:val="24"/>
                <w:szCs w:val="24"/>
                <w:highlight w:val="none"/>
                <w:lang w:val="en-US" w:eastAsia="zh-CN" w:bidi="ar-SA"/>
              </w:rPr>
              <w:t xml:space="preserve">  </w:t>
            </w:r>
          </w:p>
        </w:tc>
      </w:tr>
      <w:tr w14:paraId="2C1C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01133C0D">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11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5B63854">
            <w:pPr>
              <w:shd w:val="clear"/>
              <w:spacing w:before="194" w:line="229"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监理单位</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074DDC9E">
            <w:pPr>
              <w:shd w:val="clear"/>
              <w:spacing w:before="179" w:line="240" w:lineRule="auto"/>
              <w:ind w:left="33" w:leftChars="0" w:firstLine="230" w:firstLineChars="100"/>
              <w:rPr>
                <w:rFonts w:hint="eastAsia" w:ascii="宋体" w:hAnsi="宋体" w:eastAsia="宋体" w:cs="宋体"/>
                <w:bCs/>
                <w:snapToGrid w:val="0"/>
                <w:color w:val="auto"/>
                <w:kern w:val="0"/>
                <w:szCs w:val="24"/>
                <w:highlight w:val="none"/>
                <w:lang w:val="en-US" w:eastAsia="zh-CN"/>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已确定监理单位</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lang w:eastAsia="zh-CN"/>
              </w:rPr>
              <w:t>☑未</w:t>
            </w:r>
            <w:r>
              <w:rPr>
                <w:rFonts w:hint="eastAsia" w:ascii="宋体" w:hAnsi="宋体" w:eastAsia="宋体" w:cs="宋体"/>
                <w:color w:val="auto"/>
                <w:spacing w:val="-5"/>
                <w:sz w:val="24"/>
                <w:szCs w:val="24"/>
                <w:highlight w:val="none"/>
              </w:rPr>
              <w:t>确定监理单位</w:t>
            </w:r>
          </w:p>
        </w:tc>
      </w:tr>
      <w:tr w14:paraId="55664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2"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F5E00A1">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81CB5D9">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建设内容</w:t>
            </w:r>
          </w:p>
          <w:p w14:paraId="4CBF5958">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和规模</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2B111B7E">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□建设规模：/</w:t>
            </w:r>
          </w:p>
          <w:p w14:paraId="633366B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☑建设内容：</w:t>
            </w:r>
            <w:r>
              <w:rPr>
                <w:rFonts w:hint="eastAsia" w:hAnsi="宋体" w:cs="宋体"/>
                <w:color w:val="auto"/>
                <w:kern w:val="0"/>
                <w:sz w:val="24"/>
                <w:szCs w:val="24"/>
                <w:highlight w:val="none"/>
                <w:lang w:val="en-US" w:eastAsia="zh-CN" w:bidi="ar"/>
              </w:rPr>
              <w:t>主要建设内容为水系连通、防洪排涝、水环境改善修复城市水体、疏通清淤原有雨水管渠、新建或改建一批管渠等。主要范围:甫仁路前段及锦水路，新建DN800-DN2000雨水管515m。【具体建设内容以工程量清单为准】</w:t>
            </w:r>
          </w:p>
        </w:tc>
      </w:tr>
      <w:tr w14:paraId="46BF3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41"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18CFED3">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1</w:t>
            </w:r>
            <w:r>
              <w:rPr>
                <w:rFonts w:hint="eastAsia" w:ascii="宋体" w:hAnsi="宋体" w:eastAsia="宋体" w:cs="宋体"/>
                <w:snapToGrid w:val="0"/>
                <w:color w:val="auto"/>
                <w:kern w:val="0"/>
                <w:szCs w:val="24"/>
                <w:highlight w:val="none"/>
                <w:lang w:val="en-US" w:eastAsia="zh-CN"/>
              </w:rPr>
              <w:t>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824660C">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项目</w:t>
            </w:r>
            <w:r>
              <w:rPr>
                <w:rFonts w:hint="eastAsia" w:ascii="宋体" w:hAnsi="宋体" w:eastAsia="宋体" w:cs="宋体"/>
                <w:snapToGrid w:val="0"/>
                <w:color w:val="auto"/>
                <w:kern w:val="0"/>
                <w:sz w:val="24"/>
                <w:szCs w:val="24"/>
                <w:highlight w:val="none"/>
              </w:rPr>
              <w:t>总投资</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399E3796">
            <w:pPr>
              <w:shd w:val="clear"/>
              <w:wordWrap w:val="0"/>
              <w:adjustRightInd w:val="0"/>
              <w:snapToGrid w:val="0"/>
              <w:spacing w:line="400" w:lineRule="exact"/>
              <w:ind w:left="0" w:leftChars="0" w:firstLine="240" w:firstLineChars="100"/>
              <w:jc w:val="left"/>
              <w:rPr>
                <w:rFonts w:hint="eastAsia" w:ascii="宋体" w:hAnsi="宋体" w:eastAsia="宋体" w:cs="宋体"/>
                <w:bCs/>
                <w:snapToGrid w:val="0"/>
                <w:color w:val="auto"/>
                <w:kern w:val="0"/>
                <w:szCs w:val="24"/>
                <w:highlight w:val="none"/>
              </w:rPr>
            </w:pPr>
            <w:r>
              <w:rPr>
                <w:rFonts w:hint="eastAsia" w:ascii="宋体" w:hAnsi="宋体" w:eastAsia="宋体" w:cs="宋体"/>
                <w:b w:val="0"/>
                <w:bCs w:val="0"/>
                <w:snapToGrid w:val="0"/>
                <w:color w:val="auto"/>
                <w:kern w:val="0"/>
                <w:sz w:val="24"/>
                <w:szCs w:val="24"/>
                <w:highlight w:val="none"/>
                <w:lang w:val="en-US" w:eastAsia="zh-CN"/>
              </w:rPr>
              <w:t>项目概算总投资10857.08万元，其中工程费用8817.28万元、工程建设其他费用1522.80万元、预备费用517.00万元</w:t>
            </w:r>
            <w:bookmarkStart w:id="29" w:name="OLE_LINK1"/>
            <w:r>
              <w:rPr>
                <w:rFonts w:hint="eastAsia" w:ascii="宋体" w:hAnsi="宋体" w:eastAsia="宋体" w:cs="宋体"/>
                <w:b w:val="0"/>
                <w:bCs w:val="0"/>
                <w:snapToGrid w:val="0"/>
                <w:color w:val="auto"/>
                <w:kern w:val="0"/>
                <w:sz w:val="24"/>
                <w:szCs w:val="24"/>
                <w:highlight w:val="none"/>
                <w:lang w:val="en-US" w:eastAsia="zh-CN"/>
              </w:rPr>
              <w:t>。本次招标建安费约为1395.27万元</w:t>
            </w:r>
            <w:bookmarkEnd w:id="29"/>
            <w:r>
              <w:rPr>
                <w:rFonts w:hint="eastAsia" w:ascii="宋体" w:hAnsi="宋体" w:eastAsia="宋体" w:cs="宋体"/>
                <w:b w:val="0"/>
                <w:bCs w:val="0"/>
                <w:snapToGrid w:val="0"/>
                <w:color w:val="auto"/>
                <w:kern w:val="0"/>
                <w:sz w:val="24"/>
                <w:szCs w:val="24"/>
                <w:highlight w:val="none"/>
                <w:lang w:val="en-US" w:eastAsia="zh-CN"/>
              </w:rPr>
              <w:t>。</w:t>
            </w:r>
          </w:p>
        </w:tc>
      </w:tr>
      <w:tr w14:paraId="2A627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6"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64E338D">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1</w:t>
            </w:r>
            <w:r>
              <w:rPr>
                <w:rFonts w:hint="eastAsia" w:ascii="宋体" w:hAnsi="宋体" w:eastAsia="宋体" w:cs="宋体"/>
                <w:snapToGrid w:val="0"/>
                <w:color w:val="auto"/>
                <w:kern w:val="0"/>
                <w:szCs w:val="24"/>
                <w:highlight w:val="none"/>
                <w:lang w:val="en-US" w:eastAsia="zh-CN"/>
              </w:rPr>
              <w:t>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FE2A077">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招标范围</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579813E7">
            <w:pPr>
              <w:shd w:val="clear"/>
              <w:wordWrap w:val="0"/>
              <w:adjustRightInd w:val="0"/>
              <w:snapToGrid w:val="0"/>
              <w:spacing w:line="400" w:lineRule="exact"/>
              <w:ind w:firstLine="240" w:firstLineChars="100"/>
              <w:rPr>
                <w:rFonts w:hint="eastAsia" w:ascii="宋体" w:hAnsi="宋体" w:eastAsia="宋体" w:cs="宋体"/>
                <w:color w:val="auto"/>
                <w:szCs w:val="24"/>
                <w:highlight w:val="none"/>
              </w:rPr>
            </w:pPr>
            <w:r>
              <w:rPr>
                <w:rFonts w:hint="eastAsia" w:ascii="宋体" w:hAnsi="宋体" w:eastAsia="宋体" w:cs="宋体"/>
                <w:bCs/>
                <w:snapToGrid w:val="0"/>
                <w:color w:val="auto"/>
                <w:kern w:val="0"/>
                <w:szCs w:val="24"/>
                <w:highlight w:val="none"/>
                <w:lang w:eastAsia="zh-CN"/>
              </w:rPr>
              <w:t>项目建设施工阶段监理（含施工准备阶段、施工阶段、工程竣工结算阶段和保修阶段监理）</w:t>
            </w:r>
            <w:r>
              <w:rPr>
                <w:rFonts w:hint="eastAsia" w:ascii="宋体" w:hAnsi="宋体" w:eastAsia="宋体" w:cs="宋体"/>
                <w:bCs/>
                <w:snapToGrid w:val="0"/>
                <w:color w:val="auto"/>
                <w:kern w:val="0"/>
                <w:szCs w:val="24"/>
                <w:highlight w:val="none"/>
              </w:rPr>
              <w:t>。</w:t>
            </w:r>
          </w:p>
        </w:tc>
      </w:tr>
      <w:tr w14:paraId="6F1D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09501850">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1</w:t>
            </w:r>
            <w:r>
              <w:rPr>
                <w:rFonts w:hint="eastAsia" w:ascii="宋体" w:hAnsi="宋体" w:eastAsia="宋体" w:cs="宋体"/>
                <w:snapToGrid w:val="0"/>
                <w:color w:val="auto"/>
                <w:kern w:val="0"/>
                <w:szCs w:val="24"/>
                <w:highlight w:val="none"/>
                <w:lang w:val="en-US" w:eastAsia="zh-CN"/>
              </w:rPr>
              <w:t>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7B66741">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标段划分</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1C0FD436">
            <w:pPr>
              <w:shd w:val="clear"/>
              <w:wordWrap w:val="0"/>
              <w:adjustRightInd w:val="0"/>
              <w:snapToGrid w:val="0"/>
              <w:spacing w:line="400" w:lineRule="exact"/>
              <w:ind w:firstLine="240" w:firstLineChars="100"/>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eastAsia="zh-CN"/>
              </w:rPr>
              <w:t>本招标项目不划分标段。</w:t>
            </w:r>
          </w:p>
        </w:tc>
      </w:tr>
      <w:tr w14:paraId="340B4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758"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10E832C2">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16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9AB39B6">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color w:val="auto"/>
                <w:highlight w:val="none"/>
                <w:lang w:val="en-US" w:eastAsia="zh-CN"/>
              </w:rPr>
              <w:t>工期</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595D93FD">
            <w:pPr>
              <w:shd w:val="clear"/>
              <w:wordWrap w:val="0"/>
              <w:adjustRightInd w:val="0"/>
              <w:snapToGrid w:val="0"/>
              <w:spacing w:line="400" w:lineRule="exact"/>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本招标项目施工工期为</w:t>
            </w:r>
            <w:r>
              <w:rPr>
                <w:rFonts w:hint="eastAsia" w:ascii="宋体" w:hAnsi="宋体" w:eastAsia="宋体" w:cs="宋体"/>
                <w:color w:val="auto"/>
                <w:highlight w:val="none"/>
                <w:u w:val="single"/>
                <w:lang w:val="en-US" w:eastAsia="zh-CN"/>
              </w:rPr>
              <w:t xml:space="preserve"> 240 日</w:t>
            </w:r>
            <w:r>
              <w:rPr>
                <w:rFonts w:hint="eastAsia" w:ascii="宋体" w:hAnsi="宋体" w:eastAsia="宋体" w:cs="宋体"/>
                <w:color w:val="auto"/>
                <w:highlight w:val="none"/>
                <w:lang w:val="en-US" w:eastAsia="zh-CN"/>
              </w:rPr>
              <w:t>历天。具体如下：</w:t>
            </w:r>
          </w:p>
          <w:p w14:paraId="740FFB62">
            <w:pPr>
              <w:shd w:val="clear"/>
              <w:wordWrap w:val="0"/>
              <w:adjustRightInd w:val="0"/>
              <w:snapToGrid w:val="0"/>
              <w:spacing w:line="400" w:lineRule="exact"/>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☑总工期： 240 天（日历天）。 </w:t>
            </w:r>
          </w:p>
          <w:p w14:paraId="047AADD1">
            <w:pPr>
              <w:shd w:val="clear"/>
              <w:wordWrap w:val="0"/>
              <w:adjustRightInd w:val="0"/>
              <w:snapToGrid w:val="0"/>
              <w:spacing w:line="400" w:lineRule="exact"/>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□计划开工日期：</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 xml:space="preserve">年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 xml:space="preserve">月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 xml:space="preserve">日（具体开工日期以合同为准） </w:t>
            </w:r>
          </w:p>
          <w:p w14:paraId="4723C0F4">
            <w:pPr>
              <w:shd w:val="clear"/>
              <w:wordWrap w:val="0"/>
              <w:adjustRightInd w:val="0"/>
              <w:snapToGrid w:val="0"/>
              <w:spacing w:line="400" w:lineRule="exact"/>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□计划竣工日期：</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 xml:space="preserve">年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 xml:space="preserve">月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日</w:t>
            </w:r>
          </w:p>
          <w:p w14:paraId="3CDC3C07">
            <w:pPr>
              <w:shd w:val="clear"/>
              <w:wordWrap w:val="0"/>
              <w:adjustRightInd w:val="0"/>
              <w:snapToGrid w:val="0"/>
              <w:spacing w:line="400" w:lineRule="exact"/>
              <w:ind w:firstLine="240" w:firstLineChars="100"/>
              <w:rPr>
                <w:rFonts w:hint="eastAsia" w:ascii="宋体" w:hAnsi="宋体" w:eastAsia="宋体" w:cs="宋体"/>
                <w:snapToGrid w:val="0"/>
                <w:color w:val="auto"/>
                <w:kern w:val="0"/>
                <w:szCs w:val="24"/>
                <w:highlight w:val="none"/>
                <w:lang w:val="en-US"/>
              </w:rPr>
            </w:pPr>
            <w:r>
              <w:rPr>
                <w:rFonts w:hint="eastAsia" w:ascii="宋体" w:hAnsi="宋体" w:eastAsia="宋体" w:cs="宋体"/>
                <w:color w:val="auto"/>
                <w:highlight w:val="none"/>
                <w:lang w:val="en-US" w:eastAsia="zh-CN"/>
              </w:rPr>
              <w:t>□除上述总工期外，发包人还要求以下阶段工期：</w:t>
            </w:r>
            <w:r>
              <w:rPr>
                <w:rFonts w:hint="eastAsia" w:ascii="宋体" w:hAnsi="宋体" w:eastAsia="宋体" w:cs="宋体"/>
                <w:color w:val="auto"/>
                <w:highlight w:val="none"/>
                <w:u w:val="single"/>
                <w:lang w:val="en-US" w:eastAsia="zh-CN"/>
              </w:rPr>
              <w:t>/</w:t>
            </w:r>
          </w:p>
        </w:tc>
      </w:tr>
      <w:tr w14:paraId="4796F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403"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62881611">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17</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BBF0998">
            <w:pPr>
              <w:shd w:val="clear"/>
              <w:spacing w:before="65" w:line="229"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rPr>
              <w:t>质量标准</w:t>
            </w:r>
          </w:p>
        </w:tc>
        <w:tc>
          <w:tcPr>
            <w:tcW w:w="6534" w:type="dxa"/>
            <w:tcBorders>
              <w:top w:val="single" w:color="auto" w:sz="4" w:space="0"/>
              <w:left w:val="single" w:color="auto" w:sz="4" w:space="0"/>
              <w:bottom w:val="single" w:color="auto" w:sz="4" w:space="0"/>
              <w:right w:val="single" w:color="auto" w:sz="4" w:space="0"/>
            </w:tcBorders>
            <w:noWrap w:val="0"/>
            <w:vAlign w:val="top"/>
          </w:tcPr>
          <w:p w14:paraId="76960190">
            <w:pPr>
              <w:keepNext w:val="0"/>
              <w:keepLines w:val="0"/>
              <w:pageBreakBefore w:val="0"/>
              <w:widowControl/>
              <w:shd w:val="clear"/>
              <w:kinsoku w:val="0"/>
              <w:wordWrap/>
              <w:overflowPunct/>
              <w:topLinePunct w:val="0"/>
              <w:autoSpaceDE w:val="0"/>
              <w:autoSpaceDN w:val="0"/>
              <w:bidi w:val="0"/>
              <w:adjustRightInd w:val="0"/>
              <w:snapToGrid w:val="0"/>
              <w:spacing w:before="116" w:line="360" w:lineRule="auto"/>
              <w:ind w:firstLine="23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质量目标：</w:t>
            </w:r>
            <w:r>
              <w:rPr>
                <w:rFonts w:hint="eastAsia" w:ascii="宋体" w:hAnsi="宋体" w:eastAsia="宋体" w:cs="宋体"/>
                <w:color w:val="auto"/>
                <w:spacing w:val="-4"/>
                <w:sz w:val="24"/>
                <w:szCs w:val="24"/>
                <w:highlight w:val="none"/>
                <w:u w:val="single"/>
              </w:rPr>
              <w:t>合格</w:t>
            </w:r>
          </w:p>
          <w:p w14:paraId="137127DD">
            <w:pPr>
              <w:wordWrap w:val="0"/>
              <w:adjustRightInd w:val="0"/>
              <w:snapToGrid w:val="0"/>
              <w:spacing w:line="440" w:lineRule="exact"/>
              <w:ind w:firstLine="232" w:firstLineChars="1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质量标准：</w:t>
            </w:r>
            <w:r>
              <w:rPr>
                <w:rFonts w:hint="eastAsia" w:ascii="宋体" w:hAnsi="宋体" w:eastAsia="宋体" w:cs="宋体"/>
                <w:snapToGrid w:val="0"/>
                <w:color w:val="auto"/>
                <w:kern w:val="0"/>
                <w:highlight w:val="none"/>
              </w:rPr>
              <w:t>工程质量必须达到</w:t>
            </w:r>
            <w:r>
              <w:rPr>
                <w:rFonts w:hint="eastAsia" w:ascii="宋体" w:hAnsi="宋体" w:eastAsia="宋体" w:cs="宋体"/>
                <w:snapToGrid w:val="0"/>
                <w:color w:val="auto"/>
                <w:kern w:val="0"/>
                <w:highlight w:val="none"/>
                <w:u w:val="single"/>
              </w:rPr>
              <w:t>《建筑工程施工质量验收统一标准》(GB50300-2013)合格</w:t>
            </w:r>
            <w:r>
              <w:rPr>
                <w:rFonts w:hint="eastAsia" w:ascii="宋体" w:hAnsi="宋体" w:eastAsia="宋体" w:cs="宋体"/>
                <w:snapToGrid w:val="0"/>
                <w:color w:val="auto"/>
                <w:kern w:val="0"/>
                <w:highlight w:val="none"/>
              </w:rPr>
              <w:t>标准。</w:t>
            </w:r>
          </w:p>
          <w:p w14:paraId="05C0A221">
            <w:pPr>
              <w:keepNext w:val="0"/>
              <w:keepLines w:val="0"/>
              <w:pageBreakBefore w:val="0"/>
              <w:widowControl/>
              <w:shd w:val="clear"/>
              <w:kinsoku w:val="0"/>
              <w:wordWrap/>
              <w:overflowPunct/>
              <w:topLinePunct w:val="0"/>
              <w:autoSpaceDE w:val="0"/>
              <w:autoSpaceDN w:val="0"/>
              <w:bidi w:val="0"/>
              <w:adjustRightInd w:val="0"/>
              <w:snapToGrid w:val="0"/>
              <w:spacing w:beforeLines="0" w:afterLines="0" w:line="360" w:lineRule="auto"/>
              <w:ind w:firstLine="240" w:firstLineChars="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优质工程要求：</w:t>
            </w:r>
            <w:r>
              <w:rPr>
                <w:rFonts w:hint="eastAsia" w:ascii="宋体" w:hAnsi="宋体" w:eastAsia="宋体" w:cs="宋体"/>
                <w:color w:val="auto"/>
                <w:sz w:val="24"/>
                <w:szCs w:val="24"/>
                <w:highlight w:val="none"/>
                <w:u w:val="single"/>
              </w:rPr>
              <w:t>无/市优/省优/.....</w:t>
            </w:r>
          </w:p>
          <w:p w14:paraId="2D526C4C">
            <w:pPr>
              <w:pStyle w:val="6"/>
              <w:shd w:val="clea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工程优质费：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u w:val="single"/>
                <w:lang w:val="en-US" w:eastAsia="zh-CN"/>
              </w:rPr>
              <w:t>/</w:t>
            </w:r>
          </w:p>
        </w:tc>
      </w:tr>
      <w:tr w14:paraId="1391D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5FFDA7E">
            <w:pPr>
              <w:shd w:val="clear"/>
              <w:spacing w:before="19"/>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color w:val="auto"/>
                <w:spacing w:val="-8"/>
                <w:sz w:val="24"/>
                <w:szCs w:val="24"/>
                <w:highlight w:val="none"/>
                <w:lang w:val="en-US" w:eastAsia="zh-CN"/>
              </w:rPr>
              <w:t>18</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40B63FB">
            <w:pPr>
              <w:shd w:val="clear"/>
              <w:spacing w:before="78" w:line="264" w:lineRule="auto"/>
              <w:ind w:left="143" w:leftChars="0" w:right="140" w:rightChars="0"/>
              <w:jc w:val="center"/>
              <w:rPr>
                <w:rFonts w:hint="eastAsia" w:ascii="宋体" w:hAnsi="宋体" w:eastAsia="宋体" w:cs="宋体"/>
                <w:color w:val="auto"/>
                <w:spacing w:val="7"/>
                <w:sz w:val="24"/>
                <w:szCs w:val="24"/>
                <w:highlight w:val="none"/>
              </w:rPr>
            </w:pPr>
            <w:r>
              <w:rPr>
                <w:rFonts w:hint="eastAsia" w:ascii="宋体" w:hAnsi="宋体" w:eastAsia="宋体" w:cs="宋体"/>
                <w:color w:val="auto"/>
                <w:spacing w:val="-2"/>
                <w:sz w:val="24"/>
                <w:szCs w:val="24"/>
                <w:highlight w:val="none"/>
              </w:rPr>
              <w:t>房屋建筑工程绿色建筑标准</w:t>
            </w:r>
          </w:p>
        </w:tc>
        <w:tc>
          <w:tcPr>
            <w:tcW w:w="6534" w:type="dxa"/>
            <w:tcBorders>
              <w:top w:val="single" w:color="auto" w:sz="4" w:space="0"/>
              <w:left w:val="single" w:color="auto" w:sz="4" w:space="0"/>
              <w:bottom w:val="single" w:color="auto" w:sz="4" w:space="0"/>
              <w:right w:val="single" w:color="auto" w:sz="4" w:space="0"/>
            </w:tcBorders>
            <w:noWrap w:val="0"/>
            <w:vAlign w:val="top"/>
          </w:tcPr>
          <w:p w14:paraId="7C982A5B">
            <w:pPr>
              <w:shd w:val="clear"/>
              <w:spacing w:before="5" w:line="263" w:lineRule="auto"/>
              <w:ind w:left="7" w:right="4" w:firstLine="481"/>
              <w:jc w:val="both"/>
              <w:rPr>
                <w:rFonts w:hint="eastAsia" w:ascii="宋体" w:hAnsi="宋体" w:eastAsia="宋体" w:cs="宋体"/>
                <w:color w:val="auto"/>
                <w:spacing w:val="1"/>
                <w:sz w:val="24"/>
                <w:szCs w:val="24"/>
                <w:highlight w:val="none"/>
              </w:rPr>
            </w:pPr>
          </w:p>
          <w:p w14:paraId="605D2E1D">
            <w:pPr>
              <w:shd w:val="clear"/>
              <w:spacing w:before="5" w:line="263" w:lineRule="auto"/>
              <w:ind w:right="4" w:rightChars="0" w:firstLine="24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lang w:eastAsia="zh-CN"/>
              </w:rPr>
              <w:t>不</w:t>
            </w:r>
            <w:r>
              <w:rPr>
                <w:rFonts w:hint="eastAsia" w:ascii="宋体" w:hAnsi="宋体" w:eastAsia="宋体" w:cs="宋体"/>
                <w:color w:val="auto"/>
                <w:spacing w:val="1"/>
                <w:sz w:val="24"/>
                <w:szCs w:val="24"/>
                <w:highlight w:val="none"/>
              </w:rPr>
              <w:t>纳入绿色建设实施范围</w:t>
            </w:r>
            <w:r>
              <w:rPr>
                <w:rFonts w:hint="eastAsia" w:ascii="宋体" w:hAnsi="宋体" w:eastAsia="宋体" w:cs="宋体"/>
                <w:color w:val="auto"/>
                <w:spacing w:val="1"/>
                <w:sz w:val="24"/>
                <w:szCs w:val="24"/>
                <w:highlight w:val="none"/>
                <w:lang w:eastAsia="zh-CN"/>
              </w:rPr>
              <w:t>。</w:t>
            </w:r>
          </w:p>
        </w:tc>
      </w:tr>
      <w:tr w14:paraId="06C04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8"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BCECA4F">
            <w:pPr>
              <w:shd w:val="clear"/>
              <w:spacing w:before="58" w:line="195" w:lineRule="auto"/>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val="en-US" w:eastAsia="zh-CN"/>
              </w:rPr>
              <w:t>8</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3"/>
                <w:sz w:val="24"/>
                <w:szCs w:val="24"/>
                <w:highlight w:val="none"/>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5EA750F">
            <w:pPr>
              <w:shd w:val="clear"/>
              <w:spacing w:before="78" w:line="264" w:lineRule="auto"/>
              <w:ind w:left="143" w:leftChars="0" w:right="140" w:rightChars="0"/>
              <w:jc w:val="center"/>
              <w:rPr>
                <w:rFonts w:hint="eastAsia" w:ascii="宋体" w:hAnsi="宋体" w:eastAsia="宋体" w:cs="宋体"/>
                <w:color w:val="auto"/>
                <w:spacing w:val="7"/>
                <w:sz w:val="24"/>
                <w:szCs w:val="24"/>
                <w:highlight w:val="none"/>
              </w:rPr>
            </w:pPr>
            <w:r>
              <w:rPr>
                <w:rFonts w:hint="eastAsia" w:ascii="宋体" w:hAnsi="宋体" w:eastAsia="宋体" w:cs="宋体"/>
                <w:color w:val="auto"/>
                <w:spacing w:val="-2"/>
                <w:sz w:val="24"/>
                <w:szCs w:val="24"/>
                <w:highlight w:val="none"/>
              </w:rPr>
              <w:t>装配式建筑标准</w:t>
            </w:r>
          </w:p>
        </w:tc>
        <w:tc>
          <w:tcPr>
            <w:tcW w:w="6534" w:type="dxa"/>
            <w:tcBorders>
              <w:top w:val="single" w:color="auto" w:sz="4" w:space="0"/>
              <w:left w:val="single" w:color="auto" w:sz="4" w:space="0"/>
              <w:bottom w:val="single" w:color="auto" w:sz="4" w:space="0"/>
              <w:right w:val="single" w:color="auto" w:sz="4" w:space="0"/>
            </w:tcBorders>
            <w:noWrap w:val="0"/>
            <w:vAlign w:val="top"/>
          </w:tcPr>
          <w:p w14:paraId="1618C488">
            <w:pPr>
              <w:shd w:val="clear"/>
              <w:spacing w:before="78" w:line="264" w:lineRule="auto"/>
              <w:ind w:left="143" w:leftChars="0" w:right="140" w:right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本招标项目</w:t>
            </w:r>
            <w:r>
              <w:rPr>
                <w:rFonts w:hint="eastAsia" w:ascii="宋体" w:hAnsi="宋体" w:eastAsia="宋体" w:cs="宋体"/>
                <w:color w:val="auto"/>
                <w:spacing w:val="-2"/>
                <w:sz w:val="24"/>
                <w:szCs w:val="24"/>
                <w:highlight w:val="none"/>
                <w:lang w:eastAsia="zh-CN"/>
              </w:rPr>
              <w:t>不</w:t>
            </w:r>
            <w:r>
              <w:rPr>
                <w:rFonts w:hint="eastAsia" w:ascii="宋体" w:hAnsi="宋体" w:eastAsia="宋体" w:cs="宋体"/>
                <w:color w:val="auto"/>
                <w:spacing w:val="-2"/>
                <w:sz w:val="24"/>
                <w:szCs w:val="24"/>
                <w:highlight w:val="none"/>
              </w:rPr>
              <w:t>纳入装配式建造建设实施范围</w:t>
            </w:r>
            <w:r>
              <w:rPr>
                <w:rFonts w:hint="eastAsia" w:ascii="宋体" w:hAnsi="宋体" w:eastAsia="宋体" w:cs="宋体"/>
                <w:color w:val="auto"/>
                <w:spacing w:val="-2"/>
                <w:sz w:val="24"/>
                <w:szCs w:val="24"/>
                <w:highlight w:val="none"/>
                <w:lang w:eastAsia="zh-CN"/>
              </w:rPr>
              <w:t>。</w:t>
            </w:r>
          </w:p>
        </w:tc>
      </w:tr>
      <w:tr w14:paraId="50807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676FB3DB">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19</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C91B199">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投标人资格</w:t>
            </w:r>
          </w:p>
          <w:p w14:paraId="20F4EC93">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要求</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157F3FD3">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1．本次招标</w:t>
            </w:r>
            <w:r>
              <w:rPr>
                <w:rFonts w:hint="eastAsia" w:ascii="宋体" w:hAnsi="宋体" w:eastAsia="宋体" w:cs="宋体"/>
                <w:snapToGrid w:val="0"/>
                <w:color w:val="auto"/>
                <w:kern w:val="0"/>
                <w:szCs w:val="24"/>
                <w:highlight w:val="none"/>
                <w:u w:val="single"/>
              </w:rPr>
              <w:t>不接受</w:t>
            </w:r>
            <w:r>
              <w:rPr>
                <w:rFonts w:hint="eastAsia" w:ascii="宋体" w:hAnsi="宋体" w:eastAsia="宋体" w:cs="宋体"/>
                <w:snapToGrid w:val="0"/>
                <w:color w:val="auto"/>
                <w:kern w:val="0"/>
                <w:szCs w:val="24"/>
                <w:highlight w:val="none"/>
              </w:rPr>
              <w:t>联合体投标。</w:t>
            </w:r>
          </w:p>
          <w:p w14:paraId="1944573E">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2．资质要求</w:t>
            </w:r>
          </w:p>
          <w:p w14:paraId="720ED3FE">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2.1 投标人须具备独立法人资格，按国家法律经营。</w:t>
            </w:r>
          </w:p>
          <w:p w14:paraId="5CD8E87B">
            <w:pPr>
              <w:pStyle w:val="2"/>
              <w:shd w:val="clear"/>
              <w:spacing w:before="0" w:after="0" w:line="360" w:lineRule="auto"/>
              <w:ind w:firstLine="480" w:firstLineChars="200"/>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rPr>
              <w:t>2.2</w:t>
            </w:r>
            <w:r>
              <w:rPr>
                <w:rFonts w:hint="eastAsia" w:ascii="宋体" w:hAnsi="宋体" w:eastAsia="宋体" w:cs="宋体"/>
                <w:snapToGrid w:val="0"/>
                <w:color w:val="auto"/>
                <w:kern w:val="0"/>
                <w:szCs w:val="24"/>
                <w:highlight w:val="none"/>
              </w:rPr>
              <w:t xml:space="preserve"> 投标人须具备以下资</w:t>
            </w:r>
            <w:r>
              <w:rPr>
                <w:rFonts w:hint="eastAsia" w:ascii="宋体" w:hAnsi="宋体" w:eastAsia="宋体" w:cs="宋体"/>
                <w:color w:val="auto"/>
                <w:szCs w:val="24"/>
                <w:highlight w:val="none"/>
              </w:rPr>
              <w:t>质</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u w:val="single"/>
                <w:lang w:eastAsia="zh-CN"/>
              </w:rPr>
              <w:t>工程监理综合资质</w:t>
            </w:r>
            <w:r>
              <w:rPr>
                <w:rFonts w:hint="eastAsia" w:ascii="宋体" w:hAnsi="宋体" w:eastAsia="宋体" w:cs="宋体"/>
                <w:color w:val="auto"/>
                <w:szCs w:val="24"/>
                <w:highlight w:val="none"/>
                <w:u w:val="single"/>
                <w:lang w:val="en-US" w:eastAsia="zh-CN"/>
              </w:rPr>
              <w:t>或</w:t>
            </w:r>
            <w:r>
              <w:rPr>
                <w:rFonts w:hint="eastAsia" w:ascii="宋体" w:hAnsi="宋体" w:eastAsia="宋体" w:cs="宋体"/>
                <w:color w:val="auto"/>
                <w:szCs w:val="24"/>
                <w:highlight w:val="none"/>
                <w:u w:val="single"/>
                <w:lang w:eastAsia="zh-CN"/>
              </w:rPr>
              <w:t>市政公用工程专业监理丙级以上（含丙级）资质。</w:t>
            </w:r>
          </w:p>
          <w:p w14:paraId="5BB073CA">
            <w:pPr>
              <w:shd w:val="clear"/>
              <w:wordWrap w:val="0"/>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2.3根据有关文件精神，投标人的企业相关证书到期的，均按该证书的发证机构相关行业主管部门最新文件执行（如自动顺延或推迟办理延期业务的通知），</w:t>
            </w:r>
            <w:r>
              <w:rPr>
                <w:rFonts w:hint="eastAsia" w:ascii="宋体" w:hAnsi="宋体" w:eastAsia="宋体" w:cs="宋体"/>
                <w:b/>
                <w:bCs/>
                <w:color w:val="auto"/>
                <w:kern w:val="2"/>
                <w:sz w:val="24"/>
                <w:szCs w:val="24"/>
                <w:highlight w:val="none"/>
                <w:lang w:val="en-US" w:eastAsia="zh-CN" w:bidi="ar-SA"/>
              </w:rPr>
              <w:t>投标人必须将相关文件附在该证书后面中，证明在开标日继续有效</w:t>
            </w:r>
            <w:r>
              <w:rPr>
                <w:rFonts w:hint="eastAsia" w:ascii="宋体" w:hAnsi="宋体" w:eastAsia="宋体" w:cs="宋体"/>
                <w:color w:val="auto"/>
                <w:kern w:val="2"/>
                <w:sz w:val="24"/>
                <w:szCs w:val="24"/>
                <w:highlight w:val="none"/>
                <w:lang w:val="en-US" w:eastAsia="zh-CN" w:bidi="ar-SA"/>
              </w:rPr>
              <w:t>。</w:t>
            </w:r>
          </w:p>
          <w:p w14:paraId="3DC7FFF7">
            <w:pPr>
              <w:pStyle w:val="2"/>
              <w:shd w:val="clear"/>
              <w:spacing w:before="0" w:after="0"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3．相关人员要求</w:t>
            </w:r>
          </w:p>
          <w:p w14:paraId="6AD84EB1">
            <w:pPr>
              <w:pStyle w:val="2"/>
              <w:shd w:val="clear"/>
              <w:spacing w:before="0" w:after="0" w:line="360" w:lineRule="auto"/>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color w:val="auto"/>
                <w:szCs w:val="24"/>
                <w:highlight w:val="none"/>
              </w:rPr>
              <w:t xml:space="preserve">3.1 </w:t>
            </w:r>
            <w:r>
              <w:rPr>
                <w:rFonts w:hint="eastAsia" w:ascii="宋体" w:hAnsi="宋体" w:eastAsia="宋体" w:cs="宋体"/>
                <w:color w:val="auto"/>
                <w:szCs w:val="24"/>
                <w:highlight w:val="none"/>
                <w:lang w:eastAsia="zh-CN"/>
              </w:rPr>
              <w:t>拟委派的总监理工程师为</w:t>
            </w:r>
            <w:r>
              <w:rPr>
                <w:rFonts w:hint="eastAsia" w:ascii="宋体" w:hAnsi="宋体" w:eastAsia="宋体" w:cs="宋体"/>
                <w:color w:val="auto"/>
                <w:szCs w:val="24"/>
                <w:highlight w:val="none"/>
                <w:u w:val="single"/>
                <w:lang w:eastAsia="zh-CN"/>
              </w:rPr>
              <w:t>市政公用工程</w:t>
            </w:r>
            <w:r>
              <w:rPr>
                <w:rFonts w:hint="eastAsia" w:ascii="宋体" w:hAnsi="宋体" w:eastAsia="宋体" w:cs="宋体"/>
                <w:color w:val="auto"/>
                <w:szCs w:val="24"/>
                <w:highlight w:val="none"/>
                <w:lang w:eastAsia="zh-CN"/>
              </w:rPr>
              <w:t>专业注册监理工程师</w:t>
            </w:r>
            <w:r>
              <w:rPr>
                <w:rFonts w:hint="eastAsia" w:ascii="宋体" w:hAnsi="宋体" w:eastAsia="宋体" w:cs="宋体"/>
                <w:snapToGrid w:val="0"/>
                <w:color w:val="auto"/>
                <w:kern w:val="0"/>
                <w:szCs w:val="24"/>
                <w:highlight w:val="none"/>
              </w:rPr>
              <w:t>，应持有国家住建部印发的有效注册证书，其担任总监理工程师职务的其他在施（包括已中标未开工、已开工未竣工）建设工程项目不得超过</w:t>
            </w:r>
            <w:r>
              <w:rPr>
                <w:rFonts w:hint="eastAsia" w:ascii="宋体" w:hAnsi="宋体" w:eastAsia="宋体" w:cs="宋体"/>
                <w:snapToGrid w:val="0"/>
                <w:color w:val="auto"/>
                <w:kern w:val="0"/>
                <w:szCs w:val="24"/>
                <w:highlight w:val="none"/>
                <w:u w:val="single"/>
              </w:rPr>
              <w:t>2</w:t>
            </w:r>
            <w:r>
              <w:rPr>
                <w:rFonts w:hint="eastAsia" w:ascii="宋体" w:hAnsi="宋体" w:eastAsia="宋体" w:cs="宋体"/>
                <w:snapToGrid w:val="0"/>
                <w:color w:val="auto"/>
                <w:kern w:val="0"/>
                <w:szCs w:val="24"/>
                <w:highlight w:val="none"/>
              </w:rPr>
              <w:t>个。</w:t>
            </w:r>
          </w:p>
          <w:p w14:paraId="72FD35BC">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拟派总监理工程师现阶段有担任其他在施建设工程项目总监理工程师职务的，须得到任职项目建设单位书面同意后方可担任本招标项目总监理工程师。</w:t>
            </w:r>
          </w:p>
          <w:p w14:paraId="7C32283E">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3.2 投标人与其拟委派的往本项目监理机构的所有人员之间必须具备合法、唯一的劳动聘用关系。拟委派的人员中具备注册执业资格的，其注册单位须与投标人保持一致。</w:t>
            </w:r>
          </w:p>
          <w:p w14:paraId="4FCF64AC">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4．禁止投标条款</w:t>
            </w:r>
          </w:p>
          <w:p w14:paraId="0CEE1874">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4.1 投标人不得存在下列情形之一：</w:t>
            </w:r>
          </w:p>
          <w:p w14:paraId="751AC21A">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（1）为招标人不具有独立法人资格的附属机构（单位）；</w:t>
            </w:r>
          </w:p>
          <w:p w14:paraId="3CF0BE9B">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（2）与招标人存在利害关系且可能影响招标公正性；</w:t>
            </w:r>
          </w:p>
          <w:p w14:paraId="57C9D89B">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（3）与本招标项目的其他投标人为同一个单位负责人；</w:t>
            </w:r>
          </w:p>
          <w:p w14:paraId="20095903">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（4）与本招标项目的其他投标人存在控股、管理关系；</w:t>
            </w:r>
          </w:p>
          <w:p w14:paraId="22540639">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（5）为本招标项目的代建人；</w:t>
            </w:r>
          </w:p>
          <w:p w14:paraId="4D6C5E8F">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（6）为本招标项目的招标代理机构；</w:t>
            </w:r>
          </w:p>
          <w:p w14:paraId="3B49A3E5">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（7）与本招标项目的代建人或招标代理机构同为一个法定代表人；</w:t>
            </w:r>
          </w:p>
          <w:p w14:paraId="03556B22">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（8）与本招标项目的代建人或招标代理机构存在控股或参股关系；</w:t>
            </w:r>
          </w:p>
          <w:p w14:paraId="4A85D968">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（9）与本招标项目的施工承包人以及建筑材料、建筑构配件和设备供应商有隶属关系或者其他利害关系；</w:t>
            </w:r>
          </w:p>
          <w:p w14:paraId="7ACA9E52">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（10）被依法暂停或者取消投标资格；</w:t>
            </w:r>
          </w:p>
          <w:p w14:paraId="10CAE633">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（11）被责令停产停业、暂扣或者吊销许可证、暂扣或者吊销执照；</w:t>
            </w:r>
          </w:p>
          <w:p w14:paraId="02A3A4FE">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（12）进入清算程序，或被宣告破产，或其他丧失履约能力的情形；</w:t>
            </w:r>
          </w:p>
          <w:p w14:paraId="0B2FB128">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（13）在最近三年内发生重大监理质量</w:t>
            </w:r>
            <w:r>
              <w:rPr>
                <w:rFonts w:hint="eastAsia" w:ascii="宋体" w:hAnsi="宋体" w:eastAsia="宋体" w:cs="宋体"/>
                <w:snapToGrid w:val="0"/>
                <w:color w:val="auto"/>
                <w:kern w:val="0"/>
                <w:sz w:val="24"/>
                <w:highlight w:val="none"/>
              </w:rPr>
              <w:t>或安全</w:t>
            </w:r>
            <w:r>
              <w:rPr>
                <w:rFonts w:hint="eastAsia" w:ascii="宋体" w:hAnsi="宋体" w:eastAsia="宋体" w:cs="宋体"/>
                <w:snapToGrid w:val="0"/>
                <w:color w:val="auto"/>
                <w:kern w:val="0"/>
                <w:szCs w:val="24"/>
                <w:highlight w:val="none"/>
              </w:rPr>
              <w:t>问题（以相关行业主管部门的行政处罚决定或司法机关出具的有关法律文书为准）；</w:t>
            </w:r>
          </w:p>
          <w:p w14:paraId="34C5DCE9">
            <w:pPr>
              <w:shd w:val="clear"/>
              <w:wordWrap w:val="0"/>
              <w:adjustRightInd w:val="0"/>
              <w:snapToGrid w:val="0"/>
              <w:spacing w:line="360" w:lineRule="auto"/>
              <w:ind w:firstLine="480" w:firstLineChars="200"/>
              <w:jc w:val="left"/>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（14）</w:t>
            </w:r>
            <w:r>
              <w:rPr>
                <w:rFonts w:hint="eastAsia" w:ascii="宋体" w:hAnsi="宋体" w:eastAsia="宋体" w:cs="宋体"/>
                <w:snapToGrid w:val="0"/>
                <w:color w:val="auto"/>
                <w:kern w:val="0"/>
                <w:szCs w:val="24"/>
                <w:highlight w:val="none"/>
                <w:lang w:eastAsia="zh-CN"/>
              </w:rPr>
              <w:t>被“信用中国”网站（https://www.creditchina.gov.cn）发布的《法人和非法人组织公共信用信息报告》列为严重失信主体名单的。</w:t>
            </w:r>
          </w:p>
          <w:p w14:paraId="0A28C2E9">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4.2 招标人拒绝以下名单中的单位参加本次投标：</w:t>
            </w:r>
          </w:p>
          <w:tbl>
            <w:tblPr>
              <w:tblStyle w:val="23"/>
              <w:tblW w:w="6416"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626"/>
              <w:gridCol w:w="3120"/>
            </w:tblGrid>
            <w:tr w14:paraId="481E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0" w:type="dxa"/>
                  <w:noWrap w:val="0"/>
                  <w:vAlign w:val="center"/>
                </w:tcPr>
                <w:p w14:paraId="2BB84A02">
                  <w:pPr>
                    <w:shd w:val="clea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626" w:type="dxa"/>
                  <w:noWrap w:val="0"/>
                  <w:vAlign w:val="center"/>
                </w:tcPr>
                <w:p w14:paraId="486546CA">
                  <w:pPr>
                    <w:shd w:val="clea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120" w:type="dxa"/>
                  <w:noWrap w:val="0"/>
                  <w:vAlign w:val="center"/>
                </w:tcPr>
                <w:p w14:paraId="607D0ABB">
                  <w:pPr>
                    <w:shd w:val="clea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79AA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0" w:type="dxa"/>
                  <w:noWrap w:val="0"/>
                  <w:vAlign w:val="center"/>
                </w:tcPr>
                <w:p w14:paraId="0EE164D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w:t>
                  </w:r>
                </w:p>
              </w:tc>
              <w:tc>
                <w:tcPr>
                  <w:tcW w:w="2626" w:type="dxa"/>
                  <w:noWrap w:val="0"/>
                  <w:vAlign w:val="center"/>
                </w:tcPr>
                <w:p w14:paraId="4D9493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中国华西工程设计建设有限公司</w:t>
                  </w:r>
                </w:p>
              </w:tc>
              <w:tc>
                <w:tcPr>
                  <w:tcW w:w="3120" w:type="dxa"/>
                  <w:noWrap w:val="0"/>
                  <w:vAlign w:val="center"/>
                </w:tcPr>
                <w:p w14:paraId="6A931AE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为本招标项目可研编制单位</w:t>
                  </w:r>
                </w:p>
              </w:tc>
            </w:tr>
            <w:tr w14:paraId="6C7B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0" w:type="dxa"/>
                  <w:noWrap w:val="0"/>
                  <w:vAlign w:val="center"/>
                </w:tcPr>
                <w:p w14:paraId="709144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w:t>
                  </w:r>
                </w:p>
              </w:tc>
              <w:tc>
                <w:tcPr>
                  <w:tcW w:w="2626" w:type="dxa"/>
                  <w:noWrap w:val="0"/>
                  <w:vAlign w:val="center"/>
                </w:tcPr>
                <w:p w14:paraId="3F80938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建达国信工程管理有限公司</w:t>
                  </w:r>
                </w:p>
              </w:tc>
              <w:tc>
                <w:tcPr>
                  <w:tcW w:w="3120" w:type="dxa"/>
                  <w:noWrap w:val="0"/>
                  <w:vAlign w:val="center"/>
                </w:tcPr>
                <w:p w14:paraId="787824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为本招标项目造价咨询单位</w:t>
                  </w:r>
                </w:p>
              </w:tc>
            </w:tr>
            <w:tr w14:paraId="27DB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0" w:type="dxa"/>
                  <w:noWrap w:val="0"/>
                  <w:vAlign w:val="center"/>
                </w:tcPr>
                <w:p w14:paraId="6F3C1C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w:t>
                  </w:r>
                </w:p>
              </w:tc>
              <w:tc>
                <w:tcPr>
                  <w:tcW w:w="2626" w:type="dxa"/>
                  <w:noWrap w:val="0"/>
                  <w:vAlign w:val="center"/>
                </w:tcPr>
                <w:p w14:paraId="312EE1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中誉设计有限公司</w:t>
                  </w:r>
                </w:p>
              </w:tc>
              <w:tc>
                <w:tcPr>
                  <w:tcW w:w="3120" w:type="dxa"/>
                  <w:noWrap w:val="0"/>
                  <w:vAlign w:val="center"/>
                </w:tcPr>
                <w:p w14:paraId="4718B4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为本招标项目的设计单位</w:t>
                  </w:r>
                </w:p>
              </w:tc>
            </w:tr>
            <w:tr w14:paraId="5AB1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0" w:type="dxa"/>
                  <w:noWrap w:val="0"/>
                  <w:vAlign w:val="center"/>
                </w:tcPr>
                <w:p w14:paraId="26594D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w:t>
                  </w:r>
                </w:p>
              </w:tc>
              <w:tc>
                <w:tcPr>
                  <w:tcW w:w="2626" w:type="dxa"/>
                  <w:noWrap w:val="0"/>
                  <w:vAlign w:val="center"/>
                </w:tcPr>
                <w:p w14:paraId="400106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仁化县市政工程公司</w:t>
                  </w:r>
                </w:p>
              </w:tc>
              <w:tc>
                <w:tcPr>
                  <w:tcW w:w="3120" w:type="dxa"/>
                  <w:noWrap w:val="0"/>
                  <w:vAlign w:val="center"/>
                </w:tcPr>
                <w:p w14:paraId="6F577B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为本招标项目的招标人</w:t>
                  </w:r>
                </w:p>
              </w:tc>
            </w:tr>
            <w:tr w14:paraId="5E23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0" w:type="dxa"/>
                  <w:noWrap w:val="0"/>
                  <w:vAlign w:val="center"/>
                </w:tcPr>
                <w:p w14:paraId="2BEFD2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26" w:type="dxa"/>
                  <w:noWrap w:val="0"/>
                  <w:vAlign w:val="center"/>
                </w:tcPr>
                <w:p w14:paraId="4BB7CFC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广东爱科工程咨询管理有限公司</w:t>
                  </w:r>
                </w:p>
              </w:tc>
              <w:tc>
                <w:tcPr>
                  <w:tcW w:w="3120" w:type="dxa"/>
                  <w:noWrap w:val="0"/>
                  <w:vAlign w:val="center"/>
                </w:tcPr>
                <w:p w14:paraId="31071D5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i w:val="0"/>
                      <w:iCs w:val="0"/>
                      <w:caps w:val="0"/>
                      <w:color w:val="auto"/>
                      <w:spacing w:val="0"/>
                      <w:sz w:val="24"/>
                      <w:szCs w:val="24"/>
                      <w:highlight w:val="none"/>
                    </w:rPr>
                    <w:t>为本招标项目的招标代理机构</w:t>
                  </w:r>
                </w:p>
              </w:tc>
            </w:tr>
          </w:tbl>
          <w:p w14:paraId="459DC112">
            <w:pPr>
              <w:shd w:val="clear"/>
              <w:wordWrap w:val="0"/>
              <w:adjustRightInd w:val="0"/>
              <w:snapToGrid w:val="0"/>
              <w:spacing w:line="400" w:lineRule="exact"/>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5．其他要求</w:t>
            </w:r>
          </w:p>
          <w:p w14:paraId="21A17686">
            <w:pPr>
              <w:shd w:val="clear"/>
              <w:wordWrap w:val="0"/>
              <w:adjustRightInd w:val="0"/>
              <w:snapToGrid w:val="0"/>
              <w:spacing w:line="400" w:lineRule="exact"/>
              <w:ind w:firstLine="480" w:firstLineChars="200"/>
              <w:jc w:val="left"/>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eastAsia="zh-CN"/>
              </w:rPr>
              <w:t>省外企业须按照《广东省住房和城乡建设厅关于取消省外建筑企业和人员进粤信息备案有关工作的通知》（粤建市﹝2015﹞52号）规定在“进粤企业和人员诚信信息登记平台”录入相关信息并通过数据规范检查。</w:t>
            </w:r>
          </w:p>
        </w:tc>
      </w:tr>
      <w:tr w14:paraId="1AE19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6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52A4CCC">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20</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9CE3C44">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服务期限</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2791CC64">
            <w:pPr>
              <w:shd w:val="clear"/>
              <w:wordWrap w:val="0"/>
              <w:adjustRightInd w:val="0"/>
              <w:snapToGrid w:val="0"/>
              <w:spacing w:line="400" w:lineRule="exact"/>
              <w:ind w:firstLine="240" w:firstLineChars="100"/>
              <w:rPr>
                <w:rFonts w:hint="eastAsia" w:ascii="宋体" w:hAnsi="宋体" w:eastAsia="宋体" w:cs="宋体"/>
                <w:snapToGrid w:val="0"/>
                <w:color w:val="auto"/>
                <w:kern w:val="0"/>
                <w:szCs w:val="24"/>
                <w:highlight w:val="none"/>
              </w:rPr>
            </w:pPr>
            <w:r>
              <w:rPr>
                <w:rFonts w:hint="eastAsia" w:ascii="宋体" w:hAnsi="宋体" w:eastAsia="宋体" w:cs="宋体"/>
                <w:bCs/>
                <w:color w:val="auto"/>
                <w:szCs w:val="24"/>
                <w:highlight w:val="none"/>
              </w:rPr>
              <w:t>监理服务期从监理合同签订之日起计，至本工程缺陷责任</w:t>
            </w:r>
            <w:r>
              <w:rPr>
                <w:rFonts w:hint="eastAsia" w:ascii="宋体" w:hAnsi="宋体" w:eastAsia="宋体" w:cs="宋体"/>
                <w:bCs/>
                <w:snapToGrid w:val="0"/>
                <w:color w:val="auto"/>
                <w:kern w:val="0"/>
                <w:szCs w:val="24"/>
                <w:highlight w:val="none"/>
              </w:rPr>
              <w:t>保修</w:t>
            </w:r>
            <w:r>
              <w:rPr>
                <w:rFonts w:hint="eastAsia" w:ascii="宋体" w:hAnsi="宋体" w:eastAsia="宋体" w:cs="宋体"/>
                <w:bCs/>
                <w:color w:val="auto"/>
                <w:szCs w:val="24"/>
                <w:highlight w:val="none"/>
              </w:rPr>
              <w:t>期结束且本工程结算金额经政府主管部门审定且双方的责任义务履行完毕时止。</w:t>
            </w:r>
            <w:r>
              <w:rPr>
                <w:rFonts w:hint="eastAsia" w:ascii="宋体" w:hAnsi="宋体" w:eastAsia="宋体" w:cs="宋体"/>
                <w:bCs/>
                <w:snapToGrid w:val="0"/>
                <w:color w:val="auto"/>
                <w:kern w:val="0"/>
                <w:szCs w:val="24"/>
                <w:highlight w:val="none"/>
              </w:rPr>
              <w:t xml:space="preserve"> </w:t>
            </w:r>
          </w:p>
        </w:tc>
      </w:tr>
      <w:tr w14:paraId="42758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FDF2BF5">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B9F3F71">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服务标准</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39853BA">
            <w:pPr>
              <w:shd w:val="clear"/>
              <w:wordWrap w:val="0"/>
              <w:adjustRightInd w:val="0"/>
              <w:snapToGrid w:val="0"/>
              <w:spacing w:line="400" w:lineRule="exact"/>
              <w:ind w:firstLine="240" w:firstLineChars="1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工程质量必须达到</w:t>
            </w:r>
            <w:r>
              <w:rPr>
                <w:rFonts w:hint="eastAsia" w:ascii="宋体" w:hAnsi="宋体" w:eastAsia="宋体" w:cs="宋体"/>
                <w:snapToGrid w:val="0"/>
                <w:color w:val="auto"/>
                <w:kern w:val="0"/>
                <w:szCs w:val="24"/>
                <w:highlight w:val="none"/>
                <w:u w:val="single"/>
              </w:rPr>
              <w:t>《建筑工程施工质量验收统一标准》(GB50300-2013)合格</w:t>
            </w:r>
            <w:r>
              <w:rPr>
                <w:rFonts w:hint="eastAsia" w:ascii="宋体" w:hAnsi="宋体" w:eastAsia="宋体" w:cs="宋体"/>
                <w:snapToGrid w:val="0"/>
                <w:color w:val="auto"/>
                <w:kern w:val="0"/>
                <w:szCs w:val="24"/>
                <w:highlight w:val="none"/>
              </w:rPr>
              <w:t>标准。</w:t>
            </w:r>
          </w:p>
        </w:tc>
      </w:tr>
      <w:tr w14:paraId="2DF2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1"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221ED0E3">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67477EB">
            <w:pPr>
              <w:shd w:val="clear"/>
              <w:wordWrap w:val="0"/>
              <w:adjustRightInd w:val="0"/>
              <w:snapToGrid w:val="0"/>
              <w:spacing w:line="360" w:lineRule="exact"/>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最高投标限价</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3BB6B2F4">
            <w:pPr>
              <w:shd w:val="clear"/>
              <w:wordWrap w:val="0"/>
              <w:adjustRightInd w:val="0"/>
              <w:snapToGrid w:val="0"/>
              <w:spacing w:line="400" w:lineRule="exact"/>
              <w:ind w:firstLine="240" w:firstLineChars="1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见本招标文件</w:t>
            </w:r>
            <w:r>
              <w:rPr>
                <w:rFonts w:hint="eastAsia" w:ascii="宋体" w:hAnsi="宋体" w:eastAsia="宋体" w:cs="宋体"/>
                <w:snapToGrid w:val="0"/>
                <w:color w:val="auto"/>
                <w:kern w:val="0"/>
                <w:szCs w:val="24"/>
                <w:highlight w:val="none"/>
                <w:lang w:val="en-US" w:eastAsia="zh-CN"/>
              </w:rPr>
              <w:t>本</w:t>
            </w:r>
            <w:r>
              <w:rPr>
                <w:rFonts w:hint="eastAsia" w:ascii="宋体" w:hAnsi="宋体" w:eastAsia="宋体" w:cs="宋体"/>
                <w:snapToGrid w:val="0"/>
                <w:color w:val="auto"/>
                <w:kern w:val="0"/>
                <w:szCs w:val="24"/>
                <w:highlight w:val="none"/>
              </w:rPr>
              <w:t>章</w:t>
            </w:r>
            <w:r>
              <w:rPr>
                <w:rFonts w:hint="eastAsia" w:ascii="宋体" w:hAnsi="宋体" w:eastAsia="宋体" w:cs="宋体"/>
                <w:snapToGrid w:val="0"/>
                <w:color w:val="auto"/>
                <w:kern w:val="0"/>
                <w:szCs w:val="24"/>
                <w:highlight w:val="none"/>
                <w:lang w:val="en-US" w:eastAsia="zh-CN"/>
              </w:rPr>
              <w:t>第三节</w:t>
            </w:r>
            <w:r>
              <w:rPr>
                <w:rFonts w:hint="eastAsia" w:ascii="宋体" w:hAnsi="宋体" w:eastAsia="宋体" w:cs="宋体"/>
                <w:snapToGrid w:val="0"/>
                <w:color w:val="auto"/>
                <w:kern w:val="0"/>
                <w:szCs w:val="24"/>
                <w:highlight w:val="none"/>
              </w:rPr>
              <w:t xml:space="preserve"> “8.最高投标限价”</w:t>
            </w:r>
          </w:p>
        </w:tc>
      </w:tr>
      <w:tr w14:paraId="59DDD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1"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1A806940">
            <w:pPr>
              <w:shd w:val="clear"/>
              <w:wordWrap w:val="0"/>
              <w:adjustRightInd w:val="0"/>
              <w:snapToGrid w:val="0"/>
              <w:spacing w:line="400" w:lineRule="exact"/>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1B575CC">
            <w:pPr>
              <w:shd w:val="clear"/>
              <w:spacing w:before="242" w:line="221" w:lineRule="auto"/>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投标费用</w:t>
            </w:r>
          </w:p>
        </w:tc>
        <w:tc>
          <w:tcPr>
            <w:tcW w:w="6534" w:type="dxa"/>
            <w:tcBorders>
              <w:top w:val="single" w:color="auto" w:sz="4" w:space="0"/>
              <w:left w:val="single" w:color="auto" w:sz="4" w:space="0"/>
              <w:bottom w:val="single" w:color="auto" w:sz="4" w:space="0"/>
              <w:right w:val="single" w:color="auto" w:sz="4" w:space="0"/>
            </w:tcBorders>
            <w:noWrap w:val="0"/>
            <w:vAlign w:val="top"/>
          </w:tcPr>
          <w:p w14:paraId="7B96D27E">
            <w:pPr>
              <w:shd w:val="clear"/>
              <w:spacing w:before="218" w:line="220" w:lineRule="auto"/>
              <w:ind w:firstLine="238" w:firstLineChars="10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
                <w:sz w:val="24"/>
                <w:szCs w:val="24"/>
                <w:highlight w:val="none"/>
              </w:rPr>
              <w:t>投标人自行承担编制与递交投标文件的一切费用。</w:t>
            </w:r>
          </w:p>
        </w:tc>
      </w:tr>
      <w:tr w14:paraId="00891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58" w:type="dxa"/>
            <w:tcBorders>
              <w:top w:val="single" w:color="auto" w:sz="4" w:space="0"/>
              <w:left w:val="single" w:color="auto" w:sz="4" w:space="0"/>
              <w:bottom w:val="single" w:color="auto" w:sz="4" w:space="0"/>
              <w:right w:val="single" w:color="auto" w:sz="4" w:space="0"/>
            </w:tcBorders>
            <w:noWrap w:val="0"/>
            <w:vAlign w:val="center"/>
          </w:tcPr>
          <w:p w14:paraId="74AC0D9C">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AC9EE3F">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投标保证</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0889201D">
            <w:pPr>
              <w:keepNext w:val="0"/>
              <w:keepLines w:val="0"/>
              <w:pageBreakBefore w:val="0"/>
              <w:widowControl w:val="0"/>
              <w:shd w:val="clear"/>
              <w:kinsoku/>
              <w:wordWrap w:val="0"/>
              <w:overflowPunct/>
              <w:topLinePunct w:val="0"/>
              <w:autoSpaceDE/>
              <w:autoSpaceDN/>
              <w:bidi w:val="0"/>
              <w:adjustRightInd w:val="0"/>
              <w:snapToGrid w:val="0"/>
              <w:spacing w:line="390" w:lineRule="exac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    1．投标人须缴纳金额为人民币</w:t>
            </w:r>
            <w:r>
              <w:rPr>
                <w:rFonts w:hint="eastAsia" w:ascii="宋体" w:hAnsi="宋体" w:eastAsia="宋体" w:cs="宋体"/>
                <w:snapToGrid w:val="0"/>
                <w:color w:val="auto"/>
                <w:kern w:val="0"/>
                <w:szCs w:val="24"/>
                <w:highlight w:val="none"/>
                <w:lang w:val="en-US" w:eastAsia="zh-CN"/>
              </w:rPr>
              <w:t>伍仟元整</w:t>
            </w:r>
            <w:r>
              <w:rPr>
                <w:rFonts w:hint="eastAsia" w:ascii="宋体" w:hAnsi="宋体" w:eastAsia="宋体" w:cs="宋体"/>
                <w:snapToGrid w:val="0"/>
                <w:color w:val="auto"/>
                <w:kern w:val="0"/>
                <w:szCs w:val="24"/>
                <w:highlight w:val="none"/>
                <w:lang w:eastAsia="zh-CN"/>
              </w:rPr>
              <w:t>（￥</w:t>
            </w:r>
            <w:r>
              <w:rPr>
                <w:rFonts w:hint="eastAsia" w:ascii="宋体" w:hAnsi="宋体" w:eastAsia="宋体" w:cs="宋体"/>
                <w:snapToGrid w:val="0"/>
                <w:color w:val="auto"/>
                <w:kern w:val="0"/>
                <w:szCs w:val="24"/>
                <w:highlight w:val="none"/>
                <w:u w:val="single"/>
                <w:lang w:val="en-US" w:eastAsia="zh-CN"/>
              </w:rPr>
              <w:t>5000.00</w:t>
            </w:r>
            <w:r>
              <w:rPr>
                <w:rFonts w:hint="eastAsia" w:ascii="宋体" w:hAnsi="宋体" w:eastAsia="宋体" w:cs="宋体"/>
                <w:snapToGrid w:val="0"/>
                <w:color w:val="auto"/>
                <w:kern w:val="0"/>
                <w:szCs w:val="24"/>
                <w:highlight w:val="none"/>
                <w:u w:val="none"/>
              </w:rPr>
              <w:t>元</w:t>
            </w:r>
            <w:r>
              <w:rPr>
                <w:rFonts w:hint="eastAsia" w:ascii="宋体" w:hAnsi="宋体" w:eastAsia="宋体" w:cs="宋体"/>
                <w:snapToGrid w:val="0"/>
                <w:color w:val="auto"/>
                <w:kern w:val="0"/>
                <w:szCs w:val="24"/>
                <w:highlight w:val="none"/>
                <w:lang w:eastAsia="zh-CN"/>
              </w:rPr>
              <w:t>）</w:t>
            </w:r>
            <w:r>
              <w:rPr>
                <w:rFonts w:hint="eastAsia" w:ascii="宋体" w:hAnsi="宋体" w:eastAsia="宋体" w:cs="宋体"/>
                <w:snapToGrid w:val="0"/>
                <w:color w:val="auto"/>
                <w:kern w:val="0"/>
                <w:szCs w:val="24"/>
                <w:highlight w:val="none"/>
              </w:rPr>
              <w:t>的投标保证。</w:t>
            </w:r>
          </w:p>
          <w:p w14:paraId="6D9EBFED">
            <w:pPr>
              <w:keepNext w:val="0"/>
              <w:keepLines w:val="0"/>
              <w:pageBreakBefore w:val="0"/>
              <w:widowControl w:val="0"/>
              <w:shd w:val="clear"/>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2．投标保证的形式包括投标保证金、投标保证担保、投标保证保险三种，由投标人自主选择。</w:t>
            </w:r>
          </w:p>
          <w:p w14:paraId="6A8763D9">
            <w:pPr>
              <w:keepNext w:val="0"/>
              <w:keepLines w:val="0"/>
              <w:pageBreakBefore w:val="0"/>
              <w:widowControl w:val="0"/>
              <w:shd w:val="clear"/>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（1）采用投标保证金的，投标人在建设工程交易</w:t>
            </w:r>
            <w:r>
              <w:rPr>
                <w:rFonts w:hint="eastAsia" w:ascii="宋体" w:hAnsi="宋体" w:eastAsia="宋体" w:cs="宋体"/>
                <w:i w:val="0"/>
                <w:iCs w:val="0"/>
                <w:caps w:val="0"/>
                <w:color w:val="auto"/>
                <w:spacing w:val="0"/>
                <w:sz w:val="24"/>
                <w:szCs w:val="24"/>
                <w:highlight w:val="none"/>
                <w:shd w:val="clear" w:color="auto" w:fill="FFFFFF"/>
              </w:rPr>
              <w:t>获取招标文件完毕后</w:t>
            </w:r>
            <w:r>
              <w:rPr>
                <w:rFonts w:hint="eastAsia" w:ascii="宋体" w:hAnsi="宋体" w:eastAsia="宋体" w:cs="宋体"/>
                <w:snapToGrid w:val="0"/>
                <w:color w:val="auto"/>
                <w:kern w:val="0"/>
                <w:szCs w:val="24"/>
                <w:highlight w:val="none"/>
              </w:rPr>
              <w:t>，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14:paraId="78DB2A31">
            <w:pPr>
              <w:keepNext w:val="0"/>
              <w:keepLines w:val="0"/>
              <w:pageBreakBefore w:val="0"/>
              <w:widowControl w:val="0"/>
              <w:shd w:val="clear"/>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14:paraId="4295C798">
            <w:pPr>
              <w:keepNext w:val="0"/>
              <w:keepLines w:val="0"/>
              <w:pageBreakBefore w:val="0"/>
              <w:widowControl w:val="0"/>
              <w:shd w:val="clear"/>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（3）</w:t>
            </w:r>
            <w:r>
              <w:rPr>
                <w:rFonts w:hint="eastAsia" w:ascii="宋体" w:hAnsi="宋体" w:eastAsia="宋体" w:cs="宋体"/>
                <w:color w:val="auto"/>
                <w:sz w:val="24"/>
                <w:szCs w:val="24"/>
                <w:highlight w:val="none"/>
              </w:rPr>
              <w:t>采用投标保证保险的，投标人须在投标保证保险投保截止时间（见本章</w:t>
            </w:r>
            <w:r>
              <w:rPr>
                <w:rFonts w:hint="eastAsia" w:ascii="宋体" w:hAnsi="宋体" w:eastAsia="宋体" w:cs="宋体"/>
                <w:snapToGrid w:val="0"/>
                <w:color w:val="auto"/>
                <w:kern w:val="0"/>
                <w:szCs w:val="24"/>
                <w:highlight w:val="none"/>
              </w:rPr>
              <w:t>第二节</w:t>
            </w:r>
            <w:r>
              <w:rPr>
                <w:rFonts w:hint="eastAsia" w:ascii="宋体" w:hAnsi="宋体" w:eastAsia="宋体" w:cs="宋体"/>
                <w:color w:val="auto"/>
                <w:sz w:val="24"/>
                <w:szCs w:val="24"/>
                <w:highlight w:val="none"/>
              </w:rPr>
              <w:t>“重要事项时间地点一览表”）前，使用建设工程交易系统完成网上投保。投标人可在系统选择保险机构、录入投保信息、支付保费、</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电子保单，电子保单的有效期不得短于投标有效期。投标人可登录</w:t>
            </w:r>
            <w:r>
              <w:rPr>
                <w:rFonts w:hint="eastAsia" w:ascii="宋体" w:hAnsi="宋体" w:eastAsia="宋体" w:cs="宋体"/>
                <w:color w:val="auto"/>
                <w:sz w:val="24"/>
                <w:szCs w:val="24"/>
                <w:highlight w:val="none"/>
                <w:lang w:eastAsia="zh-CN"/>
              </w:rPr>
              <w:t>全国公共资源交易平台（广东省·韶关市）（https://ygp.gdzwfw.gov.cn/ggzy-portal/#/440200/index）</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在【服务指南】栏目中下载《</w:t>
            </w:r>
            <w:r>
              <w:rPr>
                <w:rFonts w:hint="eastAsia" w:ascii="宋体" w:hAnsi="宋体" w:eastAsia="宋体" w:cs="宋体"/>
                <w:color w:val="auto"/>
                <w:kern w:val="0"/>
                <w:sz w:val="24"/>
                <w:highlight w:val="none"/>
              </w:rPr>
              <w:t>建设工程网上交易系统保险保证金缴纳操作指南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，了解网上投保具体操作流程。逾期投保的，其投标无效。</w:t>
            </w:r>
          </w:p>
          <w:p w14:paraId="3A36C530">
            <w:pPr>
              <w:keepNext w:val="0"/>
              <w:keepLines w:val="0"/>
              <w:pageBreakBefore w:val="0"/>
              <w:widowControl w:val="0"/>
              <w:shd w:val="clear"/>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A20B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32E0B2D0">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C2B31A6">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投标有效期</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44D8F344">
            <w:pPr>
              <w:keepNext w:val="0"/>
              <w:keepLines w:val="0"/>
              <w:pageBreakBefore w:val="0"/>
              <w:widowControl w:val="0"/>
              <w:shd w:val="clear"/>
              <w:kinsoku/>
              <w:wordWrap w:val="0"/>
              <w:overflowPunct/>
              <w:topLinePunct w:val="0"/>
              <w:autoSpaceDE/>
              <w:autoSpaceDN/>
              <w:bidi w:val="0"/>
              <w:adjustRightInd w:val="0"/>
              <w:snapToGrid w:val="0"/>
              <w:spacing w:line="390" w:lineRule="exact"/>
              <w:ind w:left="0" w:leftChars="0" w:firstLine="240" w:firstLineChars="1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本次招标的投标有效期为90个日历天。</w:t>
            </w:r>
          </w:p>
        </w:tc>
      </w:tr>
      <w:tr w14:paraId="4AACF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298AFED">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7D22E1B">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投标文件</w:t>
            </w:r>
          </w:p>
          <w:p w14:paraId="384094F5">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组成</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7293171C">
            <w:pPr>
              <w:keepNext w:val="0"/>
              <w:keepLines w:val="0"/>
              <w:pageBreakBefore w:val="0"/>
              <w:widowControl w:val="0"/>
              <w:shd w:val="clear"/>
              <w:kinsoku/>
              <w:wordWrap w:val="0"/>
              <w:overflowPunct/>
              <w:topLinePunct w:val="0"/>
              <w:autoSpaceDE/>
              <w:autoSpaceDN/>
              <w:bidi w:val="0"/>
              <w:adjustRightInd w:val="0"/>
              <w:snapToGrid w:val="0"/>
              <w:spacing w:line="390" w:lineRule="exact"/>
              <w:ind w:left="0" w:leftChars="0" w:firstLine="240" w:firstLineChars="1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投标文件包括商务标书、监理大纲两个分册。</w:t>
            </w:r>
          </w:p>
        </w:tc>
      </w:tr>
      <w:tr w14:paraId="10308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3731055">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27</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BFAB9A2">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评标方法</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1C687933">
            <w:pPr>
              <w:keepNext w:val="0"/>
              <w:keepLines w:val="0"/>
              <w:pageBreakBefore w:val="0"/>
              <w:widowControl w:val="0"/>
              <w:shd w:val="clear"/>
              <w:kinsoku/>
              <w:wordWrap w:val="0"/>
              <w:overflowPunct/>
              <w:topLinePunct w:val="0"/>
              <w:autoSpaceDE/>
              <w:autoSpaceDN/>
              <w:bidi w:val="0"/>
              <w:adjustRightInd w:val="0"/>
              <w:snapToGrid w:val="0"/>
              <w:spacing w:line="390" w:lineRule="exact"/>
              <w:ind w:left="0" w:leftChars="0" w:firstLine="240" w:firstLineChars="1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综合评估法</w:t>
            </w:r>
          </w:p>
        </w:tc>
      </w:tr>
      <w:tr w14:paraId="3A861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7CE2535D">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28</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DDA529D">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监理大纲</w:t>
            </w:r>
          </w:p>
          <w:p w14:paraId="76C51A0F">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评审方式</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BEDB2FE">
            <w:pPr>
              <w:keepNext w:val="0"/>
              <w:keepLines w:val="0"/>
              <w:pageBreakBefore w:val="0"/>
              <w:widowControl w:val="0"/>
              <w:shd w:val="clear"/>
              <w:kinsoku/>
              <w:wordWrap w:val="0"/>
              <w:overflowPunct/>
              <w:topLinePunct w:val="0"/>
              <w:autoSpaceDE/>
              <w:autoSpaceDN/>
              <w:bidi w:val="0"/>
              <w:adjustRightInd w:val="0"/>
              <w:snapToGrid w:val="0"/>
              <w:spacing w:line="390" w:lineRule="exact"/>
              <w:ind w:left="0" w:leftChars="0" w:firstLine="240" w:firstLineChars="1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本次招标监理大纲不采用“暗标”方式进行评审。</w:t>
            </w:r>
          </w:p>
        </w:tc>
      </w:tr>
      <w:tr w14:paraId="1CF39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2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0A6F324">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29</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2CE55B2">
            <w:pPr>
              <w:keepNext w:val="0"/>
              <w:keepLines w:val="0"/>
              <w:pageBreakBefore w:val="0"/>
              <w:widowControl w:val="0"/>
              <w:shd w:val="clear"/>
              <w:kinsoku/>
              <w:wordWrap w:val="0"/>
              <w:overflowPunct/>
              <w:topLinePunct w:val="0"/>
              <w:autoSpaceDE/>
              <w:autoSpaceDN/>
              <w:bidi w:val="0"/>
              <w:adjustRightInd w:val="0"/>
              <w:snapToGrid w:val="0"/>
              <w:spacing w:line="39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招标代理服务费</w:t>
            </w:r>
            <w:r>
              <w:rPr>
                <w:rFonts w:hint="eastAsia" w:ascii="宋体" w:hAnsi="宋体" w:eastAsia="宋体" w:cs="宋体"/>
                <w:color w:val="auto"/>
                <w:sz w:val="24"/>
                <w:szCs w:val="24"/>
                <w:highlight w:val="none"/>
                <w:lang w:val="en-US" w:eastAsia="zh-CN"/>
              </w:rPr>
              <w:t>及评标专家费</w:t>
            </w:r>
          </w:p>
          <w:p w14:paraId="746D604F">
            <w:pPr>
              <w:keepNext w:val="0"/>
              <w:keepLines w:val="0"/>
              <w:pageBreakBefore w:val="0"/>
              <w:widowControl w:val="0"/>
              <w:shd w:val="clear"/>
              <w:kinsoku/>
              <w:wordWrap w:val="0"/>
              <w:overflowPunct/>
              <w:topLinePunct w:val="0"/>
              <w:autoSpaceDE/>
              <w:autoSpaceDN/>
              <w:bidi w:val="0"/>
              <w:adjustRightInd w:val="0"/>
              <w:snapToGrid w:val="0"/>
              <w:spacing w:line="390" w:lineRule="exact"/>
              <w:ind w:firstLine="480" w:firstLineChars="200"/>
              <w:jc w:val="center"/>
              <w:textAlignment w:val="auto"/>
              <w:rPr>
                <w:rFonts w:hint="eastAsia" w:ascii="宋体" w:hAnsi="宋体" w:eastAsia="宋体" w:cs="宋体"/>
                <w:color w:val="auto"/>
                <w:sz w:val="24"/>
                <w:szCs w:val="24"/>
                <w:highlight w:val="none"/>
                <w:lang w:eastAsia="zh-CN"/>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295F5A95">
            <w:pPr>
              <w:keepNext w:val="0"/>
              <w:keepLines w:val="0"/>
              <w:pageBreakBefore w:val="0"/>
              <w:widowControl w:val="0"/>
              <w:shd w:val="clear"/>
              <w:kinsoku/>
              <w:wordWrap w:val="0"/>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招标代理服务费依据计委计价格【2002】1980号文及发改价格【2011】534号文</w:t>
            </w:r>
            <w:r>
              <w:rPr>
                <w:rFonts w:hint="eastAsia" w:ascii="宋体" w:hAnsi="宋体" w:eastAsia="宋体" w:cs="宋体"/>
                <w:color w:val="auto"/>
                <w:sz w:val="24"/>
                <w:szCs w:val="24"/>
                <w:highlight w:val="none"/>
                <w:lang w:val="en-US" w:eastAsia="zh-CN"/>
              </w:rPr>
              <w:t>规定的“服务类”</w:t>
            </w:r>
            <w:r>
              <w:rPr>
                <w:rFonts w:hint="eastAsia" w:ascii="宋体" w:hAnsi="宋体" w:eastAsia="宋体" w:cs="宋体"/>
                <w:color w:val="auto"/>
                <w:sz w:val="24"/>
                <w:szCs w:val="24"/>
                <w:highlight w:val="none"/>
                <w:lang w:eastAsia="zh-CN"/>
              </w:rPr>
              <w:t>收费标准，以监理招标控制价为基数计算，按收费标准下浮30%【</w:t>
            </w:r>
            <w:r>
              <w:rPr>
                <w:rFonts w:hint="eastAsia" w:ascii="宋体" w:hAnsi="宋体" w:eastAsia="宋体" w:cs="宋体"/>
                <w:color w:val="auto"/>
                <w:sz w:val="24"/>
                <w:szCs w:val="24"/>
                <w:highlight w:val="none"/>
                <w:lang w:val="en-US" w:eastAsia="zh-CN"/>
              </w:rPr>
              <w:t>不足1万元按1万元收取</w:t>
            </w:r>
            <w:r>
              <w:rPr>
                <w:rFonts w:hint="eastAsia" w:ascii="宋体" w:hAnsi="宋体" w:eastAsia="宋体" w:cs="宋体"/>
                <w:color w:val="auto"/>
                <w:sz w:val="24"/>
                <w:szCs w:val="24"/>
                <w:highlight w:val="none"/>
                <w:lang w:eastAsia="zh-CN"/>
              </w:rPr>
              <w:t>】。本工程的招标代理服务费</w:t>
            </w:r>
            <w:r>
              <w:rPr>
                <w:rFonts w:hint="eastAsia" w:ascii="宋体" w:hAnsi="宋体" w:eastAsia="宋体" w:cs="宋体"/>
                <w:color w:val="auto"/>
                <w:sz w:val="24"/>
                <w:szCs w:val="24"/>
                <w:highlight w:val="none"/>
                <w:lang w:val="en-US" w:eastAsia="zh-CN"/>
              </w:rPr>
              <w:t>及评标专家费</w:t>
            </w:r>
            <w:r>
              <w:rPr>
                <w:rFonts w:hint="eastAsia" w:ascii="宋体" w:hAnsi="宋体" w:eastAsia="宋体" w:cs="宋体"/>
                <w:color w:val="auto"/>
                <w:sz w:val="24"/>
                <w:szCs w:val="24"/>
                <w:highlight w:val="none"/>
                <w:lang w:eastAsia="zh-CN"/>
              </w:rPr>
              <w:t>由中标人支付，该费用不再另行报价，由投标人在投标报价时综合考虑在内。中标人在领取中标通知书前须向招标代理机构一次性支付招标代理服务费</w:t>
            </w:r>
            <w:r>
              <w:rPr>
                <w:rFonts w:hint="eastAsia" w:ascii="宋体" w:hAnsi="宋体" w:eastAsia="宋体" w:cs="宋体"/>
                <w:color w:val="auto"/>
                <w:sz w:val="24"/>
                <w:szCs w:val="24"/>
                <w:highlight w:val="none"/>
                <w:lang w:val="en-US" w:eastAsia="zh-CN"/>
              </w:rPr>
              <w:t>及评标专家费</w:t>
            </w:r>
            <w:r>
              <w:rPr>
                <w:rFonts w:hint="eastAsia" w:ascii="宋体" w:hAnsi="宋体" w:eastAsia="宋体" w:cs="宋体"/>
                <w:color w:val="auto"/>
                <w:sz w:val="24"/>
                <w:szCs w:val="24"/>
                <w:highlight w:val="none"/>
                <w:lang w:eastAsia="zh-CN"/>
              </w:rPr>
              <w:t>（以当天评委签收为准）。</w:t>
            </w:r>
          </w:p>
        </w:tc>
      </w:tr>
      <w:tr w14:paraId="78862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5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2FB4BAAD">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30</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C93775D">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招标文件要求提交的用于评审的证书、证件、证明原件</w:t>
            </w:r>
            <w:r>
              <w:rPr>
                <w:rFonts w:hint="eastAsia" w:ascii="宋体" w:hAnsi="宋体" w:eastAsia="宋体" w:cs="宋体"/>
                <w:color w:val="auto"/>
                <w:sz w:val="24"/>
                <w:szCs w:val="24"/>
                <w:highlight w:val="none"/>
                <w:lang w:val="en-US" w:eastAsia="zh-CN"/>
              </w:rPr>
              <w:t>(如有)</w:t>
            </w:r>
          </w:p>
        </w:tc>
        <w:tc>
          <w:tcPr>
            <w:tcW w:w="6534" w:type="dxa"/>
            <w:tcBorders>
              <w:top w:val="single" w:color="auto" w:sz="4" w:space="0"/>
              <w:left w:val="single" w:color="auto" w:sz="4" w:space="0"/>
              <w:bottom w:val="single" w:color="auto" w:sz="4" w:space="0"/>
              <w:right w:val="single" w:color="auto" w:sz="4" w:space="0"/>
            </w:tcBorders>
            <w:noWrap w:val="0"/>
            <w:vAlign w:val="top"/>
          </w:tcPr>
          <w:p w14:paraId="3B9AEC91">
            <w:pPr>
              <w:keepNext w:val="0"/>
              <w:keepLines w:val="0"/>
              <w:pageBreakBefore w:val="0"/>
              <w:widowControl w:val="0"/>
              <w:shd w:val="clear"/>
              <w:kinsoku/>
              <w:wordWrap w:val="0"/>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投标人在提交用于评审的证书、证件、证明原件的，投标人应自行将所需原件密封于文件袋（箱）中，并自行准备两张“原件一览表 ” (详见格式十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   明材料的复印件与原件不一致，评审时相应证明材料不予认可。</w:t>
            </w:r>
          </w:p>
        </w:tc>
      </w:tr>
      <w:tr w14:paraId="3831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4F51648">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31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26C8656">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评标委员会</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E5C7F9D">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评标委员会由5人组成，其中招标人代表 0人，专家5人。专家从广东省综合评标评审专家库</w:t>
            </w:r>
            <w:r>
              <w:rPr>
                <w:rFonts w:hint="eastAsia" w:ascii="宋体" w:hAnsi="宋体" w:eastAsia="宋体" w:cs="宋体"/>
                <w:snapToGrid w:val="0"/>
                <w:color w:val="auto"/>
                <w:kern w:val="0"/>
                <w:szCs w:val="24"/>
                <w:highlight w:val="none"/>
                <w:lang w:val="en-US" w:eastAsia="zh-CN"/>
              </w:rPr>
              <w:t>--韶关区域</w:t>
            </w:r>
            <w:r>
              <w:rPr>
                <w:rFonts w:hint="eastAsia" w:ascii="宋体" w:hAnsi="宋体" w:eastAsia="宋体" w:cs="宋体"/>
                <w:snapToGrid w:val="0"/>
                <w:color w:val="auto"/>
                <w:kern w:val="0"/>
                <w:szCs w:val="24"/>
                <w:highlight w:val="none"/>
              </w:rPr>
              <w:t>中随机抽取，其中技术类专家3人，经济类专家2人。</w:t>
            </w:r>
          </w:p>
        </w:tc>
      </w:tr>
      <w:tr w14:paraId="394E9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5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E8C77A5">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32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462DD50">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招标人</w:t>
            </w:r>
          </w:p>
          <w:p w14:paraId="046290E4">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联系方式</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3026C353">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单位名称：</w:t>
            </w:r>
            <w:r>
              <w:rPr>
                <w:rFonts w:hint="eastAsia" w:ascii="宋体" w:hAnsi="宋体" w:eastAsia="宋体" w:cs="宋体"/>
                <w:snapToGrid w:val="0"/>
                <w:color w:val="auto"/>
                <w:kern w:val="0"/>
                <w:sz w:val="24"/>
                <w:highlight w:val="none"/>
                <w:lang w:eastAsia="zh-CN"/>
              </w:rPr>
              <w:t>仁化县市政工程公司</w:t>
            </w:r>
          </w:p>
          <w:p w14:paraId="3EE4DF8E">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办公地址：仁化县丹霞大道228号  </w:t>
            </w:r>
          </w:p>
          <w:p w14:paraId="05EB305E">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联系人（部门）：</w:t>
            </w:r>
            <w:r>
              <w:rPr>
                <w:rFonts w:hint="eastAsia" w:ascii="宋体" w:hAnsi="宋体" w:eastAsia="宋体" w:cs="宋体"/>
                <w:snapToGrid w:val="0"/>
                <w:color w:val="auto"/>
                <w:kern w:val="0"/>
                <w:szCs w:val="24"/>
                <w:highlight w:val="none"/>
              </w:rPr>
              <w:t>刘工</w:t>
            </w:r>
          </w:p>
          <w:p w14:paraId="7B2B518A">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b/>
                <w:bCs/>
                <w:snapToGrid w:val="0"/>
                <w:color w:val="auto"/>
                <w:kern w:val="0"/>
                <w:szCs w:val="24"/>
                <w:highlight w:val="none"/>
                <w:lang w:val="en-US" w:eastAsia="zh-CN"/>
              </w:rPr>
            </w:pPr>
            <w:r>
              <w:rPr>
                <w:rFonts w:hint="eastAsia" w:ascii="宋体" w:hAnsi="宋体" w:eastAsia="宋体" w:cs="宋体"/>
                <w:snapToGrid w:val="0"/>
                <w:color w:val="auto"/>
                <w:kern w:val="0"/>
                <w:sz w:val="24"/>
                <w:highlight w:val="none"/>
              </w:rPr>
              <w:t>联系电话：</w:t>
            </w:r>
            <w:r>
              <w:rPr>
                <w:rFonts w:hint="eastAsia" w:ascii="宋体" w:hAnsi="宋体" w:eastAsia="宋体" w:cs="宋体"/>
                <w:snapToGrid w:val="0"/>
                <w:color w:val="auto"/>
                <w:kern w:val="0"/>
                <w:szCs w:val="24"/>
                <w:highlight w:val="none"/>
              </w:rPr>
              <w:t xml:space="preserve">0751-6238008 </w:t>
            </w:r>
            <w:r>
              <w:rPr>
                <w:rFonts w:hint="eastAsia" w:ascii="宋体" w:hAnsi="宋体" w:eastAsia="宋体" w:cs="宋体"/>
                <w:snapToGrid w:val="0"/>
                <w:color w:val="auto"/>
                <w:kern w:val="0"/>
                <w:sz w:val="24"/>
                <w:szCs w:val="24"/>
                <w:highlight w:val="none"/>
                <w:u w:val="none"/>
                <w:lang w:val="en-US" w:eastAsia="zh-CN" w:bidi="ar-SA"/>
              </w:rPr>
              <w:t xml:space="preserve"> </w:t>
            </w:r>
          </w:p>
        </w:tc>
      </w:tr>
      <w:tr w14:paraId="57295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4"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1AA1FA70">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33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D7F7382">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招标代理机构</w:t>
            </w:r>
          </w:p>
          <w:p w14:paraId="62B925C4">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联系方式</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74BB1BF9">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单位名称：</w:t>
            </w:r>
            <w:r>
              <w:rPr>
                <w:rFonts w:hint="eastAsia" w:ascii="宋体" w:hAnsi="宋体" w:eastAsia="宋体" w:cs="宋体"/>
                <w:color w:val="auto"/>
                <w:highlight w:val="none"/>
                <w:lang w:eastAsia="zh-CN"/>
              </w:rPr>
              <w:t>广东爱科工程咨询管理有限公司</w:t>
            </w:r>
          </w:p>
          <w:p w14:paraId="0A3E1DA9">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highlight w:val="none"/>
              </w:rPr>
              <w:t>办公地址：</w:t>
            </w:r>
            <w:r>
              <w:rPr>
                <w:rFonts w:hint="eastAsia" w:ascii="宋体" w:hAnsi="宋体" w:eastAsia="宋体" w:cs="宋体"/>
                <w:snapToGrid w:val="0"/>
                <w:color w:val="auto"/>
                <w:kern w:val="0"/>
                <w:sz w:val="24"/>
                <w:szCs w:val="24"/>
                <w:highlight w:val="none"/>
                <w:lang w:eastAsia="zh-CN"/>
              </w:rPr>
              <w:t>仁化县</w:t>
            </w:r>
            <w:r>
              <w:rPr>
                <w:rFonts w:hint="eastAsia" w:ascii="宋体" w:hAnsi="宋体" w:eastAsia="宋体" w:cs="宋体"/>
                <w:snapToGrid w:val="0"/>
                <w:color w:val="auto"/>
                <w:kern w:val="0"/>
                <w:sz w:val="24"/>
                <w:szCs w:val="24"/>
                <w:highlight w:val="none"/>
                <w:lang w:val="en-US" w:eastAsia="zh-CN"/>
              </w:rPr>
              <w:t>建设路52号第三层</w:t>
            </w:r>
          </w:p>
          <w:p w14:paraId="5DFC2FC1">
            <w:pPr>
              <w:keepNext w:val="0"/>
              <w:keepLines w:val="0"/>
              <w:pageBreakBefore w:val="0"/>
              <w:widowControl w:val="0"/>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eastAsia="zh-CN"/>
              </w:rPr>
              <w:t>部门）：</w:t>
            </w:r>
            <w:r>
              <w:rPr>
                <w:rFonts w:hint="eastAsia" w:ascii="宋体" w:hAnsi="宋体" w:eastAsia="宋体" w:cs="宋体"/>
                <w:snapToGrid w:val="0"/>
                <w:color w:val="auto"/>
                <w:kern w:val="0"/>
                <w:sz w:val="24"/>
                <w:szCs w:val="24"/>
                <w:highlight w:val="none"/>
                <w:lang w:val="en-US" w:eastAsia="zh-CN"/>
              </w:rPr>
              <w:t>刘工</w:t>
            </w:r>
          </w:p>
          <w:p w14:paraId="75D88B7E">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lang w:val="en-US"/>
              </w:rPr>
            </w:pPr>
            <w:r>
              <w:rPr>
                <w:rFonts w:hint="eastAsia" w:ascii="宋体" w:hAnsi="宋体" w:eastAsia="宋体" w:cs="宋体"/>
                <w:snapToGrid w:val="0"/>
                <w:color w:val="auto"/>
                <w:kern w:val="0"/>
                <w:sz w:val="24"/>
                <w:szCs w:val="24"/>
                <w:highlight w:val="none"/>
              </w:rPr>
              <w:t>联系电</w:t>
            </w:r>
            <w:r>
              <w:rPr>
                <w:rFonts w:hint="eastAsia" w:ascii="宋体" w:hAnsi="宋体" w:eastAsia="宋体" w:cs="宋体"/>
                <w:snapToGrid w:val="0"/>
                <w:color w:val="auto"/>
                <w:kern w:val="0"/>
                <w:sz w:val="24"/>
                <w:szCs w:val="24"/>
                <w:highlight w:val="none"/>
                <w:lang w:eastAsia="zh-CN"/>
              </w:rPr>
              <w:t>话：0751-8919333</w:t>
            </w:r>
          </w:p>
        </w:tc>
      </w:tr>
      <w:tr w14:paraId="545B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86CA088">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34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12E7982">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交易场所</w:t>
            </w:r>
          </w:p>
          <w:p w14:paraId="552DC1C2">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联系方式</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41F1FDFC">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单位名称：韶关市公共资源交易中心</w:t>
            </w:r>
          </w:p>
          <w:p w14:paraId="1572E8EF">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办公地址：</w:t>
            </w:r>
            <w:bookmarkStart w:id="30" w:name="OLE_LINK5"/>
            <w:r>
              <w:rPr>
                <w:rFonts w:hint="eastAsia" w:ascii="宋体" w:hAnsi="宋体" w:eastAsia="宋体" w:cs="宋体"/>
                <w:snapToGrid w:val="0"/>
                <w:color w:val="auto"/>
                <w:kern w:val="0"/>
                <w:szCs w:val="24"/>
                <w:highlight w:val="none"/>
                <w:lang w:val="en-US" w:eastAsia="zh-CN"/>
              </w:rPr>
              <w:t>仁化县丹霞大道228号11楼韶关市公共资源交易中心仁化分中心</w:t>
            </w:r>
            <w:bookmarkEnd w:id="30"/>
          </w:p>
          <w:p w14:paraId="23DB6E8D">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联系人（部门）：</w:t>
            </w:r>
            <w:r>
              <w:rPr>
                <w:rFonts w:hint="eastAsia" w:ascii="宋体" w:hAnsi="宋体" w:eastAsia="宋体" w:cs="宋体"/>
                <w:snapToGrid w:val="0"/>
                <w:color w:val="auto"/>
                <w:kern w:val="0"/>
                <w:szCs w:val="24"/>
                <w:highlight w:val="none"/>
                <w:lang w:val="en-US" w:eastAsia="zh-CN"/>
              </w:rPr>
              <w:t>吴工</w:t>
            </w:r>
          </w:p>
          <w:p w14:paraId="6EDB78B6">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联系电话：</w:t>
            </w:r>
            <w:r>
              <w:rPr>
                <w:rFonts w:hint="eastAsia" w:ascii="宋体" w:hAnsi="宋体" w:eastAsia="宋体" w:cs="宋体"/>
                <w:snapToGrid w:val="0"/>
                <w:color w:val="auto"/>
                <w:kern w:val="0"/>
                <w:szCs w:val="24"/>
                <w:highlight w:val="none"/>
                <w:lang w:val="en-US" w:eastAsia="zh-CN"/>
              </w:rPr>
              <w:t>0751-6354032</w:t>
            </w:r>
          </w:p>
        </w:tc>
      </w:tr>
      <w:tr w14:paraId="670F5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643D84F">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35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5950552">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行政监督部门</w:t>
            </w:r>
          </w:p>
          <w:p w14:paraId="6491B856">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联系方式</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7016FD1A">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单位名称：</w:t>
            </w:r>
            <w:r>
              <w:rPr>
                <w:rFonts w:hint="eastAsia" w:ascii="宋体" w:hAnsi="宋体" w:eastAsia="宋体" w:cs="宋体"/>
                <w:snapToGrid w:val="0"/>
                <w:color w:val="auto"/>
                <w:kern w:val="0"/>
                <w:szCs w:val="24"/>
                <w:highlight w:val="none"/>
                <w:lang w:val="en-US" w:eastAsia="zh-CN"/>
              </w:rPr>
              <w:t>仁化县住房和城乡建设管理局</w:t>
            </w:r>
          </w:p>
          <w:p w14:paraId="314F1BFC">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办公地址：</w:t>
            </w:r>
            <w:r>
              <w:rPr>
                <w:rFonts w:hint="eastAsia" w:ascii="宋体" w:hAnsi="宋体" w:eastAsia="宋体" w:cs="宋体"/>
                <w:snapToGrid w:val="0"/>
                <w:color w:val="auto"/>
                <w:kern w:val="0"/>
                <w:szCs w:val="24"/>
                <w:highlight w:val="none"/>
                <w:lang w:val="en-US" w:eastAsia="zh-CN"/>
              </w:rPr>
              <w:t>仁化县丹霞大道228号仁化县行政服务中心6楼</w:t>
            </w:r>
          </w:p>
          <w:p w14:paraId="13D2AA64">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联系人（部门）：</w:t>
            </w:r>
            <w:r>
              <w:rPr>
                <w:rFonts w:hint="eastAsia" w:ascii="宋体" w:hAnsi="宋体" w:eastAsia="宋体" w:cs="宋体"/>
                <w:snapToGrid w:val="0"/>
                <w:color w:val="auto"/>
                <w:kern w:val="0"/>
                <w:szCs w:val="24"/>
                <w:highlight w:val="none"/>
                <w:lang w:val="en-US" w:eastAsia="zh-CN"/>
              </w:rPr>
              <w:t>建筑业监督管理股</w:t>
            </w:r>
            <w:r>
              <w:rPr>
                <w:rFonts w:hint="eastAsia" w:ascii="宋体" w:hAnsi="宋体" w:eastAsia="宋体" w:cs="宋体"/>
                <w:snapToGrid w:val="0"/>
                <w:color w:val="auto"/>
                <w:kern w:val="0"/>
                <w:szCs w:val="24"/>
                <w:highlight w:val="none"/>
              </w:rPr>
              <w:t xml:space="preserve"> </w:t>
            </w:r>
          </w:p>
          <w:p w14:paraId="35C81B77">
            <w:pPr>
              <w:keepNext w:val="0"/>
              <w:keepLines w:val="0"/>
              <w:pageBreakBefore w:val="0"/>
              <w:widowControl w:val="0"/>
              <w:shd w:val="clear"/>
              <w:kinsoku/>
              <w:wordWrap w:val="0"/>
              <w:overflowPunct/>
              <w:topLinePunct w:val="0"/>
              <w:autoSpaceDE/>
              <w:autoSpaceDN/>
              <w:bidi w:val="0"/>
              <w:adjustRightInd w:val="0"/>
              <w:snapToGrid w:val="0"/>
              <w:spacing w:line="360" w:lineRule="exact"/>
              <w:ind w:left="0" w:leftChars="0" w:firstLine="240" w:firstLineChars="1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联系电话：</w:t>
            </w:r>
            <w:r>
              <w:rPr>
                <w:rFonts w:hint="eastAsia" w:ascii="宋体" w:hAnsi="宋体" w:eastAsia="宋体" w:cs="宋体"/>
                <w:snapToGrid w:val="0"/>
                <w:color w:val="auto"/>
                <w:kern w:val="0"/>
                <w:szCs w:val="24"/>
                <w:highlight w:val="none"/>
                <w:lang w:val="en-US" w:eastAsia="zh-CN"/>
              </w:rPr>
              <w:t>0751-6354573</w:t>
            </w:r>
            <w:r>
              <w:rPr>
                <w:rFonts w:hint="eastAsia" w:ascii="宋体" w:hAnsi="宋体" w:eastAsia="宋体" w:cs="宋体"/>
                <w:snapToGrid w:val="0"/>
                <w:color w:val="auto"/>
                <w:kern w:val="0"/>
                <w:szCs w:val="24"/>
                <w:highlight w:val="none"/>
              </w:rPr>
              <w:t xml:space="preserve">  </w:t>
            </w:r>
          </w:p>
        </w:tc>
      </w:tr>
      <w:bookmarkEnd w:id="28"/>
      <w:tr w14:paraId="33098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C0A07E0">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36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8F5B723">
            <w:pPr>
              <w:keepNext w:val="0"/>
              <w:keepLines w:val="0"/>
              <w:pageBreakBefore w:val="0"/>
              <w:widowControl w:val="0"/>
              <w:shd w:val="clear"/>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术语</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3CC3BB37">
            <w:pPr>
              <w:keepNext w:val="0"/>
              <w:keepLines w:val="0"/>
              <w:pageBreakBefore w:val="0"/>
              <w:widowControl w:val="0"/>
              <w:shd w:val="clear"/>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68505BE">
            <w:pPr>
              <w:keepNext w:val="0"/>
              <w:keepLines w:val="0"/>
              <w:pageBreakBefore w:val="0"/>
              <w:widowControl w:val="0"/>
              <w:shd w:val="clear"/>
              <w:kinsoku/>
              <w:wordWrap w:val="0"/>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2．“相关服务”是指监理人受委托人的委托，按照合同约定，在勘察、设计、保修等阶段提供的服务活动。</w:t>
            </w:r>
          </w:p>
        </w:tc>
      </w:tr>
    </w:tbl>
    <w:p w14:paraId="31B43893">
      <w:pPr>
        <w:pStyle w:val="4"/>
        <w:keepNext w:val="0"/>
        <w:keepLines w:val="0"/>
        <w:pageBreakBefore w:val="0"/>
        <w:widowControl w:val="0"/>
        <w:shd w:val="clear"/>
        <w:kinsoku/>
        <w:wordWrap w:val="0"/>
        <w:overflowPunct/>
        <w:topLinePunct w:val="0"/>
        <w:autoSpaceDE/>
        <w:autoSpaceDN/>
        <w:bidi w:val="0"/>
        <w:adjustRightInd w:val="0"/>
        <w:snapToGrid w:val="0"/>
        <w:spacing w:before="260" w:after="260" w:line="360" w:lineRule="exact"/>
        <w:jc w:val="both"/>
        <w:textAlignment w:val="auto"/>
        <w:rPr>
          <w:rFonts w:hint="eastAsia" w:ascii="宋体" w:hAnsi="宋体" w:eastAsia="宋体" w:cs="宋体"/>
          <w:b/>
          <w:snapToGrid w:val="0"/>
          <w:color w:val="auto"/>
          <w:highlight w:val="none"/>
        </w:rPr>
        <w:sectPr>
          <w:footerReference r:id="rId5" w:type="default"/>
          <w:endnotePr>
            <w:numFmt w:val="decimal"/>
          </w:endnotePr>
          <w:pgSz w:w="11906" w:h="16838"/>
          <w:pgMar w:top="1440" w:right="1080" w:bottom="1440" w:left="1080" w:header="850" w:footer="992" w:gutter="0"/>
          <w:pgNumType w:start="1"/>
          <w:cols w:space="720" w:num="1"/>
          <w:rtlGutter w:val="0"/>
          <w:docGrid w:linePitch="327" w:charSpace="0"/>
        </w:sectPr>
      </w:pPr>
    </w:p>
    <w:p w14:paraId="16BF8D6E">
      <w:pPr>
        <w:pStyle w:val="4"/>
        <w:shd w:val="clear"/>
        <w:wordWrap w:val="0"/>
        <w:autoSpaceDE/>
        <w:autoSpaceDN/>
        <w:snapToGrid w:val="0"/>
        <w:spacing w:after="260" w:line="440" w:lineRule="exact"/>
        <w:jc w:val="both"/>
        <w:rPr>
          <w:rFonts w:hint="eastAsia" w:ascii="宋体" w:hAnsi="宋体" w:eastAsia="宋体" w:cs="宋体"/>
          <w:snapToGrid w:val="0"/>
          <w:color w:val="auto"/>
          <w:highlight w:val="none"/>
        </w:rPr>
      </w:pPr>
      <w:bookmarkStart w:id="31" w:name="_Toc5405"/>
      <w:bookmarkStart w:id="32" w:name="_Toc1515"/>
      <w:bookmarkStart w:id="33" w:name="_Toc712"/>
      <w:bookmarkStart w:id="34" w:name="_Toc28370"/>
      <w:bookmarkStart w:id="35" w:name="_Toc29182"/>
      <w:bookmarkStart w:id="36" w:name="_Toc25588"/>
      <w:bookmarkStart w:id="37" w:name="_Toc31292"/>
      <w:bookmarkStart w:id="38" w:name="_Toc16005"/>
      <w:bookmarkStart w:id="39" w:name="_Toc2241"/>
      <w:bookmarkStart w:id="40" w:name="_Toc16241"/>
      <w:bookmarkStart w:id="41" w:name="_Toc17242"/>
      <w:r>
        <w:rPr>
          <w:rFonts w:hint="eastAsia" w:ascii="宋体" w:hAnsi="宋体" w:eastAsia="宋体" w:cs="宋体"/>
          <w:b/>
          <w:snapToGrid w:val="0"/>
          <w:color w:val="auto"/>
          <w:highlight w:val="none"/>
        </w:rPr>
        <w:t>第二节 重要事项时间地点一览表</w:t>
      </w:r>
      <w:bookmarkEnd w:id="31"/>
      <w:bookmarkEnd w:id="32"/>
      <w:bookmarkEnd w:id="33"/>
      <w:bookmarkEnd w:id="34"/>
      <w:bookmarkEnd w:id="35"/>
      <w:bookmarkEnd w:id="36"/>
      <w:bookmarkEnd w:id="37"/>
      <w:bookmarkEnd w:id="38"/>
      <w:bookmarkEnd w:id="39"/>
      <w:bookmarkEnd w:id="40"/>
      <w:bookmarkEnd w:id="41"/>
    </w:p>
    <w:tbl>
      <w:tblPr>
        <w:tblStyle w:val="23"/>
        <w:tblW w:w="9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2"/>
        <w:gridCol w:w="1583"/>
        <w:gridCol w:w="7637"/>
      </w:tblGrid>
      <w:tr w14:paraId="6925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8" w:hRule="atLeast"/>
          <w:jc w:val="center"/>
        </w:trPr>
        <w:tc>
          <w:tcPr>
            <w:tcW w:w="622" w:type="dxa"/>
            <w:tcBorders>
              <w:top w:val="single" w:color="080000" w:sz="6" w:space="0"/>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52D803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83" w:type="dxa"/>
            <w:tcBorders>
              <w:top w:val="single" w:color="080000" w:sz="6" w:space="0"/>
              <w:left w:val="nil"/>
              <w:bottom w:val="single" w:color="080000" w:sz="6" w:space="0"/>
              <w:right w:val="single" w:color="080000" w:sz="6" w:space="0"/>
            </w:tcBorders>
            <w:noWrap w:val="0"/>
            <w:tcMar>
              <w:top w:w="0" w:type="dxa"/>
              <w:left w:w="0" w:type="dxa"/>
              <w:bottom w:w="0" w:type="dxa"/>
              <w:right w:w="0" w:type="dxa"/>
            </w:tcMar>
            <w:vAlign w:val="center"/>
          </w:tcPr>
          <w:p w14:paraId="52FD192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招标公告</w:t>
            </w:r>
          </w:p>
          <w:p w14:paraId="1627295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p>
        </w:tc>
        <w:tc>
          <w:tcPr>
            <w:tcW w:w="7637" w:type="dxa"/>
            <w:tcBorders>
              <w:top w:val="single" w:color="080000" w:sz="6" w:space="0"/>
              <w:left w:val="nil"/>
              <w:bottom w:val="single" w:color="080000" w:sz="6" w:space="0"/>
              <w:right w:val="single" w:color="080000" w:sz="6" w:space="0"/>
            </w:tcBorders>
            <w:noWrap w:val="0"/>
            <w:tcMar>
              <w:top w:w="0" w:type="dxa"/>
              <w:left w:w="0" w:type="dxa"/>
              <w:bottom w:w="0" w:type="dxa"/>
              <w:right w:w="0" w:type="dxa"/>
            </w:tcMar>
            <w:vAlign w:val="center"/>
          </w:tcPr>
          <w:p w14:paraId="3FB3DD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p>
        </w:tc>
      </w:tr>
      <w:tr w14:paraId="56BB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6"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767C7BB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5D5B6B9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获取招标文件截止时间</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377E5A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bookmarkStart w:id="42" w:name="OLE_LINK3"/>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bookmarkEnd w:id="42"/>
          </w:p>
        </w:tc>
      </w:tr>
      <w:tr w14:paraId="5167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8"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34FAC5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6875CF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网上提问</w:t>
            </w:r>
          </w:p>
          <w:p w14:paraId="377D65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01C405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p>
        </w:tc>
      </w:tr>
      <w:tr w14:paraId="52EE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2"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673F20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1318A68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网上答疑</w:t>
            </w:r>
          </w:p>
          <w:p w14:paraId="4336FF4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30168F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p>
        </w:tc>
      </w:tr>
      <w:tr w14:paraId="7005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5694A3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6E7968E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投标保证缴</w:t>
            </w:r>
          </w:p>
          <w:p w14:paraId="183745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纳截止时间</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14A46E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投标保证金到账截止时间：</w:t>
            </w:r>
            <w:bookmarkStart w:id="43" w:name="OLE_LINK2"/>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bookmarkEnd w:id="43"/>
            <w:r>
              <w:rPr>
                <w:rFonts w:hint="eastAsia" w:ascii="宋体" w:hAnsi="宋体" w:eastAsia="宋体" w:cs="宋体"/>
                <w:color w:val="auto"/>
                <w:sz w:val="24"/>
                <w:szCs w:val="24"/>
                <w:highlight w:val="none"/>
              </w:rPr>
              <w:t>；</w:t>
            </w:r>
          </w:p>
          <w:p w14:paraId="4F24BC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投标保证担保上传截止时间：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14:paraId="38A25A1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投标保证保险投保截止时间：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6540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7"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3FFCEF4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4DC759F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w:t>
            </w:r>
          </w:p>
          <w:p w14:paraId="213C56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3DCE67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6E01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0"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2AFDB7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6E603B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相关评审资料原件（如有）递交时间</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03BC08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5F5E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0"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2CDC233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54320FC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相关评审资料原件（如有）递交地点</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3F90EA2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递交场所：</w:t>
            </w:r>
            <w:r>
              <w:rPr>
                <w:rFonts w:hint="eastAsia" w:ascii="宋体" w:hAnsi="宋体" w:eastAsia="宋体" w:cs="宋体"/>
                <w:color w:val="auto"/>
                <w:sz w:val="24"/>
                <w:szCs w:val="24"/>
                <w:highlight w:val="none"/>
                <w:u w:val="single"/>
                <w:lang w:val="en-US" w:eastAsia="zh-CN"/>
              </w:rPr>
              <w:t>韶关市公共资源交易中心仁化分中心</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single"/>
                <w:lang w:val="en-US" w:eastAsia="zh-CN"/>
              </w:rPr>
              <w:t>仁化县丹霞大道228号11楼韶关市公共资源交易中心仁化分中心</w:t>
            </w:r>
            <w:r>
              <w:rPr>
                <w:rFonts w:hint="eastAsia" w:ascii="宋体" w:hAnsi="宋体" w:eastAsia="宋体" w:cs="宋体"/>
                <w:color w:val="auto"/>
                <w:sz w:val="24"/>
                <w:szCs w:val="24"/>
                <w:highlight w:val="none"/>
                <w:lang w:val="en-US" w:eastAsia="zh-CN"/>
              </w:rPr>
              <w:t>，具体开标室以当日现场通知为准。</w:t>
            </w:r>
          </w:p>
        </w:tc>
      </w:tr>
      <w:tr w14:paraId="47B6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jc w:val="center"/>
        </w:trPr>
        <w:tc>
          <w:tcPr>
            <w:tcW w:w="622"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14:paraId="5212AC9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8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790E0A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7637"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14:paraId="701863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rPr>
              <w:t>月</w:t>
            </w:r>
            <w:r>
              <w:rPr>
                <w:rFonts w:hint="eastAsia"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0320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622" w:type="dxa"/>
            <w:tcBorders>
              <w:top w:val="nil"/>
              <w:left w:val="single" w:color="080000" w:sz="6" w:space="0"/>
              <w:bottom w:val="single" w:color="auto" w:sz="4" w:space="0"/>
              <w:right w:val="single" w:color="080000" w:sz="6" w:space="0"/>
            </w:tcBorders>
            <w:noWrap w:val="0"/>
            <w:tcMar>
              <w:top w:w="0" w:type="dxa"/>
              <w:left w:w="0" w:type="dxa"/>
              <w:bottom w:w="0" w:type="dxa"/>
              <w:right w:w="0" w:type="dxa"/>
            </w:tcMar>
            <w:vAlign w:val="center"/>
          </w:tcPr>
          <w:p w14:paraId="25B397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83" w:type="dxa"/>
            <w:tcBorders>
              <w:top w:val="nil"/>
              <w:left w:val="nil"/>
              <w:bottom w:val="single" w:color="auto" w:sz="4" w:space="0"/>
              <w:right w:val="single" w:color="080000" w:sz="6" w:space="0"/>
            </w:tcBorders>
            <w:noWrap w:val="0"/>
            <w:tcMar>
              <w:top w:w="0" w:type="dxa"/>
              <w:left w:w="0" w:type="dxa"/>
              <w:bottom w:w="0" w:type="dxa"/>
              <w:right w:w="0" w:type="dxa"/>
            </w:tcMar>
            <w:vAlign w:val="center"/>
          </w:tcPr>
          <w:p w14:paraId="7FC1A15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7637" w:type="dxa"/>
            <w:tcBorders>
              <w:top w:val="nil"/>
              <w:left w:val="nil"/>
              <w:bottom w:val="single" w:color="auto" w:sz="4" w:space="0"/>
              <w:right w:val="single" w:color="080000" w:sz="6" w:space="0"/>
            </w:tcBorders>
            <w:noWrap w:val="0"/>
            <w:tcMar>
              <w:top w:w="0" w:type="dxa"/>
              <w:left w:w="0" w:type="dxa"/>
              <w:bottom w:w="0" w:type="dxa"/>
              <w:right w:w="0" w:type="dxa"/>
            </w:tcMar>
            <w:vAlign w:val="center"/>
          </w:tcPr>
          <w:p w14:paraId="3F6D69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开标场所：</w:t>
            </w:r>
            <w:r>
              <w:rPr>
                <w:rFonts w:hint="eastAsia" w:ascii="宋体" w:hAnsi="宋体" w:eastAsia="宋体" w:cs="宋体"/>
                <w:color w:val="auto"/>
                <w:sz w:val="24"/>
                <w:szCs w:val="24"/>
                <w:highlight w:val="none"/>
                <w:u w:val="single"/>
                <w:lang w:val="en-US" w:eastAsia="zh-CN"/>
              </w:rPr>
              <w:t>韶关市公共资源交易中心仁化分中心</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single"/>
                <w:lang w:val="en-US" w:eastAsia="zh-CN"/>
              </w:rPr>
              <w:t>仁化县丹霞大道228号11楼韶关市公共资源交易中心仁化分中心</w:t>
            </w:r>
            <w:r>
              <w:rPr>
                <w:rFonts w:hint="eastAsia" w:ascii="宋体" w:hAnsi="宋体" w:eastAsia="宋体" w:cs="宋体"/>
                <w:color w:val="auto"/>
                <w:sz w:val="24"/>
                <w:szCs w:val="24"/>
                <w:highlight w:val="none"/>
                <w:lang w:val="en-US" w:eastAsia="zh-CN"/>
              </w:rPr>
              <w:t>，具体房间号以当日现场通知为准。</w:t>
            </w:r>
          </w:p>
        </w:tc>
      </w:tr>
    </w:tbl>
    <w:p w14:paraId="1582A8AC">
      <w:pPr>
        <w:pStyle w:val="29"/>
        <w:rPr>
          <w:rFonts w:hint="eastAsia"/>
        </w:rPr>
        <w:sectPr>
          <w:endnotePr>
            <w:numFmt w:val="decimal"/>
          </w:endnotePr>
          <w:pgSz w:w="11906" w:h="16838"/>
          <w:pgMar w:top="1440" w:right="1080" w:bottom="1440" w:left="1080" w:header="850" w:footer="992" w:gutter="0"/>
          <w:cols w:space="720" w:num="1"/>
          <w:rtlGutter w:val="0"/>
          <w:docGrid w:linePitch="327" w:charSpace="0"/>
        </w:sectPr>
      </w:pPr>
    </w:p>
    <w:p w14:paraId="4BD7AC1A">
      <w:pPr>
        <w:pStyle w:val="4"/>
        <w:shd w:val="clear"/>
        <w:wordWrap w:val="0"/>
        <w:autoSpaceDE/>
        <w:autoSpaceDN/>
        <w:snapToGrid w:val="0"/>
        <w:spacing w:before="260" w:after="260" w:line="440" w:lineRule="exact"/>
        <w:jc w:val="both"/>
        <w:rPr>
          <w:rFonts w:hint="eastAsia" w:ascii="宋体" w:hAnsi="宋体" w:eastAsia="宋体" w:cs="宋体"/>
          <w:snapToGrid w:val="0"/>
          <w:color w:val="auto"/>
          <w:kern w:val="0"/>
          <w:szCs w:val="28"/>
          <w:highlight w:val="none"/>
          <w:u w:val="single"/>
        </w:rPr>
      </w:pPr>
      <w:bookmarkStart w:id="44" w:name="_Hlt87793819"/>
      <w:bookmarkEnd w:id="44"/>
      <w:bookmarkStart w:id="45" w:name="_Toc16803"/>
      <w:bookmarkStart w:id="46" w:name="_Toc22644"/>
      <w:bookmarkStart w:id="47" w:name="_Toc21610"/>
      <w:bookmarkStart w:id="48" w:name="_Toc24601"/>
      <w:bookmarkStart w:id="49" w:name="_Toc32269"/>
      <w:bookmarkStart w:id="50" w:name="_Toc1048"/>
      <w:bookmarkStart w:id="51" w:name="_Toc17679"/>
      <w:bookmarkStart w:id="52" w:name="_Toc13835"/>
      <w:bookmarkStart w:id="53" w:name="_Toc29843"/>
      <w:bookmarkStart w:id="54" w:name="_Hlt69698705"/>
      <w:bookmarkStart w:id="55" w:name="_Hlt69698754"/>
      <w:bookmarkStart w:id="56" w:name="_Toc14119"/>
      <w:bookmarkStart w:id="57" w:name="_Toc17644"/>
      <w:bookmarkStart w:id="58" w:name="_Toc54"/>
      <w:r>
        <w:rPr>
          <w:rFonts w:hint="eastAsia" w:ascii="宋体" w:hAnsi="宋体" w:eastAsia="宋体" w:cs="宋体"/>
          <w:b/>
          <w:snapToGrid w:val="0"/>
          <w:color w:val="auto"/>
          <w:highlight w:val="none"/>
        </w:rPr>
        <w:t>第三节 投标人须知</w:t>
      </w:r>
      <w:bookmarkEnd w:id="45"/>
      <w:bookmarkStart w:id="59" w:name="_Hlt69669159"/>
      <w:bookmarkEnd w:id="59"/>
      <w:r>
        <w:rPr>
          <w:rFonts w:hint="eastAsia" w:ascii="宋体" w:hAnsi="宋体" w:eastAsia="宋体" w:cs="宋体"/>
          <w:b/>
          <w:snapToGrid w:val="0"/>
          <w:color w:val="auto"/>
          <w:highlight w:val="none"/>
        </w:rPr>
        <w:t>正文</w:t>
      </w:r>
      <w:bookmarkEnd w:id="46"/>
      <w:bookmarkEnd w:id="47"/>
      <w:bookmarkEnd w:id="48"/>
      <w:bookmarkEnd w:id="49"/>
      <w:bookmarkEnd w:id="50"/>
      <w:bookmarkEnd w:id="51"/>
      <w:bookmarkEnd w:id="52"/>
      <w:bookmarkEnd w:id="53"/>
      <w:bookmarkEnd w:id="54"/>
      <w:bookmarkEnd w:id="55"/>
      <w:bookmarkEnd w:id="56"/>
      <w:bookmarkEnd w:id="57"/>
      <w:bookmarkEnd w:id="58"/>
    </w:p>
    <w:p w14:paraId="01DDF50F">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highlight w:val="none"/>
        </w:rPr>
      </w:pPr>
      <w:bookmarkStart w:id="60" w:name="_Toc22150"/>
      <w:bookmarkStart w:id="61" w:name="_Toc14853"/>
      <w:bookmarkStart w:id="62" w:name="_Toc8024"/>
      <w:bookmarkStart w:id="63" w:name="_Toc26179"/>
      <w:bookmarkStart w:id="64" w:name="_Toc13092"/>
      <w:bookmarkStart w:id="65" w:name="_Toc3349"/>
      <w:bookmarkStart w:id="66" w:name="_Toc8455"/>
      <w:bookmarkStart w:id="67" w:name="_Toc28791"/>
      <w:bookmarkStart w:id="68" w:name="_Toc27860"/>
      <w:r>
        <w:rPr>
          <w:rFonts w:hint="eastAsia" w:ascii="宋体" w:hAnsi="宋体" w:eastAsia="宋体" w:cs="宋体"/>
          <w:bCs/>
          <w:snapToGrid w:val="0"/>
          <w:color w:val="auto"/>
          <w:kern w:val="0"/>
          <w:sz w:val="24"/>
          <w:szCs w:val="24"/>
          <w:highlight w:val="none"/>
          <w:u w:val="single"/>
          <w:lang w:val="en-US" w:eastAsia="zh-CN"/>
        </w:rPr>
        <w:t xml:space="preserve">仁化县城市管网补短板建设项目（二期）二标段监理 </w:t>
      </w:r>
      <w:r>
        <w:rPr>
          <w:rFonts w:hint="eastAsia" w:ascii="宋体" w:hAnsi="宋体" w:eastAsia="宋体" w:cs="宋体"/>
          <w:snapToGrid w:val="0"/>
          <w:color w:val="auto"/>
          <w:kern w:val="0"/>
          <w:sz w:val="24"/>
          <w:szCs w:val="24"/>
          <w:highlight w:val="none"/>
        </w:rPr>
        <w:t>经</w:t>
      </w:r>
      <w:r>
        <w:rPr>
          <w:rFonts w:hint="eastAsia" w:ascii="宋体" w:hAnsi="宋体" w:eastAsia="宋体" w:cs="宋体"/>
          <w:snapToGrid w:val="0"/>
          <w:color w:val="auto"/>
          <w:kern w:val="0"/>
          <w:szCs w:val="24"/>
          <w:highlight w:val="none"/>
          <w:u w:val="single"/>
        </w:rPr>
        <w:t>仁化县发展和改革局</w:t>
      </w:r>
      <w:r>
        <w:rPr>
          <w:rFonts w:hint="eastAsia" w:ascii="宋体" w:hAnsi="宋体" w:eastAsia="宋体" w:cs="宋体"/>
          <w:snapToGrid w:val="0"/>
          <w:color w:val="auto"/>
          <w:kern w:val="0"/>
          <w:szCs w:val="24"/>
          <w:highlight w:val="none"/>
        </w:rPr>
        <w:t>以</w:t>
      </w:r>
      <w:r>
        <w:rPr>
          <w:rFonts w:hint="eastAsia" w:ascii="宋体" w:hAnsi="宋体" w:eastAsia="宋体" w:cs="宋体"/>
          <w:snapToGrid w:val="0"/>
          <w:color w:val="auto"/>
          <w:kern w:val="0"/>
          <w:szCs w:val="24"/>
          <w:highlight w:val="none"/>
          <w:u w:val="single"/>
        </w:rPr>
        <w:t>《仁化县发展和改革局关于仁化县城市管网补短板建设项目可行性研究报告的批复</w:t>
      </w:r>
      <w:r>
        <w:rPr>
          <w:rFonts w:hint="eastAsia" w:ascii="宋体" w:hAnsi="宋体" w:eastAsia="宋体" w:cs="宋体"/>
          <w:snapToGrid w:val="0"/>
          <w:color w:val="auto"/>
          <w:kern w:val="0"/>
          <w:highlight w:val="none"/>
          <w:u w:val="single"/>
        </w:rPr>
        <w:t>》（</w:t>
      </w:r>
      <w:r>
        <w:rPr>
          <w:rFonts w:hint="eastAsia" w:ascii="宋体" w:hAnsi="宋体" w:eastAsia="宋体" w:cs="宋体"/>
          <w:bCs/>
          <w:color w:val="auto"/>
          <w:szCs w:val="24"/>
          <w:highlight w:val="none"/>
          <w:u w:val="single"/>
        </w:rPr>
        <w:t>仁发改投审【2022】53号</w:t>
      </w:r>
      <w:r>
        <w:rPr>
          <w:rFonts w:hint="eastAsia" w:ascii="宋体" w:hAnsi="宋体" w:eastAsia="宋体" w:cs="宋体"/>
          <w:snapToGrid w:val="0"/>
          <w:color w:val="auto"/>
          <w:kern w:val="0"/>
          <w:highlight w:val="none"/>
          <w:u w:val="single"/>
        </w:rPr>
        <w:t>）</w:t>
      </w:r>
      <w:r>
        <w:rPr>
          <w:rFonts w:hint="eastAsia" w:ascii="宋体" w:hAnsi="宋体" w:eastAsia="宋体" w:cs="宋体"/>
          <w:snapToGrid w:val="0"/>
          <w:color w:val="auto"/>
          <w:kern w:val="0"/>
          <w:sz w:val="24"/>
          <w:szCs w:val="24"/>
          <w:highlight w:val="none"/>
        </w:rPr>
        <w:t>批准建设，项目代码为</w:t>
      </w:r>
      <w:r>
        <w:rPr>
          <w:rFonts w:hint="eastAsia" w:ascii="宋体" w:hAnsi="宋体" w:eastAsia="宋体" w:cs="宋体"/>
          <w:snapToGrid w:val="0"/>
          <w:color w:val="auto"/>
          <w:kern w:val="0"/>
          <w:szCs w:val="24"/>
          <w:highlight w:val="none"/>
          <w:u w:val="single"/>
        </w:rPr>
        <w:t>2207-440224-04-01-564900</w:t>
      </w:r>
      <w:r>
        <w:rPr>
          <w:rFonts w:hint="eastAsia" w:ascii="宋体" w:hAnsi="宋体" w:eastAsia="宋体" w:cs="宋体"/>
          <w:snapToGrid w:val="0"/>
          <w:color w:val="auto"/>
          <w:kern w:val="0"/>
          <w:sz w:val="24"/>
          <w:szCs w:val="24"/>
          <w:highlight w:val="none"/>
        </w:rPr>
        <w:t>。本项目业主为</w:t>
      </w:r>
      <w:r>
        <w:rPr>
          <w:rFonts w:hint="eastAsia" w:ascii="宋体" w:hAnsi="宋体" w:eastAsia="宋体" w:cs="宋体"/>
          <w:bCs/>
          <w:snapToGrid w:val="0"/>
          <w:color w:val="auto"/>
          <w:kern w:val="0"/>
          <w:sz w:val="24"/>
          <w:highlight w:val="none"/>
          <w:u w:val="single"/>
          <w:lang w:eastAsia="zh-CN"/>
        </w:rPr>
        <w:t>仁化县市政工程公司</w:t>
      </w:r>
      <w:r>
        <w:rPr>
          <w:rFonts w:hint="eastAsia" w:ascii="宋体" w:hAnsi="宋体" w:eastAsia="宋体" w:cs="宋体"/>
          <w:snapToGrid w:val="0"/>
          <w:color w:val="auto"/>
          <w:kern w:val="0"/>
          <w:sz w:val="24"/>
          <w:szCs w:val="24"/>
          <w:highlight w:val="none"/>
        </w:rPr>
        <w:t>，建设资金来自</w:t>
      </w:r>
      <w:r>
        <w:rPr>
          <w:rFonts w:hint="eastAsia" w:ascii="宋体" w:hAnsi="宋体" w:eastAsia="宋体" w:cs="宋体"/>
          <w:snapToGrid w:val="0"/>
          <w:color w:val="auto"/>
          <w:kern w:val="0"/>
          <w:szCs w:val="24"/>
          <w:highlight w:val="none"/>
          <w:u w:val="single"/>
        </w:rPr>
        <w:t>上级财政资金和县财政资金安排解决</w:t>
      </w:r>
      <w:r>
        <w:rPr>
          <w:rFonts w:hint="eastAsia" w:ascii="宋体" w:hAnsi="宋体" w:eastAsia="宋体" w:cs="宋体"/>
          <w:snapToGrid w:val="0"/>
          <w:color w:val="auto"/>
          <w:kern w:val="0"/>
          <w:sz w:val="24"/>
          <w:szCs w:val="24"/>
          <w:highlight w:val="none"/>
        </w:rPr>
        <w:t>，出资比例</w:t>
      </w:r>
      <w:r>
        <w:rPr>
          <w:rFonts w:hint="eastAsia" w:ascii="宋体" w:hAnsi="宋体" w:eastAsia="宋体" w:cs="宋体"/>
          <w:snapToGrid w:val="0"/>
          <w:color w:val="auto"/>
          <w:kern w:val="0"/>
          <w:sz w:val="24"/>
          <w:szCs w:val="24"/>
          <w:highlight w:val="none"/>
          <w:u w:val="single"/>
        </w:rPr>
        <w:t>100%</w:t>
      </w:r>
      <w:r>
        <w:rPr>
          <w:rFonts w:hint="eastAsia" w:ascii="宋体" w:hAnsi="宋体" w:eastAsia="宋体" w:cs="宋体"/>
          <w:snapToGrid w:val="0"/>
          <w:color w:val="auto"/>
          <w:kern w:val="0"/>
          <w:sz w:val="24"/>
          <w:szCs w:val="24"/>
          <w:highlight w:val="none"/>
        </w:rPr>
        <w:t>，招标人为</w:t>
      </w:r>
      <w:r>
        <w:rPr>
          <w:rFonts w:hint="eastAsia" w:ascii="宋体" w:hAnsi="宋体" w:eastAsia="宋体" w:cs="宋体"/>
          <w:snapToGrid w:val="0"/>
          <w:color w:val="auto"/>
          <w:kern w:val="0"/>
          <w:sz w:val="24"/>
          <w:highlight w:val="none"/>
          <w:u w:val="single"/>
          <w:lang w:eastAsia="zh-CN"/>
        </w:rPr>
        <w:t>仁化县市政工程公司</w:t>
      </w:r>
      <w:r>
        <w:rPr>
          <w:rFonts w:hint="eastAsia" w:ascii="宋体" w:hAnsi="宋体" w:eastAsia="宋体" w:cs="宋体"/>
          <w:snapToGrid w:val="0"/>
          <w:color w:val="auto"/>
          <w:kern w:val="0"/>
          <w:sz w:val="24"/>
          <w:szCs w:val="24"/>
          <w:highlight w:val="none"/>
        </w:rPr>
        <w:t>，招标代理机构为</w:t>
      </w:r>
      <w:r>
        <w:rPr>
          <w:rFonts w:hint="eastAsia" w:ascii="宋体" w:hAnsi="宋体" w:eastAsia="宋体" w:cs="宋体"/>
          <w:color w:val="auto"/>
          <w:kern w:val="0"/>
          <w:sz w:val="24"/>
          <w:szCs w:val="22"/>
          <w:highlight w:val="none"/>
          <w:u w:val="single"/>
          <w:lang w:eastAsia="zh-CN"/>
        </w:rPr>
        <w:t>广东爱科工程咨询管理有限公司</w:t>
      </w:r>
      <w:r>
        <w:rPr>
          <w:rFonts w:hint="eastAsia" w:ascii="宋体" w:hAnsi="宋体" w:eastAsia="宋体" w:cs="宋体"/>
          <w:snapToGrid w:val="0"/>
          <w:color w:val="auto"/>
          <w:kern w:val="0"/>
          <w:sz w:val="24"/>
          <w:szCs w:val="24"/>
          <w:highlight w:val="none"/>
        </w:rPr>
        <w:t>。项目已具备招标条件，现对</w:t>
      </w:r>
      <w:r>
        <w:rPr>
          <w:rFonts w:hint="eastAsia" w:ascii="宋体" w:hAnsi="宋体" w:eastAsia="宋体" w:cs="宋体"/>
          <w:snapToGrid w:val="0"/>
          <w:color w:val="auto"/>
          <w:kern w:val="0"/>
          <w:szCs w:val="24"/>
          <w:highlight w:val="none"/>
        </w:rPr>
        <w:t>该项目的</w:t>
      </w:r>
      <w:r>
        <w:rPr>
          <w:rFonts w:hint="eastAsia" w:ascii="宋体" w:hAnsi="宋体" w:eastAsia="宋体" w:cs="宋体"/>
          <w:snapToGrid w:val="0"/>
          <w:color w:val="auto"/>
          <w:kern w:val="0"/>
          <w:szCs w:val="24"/>
          <w:highlight w:val="none"/>
          <w:u w:val="single"/>
          <w:lang w:val="en-US" w:eastAsia="zh-CN"/>
        </w:rPr>
        <w:t xml:space="preserve"> </w:t>
      </w:r>
      <w:r>
        <w:rPr>
          <w:rFonts w:hint="eastAsia" w:ascii="宋体" w:hAnsi="宋体" w:eastAsia="宋体" w:cs="宋体"/>
          <w:b/>
          <w:bCs/>
          <w:snapToGrid w:val="0"/>
          <w:color w:val="auto"/>
          <w:kern w:val="0"/>
          <w:sz w:val="24"/>
          <w:szCs w:val="24"/>
          <w:highlight w:val="none"/>
          <w:u w:val="single"/>
          <w:lang w:eastAsia="zh-CN"/>
        </w:rPr>
        <w:t>监理</w:t>
      </w:r>
      <w:r>
        <w:rPr>
          <w:rFonts w:hint="eastAsia" w:ascii="宋体" w:hAnsi="宋体" w:eastAsia="宋体" w:cs="宋体"/>
          <w:b/>
          <w:bCs/>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进行公开招标</w:t>
      </w:r>
      <w:r>
        <w:rPr>
          <w:rFonts w:hint="eastAsia" w:ascii="宋体" w:hAnsi="宋体" w:eastAsia="宋体" w:cs="宋体"/>
          <w:color w:val="auto"/>
          <w:kern w:val="0"/>
          <w:sz w:val="24"/>
          <w:szCs w:val="22"/>
          <w:highlight w:val="none"/>
        </w:rPr>
        <w:t>。</w:t>
      </w:r>
    </w:p>
    <w:p w14:paraId="7493DF55">
      <w:pPr>
        <w:pStyle w:val="43"/>
        <w:shd w:val="clear"/>
        <w:wordWrap w:val="0"/>
        <w:adjustRightInd w:val="0"/>
        <w:snapToGrid w:val="0"/>
        <w:spacing w:line="440" w:lineRule="exact"/>
        <w:ind w:firstLine="480"/>
        <w:jc w:val="left"/>
        <w:outlineLvl w:val="2"/>
        <w:rPr>
          <w:rFonts w:hint="eastAsia" w:ascii="宋体" w:hAnsi="宋体" w:eastAsia="宋体" w:cs="宋体"/>
          <w:b/>
          <w:bCs/>
          <w:snapToGrid w:val="0"/>
          <w:color w:val="auto"/>
          <w:kern w:val="0"/>
          <w:sz w:val="24"/>
          <w:highlight w:val="none"/>
        </w:rPr>
      </w:pPr>
      <w:bookmarkStart w:id="69" w:name="_Toc27696"/>
      <w:r>
        <w:rPr>
          <w:rFonts w:hint="eastAsia" w:ascii="宋体" w:hAnsi="宋体" w:eastAsia="宋体" w:cs="宋体"/>
          <w:b/>
          <w:bCs/>
          <w:snapToGrid w:val="0"/>
          <w:color w:val="auto"/>
          <w:kern w:val="0"/>
          <w:sz w:val="24"/>
          <w:highlight w:val="none"/>
        </w:rPr>
        <w:t>1．项目概况、招标范围和标段划分、投标费用</w:t>
      </w:r>
      <w:bookmarkEnd w:id="60"/>
      <w:bookmarkEnd w:id="61"/>
      <w:bookmarkEnd w:id="62"/>
      <w:bookmarkEnd w:id="63"/>
      <w:bookmarkEnd w:id="64"/>
      <w:bookmarkEnd w:id="65"/>
      <w:bookmarkEnd w:id="66"/>
      <w:bookmarkEnd w:id="67"/>
      <w:bookmarkEnd w:id="68"/>
      <w:bookmarkEnd w:id="69"/>
    </w:p>
    <w:p w14:paraId="45339258">
      <w:pPr>
        <w:pStyle w:val="43"/>
        <w:keepNext w:val="0"/>
        <w:keepLines w:val="0"/>
        <w:pageBreakBefore w:val="0"/>
        <w:shd w:val="clear"/>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1.1</w:t>
      </w:r>
      <w:r>
        <w:rPr>
          <w:rFonts w:hint="eastAsia" w:ascii="宋体" w:hAnsi="宋体" w:eastAsia="宋体" w:cs="宋体"/>
          <w:snapToGrid w:val="0"/>
          <w:color w:val="auto"/>
          <w:kern w:val="0"/>
          <w:sz w:val="24"/>
          <w:highlight w:val="none"/>
        </w:rPr>
        <w:t xml:space="preserve"> 项目概况</w:t>
      </w:r>
    </w:p>
    <w:p w14:paraId="5F0A5AA0">
      <w:pPr>
        <w:pStyle w:val="43"/>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2"/>
        <w:jc w:val="left"/>
        <w:textAlignment w:val="auto"/>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b/>
          <w:bCs/>
          <w:snapToGrid w:val="0"/>
          <w:color w:val="auto"/>
          <w:kern w:val="0"/>
          <w:sz w:val="24"/>
          <w:highlight w:val="none"/>
        </w:rPr>
        <w:t>1.1.1</w:t>
      </w:r>
      <w:r>
        <w:rPr>
          <w:rFonts w:hint="eastAsia" w:ascii="宋体" w:hAnsi="宋体" w:eastAsia="宋体" w:cs="宋体"/>
          <w:snapToGrid w:val="0"/>
          <w:color w:val="auto"/>
          <w:kern w:val="0"/>
          <w:sz w:val="24"/>
          <w:highlight w:val="none"/>
        </w:rPr>
        <w:t xml:space="preserve"> 建设地点：</w:t>
      </w:r>
      <w:r>
        <w:rPr>
          <w:rFonts w:hint="eastAsia" w:ascii="宋体" w:hAnsi="宋体" w:eastAsia="宋体" w:cs="宋体"/>
          <w:snapToGrid w:val="0"/>
          <w:color w:val="auto"/>
          <w:kern w:val="0"/>
          <w:sz w:val="24"/>
          <w:highlight w:val="none"/>
          <w:u w:val="single"/>
          <w:lang w:val="en-US" w:eastAsia="zh-CN"/>
        </w:rPr>
        <w:t>韶关市仁化县</w:t>
      </w:r>
      <w:r>
        <w:rPr>
          <w:rFonts w:hint="eastAsia" w:ascii="宋体" w:hAnsi="宋体" w:eastAsia="宋体" w:cs="宋体"/>
          <w:snapToGrid w:val="0"/>
          <w:color w:val="auto"/>
          <w:kern w:val="0"/>
          <w:sz w:val="24"/>
          <w:highlight w:val="none"/>
          <w:u w:val="none"/>
          <w:lang w:val="en-US" w:eastAsia="zh-CN"/>
        </w:rPr>
        <w:t>。</w:t>
      </w:r>
    </w:p>
    <w:p w14:paraId="0D9C1C83">
      <w:pPr>
        <w:pStyle w:val="43"/>
        <w:keepNext w:val="0"/>
        <w:keepLines w:val="0"/>
        <w:pageBreakBefore w:val="0"/>
        <w:shd w:val="clear"/>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b/>
          <w:bCs/>
          <w:snapToGrid w:val="0"/>
          <w:color w:val="auto"/>
          <w:kern w:val="0"/>
          <w:sz w:val="24"/>
          <w:highlight w:val="none"/>
        </w:rPr>
        <w:t>1.1.2</w:t>
      </w:r>
      <w:r>
        <w:rPr>
          <w:rFonts w:hint="eastAsia" w:ascii="宋体" w:hAnsi="宋体" w:eastAsia="宋体" w:cs="宋体"/>
          <w:snapToGrid w:val="0"/>
          <w:color w:val="auto"/>
          <w:kern w:val="0"/>
          <w:sz w:val="24"/>
          <w:highlight w:val="none"/>
        </w:rPr>
        <w:t xml:space="preserve"> 建设内容和规模：</w:t>
      </w:r>
      <w:r>
        <w:rPr>
          <w:rFonts w:hint="eastAsia" w:ascii="宋体" w:hAnsi="宋体" w:cs="宋体"/>
          <w:snapToGrid w:val="0"/>
          <w:color w:val="auto"/>
          <w:kern w:val="0"/>
          <w:sz w:val="24"/>
          <w:highlight w:val="none"/>
          <w:u w:val="single"/>
          <w:lang w:val="en-US" w:eastAsia="zh-CN"/>
        </w:rPr>
        <w:t>主要建设内容为水系连通、防洪排涝、水环境改善修复城市水体、疏通清淤原有雨水管渠、新建或改建一批管渠等。主要范围:甫仁路前段及锦水路，新建DN800-DN2000雨水管515m。【具体建设内容以工程量清单为准】</w:t>
      </w:r>
    </w:p>
    <w:p w14:paraId="3244FC8D">
      <w:pPr>
        <w:pStyle w:val="43"/>
        <w:keepNext w:val="0"/>
        <w:keepLines w:val="0"/>
        <w:pageBreakBefore w:val="0"/>
        <w:shd w:val="clear"/>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b/>
          <w:bCs/>
          <w:snapToGrid w:val="0"/>
          <w:color w:val="auto"/>
          <w:kern w:val="0"/>
          <w:sz w:val="24"/>
          <w:highlight w:val="none"/>
          <w:u w:val="single"/>
        </w:rPr>
      </w:pPr>
      <w:r>
        <w:rPr>
          <w:rFonts w:hint="eastAsia" w:ascii="宋体" w:hAnsi="宋体" w:eastAsia="宋体" w:cs="宋体"/>
          <w:b/>
          <w:bCs/>
          <w:snapToGrid w:val="0"/>
          <w:color w:val="auto"/>
          <w:kern w:val="0"/>
          <w:sz w:val="24"/>
          <w:highlight w:val="none"/>
        </w:rPr>
        <w:t>1.1.3</w:t>
      </w:r>
      <w:r>
        <w:rPr>
          <w:rFonts w:hint="eastAsia" w:ascii="宋体" w:hAnsi="宋体" w:eastAsia="宋体" w:cs="宋体"/>
          <w:snapToGrid w:val="0"/>
          <w:color w:val="auto"/>
          <w:kern w:val="0"/>
          <w:sz w:val="24"/>
          <w:highlight w:val="none"/>
        </w:rPr>
        <w:t xml:space="preserve"> 项目</w:t>
      </w:r>
      <w:r>
        <w:rPr>
          <w:rFonts w:hint="eastAsia" w:ascii="宋体" w:hAnsi="宋体" w:eastAsia="宋体" w:cs="宋体"/>
          <w:snapToGrid w:val="0"/>
          <w:color w:val="auto"/>
          <w:kern w:val="0"/>
          <w:sz w:val="24"/>
          <w:highlight w:val="none"/>
          <w:lang w:val="en-US" w:eastAsia="zh-CN"/>
        </w:rPr>
        <w:t>总</w:t>
      </w:r>
      <w:r>
        <w:rPr>
          <w:rFonts w:hint="eastAsia" w:ascii="宋体" w:hAnsi="宋体" w:eastAsia="宋体" w:cs="宋体"/>
          <w:snapToGrid w:val="0"/>
          <w:color w:val="auto"/>
          <w:kern w:val="0"/>
          <w:sz w:val="24"/>
          <w:highlight w:val="none"/>
        </w:rPr>
        <w:t>投资：</w:t>
      </w:r>
      <w:r>
        <w:rPr>
          <w:rFonts w:hint="eastAsia" w:ascii="宋体" w:hAnsi="宋体" w:eastAsia="宋体" w:cs="宋体"/>
          <w:snapToGrid w:val="0"/>
          <w:color w:val="auto"/>
          <w:kern w:val="0"/>
          <w:sz w:val="24"/>
          <w:highlight w:val="none"/>
          <w:u w:val="single"/>
          <w:lang w:val="en-US" w:eastAsia="zh-CN"/>
        </w:rPr>
        <w:t>项目概算总投资10857.08万元，其中工程费用8817.28万元、工程建设其他费用1522.80万元、预备费用517.00万元。本次招标建安费约为1395.27万元。</w:t>
      </w:r>
    </w:p>
    <w:p w14:paraId="452CD7D6">
      <w:pPr>
        <w:pStyle w:val="43"/>
        <w:keepNext w:val="0"/>
        <w:keepLines w:val="0"/>
        <w:pageBreakBefore w:val="0"/>
        <w:shd w:val="clear"/>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 xml:space="preserve">1.2 </w:t>
      </w:r>
      <w:r>
        <w:rPr>
          <w:rFonts w:hint="eastAsia" w:ascii="宋体" w:hAnsi="宋体" w:eastAsia="宋体" w:cs="宋体"/>
          <w:snapToGrid w:val="0"/>
          <w:color w:val="auto"/>
          <w:kern w:val="0"/>
          <w:sz w:val="24"/>
          <w:highlight w:val="none"/>
        </w:rPr>
        <w:t>招标范围和标段划分</w:t>
      </w:r>
    </w:p>
    <w:p w14:paraId="7DD8EB37">
      <w:pPr>
        <w:pStyle w:val="43"/>
        <w:shd w:val="clear"/>
        <w:wordWrap w:val="0"/>
        <w:adjustRightInd w:val="0"/>
        <w:snapToGrid w:val="0"/>
        <w:spacing w:line="440" w:lineRule="atLeas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1.2.1</w:t>
      </w:r>
      <w:r>
        <w:rPr>
          <w:rFonts w:hint="eastAsia" w:ascii="宋体" w:hAnsi="宋体" w:eastAsia="宋体" w:cs="宋体"/>
          <w:snapToGrid w:val="0"/>
          <w:color w:val="auto"/>
          <w:kern w:val="0"/>
          <w:sz w:val="24"/>
          <w:highlight w:val="none"/>
        </w:rPr>
        <w:t xml:space="preserve"> 招标范围</w:t>
      </w:r>
    </w:p>
    <w:p w14:paraId="7CAAAC8F">
      <w:pPr>
        <w:pStyle w:val="43"/>
        <w:shd w:val="clear"/>
        <w:wordWrap w:val="0"/>
        <w:adjustRightInd w:val="0"/>
        <w:snapToGrid w:val="0"/>
        <w:spacing w:line="440" w:lineRule="atLeast"/>
        <w:ind w:firstLine="480"/>
        <w:jc w:val="left"/>
        <w:rPr>
          <w:rFonts w:hint="eastAsia" w:ascii="宋体" w:hAnsi="宋体" w:eastAsia="宋体" w:cs="宋体"/>
          <w:snapToGrid w:val="0"/>
          <w:color w:val="auto"/>
          <w:kern w:val="0"/>
          <w:sz w:val="24"/>
          <w:szCs w:val="20"/>
          <w:highlight w:val="none"/>
          <w:u w:val="single"/>
          <w:lang w:val="en-US" w:eastAsia="zh-CN" w:bidi="ar-SA"/>
        </w:rPr>
      </w:pPr>
      <w:r>
        <w:rPr>
          <w:rFonts w:hint="eastAsia" w:ascii="宋体" w:hAnsi="宋体" w:eastAsia="宋体" w:cs="宋体"/>
          <w:snapToGrid w:val="0"/>
          <w:color w:val="auto"/>
          <w:kern w:val="0"/>
          <w:sz w:val="24"/>
          <w:highlight w:val="none"/>
          <w:lang w:val="en-US" w:eastAsia="zh-CN"/>
        </w:rPr>
        <w:t>监理</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szCs w:val="20"/>
          <w:highlight w:val="none"/>
          <w:u w:val="single"/>
          <w:lang w:val="en-US" w:eastAsia="zh-CN" w:bidi="ar-SA"/>
        </w:rPr>
        <w:t>项目建设施工阶段监理（含施工准备阶段、施工阶段、工程竣工结算阶段和保修阶段监理）。</w:t>
      </w:r>
      <w:bookmarkStart w:id="70" w:name="_Toc20944"/>
    </w:p>
    <w:p w14:paraId="5A69B0E0">
      <w:pPr>
        <w:shd w:val="clear"/>
        <w:wordWrap w:val="0"/>
        <w:adjustRightInd w:val="0"/>
        <w:snapToGrid w:val="0"/>
        <w:spacing w:line="440" w:lineRule="exact"/>
        <w:ind w:firstLine="480"/>
        <w:rPr>
          <w:rFonts w:hint="eastAsia" w:ascii="宋体" w:hAnsi="宋体" w:eastAsia="宋体" w:cs="宋体"/>
          <w:b/>
          <w:bCs/>
          <w:snapToGrid w:val="0"/>
          <w:color w:val="auto"/>
          <w:kern w:val="0"/>
          <w:szCs w:val="24"/>
          <w:highlight w:val="none"/>
          <w:lang w:eastAsia="zh-CN"/>
        </w:rPr>
      </w:pPr>
      <w:r>
        <w:rPr>
          <w:rFonts w:hint="eastAsia" w:ascii="宋体" w:hAnsi="宋体" w:eastAsia="宋体" w:cs="宋体"/>
          <w:b/>
          <w:bCs/>
          <w:snapToGrid w:val="0"/>
          <w:color w:val="auto"/>
          <w:kern w:val="0"/>
          <w:highlight w:val="none"/>
        </w:rPr>
        <w:t>1.2.2</w:t>
      </w:r>
      <w:r>
        <w:rPr>
          <w:rFonts w:hint="eastAsia" w:ascii="宋体" w:hAnsi="宋体" w:eastAsia="宋体" w:cs="宋体"/>
          <w:snapToGrid w:val="0"/>
          <w:color w:val="auto"/>
          <w:kern w:val="0"/>
          <w:highlight w:val="none"/>
        </w:rPr>
        <w:t xml:space="preserve"> 标段划分：</w:t>
      </w:r>
      <w:bookmarkEnd w:id="70"/>
      <w:r>
        <w:rPr>
          <w:rFonts w:hint="eastAsia" w:ascii="宋体" w:hAnsi="宋体" w:eastAsia="宋体" w:cs="宋体"/>
          <w:snapToGrid w:val="0"/>
          <w:color w:val="auto"/>
          <w:kern w:val="0"/>
          <w:highlight w:val="none"/>
          <w:u w:val="single"/>
          <w:lang w:eastAsia="zh-CN"/>
        </w:rPr>
        <w:t>本招标项目不划分标段。</w:t>
      </w:r>
    </w:p>
    <w:p w14:paraId="51F3B390">
      <w:pPr>
        <w:shd w:val="clear"/>
        <w:wordWrap w:val="0"/>
        <w:adjustRightInd w:val="0"/>
        <w:snapToGrid w:val="0"/>
        <w:spacing w:line="440" w:lineRule="exact"/>
        <w:ind w:firstLine="532" w:firstLineChars="221"/>
        <w:rPr>
          <w:rFonts w:hint="eastAsia" w:ascii="宋体" w:hAnsi="宋体" w:eastAsia="宋体" w:cs="宋体"/>
          <w:snapToGrid w:val="0"/>
          <w:color w:val="auto"/>
          <w:kern w:val="0"/>
          <w:highlight w:val="none"/>
          <w:u w:val="single"/>
        </w:rPr>
      </w:pPr>
      <w:r>
        <w:rPr>
          <w:rFonts w:hint="eastAsia" w:ascii="宋体" w:hAnsi="宋体" w:eastAsia="宋体" w:cs="宋体"/>
          <w:b/>
          <w:bCs/>
          <w:snapToGrid w:val="0"/>
          <w:color w:val="auto"/>
          <w:kern w:val="0"/>
          <w:szCs w:val="24"/>
          <w:highlight w:val="none"/>
        </w:rPr>
        <w:t>1.3</w:t>
      </w:r>
      <w:r>
        <w:rPr>
          <w:rFonts w:hint="eastAsia" w:ascii="宋体" w:hAnsi="宋体" w:eastAsia="宋体" w:cs="宋体"/>
          <w:snapToGrid w:val="0"/>
          <w:color w:val="auto"/>
          <w:kern w:val="0"/>
          <w:szCs w:val="24"/>
          <w:highlight w:val="none"/>
        </w:rPr>
        <w:t xml:space="preserve"> 投标费用</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rPr>
        <w:t>投标人应承担所有准备和参加投标的相关费用，不论投标结果如何，招标人均无义务和责任承担这些费用。</w:t>
      </w:r>
    </w:p>
    <w:p w14:paraId="34D39D69">
      <w:pPr>
        <w:shd w:val="clear"/>
        <w:spacing w:before="22" w:line="360" w:lineRule="auto"/>
        <w:ind w:left="496"/>
        <w:rPr>
          <w:rFonts w:hint="eastAsia" w:ascii="宋体" w:hAnsi="宋体" w:eastAsia="宋体" w:cs="宋体"/>
          <w:snapToGrid w:val="0"/>
          <w:color w:val="auto"/>
          <w:kern w:val="0"/>
          <w:highlight w:val="none"/>
          <w:u w:val="single"/>
        </w:rPr>
      </w:pPr>
      <w:r>
        <w:rPr>
          <w:rFonts w:hint="eastAsia" w:ascii="宋体" w:hAnsi="宋体" w:eastAsia="宋体" w:cs="宋体"/>
          <w:b/>
          <w:bCs/>
          <w:color w:val="auto"/>
          <w:spacing w:val="-6"/>
          <w:sz w:val="24"/>
          <w:szCs w:val="24"/>
          <w:highlight w:val="none"/>
        </w:rPr>
        <w:t xml:space="preserve">1.4  </w:t>
      </w:r>
      <w:r>
        <w:rPr>
          <w:rFonts w:hint="eastAsia" w:ascii="宋体" w:hAnsi="宋体" w:eastAsia="宋体" w:cs="宋体"/>
          <w:color w:val="auto"/>
          <w:spacing w:val="-6"/>
          <w:sz w:val="24"/>
          <w:szCs w:val="24"/>
          <w:highlight w:val="none"/>
        </w:rPr>
        <w:t>招标代理费用：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w:t>
      </w:r>
      <w:r>
        <w:rPr>
          <w:rFonts w:hint="eastAsia" w:ascii="宋体" w:hAnsi="宋体" w:eastAsia="宋体" w:cs="宋体"/>
          <w:color w:val="auto"/>
          <w:spacing w:val="6"/>
          <w:sz w:val="24"/>
          <w:szCs w:val="24"/>
          <w:highlight w:val="none"/>
        </w:rPr>
        <w:t>项目业主</w:t>
      </w:r>
      <w:r>
        <w:rPr>
          <w:rFonts w:hint="eastAsia" w:ascii="宋体" w:hAnsi="宋体" w:eastAsia="宋体" w:cs="宋体"/>
          <w:color w:val="auto"/>
          <w:spacing w:val="-6"/>
          <w:sz w:val="24"/>
          <w:szCs w:val="24"/>
          <w:highlight w:val="none"/>
          <w:shd w:val="clear" w:color="auto" w:fill="FFFFFF"/>
        </w:rPr>
        <w:t>支</w:t>
      </w:r>
      <w:r>
        <w:rPr>
          <w:rFonts w:hint="eastAsia" w:ascii="宋体" w:hAnsi="宋体" w:eastAsia="宋体" w:cs="宋体"/>
          <w:color w:val="auto"/>
          <w:spacing w:val="-6"/>
          <w:sz w:val="24"/>
          <w:szCs w:val="24"/>
          <w:highlight w:val="none"/>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由中标人支付。</w:t>
      </w:r>
    </w:p>
    <w:p w14:paraId="347737D3">
      <w:pPr>
        <w:shd w:val="clear"/>
        <w:wordWrap w:val="0"/>
        <w:adjustRightInd w:val="0"/>
        <w:snapToGrid w:val="0"/>
        <w:spacing w:line="440" w:lineRule="exact"/>
        <w:ind w:firstLine="530" w:firstLineChars="221"/>
        <w:rPr>
          <w:rFonts w:hint="eastAsia" w:ascii="宋体" w:hAnsi="宋体" w:eastAsia="宋体" w:cs="宋体"/>
          <w:snapToGrid w:val="0"/>
          <w:color w:val="auto"/>
          <w:kern w:val="0"/>
          <w:highlight w:val="none"/>
        </w:rPr>
      </w:pPr>
    </w:p>
    <w:p w14:paraId="275B04CC">
      <w:pPr>
        <w:pStyle w:val="43"/>
        <w:shd w:val="clear"/>
        <w:ind w:firstLine="482" w:firstLineChars="200"/>
        <w:jc w:val="left"/>
        <w:outlineLvl w:val="2"/>
        <w:rPr>
          <w:rFonts w:hint="eastAsia" w:ascii="宋体" w:hAnsi="宋体" w:eastAsia="宋体" w:cs="宋体"/>
          <w:b/>
          <w:bCs/>
          <w:snapToGrid w:val="0"/>
          <w:color w:val="auto"/>
          <w:kern w:val="0"/>
          <w:sz w:val="24"/>
          <w:highlight w:val="none"/>
        </w:rPr>
      </w:pPr>
      <w:bookmarkStart w:id="71" w:name="_Toc32501"/>
      <w:bookmarkStart w:id="72" w:name="_Toc6851"/>
      <w:bookmarkStart w:id="73" w:name="_Toc21201"/>
      <w:bookmarkStart w:id="74" w:name="_Toc385"/>
      <w:bookmarkStart w:id="75" w:name="_Toc10258"/>
      <w:bookmarkStart w:id="76" w:name="_Toc25237"/>
      <w:bookmarkStart w:id="77" w:name="_Toc18493"/>
      <w:bookmarkStart w:id="78" w:name="_Toc3407"/>
      <w:bookmarkStart w:id="79" w:name="_Toc29693"/>
      <w:bookmarkStart w:id="80" w:name="_Toc4482"/>
      <w:bookmarkStart w:id="81" w:name="_Toc21652"/>
      <w:r>
        <w:rPr>
          <w:rFonts w:hint="eastAsia" w:ascii="宋体" w:hAnsi="宋体" w:eastAsia="宋体" w:cs="宋体"/>
          <w:b/>
          <w:bCs/>
          <w:snapToGrid w:val="0"/>
          <w:color w:val="auto"/>
          <w:kern w:val="0"/>
          <w:sz w:val="24"/>
          <w:highlight w:val="none"/>
        </w:rPr>
        <w:t>2．投标人资格要求</w:t>
      </w:r>
      <w:bookmarkEnd w:id="71"/>
      <w:bookmarkEnd w:id="72"/>
      <w:bookmarkEnd w:id="73"/>
      <w:bookmarkEnd w:id="74"/>
      <w:bookmarkEnd w:id="75"/>
      <w:bookmarkEnd w:id="76"/>
      <w:bookmarkEnd w:id="77"/>
      <w:bookmarkEnd w:id="78"/>
      <w:bookmarkEnd w:id="79"/>
      <w:bookmarkEnd w:id="80"/>
      <w:bookmarkEnd w:id="81"/>
      <w:bookmarkStart w:id="82" w:name="_Hlt74496495"/>
      <w:bookmarkEnd w:id="82"/>
    </w:p>
    <w:p w14:paraId="7BE7EBB8">
      <w:pPr>
        <w:pStyle w:val="43"/>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2.1</w:t>
      </w:r>
      <w:r>
        <w:rPr>
          <w:rFonts w:hint="eastAsia" w:ascii="宋体" w:hAnsi="宋体" w:eastAsia="宋体" w:cs="宋体"/>
          <w:snapToGrid w:val="0"/>
          <w:color w:val="auto"/>
          <w:kern w:val="0"/>
          <w:sz w:val="24"/>
          <w:highlight w:val="none"/>
        </w:rPr>
        <w:t xml:space="preserve"> 本次招标</w:t>
      </w:r>
      <w:r>
        <w:rPr>
          <w:rFonts w:hint="eastAsia" w:ascii="宋体" w:hAnsi="宋体" w:eastAsia="宋体" w:cs="宋体"/>
          <w:snapToGrid w:val="0"/>
          <w:color w:val="auto"/>
          <w:kern w:val="0"/>
          <w:sz w:val="24"/>
          <w:highlight w:val="none"/>
          <w:u w:val="single"/>
        </w:rPr>
        <w:t>不接受</w:t>
      </w:r>
      <w:r>
        <w:rPr>
          <w:rFonts w:hint="eastAsia" w:ascii="宋体" w:hAnsi="宋体" w:eastAsia="宋体" w:cs="宋体"/>
          <w:snapToGrid w:val="0"/>
          <w:color w:val="auto"/>
          <w:kern w:val="0"/>
          <w:sz w:val="24"/>
          <w:highlight w:val="none"/>
        </w:rPr>
        <w:t>联合体投标。</w:t>
      </w:r>
    </w:p>
    <w:p w14:paraId="40C42BC9">
      <w:pPr>
        <w:pStyle w:val="43"/>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2.2</w:t>
      </w:r>
      <w:r>
        <w:rPr>
          <w:rFonts w:hint="eastAsia" w:ascii="宋体" w:hAnsi="宋体" w:eastAsia="宋体" w:cs="宋体"/>
          <w:snapToGrid w:val="0"/>
          <w:color w:val="auto"/>
          <w:kern w:val="0"/>
          <w:sz w:val="24"/>
          <w:highlight w:val="none"/>
        </w:rPr>
        <w:t xml:space="preserve"> 资格资质要求</w:t>
      </w:r>
    </w:p>
    <w:p w14:paraId="2E9C6341">
      <w:pPr>
        <w:pStyle w:val="43"/>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2.2.1</w:t>
      </w:r>
      <w:r>
        <w:rPr>
          <w:rFonts w:hint="eastAsia" w:ascii="宋体" w:hAnsi="宋体" w:eastAsia="宋体" w:cs="宋体"/>
          <w:snapToGrid w:val="0"/>
          <w:color w:val="auto"/>
          <w:kern w:val="0"/>
          <w:sz w:val="24"/>
          <w:highlight w:val="none"/>
        </w:rPr>
        <w:t xml:space="preserve"> 投标人须具备独立法人资格，按国家法律经营。</w:t>
      </w:r>
    </w:p>
    <w:p w14:paraId="12382162">
      <w:pPr>
        <w:keepNext w:val="0"/>
        <w:keepLines w:val="0"/>
        <w:pageBreakBefore w:val="0"/>
        <w:widowControl w:val="0"/>
        <w:shd w:val="clear"/>
        <w:kinsoku/>
        <w:overflowPunct/>
        <w:topLinePunct w:val="0"/>
        <w:autoSpaceDE/>
        <w:autoSpaceDN/>
        <w:bidi w:val="0"/>
        <w:spacing w:before="0" w:after="0" w:line="440" w:lineRule="exact"/>
        <w:ind w:firstLine="482" w:firstLineChars="200"/>
        <w:textAlignment w:val="auto"/>
        <w:outlineLvl w:val="9"/>
        <w:rPr>
          <w:rFonts w:hint="eastAsia" w:ascii="宋体" w:hAnsi="宋体" w:eastAsia="宋体" w:cs="宋体"/>
          <w:color w:val="auto"/>
          <w:szCs w:val="24"/>
          <w:highlight w:val="none"/>
          <w:u w:val="single"/>
          <w:lang w:eastAsia="zh-CN"/>
        </w:rPr>
      </w:pPr>
      <w:r>
        <w:rPr>
          <w:rFonts w:hint="eastAsia" w:ascii="宋体" w:hAnsi="宋体" w:eastAsia="宋体" w:cs="宋体"/>
          <w:b/>
          <w:bCs/>
          <w:snapToGrid w:val="0"/>
          <w:color w:val="auto"/>
          <w:kern w:val="0"/>
          <w:sz w:val="24"/>
          <w:highlight w:val="none"/>
        </w:rPr>
        <w:t>2.2.2</w:t>
      </w:r>
      <w:r>
        <w:rPr>
          <w:rFonts w:hint="eastAsia" w:ascii="宋体" w:hAnsi="宋体" w:eastAsia="宋体" w:cs="宋体"/>
          <w:snapToGrid w:val="0"/>
          <w:color w:val="auto"/>
          <w:kern w:val="0"/>
          <w:sz w:val="24"/>
          <w:highlight w:val="none"/>
        </w:rPr>
        <w:t xml:space="preserve"> 投标人须具备以下资质：</w:t>
      </w:r>
      <w:r>
        <w:rPr>
          <w:rFonts w:hint="eastAsia" w:ascii="宋体" w:hAnsi="宋体" w:eastAsia="宋体" w:cs="宋体"/>
          <w:color w:val="auto"/>
          <w:szCs w:val="24"/>
          <w:highlight w:val="none"/>
          <w:u w:val="single"/>
          <w:lang w:eastAsia="zh-CN"/>
        </w:rPr>
        <w:t>工程监理综合资质</w:t>
      </w:r>
      <w:r>
        <w:rPr>
          <w:rFonts w:hint="eastAsia" w:ascii="宋体" w:hAnsi="宋体" w:eastAsia="宋体" w:cs="宋体"/>
          <w:color w:val="auto"/>
          <w:szCs w:val="24"/>
          <w:highlight w:val="none"/>
          <w:u w:val="single"/>
          <w:lang w:val="en-US" w:eastAsia="zh-CN"/>
        </w:rPr>
        <w:t>或</w:t>
      </w:r>
      <w:r>
        <w:rPr>
          <w:rFonts w:hint="eastAsia" w:ascii="宋体" w:hAnsi="宋体" w:eastAsia="宋体" w:cs="宋体"/>
          <w:color w:val="auto"/>
          <w:szCs w:val="24"/>
          <w:highlight w:val="none"/>
          <w:u w:val="single"/>
          <w:lang w:eastAsia="zh-CN"/>
        </w:rPr>
        <w:t>市政公用工程专业监理丙级以上（含丙级）资质。</w:t>
      </w:r>
    </w:p>
    <w:p w14:paraId="2C326E26">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lang w:eastAsia="zh-CN"/>
        </w:rPr>
      </w:pPr>
      <w:r>
        <w:rPr>
          <w:rFonts w:hint="eastAsia" w:ascii="宋体" w:hAnsi="宋体" w:eastAsia="宋体" w:cs="宋体"/>
          <w:b/>
          <w:bCs/>
          <w:snapToGrid w:val="0"/>
          <w:color w:val="auto"/>
          <w:kern w:val="0"/>
          <w:sz w:val="24"/>
          <w:highlight w:val="none"/>
        </w:rPr>
        <w:t>2.2.3</w:t>
      </w:r>
      <w:r>
        <w:rPr>
          <w:rFonts w:hint="eastAsia" w:ascii="宋体" w:hAnsi="宋体" w:eastAsia="宋体" w:cs="宋体"/>
          <w:snapToGrid w:val="0"/>
          <w:color w:val="auto"/>
          <w:kern w:val="0"/>
          <w:sz w:val="24"/>
          <w:highlight w:val="none"/>
        </w:rPr>
        <w:t xml:space="preserve"> </w:t>
      </w:r>
      <w:r>
        <w:rPr>
          <w:rFonts w:hint="eastAsia" w:ascii="宋体" w:hAnsi="宋体" w:eastAsia="宋体" w:cs="宋体"/>
          <w:snapToGrid w:val="0"/>
          <w:color w:val="auto"/>
          <w:kern w:val="0"/>
          <w:sz w:val="24"/>
          <w:highlight w:val="none"/>
          <w:lang w:eastAsia="zh-CN"/>
        </w:rPr>
        <w:t>根据有关文件精神，投标人的企业相关证书到期的，均按该证书的发证机构相关行业主管部门最新文件执行（如自动顺延或推迟办理延期业务的通知），</w:t>
      </w:r>
      <w:r>
        <w:rPr>
          <w:rFonts w:hint="eastAsia" w:ascii="宋体" w:hAnsi="宋体" w:eastAsia="宋体" w:cs="宋体"/>
          <w:b/>
          <w:bCs/>
          <w:snapToGrid w:val="0"/>
          <w:color w:val="auto"/>
          <w:kern w:val="0"/>
          <w:sz w:val="24"/>
          <w:highlight w:val="none"/>
          <w:lang w:eastAsia="zh-CN"/>
        </w:rPr>
        <w:t>投标人必须将相关文件附在该证书后面中，证明在开标日继续有效</w:t>
      </w:r>
      <w:r>
        <w:rPr>
          <w:rFonts w:hint="eastAsia" w:ascii="宋体" w:hAnsi="宋体" w:eastAsia="宋体" w:cs="宋体"/>
          <w:snapToGrid w:val="0"/>
          <w:color w:val="auto"/>
          <w:kern w:val="0"/>
          <w:sz w:val="24"/>
          <w:highlight w:val="none"/>
          <w:lang w:eastAsia="zh-CN"/>
        </w:rPr>
        <w:t>。</w:t>
      </w:r>
    </w:p>
    <w:p w14:paraId="5AD8105B">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2.3</w:t>
      </w:r>
      <w:r>
        <w:rPr>
          <w:rFonts w:hint="eastAsia" w:ascii="宋体" w:hAnsi="宋体" w:eastAsia="宋体" w:cs="宋体"/>
          <w:snapToGrid w:val="0"/>
          <w:color w:val="auto"/>
          <w:kern w:val="0"/>
          <w:sz w:val="24"/>
          <w:highlight w:val="none"/>
        </w:rPr>
        <w:t xml:space="preserve"> 相关人员要求</w:t>
      </w:r>
    </w:p>
    <w:p w14:paraId="6FDBAB9E">
      <w:pPr>
        <w:pStyle w:val="43"/>
        <w:shd w:val="clear"/>
        <w:spacing w:line="440" w:lineRule="exact"/>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 xml:space="preserve">2.3.1 </w:t>
      </w:r>
      <w:r>
        <w:rPr>
          <w:rFonts w:hint="eastAsia" w:ascii="宋体" w:hAnsi="宋体" w:eastAsia="宋体" w:cs="宋体"/>
          <w:snapToGrid w:val="0"/>
          <w:color w:val="auto"/>
          <w:kern w:val="0"/>
          <w:sz w:val="24"/>
          <w:highlight w:val="none"/>
          <w:lang w:eastAsia="zh-CN"/>
        </w:rPr>
        <w:t>拟委派的总监理工程师为</w:t>
      </w:r>
      <w:r>
        <w:rPr>
          <w:rFonts w:hint="eastAsia" w:ascii="宋体" w:hAnsi="宋体" w:eastAsia="宋体" w:cs="宋体"/>
          <w:snapToGrid w:val="0"/>
          <w:color w:val="auto"/>
          <w:kern w:val="0"/>
          <w:sz w:val="24"/>
          <w:highlight w:val="none"/>
          <w:u w:val="single"/>
          <w:lang w:eastAsia="zh-CN"/>
        </w:rPr>
        <w:t>市政公用工程</w:t>
      </w:r>
      <w:r>
        <w:rPr>
          <w:rFonts w:hint="eastAsia" w:ascii="宋体" w:hAnsi="宋体" w:eastAsia="宋体" w:cs="宋体"/>
          <w:snapToGrid w:val="0"/>
          <w:color w:val="auto"/>
          <w:kern w:val="0"/>
          <w:sz w:val="24"/>
          <w:highlight w:val="none"/>
          <w:lang w:eastAsia="zh-CN"/>
        </w:rPr>
        <w:t>专业注册监理工程师</w:t>
      </w:r>
      <w:r>
        <w:rPr>
          <w:rFonts w:hint="eastAsia" w:ascii="宋体" w:hAnsi="宋体" w:eastAsia="宋体" w:cs="宋体"/>
          <w:snapToGrid w:val="0"/>
          <w:color w:val="auto"/>
          <w:kern w:val="0"/>
          <w:sz w:val="24"/>
          <w:highlight w:val="none"/>
        </w:rPr>
        <w:t>，应持有国家住建部印发的有效注册证书，其担任总监理工程师职务的其他在施（包括已中标未开工、已开工未竣工）建设工程项目不得超过2个。</w:t>
      </w:r>
    </w:p>
    <w:p w14:paraId="5258AF13">
      <w:pPr>
        <w:pStyle w:val="43"/>
        <w:shd w:val="clear"/>
        <w:spacing w:line="440" w:lineRule="exact"/>
        <w:ind w:firstLine="480"/>
        <w:rPr>
          <w:rFonts w:hint="eastAsia" w:ascii="宋体" w:hAnsi="宋体" w:eastAsia="宋体" w:cs="宋体"/>
          <w:snapToGrid w:val="0"/>
          <w:color w:val="auto"/>
          <w:kern w:val="0"/>
          <w:sz w:val="24"/>
          <w:szCs w:val="28"/>
          <w:highlight w:val="none"/>
        </w:rPr>
      </w:pPr>
      <w:r>
        <w:rPr>
          <w:rFonts w:hint="eastAsia" w:ascii="宋体" w:hAnsi="宋体" w:eastAsia="宋体" w:cs="宋体"/>
          <w:snapToGrid w:val="0"/>
          <w:color w:val="auto"/>
          <w:kern w:val="0"/>
          <w:sz w:val="24"/>
          <w:highlight w:val="none"/>
        </w:rPr>
        <w:t>拟派总监理工程师现阶段有担任其他在施建设工程项目总监理工程师职务的，须得到任职项目建设单位书面同意后方可担任本招标项目总监理工程师。</w:t>
      </w:r>
    </w:p>
    <w:p w14:paraId="34B47438">
      <w:pPr>
        <w:pStyle w:val="43"/>
        <w:shd w:val="clear"/>
        <w:wordWrap w:val="0"/>
        <w:adjustRightInd w:val="0"/>
        <w:snapToGrid w:val="0"/>
        <w:spacing w:line="440" w:lineRule="exact"/>
        <w:ind w:firstLine="482"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2.3.2</w:t>
      </w:r>
      <w:r>
        <w:rPr>
          <w:rFonts w:hint="eastAsia" w:ascii="宋体" w:hAnsi="宋体" w:eastAsia="宋体" w:cs="宋体"/>
          <w:snapToGrid w:val="0"/>
          <w:color w:val="auto"/>
          <w:kern w:val="0"/>
          <w:sz w:val="24"/>
          <w:highlight w:val="none"/>
        </w:rPr>
        <w:t xml:space="preserve"> 投标人与其拟委派的往本项目监理机构的所有人员之间必须具备合法、唯一的劳动聘用关系。拟委派的人员中具备注册执业资格的，其注册单位须与投标人保持一致。</w:t>
      </w:r>
    </w:p>
    <w:p w14:paraId="384CE4D9">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2.4</w:t>
      </w:r>
      <w:r>
        <w:rPr>
          <w:rFonts w:hint="eastAsia" w:ascii="宋体" w:hAnsi="宋体" w:eastAsia="宋体" w:cs="宋体"/>
          <w:snapToGrid w:val="0"/>
          <w:color w:val="auto"/>
          <w:kern w:val="0"/>
          <w:sz w:val="24"/>
          <w:highlight w:val="none"/>
        </w:rPr>
        <w:t xml:space="preserve"> 禁止投标条款</w:t>
      </w:r>
    </w:p>
    <w:p w14:paraId="11F87354">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2.4.1</w:t>
      </w:r>
      <w:r>
        <w:rPr>
          <w:rFonts w:hint="eastAsia" w:ascii="宋体" w:hAnsi="宋体" w:eastAsia="宋体" w:cs="宋体"/>
          <w:snapToGrid w:val="0"/>
          <w:color w:val="auto"/>
          <w:kern w:val="0"/>
          <w:sz w:val="24"/>
          <w:highlight w:val="none"/>
        </w:rPr>
        <w:t xml:space="preserve"> 投标人不得存在下列情形之一：</w:t>
      </w:r>
    </w:p>
    <w:p w14:paraId="2CB9DCC8">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（1）为招标人不具有独立法人资格的附属机构（单位）；</w:t>
      </w:r>
    </w:p>
    <w:p w14:paraId="77658274">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（2）与招标人存在利害关系且可能影响招标公正性；</w:t>
      </w:r>
    </w:p>
    <w:p w14:paraId="5AA09F13">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（3）与本招标项目的其他投标人为同一个单位负责人；</w:t>
      </w:r>
    </w:p>
    <w:p w14:paraId="508A069A">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（4）与本招标项目的其他投标人存在控股、管理关系；</w:t>
      </w:r>
    </w:p>
    <w:p w14:paraId="59B227D0">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（5）为本招标项目的代建人；</w:t>
      </w:r>
    </w:p>
    <w:p w14:paraId="4CC35AB6">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（6）为本招标项目的招标代理机构；</w:t>
      </w:r>
    </w:p>
    <w:p w14:paraId="0E620A94">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（7）与本招标项目的代建人或招标代理机构同为一个法定代表人；</w:t>
      </w:r>
    </w:p>
    <w:p w14:paraId="64DB62DF">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（8）与本招标项目的代建人或招标代理机构存在控股或参股关系；</w:t>
      </w:r>
    </w:p>
    <w:p w14:paraId="285A1E21">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（9）与本招标项目的施工承包人以及建筑材料、建筑构配件和设备供应商有隶属关系或者其他利害关系；</w:t>
      </w:r>
    </w:p>
    <w:p w14:paraId="7F9A6DBA">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（10）被依法暂停或者取消投标资格；</w:t>
      </w:r>
    </w:p>
    <w:p w14:paraId="7115B36A">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（11）被责令停产停业、暂扣或者吊销许可证、暂扣或者吊销执照；</w:t>
      </w:r>
    </w:p>
    <w:p w14:paraId="5BC35366">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（12）进入清算程序，或被宣告破产，或其他丧失履约能力的情形；</w:t>
      </w:r>
    </w:p>
    <w:p w14:paraId="7F2A64EF">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（13）在最近三年内发生重大监理质量或安全问题（以相关行业主管部门的行政处罚决定或司法机关出具的有关法律文书为准）；</w:t>
      </w:r>
    </w:p>
    <w:p w14:paraId="39B1DD27">
      <w:pPr>
        <w:pStyle w:val="4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 xml:space="preserve"> （14）</w:t>
      </w:r>
      <w:r>
        <w:rPr>
          <w:rFonts w:hint="eastAsia" w:ascii="宋体" w:hAnsi="宋体" w:eastAsia="宋体" w:cs="宋体"/>
          <w:snapToGrid w:val="0"/>
          <w:color w:val="auto"/>
          <w:kern w:val="0"/>
          <w:sz w:val="24"/>
          <w:highlight w:val="none"/>
          <w:lang w:eastAsia="zh-CN"/>
        </w:rPr>
        <w:t>被“信用中国”网站（https://www.creditchina.gov.cn）发布的《法人和非法人组织公共信用信息报告》列为严重失信主体名单的。</w:t>
      </w:r>
    </w:p>
    <w:p w14:paraId="43CE5484">
      <w:pPr>
        <w:pStyle w:val="43"/>
        <w:shd w:val="clear"/>
        <w:wordWrap w:val="0"/>
        <w:adjustRightInd w:val="0"/>
        <w:snapToGrid w:val="0"/>
        <w:spacing w:line="440" w:lineRule="exact"/>
        <w:ind w:firstLine="482"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2.4.2</w:t>
      </w:r>
      <w:r>
        <w:rPr>
          <w:rFonts w:hint="eastAsia" w:ascii="宋体" w:hAnsi="宋体" w:eastAsia="宋体" w:cs="宋体"/>
          <w:snapToGrid w:val="0"/>
          <w:color w:val="auto"/>
          <w:kern w:val="0"/>
          <w:sz w:val="24"/>
          <w:highlight w:val="none"/>
        </w:rPr>
        <w:t xml:space="preserve"> 招标人拒绝以下名单中的单位参加本次投标：</w:t>
      </w:r>
    </w:p>
    <w:tbl>
      <w:tblPr>
        <w:tblStyle w:val="23"/>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206"/>
        <w:gridCol w:w="3627"/>
      </w:tblGrid>
      <w:tr w14:paraId="481C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6" w:type="dxa"/>
            <w:noWrap w:val="0"/>
            <w:vAlign w:val="center"/>
          </w:tcPr>
          <w:p w14:paraId="4E41703D">
            <w:pPr>
              <w:shd w:val="clea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206" w:type="dxa"/>
            <w:noWrap w:val="0"/>
            <w:vAlign w:val="center"/>
          </w:tcPr>
          <w:p w14:paraId="642F9832">
            <w:pPr>
              <w:shd w:val="clea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627" w:type="dxa"/>
            <w:noWrap w:val="0"/>
            <w:vAlign w:val="center"/>
          </w:tcPr>
          <w:p w14:paraId="680F4879">
            <w:pPr>
              <w:shd w:val="clea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66D0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65C956D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w:t>
            </w:r>
          </w:p>
        </w:tc>
        <w:tc>
          <w:tcPr>
            <w:tcW w:w="4206" w:type="dxa"/>
            <w:noWrap w:val="0"/>
            <w:vAlign w:val="center"/>
          </w:tcPr>
          <w:p w14:paraId="5952A0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中国华西工程设计建设有限公司</w:t>
            </w:r>
          </w:p>
        </w:tc>
        <w:tc>
          <w:tcPr>
            <w:tcW w:w="3627" w:type="dxa"/>
            <w:noWrap w:val="0"/>
            <w:vAlign w:val="center"/>
          </w:tcPr>
          <w:p w14:paraId="3DD437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aps w:val="0"/>
                <w:color w:val="auto"/>
                <w:spacing w:val="0"/>
                <w:sz w:val="24"/>
                <w:szCs w:val="24"/>
                <w:highlight w:val="none"/>
                <w:lang w:eastAsia="zh-CN"/>
              </w:rPr>
              <w:t>为本招标项目可研编制单位</w:t>
            </w:r>
          </w:p>
        </w:tc>
      </w:tr>
      <w:tr w14:paraId="417F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46D8ED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w:t>
            </w:r>
          </w:p>
        </w:tc>
        <w:tc>
          <w:tcPr>
            <w:tcW w:w="4206" w:type="dxa"/>
            <w:noWrap w:val="0"/>
            <w:vAlign w:val="center"/>
          </w:tcPr>
          <w:p w14:paraId="0CC3B8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Cs/>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建达国信工程管理有限公司</w:t>
            </w:r>
          </w:p>
        </w:tc>
        <w:tc>
          <w:tcPr>
            <w:tcW w:w="3627" w:type="dxa"/>
            <w:noWrap w:val="0"/>
            <w:vAlign w:val="center"/>
          </w:tcPr>
          <w:p w14:paraId="163A7C8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Cs/>
                <w:snapToGrid w:val="0"/>
                <w:color w:val="auto"/>
                <w:kern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为本招标项目造价咨询单位</w:t>
            </w:r>
          </w:p>
        </w:tc>
      </w:tr>
      <w:tr w14:paraId="0820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46" w:type="dxa"/>
            <w:noWrap w:val="0"/>
            <w:vAlign w:val="center"/>
          </w:tcPr>
          <w:p w14:paraId="598A5FC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w:t>
            </w:r>
          </w:p>
        </w:tc>
        <w:tc>
          <w:tcPr>
            <w:tcW w:w="4206" w:type="dxa"/>
            <w:noWrap w:val="0"/>
            <w:vAlign w:val="center"/>
          </w:tcPr>
          <w:p w14:paraId="72EBA0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Cs/>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中誉设计有限公司</w:t>
            </w:r>
          </w:p>
        </w:tc>
        <w:tc>
          <w:tcPr>
            <w:tcW w:w="3627" w:type="dxa"/>
            <w:noWrap w:val="0"/>
            <w:vAlign w:val="center"/>
          </w:tcPr>
          <w:p w14:paraId="77334B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aps w:val="0"/>
                <w:color w:val="auto"/>
                <w:spacing w:val="0"/>
                <w:sz w:val="24"/>
                <w:szCs w:val="24"/>
                <w:highlight w:val="none"/>
                <w:lang w:eastAsia="zh-CN"/>
              </w:rPr>
              <w:t>为本招标项目的设计单位</w:t>
            </w:r>
          </w:p>
        </w:tc>
      </w:tr>
      <w:tr w14:paraId="2C06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69BECA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w:t>
            </w:r>
          </w:p>
        </w:tc>
        <w:tc>
          <w:tcPr>
            <w:tcW w:w="4206" w:type="dxa"/>
            <w:noWrap w:val="0"/>
            <w:vAlign w:val="center"/>
          </w:tcPr>
          <w:p w14:paraId="6C03CA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仁化县市政工程公司</w:t>
            </w:r>
          </w:p>
        </w:tc>
        <w:tc>
          <w:tcPr>
            <w:tcW w:w="3627" w:type="dxa"/>
            <w:noWrap w:val="0"/>
            <w:vAlign w:val="center"/>
          </w:tcPr>
          <w:p w14:paraId="1262FB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aps w:val="0"/>
                <w:color w:val="auto"/>
                <w:spacing w:val="0"/>
                <w:sz w:val="24"/>
                <w:szCs w:val="24"/>
                <w:highlight w:val="none"/>
                <w:lang w:eastAsia="zh-CN"/>
              </w:rPr>
              <w:t>为本招标项目的招标人</w:t>
            </w:r>
          </w:p>
        </w:tc>
      </w:tr>
      <w:tr w14:paraId="6E15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38B69C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206" w:type="dxa"/>
            <w:noWrap w:val="0"/>
            <w:vAlign w:val="center"/>
          </w:tcPr>
          <w:p w14:paraId="2EDB0F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eastAsia="zh-CN"/>
              </w:rPr>
              <w:t>广东爱科工程咨询管理有限公司</w:t>
            </w:r>
          </w:p>
        </w:tc>
        <w:tc>
          <w:tcPr>
            <w:tcW w:w="3627" w:type="dxa"/>
            <w:noWrap w:val="0"/>
            <w:vAlign w:val="center"/>
          </w:tcPr>
          <w:p w14:paraId="68E4AA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aps w:val="0"/>
                <w:color w:val="auto"/>
                <w:spacing w:val="0"/>
                <w:sz w:val="24"/>
                <w:szCs w:val="24"/>
                <w:highlight w:val="none"/>
              </w:rPr>
              <w:t>为本招标项目的招标代理机构</w:t>
            </w:r>
          </w:p>
        </w:tc>
      </w:tr>
    </w:tbl>
    <w:p w14:paraId="63375AB1">
      <w:pPr>
        <w:pStyle w:val="43"/>
        <w:shd w:val="clear"/>
        <w:wordWrap w:val="0"/>
        <w:adjustRightInd w:val="0"/>
        <w:snapToGrid w:val="0"/>
        <w:spacing w:line="440" w:lineRule="exact"/>
        <w:ind w:firstLine="482"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2.5</w:t>
      </w:r>
      <w:r>
        <w:rPr>
          <w:rFonts w:hint="eastAsia" w:ascii="宋体" w:hAnsi="宋体" w:eastAsia="宋体" w:cs="宋体"/>
          <w:snapToGrid w:val="0"/>
          <w:color w:val="auto"/>
          <w:kern w:val="0"/>
          <w:sz w:val="24"/>
          <w:highlight w:val="none"/>
        </w:rPr>
        <w:t xml:space="preserve"> 其他要求</w:t>
      </w:r>
    </w:p>
    <w:p w14:paraId="2662AE09">
      <w:pPr>
        <w:pStyle w:val="43"/>
        <w:shd w:val="clear"/>
        <w:wordWrap w:val="0"/>
        <w:adjustRightInd w:val="0"/>
        <w:snapToGrid w:val="0"/>
        <w:spacing w:line="440" w:lineRule="exact"/>
        <w:ind w:firstLine="480" w:firstLineChars="200"/>
        <w:jc w:val="left"/>
        <w:rPr>
          <w:rFonts w:hint="eastAsia" w:ascii="宋体" w:hAnsi="宋体" w:eastAsia="宋体" w:cs="宋体"/>
          <w:b/>
          <w:bCs/>
          <w:snapToGrid w:val="0"/>
          <w:color w:val="auto"/>
          <w:kern w:val="0"/>
          <w:sz w:val="24"/>
          <w:highlight w:val="none"/>
        </w:rPr>
      </w:pPr>
      <w:r>
        <w:rPr>
          <w:rFonts w:hint="eastAsia" w:ascii="宋体" w:hAnsi="宋体" w:eastAsia="宋体" w:cs="宋体"/>
          <w:snapToGrid w:val="0"/>
          <w:color w:val="auto"/>
          <w:kern w:val="0"/>
          <w:sz w:val="24"/>
          <w:highlight w:val="none"/>
          <w:lang w:eastAsia="zh-CN"/>
        </w:rPr>
        <w:t>省外企业须按照《广东省住房和城乡建设厅关于取消省外建筑企业和人员进粤信息备案有关工作的通知》（粤建市﹝2015﹞52号）规定在“进粤企业和人员诚信信息登记平台”录入相关信息并通过数据规范检查。</w:t>
      </w:r>
    </w:p>
    <w:p w14:paraId="56294EBD">
      <w:pPr>
        <w:pStyle w:val="43"/>
        <w:shd w:val="clear"/>
        <w:ind w:firstLine="482"/>
        <w:jc w:val="left"/>
        <w:outlineLvl w:val="9"/>
        <w:rPr>
          <w:rFonts w:hint="eastAsia" w:ascii="宋体" w:hAnsi="宋体" w:eastAsia="宋体" w:cs="宋体"/>
          <w:b/>
          <w:bCs/>
          <w:snapToGrid w:val="0"/>
          <w:color w:val="auto"/>
          <w:kern w:val="0"/>
          <w:sz w:val="24"/>
          <w:highlight w:val="none"/>
        </w:rPr>
      </w:pPr>
      <w:bookmarkStart w:id="83" w:name="_Toc15578"/>
      <w:bookmarkStart w:id="84" w:name="_Toc31726"/>
      <w:bookmarkStart w:id="85" w:name="_Toc12728"/>
      <w:bookmarkStart w:id="86" w:name="_Toc29552"/>
      <w:bookmarkStart w:id="87" w:name="_Toc31793"/>
      <w:bookmarkStart w:id="88" w:name="_Toc25099"/>
    </w:p>
    <w:p w14:paraId="3EA16BF5">
      <w:pPr>
        <w:pStyle w:val="43"/>
        <w:shd w:val="clear"/>
        <w:ind w:firstLine="482"/>
        <w:jc w:val="left"/>
        <w:outlineLvl w:val="2"/>
        <w:rPr>
          <w:rFonts w:hint="eastAsia" w:ascii="宋体" w:hAnsi="宋体" w:eastAsia="宋体" w:cs="宋体"/>
          <w:b/>
          <w:bCs/>
          <w:snapToGrid w:val="0"/>
          <w:color w:val="auto"/>
          <w:kern w:val="0"/>
          <w:sz w:val="24"/>
          <w:highlight w:val="none"/>
          <w:lang w:val="en-US" w:eastAsia="zh-CN"/>
        </w:rPr>
      </w:pPr>
      <w:bookmarkStart w:id="89" w:name="_Toc4403"/>
      <w:bookmarkStart w:id="90" w:name="_Toc9341"/>
      <w:r>
        <w:rPr>
          <w:rFonts w:hint="eastAsia" w:ascii="宋体" w:hAnsi="宋体" w:eastAsia="宋体" w:cs="宋体"/>
          <w:b/>
          <w:bCs/>
          <w:snapToGrid w:val="0"/>
          <w:color w:val="auto"/>
          <w:kern w:val="0"/>
          <w:sz w:val="24"/>
          <w:highlight w:val="none"/>
        </w:rPr>
        <w:t>3．</w:t>
      </w:r>
      <w:bookmarkEnd w:id="83"/>
      <w:bookmarkEnd w:id="84"/>
      <w:bookmarkEnd w:id="85"/>
      <w:bookmarkEnd w:id="86"/>
      <w:bookmarkEnd w:id="87"/>
      <w:bookmarkEnd w:id="88"/>
      <w:bookmarkEnd w:id="89"/>
      <w:r>
        <w:rPr>
          <w:rFonts w:hint="eastAsia" w:ascii="宋体" w:hAnsi="宋体" w:eastAsia="宋体" w:cs="宋体"/>
          <w:b/>
          <w:bCs/>
          <w:snapToGrid w:val="0"/>
          <w:color w:val="auto"/>
          <w:kern w:val="0"/>
          <w:sz w:val="24"/>
          <w:highlight w:val="none"/>
          <w:lang w:val="en-US" w:eastAsia="zh-CN"/>
        </w:rPr>
        <w:t>招标文件获取</w:t>
      </w:r>
      <w:bookmarkEnd w:id="90"/>
    </w:p>
    <w:p w14:paraId="5F0216A5">
      <w:pPr>
        <w:keepNext w:val="0"/>
        <w:keepLines w:val="0"/>
        <w:pageBreakBefore w:val="0"/>
        <w:widowControl w:val="0"/>
        <w:shd w:val="clear"/>
        <w:tabs>
          <w:tab w:val="left" w:pos="7020"/>
        </w:tabs>
        <w:kinsoku/>
        <w:wordWrap w:val="0"/>
        <w:overflowPunct/>
        <w:topLinePunct w:val="0"/>
        <w:autoSpaceDE/>
        <w:autoSpaceDN/>
        <w:bidi w:val="0"/>
        <w:adjustRightInd/>
        <w:snapToGrid/>
        <w:spacing w:beforeLines="50"/>
        <w:ind w:firstLine="561"/>
        <w:textAlignment w:val="auto"/>
        <w:rPr>
          <w:rFonts w:hint="eastAsia" w:ascii="宋体" w:hAnsi="宋体" w:eastAsia="宋体" w:cs="宋体"/>
          <w:b w:val="0"/>
          <w:bCs w:val="0"/>
          <w:snapToGrid w:val="0"/>
          <w:color w:val="auto"/>
          <w:kern w:val="0"/>
          <w:highlight w:val="none"/>
          <w:lang w:eastAsia="zh-CN"/>
        </w:rPr>
      </w:pPr>
      <w:r>
        <w:rPr>
          <w:rFonts w:hint="eastAsia" w:ascii="宋体" w:hAnsi="宋体" w:eastAsia="宋体" w:cs="宋体"/>
          <w:b w:val="0"/>
          <w:bCs w:val="0"/>
          <w:snapToGrid w:val="0"/>
          <w:color w:val="auto"/>
          <w:kern w:val="0"/>
          <w:highlight w:val="none"/>
        </w:rPr>
        <w:t xml:space="preserve">3.1 </w:t>
      </w:r>
      <w:r>
        <w:rPr>
          <w:rFonts w:hint="eastAsia" w:ascii="宋体" w:hAnsi="宋体" w:eastAsia="宋体" w:cs="宋体"/>
          <w:snapToGrid w:val="0"/>
          <w:color w:val="auto"/>
          <w:kern w:val="0"/>
          <w:szCs w:val="24"/>
          <w:highlight w:val="none"/>
          <w:lang w:bidi="ar"/>
        </w:rPr>
        <w:t>本次招标实行全流程电子投标。本项目招标文件随招标公告一并在全国公共资源交易平台（广东省·韶关市）（https://ygp.gdzwfw.gov.cn/ggzy-portal/#/440200/index）网站发布。招标文件一经在建设工程交易系统发布，视为发售投标人，招标文件及相关附件由投标人自行在建设工程交易系统下载。请于招标文件获取期间（见本章第二节“重要事项时间地点一览表”）与招标公告发布时间一致，投标人须登录全国公共资源交易平台（广东省·韶关市）（https://ygp.gdzwfw.gov.cn/ggzy-portal/#/440200/index），使用新建设工程交易系统进行下载招标文件及相关附件，并于电子投标截止时间（见本章第二节“重要事项时间地点一览表”）前将投标文件上传到建设工程交易系统（上传后系统将自动加密）完成电子投标。投标人可登录全国公共资源交易平台（广东省·韶关市）（https://ygp.gdzwfw.gov.cn/ggzy-portal/#/440200/index），操作指南在全国公共资源交易平台（广东省·韶关市）（https://ygp.gdzwfw.gov.cn/ggzy-portal/#/440200/index），在【服务指南】栏目中下载《韶关市公共资源建设工程交易系统-投标人操作指南》，了解全流程电子投标操作流程。技术咨询电话：18819797080/0751-8379671 伍先生，业务咨询电话：0751-8633211、8633071。</w:t>
      </w:r>
    </w:p>
    <w:p w14:paraId="400334AB">
      <w:pPr>
        <w:shd w:val="clear"/>
        <w:tabs>
          <w:tab w:val="left" w:pos="7020"/>
        </w:tabs>
        <w:wordWrap w:val="0"/>
        <w:adjustRightInd w:val="0"/>
        <w:snapToGrid w:val="0"/>
        <w:spacing w:line="440" w:lineRule="exact"/>
        <w:ind w:firstLine="482" w:firstLineChars="200"/>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highlight w:val="none"/>
        </w:rPr>
        <w:t>3.2</w:t>
      </w: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szCs w:val="24"/>
          <w:highlight w:val="none"/>
        </w:rPr>
        <w:t>只有申领了数字证书（CA）、“粤企签”或GDCA/SZCA/NETCA等符合法律法规规定的电子印章，并在交易系统中完成企业信息数据入库的投标人，方可使用建设工程交易系统进行招标文件及附件获取和电子投标。</w:t>
      </w:r>
    </w:p>
    <w:p w14:paraId="0BA39EBB">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14:paraId="680585D5">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已入库企业有关信息（如单位名称、基本账号、资质、人员等）发生变化的，须及时在交易系统进行相应变更。投标人未及时变更信息而造成的损失和后果，由投标人自行承担。</w:t>
      </w:r>
    </w:p>
    <w:p w14:paraId="3C1F8BD8">
      <w:pPr>
        <w:shd w:val="clear"/>
        <w:tabs>
          <w:tab w:val="left" w:pos="7020"/>
        </w:tabs>
        <w:wordWrap w:val="0"/>
        <w:adjustRightInd w:val="0"/>
        <w:snapToGrid w:val="0"/>
        <w:spacing w:line="440" w:lineRule="exact"/>
        <w:ind w:firstLine="482" w:firstLineChars="200"/>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电子印章：</w:t>
      </w:r>
      <w:r>
        <w:rPr>
          <w:rFonts w:hint="eastAsia" w:ascii="宋体" w:hAnsi="宋体" w:eastAsia="宋体" w:cs="宋体"/>
          <w:snapToGrid w:val="0"/>
          <w:color w:val="auto"/>
          <w:kern w:val="0"/>
          <w:szCs w:val="24"/>
          <w:highlight w:val="none"/>
        </w:rPr>
        <w:t>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22EE2E8C">
      <w:pPr>
        <w:pStyle w:val="43"/>
        <w:shd w:val="clear"/>
        <w:ind w:firstLine="482"/>
        <w:jc w:val="left"/>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3.3 投标保证</w:t>
      </w:r>
    </w:p>
    <w:p w14:paraId="3993490D">
      <w:pPr>
        <w:shd w:val="clear"/>
        <w:tabs>
          <w:tab w:val="left" w:pos="7020"/>
        </w:tabs>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3.3.1</w:t>
      </w:r>
      <w:r>
        <w:rPr>
          <w:rFonts w:hint="eastAsia" w:ascii="宋体" w:hAnsi="宋体" w:eastAsia="宋体" w:cs="宋体"/>
          <w:snapToGrid w:val="0"/>
          <w:color w:val="auto"/>
          <w:kern w:val="0"/>
          <w:highlight w:val="none"/>
        </w:rPr>
        <w:t xml:space="preserve"> 投标人须缴纳金额为人民币</w:t>
      </w:r>
      <w:r>
        <w:rPr>
          <w:rFonts w:hint="eastAsia" w:ascii="宋体" w:hAnsi="宋体" w:eastAsia="宋体" w:cs="宋体"/>
          <w:snapToGrid w:val="0"/>
          <w:color w:val="auto"/>
          <w:kern w:val="0"/>
          <w:szCs w:val="24"/>
          <w:highlight w:val="none"/>
          <w:lang w:val="en-US" w:eastAsia="zh-CN"/>
        </w:rPr>
        <w:t>伍仟元整</w:t>
      </w:r>
      <w:r>
        <w:rPr>
          <w:rFonts w:hint="eastAsia" w:ascii="宋体" w:hAnsi="宋体" w:eastAsia="宋体" w:cs="宋体"/>
          <w:snapToGrid w:val="0"/>
          <w:color w:val="auto"/>
          <w:kern w:val="0"/>
          <w:szCs w:val="24"/>
          <w:highlight w:val="none"/>
          <w:lang w:eastAsia="zh-CN"/>
        </w:rPr>
        <w:t>（￥</w:t>
      </w:r>
      <w:r>
        <w:rPr>
          <w:rFonts w:hint="eastAsia" w:ascii="宋体" w:hAnsi="宋体" w:eastAsia="宋体" w:cs="宋体"/>
          <w:snapToGrid w:val="0"/>
          <w:color w:val="auto"/>
          <w:kern w:val="0"/>
          <w:szCs w:val="24"/>
          <w:highlight w:val="none"/>
          <w:u w:val="single"/>
          <w:lang w:val="en-US" w:eastAsia="zh-CN"/>
        </w:rPr>
        <w:t>5000.00</w:t>
      </w:r>
      <w:r>
        <w:rPr>
          <w:rFonts w:hint="eastAsia" w:ascii="宋体" w:hAnsi="宋体" w:eastAsia="宋体" w:cs="宋体"/>
          <w:snapToGrid w:val="0"/>
          <w:color w:val="auto"/>
          <w:kern w:val="0"/>
          <w:szCs w:val="24"/>
          <w:highlight w:val="none"/>
          <w:u w:val="none"/>
        </w:rPr>
        <w:t>元</w:t>
      </w:r>
      <w:r>
        <w:rPr>
          <w:rFonts w:hint="eastAsia" w:ascii="宋体" w:hAnsi="宋体" w:eastAsia="宋体" w:cs="宋体"/>
          <w:snapToGrid w:val="0"/>
          <w:color w:val="auto"/>
          <w:kern w:val="0"/>
          <w:szCs w:val="24"/>
          <w:highlight w:val="none"/>
          <w:lang w:eastAsia="zh-CN"/>
        </w:rPr>
        <w:t>）</w:t>
      </w:r>
      <w:r>
        <w:rPr>
          <w:rFonts w:hint="eastAsia" w:ascii="宋体" w:hAnsi="宋体" w:eastAsia="宋体" w:cs="宋体"/>
          <w:snapToGrid w:val="0"/>
          <w:color w:val="auto"/>
          <w:kern w:val="0"/>
          <w:highlight w:val="none"/>
        </w:rPr>
        <w:t xml:space="preserve">的投标保证。 </w:t>
      </w:r>
    </w:p>
    <w:p w14:paraId="0D30D4FF">
      <w:pPr>
        <w:shd w:val="clear"/>
        <w:tabs>
          <w:tab w:val="left" w:pos="7020"/>
        </w:tabs>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3.3.2</w:t>
      </w:r>
      <w:r>
        <w:rPr>
          <w:rFonts w:hint="eastAsia" w:ascii="宋体" w:hAnsi="宋体" w:eastAsia="宋体" w:cs="宋体"/>
          <w:snapToGrid w:val="0"/>
          <w:color w:val="auto"/>
          <w:kern w:val="0"/>
          <w:highlight w:val="none"/>
        </w:rPr>
        <w:t xml:space="preserve"> 投标保证的形式包括投标保证金、投标保证担保、投标保证保险三种，由投标人自主选择。</w:t>
      </w:r>
    </w:p>
    <w:p w14:paraId="6BBF3053">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采用投标保证金的，投标人在建设工程交易获取招标文件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14:paraId="55FFE800">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14:paraId="3DF1F958">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r>
        <w:rPr>
          <w:rFonts w:hint="eastAsia" w:ascii="宋体" w:hAnsi="宋体" w:eastAsia="宋体" w:cs="宋体"/>
          <w:color w:val="auto"/>
          <w:sz w:val="24"/>
          <w:szCs w:val="24"/>
          <w:highlight w:val="none"/>
        </w:rPr>
        <w:t>采用投标保证保险的，投标人须在投标保证保险投保截止时间（见本章“重要事项时间地点一览表”）前，使用建设工程交易系统完成网上投保。投标人可在系统选择保险机构、录入投保信息、支付保费、</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电子保单，电子保单的有效期不得短于投标有效期。投标人可登录</w:t>
      </w:r>
      <w:r>
        <w:rPr>
          <w:rFonts w:hint="eastAsia" w:ascii="宋体" w:hAnsi="宋体" w:eastAsia="宋体" w:cs="宋体"/>
          <w:color w:val="auto"/>
          <w:sz w:val="24"/>
          <w:szCs w:val="24"/>
          <w:highlight w:val="none"/>
          <w:lang w:eastAsia="zh-CN"/>
        </w:rPr>
        <w:t>全国公共资源交易平台（广东省·韶关市）（https://ygp.gdzwfw.gov.cn/ggzy-portal/#/440200/index）</w:t>
      </w:r>
      <w:r>
        <w:rPr>
          <w:rFonts w:hint="eastAsia" w:ascii="宋体" w:hAnsi="宋体" w:eastAsia="宋体" w:cs="宋体"/>
          <w:color w:val="auto"/>
          <w:sz w:val="24"/>
          <w:szCs w:val="24"/>
          <w:highlight w:val="none"/>
        </w:rPr>
        <w:t>查阅相应的服务指南，了解网上投保具体操作流程。逾期投保的，其投标无效。</w:t>
      </w:r>
    </w:p>
    <w:p w14:paraId="241FBC8B">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03068990">
      <w:pPr>
        <w:shd w:val="clear"/>
        <w:tabs>
          <w:tab w:val="left" w:pos="7020"/>
        </w:tabs>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3.4</w:t>
      </w:r>
      <w:r>
        <w:rPr>
          <w:rFonts w:hint="eastAsia" w:ascii="宋体" w:hAnsi="宋体" w:eastAsia="宋体" w:cs="宋体"/>
          <w:snapToGrid w:val="0"/>
          <w:color w:val="auto"/>
          <w:kern w:val="0"/>
          <w:highlight w:val="none"/>
        </w:rPr>
        <w:t xml:space="preserve"> 若投标人因自身原因未能正确完成</w:t>
      </w:r>
      <w:r>
        <w:rPr>
          <w:rFonts w:hint="eastAsia" w:ascii="宋体" w:hAnsi="宋体" w:eastAsia="宋体" w:cs="宋体"/>
          <w:snapToGrid w:val="0"/>
          <w:color w:val="auto"/>
          <w:kern w:val="0"/>
          <w:sz w:val="24"/>
          <w:szCs w:val="24"/>
          <w:highlight w:val="none"/>
        </w:rPr>
        <w:t>网上</w:t>
      </w:r>
      <w:r>
        <w:rPr>
          <w:rFonts w:hint="eastAsia" w:ascii="宋体" w:hAnsi="宋体" w:eastAsia="宋体" w:cs="宋体"/>
          <w:snapToGrid w:val="0"/>
          <w:color w:val="auto"/>
          <w:kern w:val="0"/>
          <w:sz w:val="24"/>
          <w:szCs w:val="24"/>
          <w:highlight w:val="none"/>
          <w:lang w:eastAsia="zh-CN"/>
        </w:rPr>
        <w:t>获取招标文件</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电子投标、缴纳投标保证的，其投标无效。</w:t>
      </w:r>
    </w:p>
    <w:p w14:paraId="63221926">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52D32CD7">
      <w:pPr>
        <w:pStyle w:val="43"/>
        <w:shd w:val="clear"/>
        <w:spacing w:line="360" w:lineRule="auto"/>
        <w:ind w:firstLine="482"/>
        <w:jc w:val="left"/>
        <w:outlineLvl w:val="2"/>
        <w:rPr>
          <w:rFonts w:hint="eastAsia" w:ascii="宋体" w:hAnsi="宋体" w:eastAsia="宋体" w:cs="宋体"/>
          <w:b/>
          <w:bCs/>
          <w:snapToGrid w:val="0"/>
          <w:color w:val="auto"/>
          <w:kern w:val="0"/>
          <w:sz w:val="24"/>
          <w:highlight w:val="none"/>
        </w:rPr>
      </w:pPr>
      <w:bookmarkStart w:id="91" w:name="_Toc14270"/>
      <w:bookmarkStart w:id="92" w:name="_Toc14649"/>
      <w:bookmarkStart w:id="93" w:name="_Toc12197"/>
      <w:bookmarkStart w:id="94" w:name="_Toc12858"/>
      <w:bookmarkStart w:id="95" w:name="_Toc6940"/>
      <w:bookmarkStart w:id="96" w:name="_Toc30339"/>
      <w:bookmarkStart w:id="97" w:name="_Toc22716"/>
      <w:bookmarkStart w:id="98" w:name="_Toc16479"/>
      <w:r>
        <w:rPr>
          <w:rFonts w:hint="eastAsia" w:ascii="宋体" w:hAnsi="宋体" w:eastAsia="宋体" w:cs="宋体"/>
          <w:b/>
          <w:bCs/>
          <w:snapToGrid w:val="0"/>
          <w:color w:val="auto"/>
          <w:kern w:val="0"/>
          <w:sz w:val="24"/>
          <w:highlight w:val="none"/>
        </w:rPr>
        <w:t>4．服务期限</w:t>
      </w:r>
      <w:bookmarkEnd w:id="91"/>
      <w:bookmarkEnd w:id="92"/>
      <w:bookmarkEnd w:id="93"/>
      <w:bookmarkEnd w:id="94"/>
      <w:bookmarkEnd w:id="95"/>
      <w:bookmarkEnd w:id="96"/>
      <w:bookmarkEnd w:id="97"/>
      <w:bookmarkEnd w:id="98"/>
    </w:p>
    <w:p w14:paraId="0873D0DD">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bookmarkStart w:id="99" w:name="_Toc7508"/>
      <w:r>
        <w:rPr>
          <w:rFonts w:hint="eastAsia" w:ascii="宋体" w:hAnsi="宋体" w:eastAsia="宋体" w:cs="宋体"/>
          <w:snapToGrid w:val="0"/>
          <w:color w:val="auto"/>
          <w:kern w:val="0"/>
          <w:highlight w:val="none"/>
          <w:u w:val="single"/>
        </w:rPr>
        <w:t>监理服务期从监理合同签订之日起计，至本工程缺陷责任保修期结束且本工程结算金额经政府主管部门审定且双方的责任义务履行完毕时止。</w:t>
      </w:r>
    </w:p>
    <w:p w14:paraId="0082D04A">
      <w:pPr>
        <w:shd w:val="clear"/>
        <w:tabs>
          <w:tab w:val="left" w:pos="7020"/>
        </w:tabs>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19B86BE6">
      <w:pPr>
        <w:pStyle w:val="43"/>
        <w:shd w:val="clear"/>
        <w:spacing w:line="360" w:lineRule="auto"/>
        <w:ind w:firstLine="482"/>
        <w:jc w:val="left"/>
        <w:outlineLvl w:val="2"/>
        <w:rPr>
          <w:rFonts w:hint="eastAsia" w:ascii="宋体" w:hAnsi="宋体" w:eastAsia="宋体" w:cs="宋体"/>
          <w:b/>
          <w:bCs/>
          <w:snapToGrid w:val="0"/>
          <w:color w:val="auto"/>
          <w:kern w:val="0"/>
          <w:sz w:val="24"/>
          <w:highlight w:val="none"/>
        </w:rPr>
      </w:pPr>
      <w:bookmarkStart w:id="100" w:name="_Toc19377"/>
      <w:bookmarkStart w:id="101" w:name="_Toc20710"/>
      <w:bookmarkStart w:id="102" w:name="_Toc27677"/>
      <w:bookmarkStart w:id="103" w:name="_Toc20097"/>
      <w:bookmarkStart w:id="104" w:name="_Toc31374"/>
      <w:bookmarkStart w:id="105" w:name="_Toc24489"/>
      <w:bookmarkStart w:id="106" w:name="_Toc20452"/>
      <w:bookmarkStart w:id="107" w:name="_Toc31837"/>
      <w:bookmarkStart w:id="108" w:name="_Toc31895"/>
      <w:bookmarkStart w:id="109" w:name="_Toc4831"/>
      <w:r>
        <w:rPr>
          <w:rFonts w:hint="eastAsia" w:ascii="宋体" w:hAnsi="宋体" w:eastAsia="宋体" w:cs="宋体"/>
          <w:b/>
          <w:bCs/>
          <w:snapToGrid w:val="0"/>
          <w:color w:val="auto"/>
          <w:kern w:val="0"/>
          <w:sz w:val="24"/>
          <w:highlight w:val="none"/>
        </w:rPr>
        <w:t>5．</w:t>
      </w:r>
      <w:bookmarkEnd w:id="99"/>
      <w:r>
        <w:rPr>
          <w:rFonts w:hint="eastAsia" w:ascii="宋体" w:hAnsi="宋体" w:eastAsia="宋体" w:cs="宋体"/>
          <w:b/>
          <w:bCs/>
          <w:snapToGrid w:val="0"/>
          <w:color w:val="auto"/>
          <w:kern w:val="0"/>
          <w:sz w:val="24"/>
          <w:highlight w:val="none"/>
        </w:rPr>
        <w:t>服务标准</w:t>
      </w:r>
      <w:bookmarkEnd w:id="100"/>
      <w:bookmarkEnd w:id="101"/>
      <w:bookmarkEnd w:id="102"/>
      <w:bookmarkEnd w:id="103"/>
      <w:bookmarkEnd w:id="104"/>
      <w:bookmarkEnd w:id="105"/>
      <w:bookmarkEnd w:id="106"/>
      <w:bookmarkEnd w:id="107"/>
      <w:bookmarkEnd w:id="108"/>
      <w:bookmarkEnd w:id="109"/>
    </w:p>
    <w:p w14:paraId="37CAAC32">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5.1</w:t>
      </w:r>
      <w:r>
        <w:rPr>
          <w:rFonts w:hint="eastAsia" w:ascii="宋体" w:hAnsi="宋体" w:eastAsia="宋体" w:cs="宋体"/>
          <w:snapToGrid w:val="0"/>
          <w:color w:val="auto"/>
          <w:kern w:val="0"/>
          <w:highlight w:val="none"/>
        </w:rPr>
        <w:t xml:space="preserve"> 工程质量必须达到</w:t>
      </w:r>
      <w:r>
        <w:rPr>
          <w:rFonts w:hint="eastAsia" w:ascii="宋体" w:hAnsi="宋体" w:eastAsia="宋体" w:cs="宋体"/>
          <w:snapToGrid w:val="0"/>
          <w:color w:val="auto"/>
          <w:kern w:val="0"/>
          <w:highlight w:val="none"/>
          <w:u w:val="single"/>
        </w:rPr>
        <w:t>《建筑工程施工质量验收统一标准》(GB50300-2013)合格</w:t>
      </w:r>
      <w:r>
        <w:rPr>
          <w:rFonts w:hint="eastAsia" w:ascii="宋体" w:hAnsi="宋体" w:eastAsia="宋体" w:cs="宋体"/>
          <w:snapToGrid w:val="0"/>
          <w:color w:val="auto"/>
          <w:kern w:val="0"/>
          <w:highlight w:val="none"/>
        </w:rPr>
        <w:t>标准。</w:t>
      </w:r>
    </w:p>
    <w:p w14:paraId="5738E030">
      <w:pPr>
        <w:shd w:val="clear"/>
        <w:wordWrap w:val="0"/>
        <w:adjustRightInd w:val="0"/>
        <w:snapToGrid w:val="0"/>
        <w:spacing w:line="440" w:lineRule="exact"/>
        <w:ind w:firstLine="482" w:firstLineChars="200"/>
        <w:rPr>
          <w:rFonts w:hint="eastAsia" w:ascii="宋体" w:hAnsi="宋体" w:eastAsia="宋体" w:cs="宋体"/>
          <w:b/>
          <w:snapToGrid w:val="0"/>
          <w:color w:val="auto"/>
          <w:highlight w:val="none"/>
        </w:rPr>
      </w:pPr>
      <w:r>
        <w:rPr>
          <w:rFonts w:hint="eastAsia" w:ascii="宋体" w:hAnsi="宋体" w:eastAsia="宋体" w:cs="宋体"/>
          <w:b/>
          <w:bCs/>
          <w:snapToGrid w:val="0"/>
          <w:color w:val="auto"/>
          <w:kern w:val="0"/>
          <w:highlight w:val="none"/>
        </w:rPr>
        <w:t>5.2</w:t>
      </w:r>
      <w:r>
        <w:rPr>
          <w:rFonts w:hint="eastAsia" w:ascii="宋体" w:hAnsi="宋体" w:eastAsia="宋体" w:cs="宋体"/>
          <w:snapToGrid w:val="0"/>
          <w:color w:val="auto"/>
          <w:kern w:val="0"/>
          <w:highlight w:val="none"/>
        </w:rPr>
        <w:t xml:space="preserve"> 根据韶关市人民政府《关于加快推进全市绿色建筑发展工作的通知》（韶府办明电〔2013〕277号）有关规定，</w:t>
      </w:r>
      <w:r>
        <w:rPr>
          <w:rFonts w:hint="eastAsia" w:ascii="宋体" w:hAnsi="宋体" w:eastAsia="宋体" w:cs="宋体"/>
          <w:color w:val="auto"/>
          <w:szCs w:val="24"/>
          <w:highlight w:val="none"/>
        </w:rPr>
        <w:t>本招标项目</w:t>
      </w:r>
      <w:r>
        <w:rPr>
          <w:rFonts w:hint="eastAsia" w:ascii="宋体" w:hAnsi="宋体" w:eastAsia="宋体" w:cs="宋体"/>
          <w:color w:val="auto"/>
          <w:szCs w:val="24"/>
          <w:highlight w:val="none"/>
          <w:lang w:val="en-US" w:eastAsia="zh-CN"/>
        </w:rPr>
        <w:t>不</w:t>
      </w:r>
      <w:r>
        <w:rPr>
          <w:rFonts w:hint="eastAsia" w:ascii="宋体" w:hAnsi="宋体" w:eastAsia="宋体" w:cs="宋体"/>
          <w:color w:val="auto"/>
          <w:szCs w:val="24"/>
          <w:highlight w:val="none"/>
          <w:u w:val="none"/>
        </w:rPr>
        <w:t>纳入</w:t>
      </w:r>
      <w:r>
        <w:rPr>
          <w:rFonts w:hint="eastAsia" w:ascii="宋体" w:hAnsi="宋体" w:eastAsia="宋体" w:cs="宋体"/>
          <w:color w:val="auto"/>
          <w:szCs w:val="24"/>
          <w:highlight w:val="none"/>
        </w:rPr>
        <w:t>绿色建设实施范围。</w:t>
      </w:r>
      <w:bookmarkStart w:id="110" w:name="_Hlt121563076"/>
      <w:bookmarkEnd w:id="110"/>
      <w:bookmarkStart w:id="111" w:name="_Hlt120502666"/>
      <w:bookmarkEnd w:id="111"/>
      <w:bookmarkStart w:id="112" w:name="_Hlt74493474"/>
      <w:bookmarkEnd w:id="112"/>
      <w:bookmarkStart w:id="113" w:name="_Hlt69699204"/>
      <w:bookmarkEnd w:id="113"/>
      <w:bookmarkStart w:id="114" w:name="_Hlt69356505"/>
      <w:bookmarkEnd w:id="114"/>
      <w:bookmarkStart w:id="115" w:name="_Hlt74496537"/>
      <w:bookmarkEnd w:id="115"/>
      <w:bookmarkStart w:id="116" w:name="_Hlt88974078"/>
      <w:bookmarkEnd w:id="116"/>
      <w:bookmarkStart w:id="117" w:name="_Hlt111690342"/>
      <w:bookmarkEnd w:id="117"/>
      <w:bookmarkStart w:id="118" w:name="_Toc2679"/>
    </w:p>
    <w:p w14:paraId="273AC40D">
      <w:pPr>
        <w:shd w:val="clear"/>
        <w:rPr>
          <w:rFonts w:hint="eastAsia" w:ascii="宋体" w:hAnsi="宋体" w:eastAsia="宋体" w:cs="宋体"/>
          <w:color w:val="auto"/>
          <w:highlight w:val="none"/>
        </w:rPr>
      </w:pPr>
      <w:bookmarkStart w:id="119" w:name="_Toc17914"/>
      <w:bookmarkStart w:id="120" w:name="_Toc10726"/>
      <w:bookmarkStart w:id="121" w:name="_Toc27367"/>
      <w:bookmarkStart w:id="122" w:name="_Toc5261"/>
      <w:bookmarkStart w:id="123" w:name="_Toc26482"/>
      <w:bookmarkStart w:id="124" w:name="_Toc15969"/>
      <w:bookmarkStart w:id="125" w:name="_Toc15432"/>
      <w:bookmarkStart w:id="126" w:name="_Toc29725"/>
      <w:bookmarkStart w:id="127" w:name="_Toc22917"/>
    </w:p>
    <w:p w14:paraId="7C33C421">
      <w:pPr>
        <w:pStyle w:val="43"/>
        <w:shd w:val="clear"/>
        <w:spacing w:line="360" w:lineRule="auto"/>
        <w:ind w:firstLine="482" w:firstLineChars="200"/>
        <w:jc w:val="left"/>
        <w:outlineLvl w:val="2"/>
        <w:rPr>
          <w:rFonts w:hint="eastAsia" w:ascii="宋体" w:hAnsi="宋体" w:eastAsia="宋体" w:cs="宋体"/>
          <w:b/>
          <w:bCs/>
          <w:snapToGrid w:val="0"/>
          <w:color w:val="auto"/>
          <w:kern w:val="0"/>
          <w:sz w:val="24"/>
          <w:highlight w:val="none"/>
        </w:rPr>
      </w:pPr>
      <w:bookmarkStart w:id="128" w:name="_Toc418"/>
      <w:r>
        <w:rPr>
          <w:rFonts w:hint="eastAsia" w:ascii="宋体" w:hAnsi="宋体" w:eastAsia="宋体" w:cs="宋体"/>
          <w:b/>
          <w:bCs/>
          <w:snapToGrid w:val="0"/>
          <w:color w:val="auto"/>
          <w:kern w:val="0"/>
          <w:sz w:val="24"/>
          <w:highlight w:val="none"/>
        </w:rPr>
        <w:t>6．现场踏勘</w:t>
      </w:r>
      <w:bookmarkEnd w:id="118"/>
      <w:bookmarkEnd w:id="119"/>
      <w:bookmarkEnd w:id="120"/>
      <w:bookmarkEnd w:id="121"/>
      <w:bookmarkEnd w:id="122"/>
      <w:bookmarkEnd w:id="123"/>
      <w:bookmarkEnd w:id="124"/>
      <w:bookmarkEnd w:id="125"/>
      <w:bookmarkEnd w:id="126"/>
      <w:bookmarkEnd w:id="127"/>
      <w:bookmarkEnd w:id="128"/>
    </w:p>
    <w:p w14:paraId="22E52299">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6.1</w:t>
      </w:r>
      <w:r>
        <w:rPr>
          <w:rFonts w:hint="eastAsia" w:ascii="宋体" w:hAnsi="宋体" w:eastAsia="宋体" w:cs="宋体"/>
          <w:snapToGrid w:val="0"/>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0178FF18">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6.2</w:t>
      </w:r>
      <w:r>
        <w:rPr>
          <w:rFonts w:hint="eastAsia" w:ascii="宋体" w:hAnsi="宋体" w:eastAsia="宋体" w:cs="宋体"/>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14:paraId="62FAF79C">
      <w:pPr>
        <w:shd w:val="clear"/>
        <w:wordWrap w:val="0"/>
        <w:adjustRightInd w:val="0"/>
        <w:snapToGrid w:val="0"/>
        <w:spacing w:line="440" w:lineRule="exact"/>
        <w:ind w:firstLine="560"/>
        <w:rPr>
          <w:rFonts w:hint="eastAsia" w:ascii="宋体" w:hAnsi="宋体" w:eastAsia="宋体" w:cs="宋体"/>
          <w:b/>
          <w:snapToGrid w:val="0"/>
          <w:color w:val="auto"/>
          <w:highlight w:val="none"/>
        </w:rPr>
      </w:pPr>
      <w:r>
        <w:rPr>
          <w:rFonts w:hint="eastAsia" w:ascii="宋体" w:hAnsi="宋体" w:eastAsia="宋体" w:cs="宋体"/>
          <w:b/>
          <w:bCs/>
          <w:snapToGrid w:val="0"/>
          <w:color w:val="auto"/>
          <w:kern w:val="0"/>
          <w:highlight w:val="none"/>
        </w:rPr>
        <w:t>6.3</w:t>
      </w:r>
      <w:r>
        <w:rPr>
          <w:rFonts w:hint="eastAsia" w:ascii="宋体" w:hAnsi="宋体" w:eastAsia="宋体" w:cs="宋体"/>
          <w:snapToGrid w:val="0"/>
          <w:color w:val="auto"/>
          <w:kern w:val="0"/>
          <w:highlight w:val="none"/>
        </w:rPr>
        <w:t xml:space="preserve"> 现场踏勘期间的交通、食宿由投标人自行安排，费用自理。</w:t>
      </w:r>
      <w:bookmarkStart w:id="129" w:name="_Toc18204"/>
    </w:p>
    <w:p w14:paraId="2A008D80">
      <w:pPr>
        <w:shd w:val="clear"/>
        <w:rPr>
          <w:rFonts w:hint="eastAsia" w:ascii="宋体" w:hAnsi="宋体" w:eastAsia="宋体" w:cs="宋体"/>
          <w:color w:val="auto"/>
          <w:highlight w:val="none"/>
        </w:rPr>
      </w:pPr>
      <w:bookmarkStart w:id="130" w:name="_Toc6401"/>
      <w:bookmarkStart w:id="131" w:name="_Toc15184"/>
      <w:bookmarkStart w:id="132" w:name="_Toc6981"/>
      <w:bookmarkStart w:id="133" w:name="_Toc6787"/>
      <w:bookmarkStart w:id="134" w:name="_Toc6725"/>
      <w:bookmarkStart w:id="135" w:name="_Toc16304"/>
      <w:bookmarkStart w:id="136" w:name="_Toc8820"/>
      <w:bookmarkStart w:id="137" w:name="_Toc10436"/>
      <w:bookmarkStart w:id="138" w:name="_Toc30051"/>
      <w:bookmarkStart w:id="139" w:name="_Toc22022"/>
    </w:p>
    <w:p w14:paraId="290BC950">
      <w:pPr>
        <w:pStyle w:val="5"/>
        <w:shd w:val="clear"/>
        <w:jc w:val="left"/>
        <w:rPr>
          <w:rFonts w:hint="eastAsia" w:ascii="宋体" w:hAnsi="宋体" w:eastAsia="宋体" w:cs="宋体"/>
          <w:b/>
          <w:bCs/>
          <w:snapToGrid w:val="0"/>
          <w:color w:val="auto"/>
          <w:szCs w:val="24"/>
          <w:highlight w:val="none"/>
        </w:rPr>
      </w:pPr>
      <w:bookmarkStart w:id="140" w:name="_Toc1792"/>
      <w:r>
        <w:rPr>
          <w:rFonts w:hint="eastAsia" w:ascii="宋体" w:hAnsi="宋体" w:eastAsia="宋体" w:cs="宋体"/>
          <w:b/>
          <w:bCs/>
          <w:snapToGrid w:val="0"/>
          <w:color w:val="auto"/>
          <w:szCs w:val="24"/>
          <w:highlight w:val="none"/>
        </w:rPr>
        <w:t>7．招标文件的提问和答疑</w:t>
      </w:r>
      <w:bookmarkEnd w:id="129"/>
      <w:bookmarkEnd w:id="130"/>
      <w:bookmarkEnd w:id="131"/>
      <w:bookmarkEnd w:id="132"/>
      <w:bookmarkEnd w:id="133"/>
      <w:bookmarkEnd w:id="134"/>
      <w:bookmarkEnd w:id="135"/>
      <w:bookmarkEnd w:id="136"/>
      <w:bookmarkEnd w:id="137"/>
      <w:bookmarkEnd w:id="138"/>
      <w:bookmarkEnd w:id="139"/>
      <w:bookmarkEnd w:id="140"/>
      <w:bookmarkStart w:id="141" w:name="_Hlt74496410"/>
      <w:bookmarkEnd w:id="141"/>
    </w:p>
    <w:p w14:paraId="3B6916AE">
      <w:pPr>
        <w:shd w:val="clear"/>
        <w:wordWrap w:val="0"/>
        <w:adjustRightInd w:val="0"/>
        <w:snapToGrid w:val="0"/>
        <w:spacing w:line="440" w:lineRule="exact"/>
        <w:ind w:firstLine="482" w:firstLineChars="200"/>
        <w:rPr>
          <w:rFonts w:hint="eastAsia" w:ascii="宋体" w:hAnsi="宋体" w:eastAsia="宋体" w:cs="宋体"/>
          <w:snapToGrid w:val="0"/>
          <w:color w:val="auto"/>
          <w:kern w:val="0"/>
          <w:szCs w:val="24"/>
          <w:highlight w:val="none"/>
          <w:lang w:bidi="ar"/>
        </w:rPr>
      </w:pPr>
      <w:r>
        <w:rPr>
          <w:rFonts w:hint="eastAsia" w:ascii="宋体" w:hAnsi="宋体" w:eastAsia="宋体" w:cs="宋体"/>
          <w:b/>
          <w:bCs/>
          <w:snapToGrid w:val="0"/>
          <w:color w:val="auto"/>
          <w:kern w:val="0"/>
          <w:highlight w:val="none"/>
        </w:rPr>
        <w:t>7.1</w:t>
      </w:r>
      <w:r>
        <w:rPr>
          <w:rFonts w:hint="eastAsia" w:ascii="宋体" w:hAnsi="宋体" w:eastAsia="宋体" w:cs="宋体"/>
          <w:snapToGrid w:val="0"/>
          <w:color w:val="auto"/>
          <w:kern w:val="0"/>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ascii="宋体" w:hAnsi="宋体" w:eastAsia="宋体" w:cs="宋体"/>
          <w:snapToGrid w:val="0"/>
          <w:color w:val="auto"/>
          <w:kern w:val="0"/>
          <w:szCs w:val="24"/>
          <w:highlight w:val="none"/>
          <w:lang w:bidi="ar"/>
        </w:rPr>
        <w:t>。</w:t>
      </w:r>
    </w:p>
    <w:p w14:paraId="23401349">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7.2 </w:t>
      </w:r>
      <w:r>
        <w:rPr>
          <w:rFonts w:hint="eastAsia" w:ascii="宋体" w:hAnsi="宋体" w:eastAsia="宋体" w:cs="宋体"/>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4D129CA">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7.3</w:t>
      </w:r>
      <w:r>
        <w:rPr>
          <w:rFonts w:hint="eastAsia" w:ascii="宋体" w:hAnsi="宋体" w:eastAsia="宋体" w:cs="宋体"/>
          <w:snapToGrid w:val="0"/>
          <w:color w:val="auto"/>
          <w:kern w:val="0"/>
          <w:highlight w:val="none"/>
        </w:rPr>
        <w:t xml:space="preserve"> 招标人对招标文件所作的答疑（或修改）公告，构成招标文件的组成部分。</w:t>
      </w:r>
    </w:p>
    <w:p w14:paraId="1829DC65">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p>
    <w:p w14:paraId="6757F475">
      <w:pPr>
        <w:pStyle w:val="5"/>
        <w:shd w:val="clear"/>
        <w:jc w:val="left"/>
        <w:rPr>
          <w:rFonts w:hint="eastAsia" w:ascii="宋体" w:hAnsi="宋体" w:eastAsia="宋体" w:cs="宋体"/>
          <w:b/>
          <w:snapToGrid w:val="0"/>
          <w:color w:val="auto"/>
          <w:highlight w:val="none"/>
        </w:rPr>
      </w:pPr>
      <w:bookmarkStart w:id="142" w:name="_Hlt92513711"/>
      <w:bookmarkEnd w:id="142"/>
      <w:bookmarkStart w:id="143" w:name="_Hlt69699188"/>
      <w:bookmarkEnd w:id="143"/>
      <w:bookmarkStart w:id="144" w:name="_Hlt92513715"/>
      <w:bookmarkEnd w:id="144"/>
      <w:bookmarkStart w:id="145" w:name="_Toc15770"/>
      <w:bookmarkStart w:id="146" w:name="_Toc18725"/>
      <w:bookmarkStart w:id="147" w:name="_Toc14436"/>
      <w:bookmarkStart w:id="148" w:name="_Toc7759"/>
      <w:bookmarkStart w:id="149" w:name="_Toc24190"/>
      <w:bookmarkStart w:id="150" w:name="_Toc1345"/>
      <w:bookmarkStart w:id="151" w:name="_Toc3519"/>
      <w:bookmarkStart w:id="152" w:name="_Toc23139"/>
      <w:bookmarkStart w:id="153" w:name="_Toc32242"/>
      <w:bookmarkStart w:id="154" w:name="_Toc957"/>
      <w:bookmarkStart w:id="155" w:name="_Toc29587"/>
      <w:bookmarkStart w:id="156" w:name="_Toc29680"/>
      <w:r>
        <w:rPr>
          <w:rFonts w:hint="eastAsia" w:ascii="宋体" w:hAnsi="宋体" w:eastAsia="宋体" w:cs="宋体"/>
          <w:b/>
          <w:snapToGrid w:val="0"/>
          <w:color w:val="auto"/>
          <w:highlight w:val="none"/>
        </w:rPr>
        <w:t>8．最高投标限价</w:t>
      </w:r>
      <w:bookmarkEnd w:id="145"/>
      <w:bookmarkEnd w:id="146"/>
      <w:bookmarkEnd w:id="147"/>
      <w:bookmarkEnd w:id="148"/>
      <w:bookmarkEnd w:id="149"/>
      <w:bookmarkEnd w:id="150"/>
      <w:bookmarkEnd w:id="151"/>
      <w:bookmarkEnd w:id="152"/>
      <w:bookmarkEnd w:id="153"/>
      <w:bookmarkEnd w:id="154"/>
      <w:bookmarkEnd w:id="155"/>
    </w:p>
    <w:p w14:paraId="6896ED42">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8.1</w:t>
      </w:r>
      <w:r>
        <w:rPr>
          <w:rFonts w:hint="eastAsia" w:ascii="宋体" w:hAnsi="宋体" w:eastAsia="宋体" w:cs="宋体"/>
          <w:snapToGrid w:val="0"/>
          <w:color w:val="auto"/>
          <w:kern w:val="0"/>
          <w:highlight w:val="none"/>
        </w:rPr>
        <w:t xml:space="preserve"> 本招标项目参考以下依据编制最高投标限价：</w:t>
      </w:r>
    </w:p>
    <w:p w14:paraId="355E195C">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（1）项目</w:t>
      </w:r>
      <w:r>
        <w:rPr>
          <w:rFonts w:hint="eastAsia" w:ascii="宋体" w:hAnsi="宋体" w:eastAsia="宋体" w:cs="宋体"/>
          <w:snapToGrid w:val="0"/>
          <w:color w:val="auto"/>
          <w:kern w:val="0"/>
          <w:highlight w:val="none"/>
          <w:u w:val="single"/>
        </w:rPr>
        <w:t>概算</w:t>
      </w:r>
      <w:r>
        <w:rPr>
          <w:rFonts w:hint="eastAsia" w:ascii="宋体" w:hAnsi="宋体" w:eastAsia="宋体" w:cs="宋体"/>
          <w:snapToGrid w:val="0"/>
          <w:color w:val="auto"/>
          <w:kern w:val="0"/>
          <w:highlight w:val="none"/>
        </w:rPr>
        <w:t>投资额</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lang w:val="en-US" w:eastAsia="zh-CN"/>
        </w:rPr>
        <w:t>参考建安费</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w:t>
      </w:r>
    </w:p>
    <w:p w14:paraId="7256B24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（2）《建设工程监理与相关服务收费标准》；</w:t>
      </w:r>
    </w:p>
    <w:p w14:paraId="2842AD62">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（3）监理及相关服务内容；</w:t>
      </w:r>
    </w:p>
    <w:p w14:paraId="5065A94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（4）施工现场情况、工程特点；</w:t>
      </w:r>
    </w:p>
    <w:p w14:paraId="7C34BFA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（5）项目所在地市场价格。</w:t>
      </w:r>
    </w:p>
    <w:p w14:paraId="1F2C1E84">
      <w:pPr>
        <w:shd w:val="clear"/>
        <w:wordWrap w:val="0"/>
        <w:adjustRightInd w:val="0"/>
        <w:snapToGrid w:val="0"/>
        <w:spacing w:line="440" w:lineRule="exact"/>
        <w:ind w:firstLine="480" w:firstLineChars="200"/>
        <w:rPr>
          <w:rFonts w:hint="eastAsia" w:ascii="宋体" w:hAnsi="宋体" w:eastAsia="宋体" w:cs="宋体"/>
          <w:b/>
          <w:bCs/>
          <w:snapToGrid w:val="0"/>
          <w:color w:val="auto"/>
          <w:kern w:val="0"/>
          <w:highlight w:val="none"/>
          <w:u w:val="single"/>
          <w:lang w:val="en-US" w:eastAsia="zh-CN"/>
        </w:rPr>
      </w:pPr>
      <w:r>
        <w:rPr>
          <w:rFonts w:hint="eastAsia" w:ascii="宋体" w:hAnsi="宋体" w:eastAsia="宋体" w:cs="宋体"/>
          <w:b w:val="0"/>
          <w:bCs w:val="0"/>
          <w:snapToGrid w:val="0"/>
          <w:color w:val="auto"/>
          <w:kern w:val="0"/>
          <w:highlight w:val="none"/>
        </w:rPr>
        <w:t xml:space="preserve">8.2 </w:t>
      </w:r>
      <w:bookmarkStart w:id="157" w:name="_Toc21815"/>
      <w:bookmarkStart w:id="158" w:name="_Toc30700"/>
      <w:bookmarkStart w:id="159" w:name="_Toc22817"/>
      <w:bookmarkStart w:id="160" w:name="_Toc24249"/>
      <w:bookmarkStart w:id="161" w:name="_Toc5916"/>
      <w:bookmarkStart w:id="162" w:name="_Toc18554"/>
      <w:bookmarkStart w:id="163" w:name="_Toc9190"/>
      <w:bookmarkStart w:id="164" w:name="_Toc15920"/>
      <w:bookmarkStart w:id="165" w:name="_Toc2756"/>
      <w:bookmarkStart w:id="166" w:name="_Toc26159"/>
      <w:bookmarkStart w:id="167" w:name="_Toc27909"/>
      <w:r>
        <w:rPr>
          <w:rFonts w:hint="eastAsia" w:ascii="宋体" w:hAnsi="宋体" w:eastAsia="宋体" w:cs="宋体"/>
          <w:b w:val="0"/>
          <w:bCs w:val="0"/>
          <w:snapToGrid w:val="0"/>
          <w:color w:val="auto"/>
          <w:kern w:val="0"/>
          <w:highlight w:val="none"/>
          <w:lang w:val="en-US" w:eastAsia="zh-CN"/>
        </w:rPr>
        <w:t>本次招标最高投标限价为人民币（大写）：</w:t>
      </w:r>
      <w:r>
        <w:rPr>
          <w:rFonts w:hint="eastAsia" w:hAnsi="宋体" w:cs="宋体"/>
          <w:b/>
          <w:bCs/>
          <w:snapToGrid w:val="0"/>
          <w:color w:val="auto"/>
          <w:kern w:val="0"/>
          <w:highlight w:val="none"/>
          <w:u w:val="single"/>
          <w:lang w:val="en-US" w:eastAsia="zh-CN"/>
        </w:rPr>
        <w:t>贰拾肆万肆仟玖佰柒拾元陆角整（¥244970.60元）</w:t>
      </w:r>
    </w:p>
    <w:p w14:paraId="01EC1261">
      <w:pPr>
        <w:pStyle w:val="29"/>
        <w:spacing w:line="240" w:lineRule="auto"/>
        <w:rPr>
          <w:rFonts w:hint="eastAsia"/>
          <w:lang w:val="en-US" w:eastAsia="zh-CN"/>
        </w:rPr>
      </w:pPr>
    </w:p>
    <w:p w14:paraId="1A0290BB">
      <w:pPr>
        <w:pStyle w:val="5"/>
        <w:shd w:val="clear"/>
        <w:jc w:val="left"/>
        <w:rPr>
          <w:rFonts w:hint="eastAsia" w:ascii="宋体" w:hAnsi="宋体" w:eastAsia="宋体" w:cs="宋体"/>
          <w:b/>
          <w:snapToGrid w:val="0"/>
          <w:color w:val="auto"/>
          <w:highlight w:val="none"/>
        </w:rPr>
      </w:pPr>
      <w:r>
        <w:rPr>
          <w:rFonts w:hint="eastAsia" w:ascii="宋体" w:hAnsi="宋体" w:eastAsia="宋体" w:cs="宋体"/>
          <w:b/>
          <w:snapToGrid w:val="0"/>
          <w:color w:val="auto"/>
          <w:highlight w:val="none"/>
        </w:rPr>
        <w:t>9．投标报价</w:t>
      </w:r>
      <w:bookmarkEnd w:id="156"/>
      <w:bookmarkEnd w:id="157"/>
      <w:bookmarkEnd w:id="158"/>
      <w:bookmarkEnd w:id="159"/>
      <w:bookmarkEnd w:id="160"/>
      <w:bookmarkEnd w:id="161"/>
      <w:bookmarkEnd w:id="162"/>
      <w:bookmarkEnd w:id="163"/>
      <w:bookmarkEnd w:id="164"/>
      <w:bookmarkEnd w:id="165"/>
      <w:bookmarkEnd w:id="166"/>
      <w:bookmarkEnd w:id="167"/>
      <w:bookmarkStart w:id="576" w:name="_GoBack"/>
      <w:bookmarkEnd w:id="576"/>
      <w:bookmarkStart w:id="168" w:name="_Hlt74498519"/>
      <w:bookmarkEnd w:id="168"/>
    </w:p>
    <w:p w14:paraId="55684B0C">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9.1</w:t>
      </w:r>
      <w:r>
        <w:rPr>
          <w:rFonts w:hint="eastAsia" w:ascii="宋体" w:hAnsi="宋体" w:eastAsia="宋体" w:cs="宋体"/>
          <w:snapToGrid w:val="0"/>
          <w:color w:val="auto"/>
          <w:kern w:val="0"/>
          <w:highlight w:val="none"/>
        </w:rPr>
        <w:t xml:space="preserve"> 本次招标采用填报</w:t>
      </w:r>
      <w:r>
        <w:rPr>
          <w:rFonts w:hint="eastAsia" w:ascii="宋体" w:hAnsi="宋体" w:eastAsia="宋体" w:cs="宋体"/>
          <w:snapToGrid w:val="0"/>
          <w:color w:val="auto"/>
          <w:kern w:val="0"/>
          <w:szCs w:val="24"/>
          <w:highlight w:val="none"/>
          <w:u w:val="single"/>
        </w:rPr>
        <w:t>固定总价（包干价）</w:t>
      </w:r>
      <w:r>
        <w:rPr>
          <w:rFonts w:hint="eastAsia" w:ascii="宋体" w:hAnsi="宋体" w:eastAsia="宋体" w:cs="宋体"/>
          <w:snapToGrid w:val="0"/>
          <w:color w:val="auto"/>
          <w:kern w:val="0"/>
          <w:highlight w:val="none"/>
        </w:rPr>
        <w:t>的方式进行报价。投标人应在《投标函》（格式二）中进行报价并填写《监理及相关服务报酬清单》（格式十</w:t>
      </w:r>
      <w:r>
        <w:rPr>
          <w:rFonts w:hint="eastAsia" w:ascii="宋体" w:hAnsi="宋体" w:eastAsia="宋体" w:cs="宋体"/>
          <w:snapToGrid w:val="0"/>
          <w:color w:val="auto"/>
          <w:kern w:val="0"/>
          <w:highlight w:val="none"/>
          <w:lang w:val="en-US" w:eastAsia="zh-CN"/>
        </w:rPr>
        <w:t>三</w:t>
      </w:r>
      <w:r>
        <w:rPr>
          <w:rFonts w:hint="eastAsia" w:ascii="宋体" w:hAnsi="宋体" w:eastAsia="宋体" w:cs="宋体"/>
          <w:snapToGrid w:val="0"/>
          <w:color w:val="auto"/>
          <w:kern w:val="0"/>
          <w:highlight w:val="none"/>
        </w:rPr>
        <w:t>）。</w:t>
      </w:r>
    </w:p>
    <w:p w14:paraId="4B7C9AB4">
      <w:pPr>
        <w:shd w:val="clear"/>
        <w:wordWrap w:val="0"/>
        <w:adjustRightInd w:val="0"/>
        <w:snapToGrid w:val="0"/>
        <w:spacing w:line="440" w:lineRule="exact"/>
        <w:ind w:firstLine="482" w:firstLineChars="200"/>
        <w:rPr>
          <w:rFonts w:hint="eastAsia" w:ascii="宋体" w:hAnsi="宋体" w:eastAsia="宋体" w:cs="宋体"/>
          <w:b/>
          <w:bCs/>
          <w:color w:val="auto"/>
          <w:kern w:val="0"/>
          <w:szCs w:val="24"/>
          <w:highlight w:val="none"/>
          <w:lang w:bidi="ar"/>
        </w:rPr>
      </w:pPr>
      <w:r>
        <w:rPr>
          <w:rFonts w:hint="eastAsia" w:ascii="宋体" w:hAnsi="宋体" w:eastAsia="宋体" w:cs="宋体"/>
          <w:b/>
          <w:bCs/>
          <w:snapToGrid w:val="0"/>
          <w:color w:val="auto"/>
          <w:kern w:val="0"/>
          <w:highlight w:val="none"/>
        </w:rPr>
        <w:t>9.2</w:t>
      </w:r>
      <w:r>
        <w:rPr>
          <w:rFonts w:hint="eastAsia" w:ascii="宋体" w:hAnsi="宋体" w:eastAsia="宋体" w:cs="宋体"/>
          <w:snapToGrid w:val="0"/>
          <w:color w:val="auto"/>
          <w:kern w:val="0"/>
          <w:highlight w:val="none"/>
        </w:rPr>
        <w:t xml:space="preserve"> 所有报价均以人民币“元”为单位，并</w:t>
      </w:r>
      <w:r>
        <w:rPr>
          <w:rFonts w:hint="eastAsia" w:ascii="宋体" w:hAnsi="宋体" w:eastAsia="宋体" w:cs="宋体"/>
          <w:snapToGrid w:val="0"/>
          <w:color w:val="auto"/>
          <w:kern w:val="0"/>
          <w:highlight w:val="none"/>
          <w:lang w:val="en-US" w:eastAsia="zh-CN"/>
        </w:rPr>
        <w:t>按“四舍五入”原则精确到</w:t>
      </w:r>
      <w:r>
        <w:rPr>
          <w:rFonts w:hint="eastAsia" w:ascii="宋体" w:hAnsi="宋体" w:eastAsia="宋体" w:cs="宋体"/>
          <w:snapToGrid w:val="0"/>
          <w:color w:val="auto"/>
          <w:kern w:val="0"/>
          <w:highlight w:val="none"/>
        </w:rPr>
        <w:t>两位小数；</w:t>
      </w:r>
    </w:p>
    <w:p w14:paraId="0B5B57B5">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9.3</w:t>
      </w:r>
      <w:r>
        <w:rPr>
          <w:rFonts w:hint="eastAsia" w:ascii="宋体" w:hAnsi="宋体" w:eastAsia="宋体" w:cs="宋体"/>
          <w:snapToGrid w:val="0"/>
          <w:color w:val="auto"/>
          <w:kern w:val="0"/>
          <w:highlight w:val="none"/>
        </w:rPr>
        <w:t xml:space="preserve"> 投标人只允许有一个投标总价。投标总价必须同时用大、小写表示，大、小写报价应保持一致，若不一致，以大写报价为准。</w:t>
      </w:r>
    </w:p>
    <w:p w14:paraId="24DC172F">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lang w:eastAsia="zh-CN"/>
        </w:rPr>
      </w:pPr>
      <w:r>
        <w:rPr>
          <w:rFonts w:hint="eastAsia" w:ascii="宋体" w:hAnsi="宋体" w:eastAsia="宋体" w:cs="宋体"/>
          <w:b/>
          <w:bCs/>
          <w:snapToGrid w:val="0"/>
          <w:color w:val="auto"/>
          <w:kern w:val="0"/>
          <w:highlight w:val="none"/>
        </w:rPr>
        <w:t>9.</w:t>
      </w:r>
      <w:r>
        <w:rPr>
          <w:rFonts w:hint="eastAsia" w:ascii="宋体" w:hAnsi="宋体" w:eastAsia="宋体" w:cs="宋体"/>
          <w:b/>
          <w:bCs/>
          <w:snapToGrid w:val="0"/>
          <w:color w:val="auto"/>
          <w:kern w:val="0"/>
          <w:highlight w:val="none"/>
          <w:lang w:val="en-US" w:eastAsia="zh-CN"/>
        </w:rPr>
        <w:t>4</w:t>
      </w:r>
      <w:r>
        <w:rPr>
          <w:rFonts w:hint="eastAsia" w:ascii="宋体" w:hAnsi="宋体" w:eastAsia="宋体" w:cs="宋体"/>
          <w:snapToGrid w:val="0"/>
          <w:color w:val="auto"/>
          <w:kern w:val="0"/>
          <w:highlight w:val="none"/>
        </w:rPr>
        <w:t xml:space="preserve"> 投标总价应包括国家规定的增值税税金。本次招标增值税税金按</w:t>
      </w:r>
      <w:r>
        <w:rPr>
          <w:rFonts w:hint="eastAsia" w:ascii="宋体" w:hAnsi="宋体" w:eastAsia="宋体" w:cs="宋体"/>
          <w:snapToGrid w:val="0"/>
          <w:color w:val="auto"/>
          <w:kern w:val="0"/>
          <w:highlight w:val="none"/>
          <w:u w:val="single"/>
        </w:rPr>
        <w:t xml:space="preserve"> 一般 </w:t>
      </w:r>
      <w:r>
        <w:rPr>
          <w:rFonts w:hint="eastAsia" w:ascii="宋体" w:hAnsi="宋体" w:eastAsia="宋体" w:cs="宋体"/>
          <w:snapToGrid w:val="0"/>
          <w:color w:val="auto"/>
          <w:kern w:val="0"/>
          <w:highlight w:val="none"/>
        </w:rPr>
        <w:t>计税方法计算</w:t>
      </w:r>
      <w:r>
        <w:rPr>
          <w:rFonts w:hint="eastAsia" w:ascii="宋体" w:hAnsi="宋体" w:eastAsia="宋体" w:cs="宋体"/>
          <w:snapToGrid w:val="0"/>
          <w:color w:val="auto"/>
          <w:kern w:val="0"/>
          <w:highlight w:val="none"/>
          <w:lang w:eastAsia="zh-CN"/>
        </w:rPr>
        <w:t>。</w:t>
      </w:r>
    </w:p>
    <w:p w14:paraId="656A3298">
      <w:pPr>
        <w:shd w:val="clear"/>
        <w:wordWrap w:val="0"/>
        <w:adjustRightInd w:val="0"/>
        <w:snapToGrid w:val="0"/>
        <w:spacing w:line="440" w:lineRule="exact"/>
        <w:ind w:firstLine="48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9.</w:t>
      </w:r>
      <w:r>
        <w:rPr>
          <w:rFonts w:hint="eastAsia" w:ascii="宋体" w:hAnsi="宋体" w:eastAsia="宋体" w:cs="宋体"/>
          <w:b/>
          <w:bCs/>
          <w:snapToGrid w:val="0"/>
          <w:color w:val="auto"/>
          <w:kern w:val="0"/>
          <w:highlight w:val="none"/>
          <w:lang w:val="en-US" w:eastAsia="zh-CN"/>
        </w:rPr>
        <w:t>5</w:t>
      </w:r>
      <w:r>
        <w:rPr>
          <w:rFonts w:hint="eastAsia" w:ascii="宋体" w:hAnsi="宋体" w:eastAsia="宋体" w:cs="宋体"/>
          <w:snapToGrid w:val="0"/>
          <w:color w:val="auto"/>
          <w:kern w:val="0"/>
          <w:highlight w:val="none"/>
        </w:rPr>
        <w:t xml:space="preserve"> 投标总价不得高于最高投标限价，也不得低于成本。投标总价的所有优惠（降价、让利等），均应在《监理及相关服务报酬清单》（格式十</w:t>
      </w:r>
      <w:r>
        <w:rPr>
          <w:rFonts w:hint="eastAsia" w:ascii="宋体" w:hAnsi="宋体" w:eastAsia="宋体" w:cs="宋体"/>
          <w:snapToGrid w:val="0"/>
          <w:color w:val="auto"/>
          <w:kern w:val="0"/>
          <w:highlight w:val="none"/>
          <w:lang w:val="en-US" w:eastAsia="zh-CN"/>
        </w:rPr>
        <w:t>三</w:t>
      </w:r>
      <w:r>
        <w:rPr>
          <w:rFonts w:hint="eastAsia" w:ascii="宋体" w:hAnsi="宋体" w:eastAsia="宋体" w:cs="宋体"/>
          <w:snapToGrid w:val="0"/>
          <w:color w:val="auto"/>
          <w:kern w:val="0"/>
          <w:highlight w:val="none"/>
        </w:rPr>
        <w:t>）中反映。</w:t>
      </w:r>
    </w:p>
    <w:p w14:paraId="482C2679">
      <w:pPr>
        <w:shd w:val="clear"/>
        <w:wordWrap w:val="0"/>
        <w:adjustRightInd w:val="0"/>
        <w:snapToGrid w:val="0"/>
        <w:spacing w:line="440" w:lineRule="exact"/>
        <w:ind w:firstLine="48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9.</w:t>
      </w:r>
      <w:r>
        <w:rPr>
          <w:rFonts w:hint="eastAsia" w:ascii="宋体" w:hAnsi="宋体" w:eastAsia="宋体" w:cs="宋体"/>
          <w:b/>
          <w:bCs/>
          <w:snapToGrid w:val="0"/>
          <w:color w:val="auto"/>
          <w:kern w:val="0"/>
          <w:highlight w:val="none"/>
          <w:lang w:val="en-US" w:eastAsia="zh-CN"/>
        </w:rPr>
        <w:t>6</w:t>
      </w:r>
      <w:r>
        <w:rPr>
          <w:rFonts w:hint="eastAsia" w:ascii="宋体" w:hAnsi="宋体" w:eastAsia="宋体" w:cs="宋体"/>
          <w:snapToGrid w:val="0"/>
          <w:color w:val="auto"/>
          <w:kern w:val="0"/>
          <w:highlight w:val="none"/>
        </w:rPr>
        <w:t xml:space="preserve"> 投标人应充分了解招标项目的总体情况以及影响投标报价的其他要素。</w:t>
      </w:r>
    </w:p>
    <w:p w14:paraId="58948191">
      <w:pPr>
        <w:shd w:val="clear"/>
        <w:spacing w:line="240" w:lineRule="auto"/>
        <w:rPr>
          <w:rFonts w:hint="eastAsia" w:ascii="宋体" w:hAnsi="宋体" w:eastAsia="宋体" w:cs="宋体"/>
          <w:color w:val="auto"/>
          <w:highlight w:val="none"/>
        </w:rPr>
      </w:pPr>
      <w:bookmarkStart w:id="169" w:name="_（十）投标文件的编制、包装、密封"/>
      <w:bookmarkEnd w:id="169"/>
      <w:bookmarkStart w:id="170" w:name="_Toc28889"/>
    </w:p>
    <w:p w14:paraId="0A067025">
      <w:pPr>
        <w:pStyle w:val="5"/>
        <w:shd w:val="clear"/>
        <w:jc w:val="left"/>
        <w:rPr>
          <w:rFonts w:hint="eastAsia" w:ascii="宋体" w:hAnsi="宋体" w:eastAsia="宋体" w:cs="宋体"/>
          <w:b/>
          <w:strike/>
          <w:snapToGrid w:val="0"/>
          <w:color w:val="auto"/>
          <w:highlight w:val="none"/>
        </w:rPr>
      </w:pPr>
      <w:bookmarkStart w:id="171" w:name="_Toc15831"/>
      <w:bookmarkStart w:id="172" w:name="_Toc7646"/>
      <w:bookmarkStart w:id="173" w:name="_Toc11933"/>
      <w:bookmarkStart w:id="174" w:name="_Toc28756"/>
      <w:bookmarkStart w:id="175" w:name="_Toc25496"/>
      <w:bookmarkStart w:id="176" w:name="_Toc1394"/>
      <w:bookmarkStart w:id="177" w:name="_Toc21396"/>
      <w:bookmarkStart w:id="178" w:name="_Toc22075"/>
      <w:bookmarkStart w:id="179" w:name="_Toc25728"/>
      <w:bookmarkStart w:id="180" w:name="_Toc28199"/>
      <w:bookmarkStart w:id="181" w:name="_Toc15406"/>
      <w:r>
        <w:rPr>
          <w:rFonts w:hint="eastAsia" w:ascii="宋体" w:hAnsi="宋体" w:eastAsia="宋体" w:cs="宋体"/>
          <w:b/>
          <w:snapToGrid w:val="0"/>
          <w:color w:val="auto"/>
          <w:highlight w:val="none"/>
        </w:rPr>
        <w:t>10．投标文件的编制</w:t>
      </w:r>
      <w:bookmarkStart w:id="182" w:name="_Hlt69332370"/>
      <w:bookmarkEnd w:id="182"/>
      <w:bookmarkStart w:id="183" w:name="_Hlt69208262"/>
      <w:bookmarkEnd w:id="183"/>
      <w:r>
        <w:rPr>
          <w:rFonts w:hint="eastAsia" w:ascii="宋体" w:hAnsi="宋体" w:eastAsia="宋体" w:cs="宋体"/>
          <w:b/>
          <w:snapToGrid w:val="0"/>
          <w:color w:val="auto"/>
          <w:highlight w:val="none"/>
        </w:rPr>
        <w:t>要求</w:t>
      </w:r>
      <w:bookmarkEnd w:id="170"/>
      <w:bookmarkEnd w:id="171"/>
      <w:bookmarkEnd w:id="172"/>
      <w:bookmarkEnd w:id="173"/>
      <w:bookmarkEnd w:id="174"/>
      <w:bookmarkEnd w:id="175"/>
      <w:bookmarkEnd w:id="176"/>
      <w:bookmarkEnd w:id="177"/>
      <w:bookmarkEnd w:id="178"/>
      <w:bookmarkEnd w:id="179"/>
      <w:bookmarkEnd w:id="180"/>
      <w:bookmarkEnd w:id="181"/>
      <w:bookmarkStart w:id="184" w:name="_Hlt78768224"/>
      <w:bookmarkEnd w:id="184"/>
      <w:bookmarkStart w:id="185" w:name="_Hlt74497202"/>
      <w:bookmarkEnd w:id="185"/>
      <w:bookmarkStart w:id="186" w:name="_Hlt74495594"/>
      <w:bookmarkEnd w:id="186"/>
      <w:bookmarkStart w:id="187" w:name="_Toc17114"/>
    </w:p>
    <w:p w14:paraId="5E3A7BCB">
      <w:pPr>
        <w:shd w:val="clear"/>
        <w:wordWrap w:val="0"/>
        <w:adjustRightInd w:val="0"/>
        <w:snapToGrid w:val="0"/>
        <w:spacing w:line="440" w:lineRule="exact"/>
        <w:ind w:firstLine="482" w:firstLineChars="200"/>
        <w:rPr>
          <w:rFonts w:hint="eastAsia" w:ascii="宋体" w:hAnsi="宋体" w:eastAsia="宋体" w:cs="宋体"/>
          <w:b/>
          <w:snapToGrid w:val="0"/>
          <w:color w:val="auto"/>
          <w:kern w:val="0"/>
          <w:highlight w:val="none"/>
        </w:rPr>
      </w:pPr>
      <w:bookmarkStart w:id="188" w:name="_Toc7699"/>
      <w:r>
        <w:rPr>
          <w:rFonts w:hint="eastAsia" w:ascii="宋体" w:hAnsi="宋体" w:eastAsia="宋体" w:cs="宋体"/>
          <w:b/>
          <w:bCs/>
          <w:snapToGrid w:val="0"/>
          <w:color w:val="auto"/>
          <w:kern w:val="0"/>
          <w:highlight w:val="none"/>
        </w:rPr>
        <w:t>10.1</w:t>
      </w:r>
      <w:r>
        <w:rPr>
          <w:rFonts w:hint="eastAsia" w:ascii="宋体" w:hAnsi="宋体" w:eastAsia="宋体" w:cs="宋体"/>
          <w:bCs/>
          <w:snapToGrid w:val="0"/>
          <w:color w:val="auto"/>
          <w:kern w:val="0"/>
          <w:highlight w:val="none"/>
        </w:rPr>
        <w:t xml:space="preserve"> 一般要求</w:t>
      </w:r>
      <w:bookmarkEnd w:id="187"/>
      <w:bookmarkEnd w:id="188"/>
    </w:p>
    <w:p w14:paraId="0EA710B1">
      <w:pPr>
        <w:pStyle w:val="8"/>
        <w:shd w:val="clear"/>
        <w:wordWrap w:val="0"/>
        <w:adjustRightInd w:val="0"/>
        <w:snapToGrid w:val="0"/>
        <w:spacing w:line="440" w:lineRule="exact"/>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投标文件应按第六章投标文件格式规定的内容，投标人提交的投标文件应当使用招标文件所提供的投标文件全部格式。</w:t>
      </w:r>
    </w:p>
    <w:p w14:paraId="3F52973A">
      <w:pPr>
        <w:pStyle w:val="8"/>
        <w:shd w:val="clear"/>
        <w:wordWrap w:val="0"/>
        <w:adjustRightInd w:val="0"/>
        <w:snapToGrid w:val="0"/>
        <w:spacing w:line="440" w:lineRule="exact"/>
        <w:ind w:firstLineChars="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10.1.1</w:t>
      </w:r>
      <w:r>
        <w:rPr>
          <w:rFonts w:hint="eastAsia" w:ascii="宋体" w:hAnsi="宋体" w:eastAsia="宋体" w:cs="宋体"/>
          <w:snapToGrid w:val="0"/>
          <w:color w:val="auto"/>
          <w:kern w:val="0"/>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bookmarkStart w:id="189" w:name="_Hlt74496890"/>
      <w:bookmarkEnd w:id="189"/>
    </w:p>
    <w:p w14:paraId="4587B6E4">
      <w:pPr>
        <w:pStyle w:val="8"/>
        <w:shd w:val="clear"/>
        <w:wordWrap w:val="0"/>
        <w:adjustRightInd w:val="0"/>
        <w:snapToGrid w:val="0"/>
        <w:spacing w:line="440" w:lineRule="exact"/>
        <w:ind w:firstLineChars="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10.1.2</w:t>
      </w:r>
      <w:r>
        <w:rPr>
          <w:rFonts w:hint="eastAsia" w:ascii="宋体" w:hAnsi="宋体" w:eastAsia="宋体" w:cs="宋体"/>
          <w:snapToGrid w:val="0"/>
          <w:color w:val="auto"/>
          <w:kern w:val="0"/>
          <w:highlight w:val="none"/>
        </w:rPr>
        <w:t xml:space="preserve">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snapToGrid w:val="0"/>
          <w:color w:val="auto"/>
          <w:kern w:val="0"/>
          <w:highlight w:val="none"/>
          <w:lang w:eastAsia="zh-CN"/>
        </w:rPr>
        <w:t>全国公共资源交易平台 （广东省·韶关市）</w:t>
      </w:r>
      <w:r>
        <w:rPr>
          <w:rFonts w:hint="eastAsia" w:ascii="宋体" w:hAnsi="宋体" w:eastAsia="宋体" w:cs="宋体"/>
          <w:strike w:val="0"/>
          <w:dstrike w:val="0"/>
          <w:snapToGrid w:val="0"/>
          <w:color w:val="auto"/>
          <w:kern w:val="0"/>
          <w:highlight w:val="none"/>
          <w:lang w:eastAsia="zh-CN"/>
        </w:rPr>
        <w:t>（https://ygp.gdzwfw.gov.cn/ggzy-portal/#/440200/index）</w:t>
      </w:r>
      <w:r>
        <w:rPr>
          <w:rFonts w:hint="eastAsia" w:ascii="宋体" w:hAnsi="宋体" w:eastAsia="宋体" w:cs="宋体"/>
          <w:snapToGrid w:val="0"/>
          <w:color w:val="auto"/>
          <w:kern w:val="0"/>
          <w:highlight w:val="none"/>
        </w:rPr>
        <w:t>交易指引。</w:t>
      </w:r>
    </w:p>
    <w:p w14:paraId="716B22E2">
      <w:pPr>
        <w:pStyle w:val="8"/>
        <w:shd w:val="clear"/>
        <w:wordWrap w:val="0"/>
        <w:adjustRightInd w:val="0"/>
        <w:snapToGrid w:val="0"/>
        <w:spacing w:line="440" w:lineRule="exact"/>
        <w:ind w:firstLineChars="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10.1.3</w:t>
      </w:r>
      <w:r>
        <w:rPr>
          <w:rFonts w:hint="eastAsia" w:ascii="宋体" w:hAnsi="宋体" w:eastAsia="宋体" w:cs="宋体"/>
          <w:snapToGrid w:val="0"/>
          <w:color w:val="auto"/>
          <w:kern w:val="0"/>
          <w:highlight w:val="none"/>
        </w:rPr>
        <w:t xml:space="preserve"> 投标文件需按以下要求签字、盖章：</w:t>
      </w:r>
    </w:p>
    <w:p w14:paraId="6D6042B5">
      <w:pPr>
        <w:pStyle w:val="8"/>
        <w:shd w:val="clear"/>
        <w:wordWrap w:val="0"/>
        <w:adjustRightInd w:val="0"/>
        <w:snapToGrid w:val="0"/>
        <w:spacing w:line="440" w:lineRule="exact"/>
        <w:ind w:firstLineChars="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10.1.3.1</w:t>
      </w:r>
      <w:r>
        <w:rPr>
          <w:rFonts w:hint="eastAsia" w:ascii="宋体" w:hAnsi="宋体" w:eastAsia="宋体" w:cs="宋体"/>
          <w:snapToGrid w:val="0"/>
          <w:color w:val="auto"/>
          <w:kern w:val="0"/>
          <w:highlight w:val="none"/>
        </w:rPr>
        <w:t xml:space="preserve"> 投标文件封面、组成内容中凡注明“签字”处由要求的人员签字或电子签章；凡注明“签字或盖章”处由要求的人员签字或盖其私章（电子印章）；凡注明“签字并盖执业印章”处由要求的人员签字并盖其执业印章。</w:t>
      </w:r>
    </w:p>
    <w:p w14:paraId="7D753F6D">
      <w:pPr>
        <w:pStyle w:val="8"/>
        <w:shd w:val="clear"/>
        <w:wordWrap w:val="0"/>
        <w:adjustRightInd w:val="0"/>
        <w:snapToGrid w:val="0"/>
        <w:spacing w:line="440" w:lineRule="exact"/>
        <w:ind w:firstLineChars="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10.1.3.2</w:t>
      </w:r>
      <w:r>
        <w:rPr>
          <w:rFonts w:hint="eastAsia" w:ascii="宋体" w:hAnsi="宋体" w:eastAsia="宋体" w:cs="宋体"/>
          <w:snapToGrid w:val="0"/>
          <w:color w:val="auto"/>
          <w:kern w:val="0"/>
          <w:highlight w:val="none"/>
        </w:rPr>
        <w:t xml:space="preserve"> 投标文件封套、封面、组成内容中凡要求录入投标人名称且注明“盖单位章”处盖单位法人公章（电子印章）。</w:t>
      </w:r>
    </w:p>
    <w:p w14:paraId="45DE3B00">
      <w:pPr>
        <w:pStyle w:val="8"/>
        <w:shd w:val="clear"/>
        <w:wordWrap w:val="0"/>
        <w:adjustRightInd w:val="0"/>
        <w:snapToGrid w:val="0"/>
        <w:spacing w:line="440" w:lineRule="exact"/>
        <w:ind w:firstLineChars="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10.1.3.3</w:t>
      </w:r>
      <w:r>
        <w:rPr>
          <w:rFonts w:hint="eastAsia" w:ascii="宋体" w:hAnsi="宋体" w:eastAsia="宋体" w:cs="宋体"/>
          <w:snapToGrid w:val="0"/>
          <w:color w:val="auto"/>
          <w:kern w:val="0"/>
          <w:highlight w:val="none"/>
        </w:rPr>
        <w:t xml:space="preserve"> 投标文件的签字均为签字人本人亲笔署名或签章（电子印章），其余部分无须另行签字、盖章。</w:t>
      </w:r>
    </w:p>
    <w:p w14:paraId="2149E317">
      <w:pPr>
        <w:shd w:val="clear"/>
        <w:wordWrap w:val="0"/>
        <w:adjustRightInd w:val="0"/>
        <w:snapToGrid w:val="0"/>
        <w:spacing w:line="360" w:lineRule="auto"/>
        <w:ind w:firstLine="560"/>
        <w:rPr>
          <w:rFonts w:hint="eastAsia" w:ascii="宋体" w:hAnsi="宋体" w:eastAsia="宋体" w:cs="宋体"/>
          <w:snapToGrid w:val="0"/>
          <w:color w:val="auto"/>
          <w:kern w:val="0"/>
          <w:highlight w:val="none"/>
        </w:rPr>
      </w:pPr>
      <w:bookmarkStart w:id="190" w:name="_Toc29774"/>
      <w:bookmarkStart w:id="191" w:name="_Toc257031159"/>
      <w:bookmarkStart w:id="192" w:name="_Toc274313880"/>
    </w:p>
    <w:p w14:paraId="13C5F2F1">
      <w:pPr>
        <w:shd w:val="clear"/>
        <w:wordWrap w:val="0"/>
        <w:adjustRightInd w:val="0"/>
        <w:snapToGrid w:val="0"/>
        <w:spacing w:line="360" w:lineRule="auto"/>
        <w:ind w:firstLine="560"/>
        <w:rPr>
          <w:rFonts w:hint="eastAsia" w:ascii="宋体" w:hAnsi="宋体" w:eastAsia="宋体" w:cs="宋体"/>
          <w:b/>
          <w:bCs w:val="0"/>
          <w:snapToGrid w:val="0"/>
          <w:color w:val="auto"/>
          <w:kern w:val="0"/>
          <w:highlight w:val="none"/>
        </w:rPr>
      </w:pPr>
      <w:r>
        <w:rPr>
          <w:rFonts w:hint="eastAsia" w:ascii="宋体" w:hAnsi="宋体" w:eastAsia="宋体" w:cs="宋体"/>
          <w:b/>
          <w:bCs/>
          <w:snapToGrid w:val="0"/>
          <w:color w:val="auto"/>
          <w:kern w:val="0"/>
          <w:highlight w:val="none"/>
        </w:rPr>
        <w:t>10.2</w:t>
      </w:r>
      <w:r>
        <w:rPr>
          <w:rFonts w:hint="eastAsia" w:ascii="宋体" w:hAnsi="宋体" w:eastAsia="宋体" w:cs="宋体"/>
          <w:bCs/>
          <w:snapToGrid w:val="0"/>
          <w:color w:val="auto"/>
          <w:kern w:val="0"/>
          <w:highlight w:val="none"/>
        </w:rPr>
        <w:t xml:space="preserve"> </w:t>
      </w:r>
      <w:r>
        <w:rPr>
          <w:rFonts w:hint="eastAsia" w:ascii="宋体" w:hAnsi="宋体" w:eastAsia="宋体" w:cs="宋体"/>
          <w:b/>
          <w:bCs w:val="0"/>
          <w:snapToGrid w:val="0"/>
          <w:color w:val="auto"/>
          <w:kern w:val="0"/>
          <w:highlight w:val="none"/>
        </w:rPr>
        <w:t>商务标书的编制要求</w:t>
      </w:r>
      <w:bookmarkEnd w:id="190"/>
      <w:bookmarkEnd w:id="191"/>
      <w:bookmarkEnd w:id="192"/>
    </w:p>
    <w:p w14:paraId="526B46E1">
      <w:pPr>
        <w:shd w:val="clear"/>
        <w:wordWrap w:val="0"/>
        <w:adjustRightInd w:val="0"/>
        <w:snapToGrid w:val="0"/>
        <w:spacing w:line="360" w:lineRule="auto"/>
        <w:ind w:firstLine="561"/>
        <w:rPr>
          <w:rFonts w:hint="eastAsia" w:ascii="宋体" w:hAnsi="宋体" w:eastAsia="宋体" w:cs="宋体"/>
          <w:snapToGrid w:val="0"/>
          <w:color w:val="auto"/>
          <w:kern w:val="0"/>
          <w:highlight w:val="none"/>
          <w:u w:val="single"/>
        </w:rPr>
      </w:pPr>
      <w:r>
        <w:rPr>
          <w:rFonts w:hint="eastAsia" w:ascii="宋体" w:hAnsi="宋体" w:eastAsia="宋体" w:cs="宋体"/>
          <w:b/>
          <w:bCs/>
          <w:snapToGrid w:val="0"/>
          <w:color w:val="auto"/>
          <w:kern w:val="0"/>
          <w:highlight w:val="none"/>
        </w:rPr>
        <w:t>10.2.1</w:t>
      </w:r>
      <w:r>
        <w:rPr>
          <w:rFonts w:hint="eastAsia" w:ascii="宋体" w:hAnsi="宋体" w:eastAsia="宋体" w:cs="宋体"/>
          <w:snapToGrid w:val="0"/>
          <w:color w:val="auto"/>
          <w:kern w:val="0"/>
          <w:highlight w:val="none"/>
        </w:rPr>
        <w:t xml:space="preserve"> </w:t>
      </w:r>
      <w:r>
        <w:rPr>
          <w:rFonts w:hint="eastAsia" w:ascii="宋体" w:hAnsi="宋体" w:eastAsia="宋体" w:cs="宋体"/>
          <w:bCs/>
          <w:snapToGrid w:val="0"/>
          <w:color w:val="auto"/>
          <w:kern w:val="0"/>
          <w:highlight w:val="none"/>
        </w:rPr>
        <w:t>商务标书</w:t>
      </w:r>
      <w:r>
        <w:rPr>
          <w:rFonts w:hint="eastAsia" w:ascii="宋体" w:hAnsi="宋体" w:eastAsia="宋体" w:cs="宋体"/>
          <w:snapToGrid w:val="0"/>
          <w:color w:val="auto"/>
          <w:kern w:val="0"/>
          <w:highlight w:val="none"/>
        </w:rPr>
        <w:t>包括但不限于以下内容：</w:t>
      </w:r>
    </w:p>
    <w:p w14:paraId="28FFC259">
      <w:pPr>
        <w:shd w:val="clear"/>
        <w:wordWrap w:val="0"/>
        <w:adjustRightInd w:val="0"/>
        <w:snapToGrid w:val="0"/>
        <w:spacing w:line="360" w:lineRule="auto"/>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szCs w:val="18"/>
          <w:highlight w:val="none"/>
        </w:rPr>
        <w:t>（1）封面（格式一）；</w:t>
      </w:r>
    </w:p>
    <w:p w14:paraId="030E3198">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（2）目录；</w:t>
      </w:r>
    </w:p>
    <w:p w14:paraId="0C6F1825">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（3）《</w:t>
      </w:r>
      <w:r>
        <w:rPr>
          <w:rFonts w:hint="eastAsia" w:ascii="宋体" w:hAnsi="宋体" w:eastAsia="宋体" w:cs="宋体"/>
          <w:snapToGrid w:val="0"/>
          <w:color w:val="auto"/>
          <w:kern w:val="0"/>
          <w:highlight w:val="none"/>
        </w:rPr>
        <w:t>投标函</w:t>
      </w:r>
      <w:r>
        <w:rPr>
          <w:rFonts w:hint="eastAsia" w:ascii="宋体" w:hAnsi="宋体" w:eastAsia="宋体" w:cs="宋体"/>
          <w:snapToGrid w:val="0"/>
          <w:color w:val="auto"/>
          <w:kern w:val="0"/>
          <w:szCs w:val="18"/>
          <w:highlight w:val="none"/>
        </w:rPr>
        <w:t>》（格式二）；</w:t>
      </w:r>
    </w:p>
    <w:p w14:paraId="1E668D71">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（4）《</w:t>
      </w:r>
      <w:r>
        <w:rPr>
          <w:rFonts w:hint="eastAsia" w:ascii="宋体" w:hAnsi="宋体" w:eastAsia="宋体" w:cs="宋体"/>
          <w:snapToGrid w:val="0"/>
          <w:color w:val="auto"/>
          <w:kern w:val="0"/>
          <w:szCs w:val="22"/>
          <w:highlight w:val="none"/>
        </w:rPr>
        <w:t>各项</w:t>
      </w:r>
      <w:r>
        <w:rPr>
          <w:rFonts w:hint="eastAsia" w:ascii="宋体" w:hAnsi="宋体" w:eastAsia="宋体" w:cs="宋体"/>
          <w:snapToGrid w:val="0"/>
          <w:color w:val="auto"/>
          <w:kern w:val="0"/>
          <w:highlight w:val="none"/>
        </w:rPr>
        <w:t>承诺一览表》（格式三）；</w:t>
      </w:r>
    </w:p>
    <w:p w14:paraId="2FF45AB5">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（5）《授权委托书》（格式四）；</w:t>
      </w:r>
    </w:p>
    <w:p w14:paraId="63AB269B">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（6）《法定代表人身份证明》（格式五）；</w:t>
      </w:r>
    </w:p>
    <w:p w14:paraId="53FA770D">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7）投标保证缴纳证明（投标人附建设工程交易系统《韶关市公共资源交易一体化平台保证金缴纳信息》页面截图外，采用投标保证金的，附银行转账单截图；采用投标保证担保的，附电子保函截图；采用投标保证保险的，附电子保单截图）；</w:t>
      </w:r>
    </w:p>
    <w:p w14:paraId="34003636">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w:t>
      </w:r>
      <w:r>
        <w:rPr>
          <w:rFonts w:hint="eastAsia" w:ascii="宋体" w:hAnsi="宋体" w:eastAsia="宋体" w:cs="宋体"/>
          <w:snapToGrid w:val="0"/>
          <w:color w:val="auto"/>
          <w:kern w:val="0"/>
          <w:szCs w:val="18"/>
          <w:highlight w:val="none"/>
          <w:lang w:val="en-US" w:eastAsia="zh-CN"/>
        </w:rPr>
        <w:t>8</w:t>
      </w:r>
      <w:r>
        <w:rPr>
          <w:rFonts w:hint="eastAsia" w:ascii="宋体" w:hAnsi="宋体" w:eastAsia="宋体" w:cs="宋体"/>
          <w:snapToGrid w:val="0"/>
          <w:color w:val="auto"/>
          <w:kern w:val="0"/>
          <w:szCs w:val="18"/>
          <w:highlight w:val="none"/>
        </w:rPr>
        <w:t>）《投标人基本情况表》（格式六）及所附资料；</w:t>
      </w:r>
    </w:p>
    <w:p w14:paraId="74D7BAF1">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（9）《总监理工程师任职声明》（格式七或格式八，由投标人根据拟派总监理工程师任职情况选用）；</w:t>
      </w:r>
    </w:p>
    <w:p w14:paraId="01F61D59">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（10）《总监理工程师任职项目情况表》（格式九）及所附资料；</w:t>
      </w:r>
    </w:p>
    <w:p w14:paraId="4161D8F5">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（11）《项目监理机构组成人员汇总表》（格式十）及所附资料；</w:t>
      </w:r>
    </w:p>
    <w:p w14:paraId="0D3FE095">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（12）《总监理工程师简历表》（格式十一）及所附资料；</w:t>
      </w:r>
    </w:p>
    <w:p w14:paraId="3E670D41">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（13）《其他拟派人员简历表》（格式十二）及所附资料；</w:t>
      </w:r>
    </w:p>
    <w:p w14:paraId="7A7CC0D4">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（14）《监理及相关服务报酬清单》（格式十三）；</w:t>
      </w:r>
    </w:p>
    <w:p w14:paraId="1E0F2163">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w:t>
      </w:r>
      <w:r>
        <w:rPr>
          <w:rFonts w:hint="eastAsia" w:ascii="宋体" w:hAnsi="宋体" w:eastAsia="宋体" w:cs="宋体"/>
          <w:snapToGrid w:val="0"/>
          <w:color w:val="auto"/>
          <w:kern w:val="0"/>
          <w:szCs w:val="18"/>
          <w:highlight w:val="none"/>
          <w:lang w:val="en-US" w:eastAsia="zh-CN"/>
        </w:rPr>
        <w:t>5</w:t>
      </w:r>
      <w:r>
        <w:rPr>
          <w:rFonts w:hint="eastAsia" w:ascii="宋体" w:hAnsi="宋体" w:eastAsia="宋体" w:cs="宋体"/>
          <w:snapToGrid w:val="0"/>
          <w:color w:val="auto"/>
          <w:kern w:val="0"/>
          <w:szCs w:val="18"/>
          <w:highlight w:val="none"/>
        </w:rPr>
        <w:t>）详细评审阶段要求提供的评审资料（详见本节第</w:t>
      </w:r>
      <w:r>
        <w:rPr>
          <w:rFonts w:hint="eastAsia" w:ascii="宋体" w:hAnsi="宋体" w:eastAsia="宋体" w:cs="宋体"/>
          <w:b/>
          <w:bCs/>
          <w:snapToGrid w:val="0"/>
          <w:color w:val="auto"/>
          <w:kern w:val="0"/>
          <w:szCs w:val="18"/>
          <w:highlight w:val="none"/>
        </w:rPr>
        <w:t>15.5.1</w:t>
      </w:r>
      <w:r>
        <w:rPr>
          <w:rFonts w:hint="eastAsia" w:ascii="宋体" w:hAnsi="宋体" w:eastAsia="宋体" w:cs="宋体"/>
          <w:snapToGrid w:val="0"/>
          <w:color w:val="auto"/>
          <w:kern w:val="0"/>
          <w:szCs w:val="18"/>
          <w:highlight w:val="none"/>
        </w:rPr>
        <w:t>目）；</w:t>
      </w:r>
    </w:p>
    <w:p w14:paraId="38044CB2">
      <w:pPr>
        <w:shd w:val="clear"/>
        <w:wordWrap w:val="0"/>
        <w:adjustRightInd w:val="0"/>
        <w:snapToGrid w:val="0"/>
        <w:spacing w:line="360" w:lineRule="auto"/>
        <w:ind w:firstLine="480" w:firstLineChars="200"/>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w:t>
      </w:r>
      <w:r>
        <w:rPr>
          <w:rFonts w:hint="eastAsia" w:ascii="宋体" w:hAnsi="宋体" w:eastAsia="宋体" w:cs="宋体"/>
          <w:snapToGrid w:val="0"/>
          <w:color w:val="auto"/>
          <w:kern w:val="0"/>
          <w:szCs w:val="18"/>
          <w:highlight w:val="none"/>
          <w:lang w:val="en-US" w:eastAsia="zh-CN"/>
        </w:rPr>
        <w:t>6</w:t>
      </w:r>
      <w:r>
        <w:rPr>
          <w:rFonts w:hint="eastAsia" w:ascii="宋体" w:hAnsi="宋体" w:eastAsia="宋体" w:cs="宋体"/>
          <w:snapToGrid w:val="0"/>
          <w:color w:val="auto"/>
          <w:kern w:val="0"/>
          <w:szCs w:val="18"/>
          <w:highlight w:val="none"/>
        </w:rPr>
        <w:t>）投标人认为有必要补充的其他资料。（例如投标人已经工商变更，但其员工执业资格注册证书上的企业名称未能在投标期间完成变更的书面说明和佐证材料；企业所在省、地级市住建部门或其授权的组织（机构）关于企业资质、人员资格有效期自动顺延或延期办理的相关文件等）</w:t>
      </w:r>
    </w:p>
    <w:p w14:paraId="2B46FA09">
      <w:pPr>
        <w:shd w:val="clear"/>
        <w:wordWrap w:val="0"/>
        <w:adjustRightInd w:val="0"/>
        <w:snapToGrid w:val="0"/>
        <w:spacing w:line="360" w:lineRule="auto"/>
        <w:ind w:firstLine="482" w:firstLineChars="200"/>
        <w:rPr>
          <w:rFonts w:hint="eastAsia"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szCs w:val="18"/>
          <w:highlight w:val="none"/>
        </w:rPr>
        <w:t>10.2.2</w:t>
      </w:r>
      <w:r>
        <w:rPr>
          <w:rFonts w:hint="eastAsia" w:ascii="宋体" w:hAnsi="宋体" w:eastAsia="宋体" w:cs="宋体"/>
          <w:snapToGrid w:val="0"/>
          <w:color w:val="auto"/>
          <w:kern w:val="0"/>
          <w:szCs w:val="18"/>
          <w:highlight w:val="none"/>
        </w:rPr>
        <w:t xml:space="preserve"> 本节第</w:t>
      </w:r>
      <w:r>
        <w:rPr>
          <w:rFonts w:hint="eastAsia" w:ascii="宋体" w:hAnsi="宋体" w:eastAsia="宋体" w:cs="宋体"/>
          <w:b/>
          <w:bCs/>
          <w:snapToGrid w:val="0"/>
          <w:color w:val="auto"/>
          <w:kern w:val="0"/>
          <w:szCs w:val="18"/>
          <w:highlight w:val="none"/>
        </w:rPr>
        <w:t>10.2.1</w:t>
      </w:r>
      <w:r>
        <w:rPr>
          <w:rFonts w:hint="eastAsia" w:ascii="宋体" w:hAnsi="宋体" w:eastAsia="宋体" w:cs="宋体"/>
          <w:snapToGrid w:val="0"/>
          <w:color w:val="auto"/>
          <w:kern w:val="0"/>
          <w:szCs w:val="18"/>
          <w:highlight w:val="none"/>
        </w:rPr>
        <w:t>目中所列出的商务标书组成内容中，第（1）至第（1</w:t>
      </w:r>
      <w:r>
        <w:rPr>
          <w:rFonts w:hint="eastAsia" w:ascii="宋体" w:hAnsi="宋体" w:eastAsia="宋体" w:cs="宋体"/>
          <w:snapToGrid w:val="0"/>
          <w:color w:val="auto"/>
          <w:kern w:val="0"/>
          <w:szCs w:val="18"/>
          <w:highlight w:val="none"/>
          <w:lang w:val="en-US" w:eastAsia="zh-CN"/>
        </w:rPr>
        <w:t>4</w:t>
      </w:r>
      <w:r>
        <w:rPr>
          <w:rFonts w:hint="eastAsia" w:ascii="宋体" w:hAnsi="宋体" w:eastAsia="宋体" w:cs="宋体"/>
          <w:snapToGrid w:val="0"/>
          <w:color w:val="auto"/>
          <w:kern w:val="0"/>
          <w:szCs w:val="18"/>
          <w:highlight w:val="none"/>
        </w:rPr>
        <w:t>）项所有投标人均应提供。</w:t>
      </w:r>
      <w:r>
        <w:rPr>
          <w:rFonts w:hint="eastAsia" w:ascii="宋体" w:hAnsi="宋体" w:eastAsia="宋体" w:cs="宋体"/>
          <w:b/>
          <w:bCs/>
          <w:snapToGrid w:val="0"/>
          <w:color w:val="auto"/>
          <w:kern w:val="0"/>
          <w:szCs w:val="18"/>
          <w:highlight w:val="none"/>
        </w:rPr>
        <w:t>拟派总监理工程师现阶段未担任任何在施建设工程项目总监理工程师的，无需提供第（10）项内容。</w:t>
      </w:r>
    </w:p>
    <w:p w14:paraId="6EA30E92">
      <w:pPr>
        <w:shd w:val="clear"/>
        <w:wordWrap w:val="0"/>
        <w:adjustRightInd w:val="0"/>
        <w:snapToGrid w:val="0"/>
        <w:spacing w:line="360" w:lineRule="auto"/>
        <w:ind w:firstLine="482" w:firstLineChars="200"/>
        <w:rPr>
          <w:rFonts w:hint="eastAsia"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highlight w:val="none"/>
        </w:rPr>
        <w:t>10.2.3</w:t>
      </w:r>
      <w:r>
        <w:rPr>
          <w:rFonts w:hint="eastAsia" w:ascii="宋体" w:hAnsi="宋体" w:eastAsia="宋体" w:cs="宋体"/>
          <w:snapToGrid w:val="0"/>
          <w:color w:val="auto"/>
          <w:kern w:val="0"/>
          <w:highlight w:val="none"/>
        </w:rPr>
        <w:t xml:space="preserve"> 商务标书的组成内容按本节第</w:t>
      </w:r>
      <w:r>
        <w:rPr>
          <w:rFonts w:hint="eastAsia" w:ascii="宋体" w:hAnsi="宋体" w:eastAsia="宋体" w:cs="宋体"/>
          <w:b/>
          <w:bCs/>
          <w:snapToGrid w:val="0"/>
          <w:color w:val="auto"/>
          <w:kern w:val="0"/>
          <w:highlight w:val="none"/>
        </w:rPr>
        <w:t>10.2.1</w:t>
      </w:r>
      <w:r>
        <w:rPr>
          <w:rFonts w:hint="eastAsia" w:ascii="宋体" w:hAnsi="宋体" w:eastAsia="宋体" w:cs="宋体"/>
          <w:snapToGrid w:val="0"/>
          <w:color w:val="auto"/>
          <w:kern w:val="0"/>
          <w:highlight w:val="none"/>
        </w:rPr>
        <w:t>目规定的顺序整理、编排后，逐页（页码起始从封面开始）连续标记页码。</w:t>
      </w:r>
    </w:p>
    <w:p w14:paraId="0AF41A53">
      <w:pPr>
        <w:shd w:val="clear"/>
        <w:wordWrap w:val="0"/>
        <w:adjustRightInd w:val="0"/>
        <w:snapToGrid w:val="0"/>
        <w:spacing w:line="36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10.2.4</w:t>
      </w:r>
      <w:r>
        <w:rPr>
          <w:rFonts w:hint="eastAsia" w:ascii="宋体" w:hAnsi="宋体" w:eastAsia="宋体" w:cs="宋体"/>
          <w:snapToGrid w:val="0"/>
          <w:color w:val="auto"/>
          <w:kern w:val="0"/>
          <w:highlight w:val="none"/>
        </w:rPr>
        <w:t xml:space="preserve"> </w:t>
      </w:r>
      <w:r>
        <w:rPr>
          <w:rFonts w:hint="eastAsia" w:ascii="宋体" w:hAnsi="宋体" w:eastAsia="宋体" w:cs="宋体"/>
          <w:bCs/>
          <w:snapToGrid w:val="0"/>
          <w:color w:val="auto"/>
          <w:kern w:val="0"/>
          <w:highlight w:val="none"/>
        </w:rPr>
        <w:t>商务标书</w:t>
      </w:r>
      <w:r>
        <w:rPr>
          <w:rFonts w:hint="eastAsia" w:ascii="宋体" w:hAnsi="宋体" w:eastAsia="宋体" w:cs="宋体"/>
          <w:snapToGrid w:val="0"/>
          <w:color w:val="auto"/>
          <w:kern w:val="0"/>
          <w:highlight w:val="none"/>
        </w:rPr>
        <w:t>应尽量避免手工涂改、行间插字或删除。如果出现上述情况，改动之处应加盖单位章或由投标人的法定代表人或其委托代理人签字确认。</w:t>
      </w:r>
    </w:p>
    <w:p w14:paraId="5F87AA3E">
      <w:pPr>
        <w:shd w:val="clear"/>
        <w:wordWrap w:val="0"/>
        <w:adjustRightInd w:val="0"/>
        <w:snapToGrid w:val="0"/>
        <w:spacing w:line="360" w:lineRule="auto"/>
        <w:ind w:firstLine="480"/>
        <w:rPr>
          <w:rFonts w:hint="eastAsia" w:ascii="宋体" w:hAnsi="宋体" w:eastAsia="宋体" w:cs="宋体"/>
          <w:bCs/>
          <w:snapToGrid w:val="0"/>
          <w:color w:val="auto"/>
          <w:kern w:val="0"/>
          <w:highlight w:val="none"/>
        </w:rPr>
      </w:pPr>
      <w:bookmarkStart w:id="193" w:name="_Toc7035"/>
      <w:r>
        <w:rPr>
          <w:rFonts w:hint="eastAsia" w:ascii="宋体" w:hAnsi="宋体" w:eastAsia="宋体" w:cs="宋体"/>
          <w:b/>
          <w:bCs/>
          <w:snapToGrid w:val="0"/>
          <w:color w:val="auto"/>
          <w:kern w:val="0"/>
          <w:highlight w:val="none"/>
        </w:rPr>
        <w:t>10.3</w:t>
      </w:r>
      <w:r>
        <w:rPr>
          <w:rFonts w:hint="eastAsia" w:ascii="宋体" w:hAnsi="宋体" w:eastAsia="宋体" w:cs="宋体"/>
          <w:bCs/>
          <w:snapToGrid w:val="0"/>
          <w:color w:val="auto"/>
          <w:kern w:val="0"/>
          <w:highlight w:val="none"/>
        </w:rPr>
        <w:t xml:space="preserve"> </w:t>
      </w:r>
      <w:r>
        <w:rPr>
          <w:rFonts w:hint="eastAsia" w:ascii="宋体" w:hAnsi="宋体" w:eastAsia="宋体" w:cs="宋体"/>
          <w:b/>
          <w:bCs w:val="0"/>
          <w:snapToGrid w:val="0"/>
          <w:color w:val="auto"/>
          <w:kern w:val="0"/>
          <w:highlight w:val="none"/>
        </w:rPr>
        <w:t>监理大纲的编制要求</w:t>
      </w:r>
    </w:p>
    <w:p w14:paraId="64122139">
      <w:pPr>
        <w:shd w:val="clear"/>
        <w:wordWrap w:val="0"/>
        <w:adjustRightInd w:val="0"/>
        <w:snapToGrid w:val="0"/>
        <w:spacing w:line="360" w:lineRule="auto"/>
        <w:ind w:firstLine="480"/>
        <w:rPr>
          <w:rFonts w:hint="eastAsia" w:ascii="宋体" w:hAnsi="宋体" w:eastAsia="宋体" w:cs="宋体"/>
          <w:bCs/>
          <w:snapToGrid w:val="0"/>
          <w:color w:val="auto"/>
          <w:kern w:val="0"/>
          <w:highlight w:val="none"/>
        </w:rPr>
      </w:pPr>
      <w:r>
        <w:rPr>
          <w:rFonts w:hint="eastAsia" w:ascii="宋体" w:hAnsi="宋体" w:eastAsia="宋体" w:cs="宋体"/>
          <w:b/>
          <w:snapToGrid w:val="0"/>
          <w:color w:val="auto"/>
          <w:kern w:val="0"/>
          <w:highlight w:val="none"/>
        </w:rPr>
        <w:t>10.3.1</w:t>
      </w:r>
      <w:r>
        <w:rPr>
          <w:rFonts w:hint="eastAsia" w:ascii="宋体" w:hAnsi="宋体" w:eastAsia="宋体" w:cs="宋体"/>
          <w:bCs/>
          <w:snapToGrid w:val="0"/>
          <w:color w:val="auto"/>
          <w:kern w:val="0"/>
          <w:highlight w:val="none"/>
        </w:rPr>
        <w:t xml:space="preserve"> 监理大纲</w:t>
      </w:r>
      <w:r>
        <w:rPr>
          <w:rFonts w:hint="eastAsia" w:ascii="宋体" w:hAnsi="宋体" w:eastAsia="宋体" w:cs="宋体"/>
          <w:snapToGrid w:val="0"/>
          <w:color w:val="auto"/>
          <w:kern w:val="0"/>
          <w:highlight w:val="none"/>
        </w:rPr>
        <w:t>的编制依据包括且不限于</w:t>
      </w:r>
      <w:r>
        <w:rPr>
          <w:rFonts w:hint="eastAsia" w:ascii="宋体" w:hAnsi="宋体" w:eastAsia="宋体" w:cs="宋体"/>
          <w:bCs/>
          <w:snapToGrid w:val="0"/>
          <w:color w:val="auto"/>
          <w:kern w:val="0"/>
          <w:highlight w:val="none"/>
        </w:rPr>
        <w:t>：</w:t>
      </w:r>
    </w:p>
    <w:p w14:paraId="00773FA9">
      <w:pPr>
        <w:shd w:val="clear"/>
        <w:wordWrap w:val="0"/>
        <w:adjustRightInd w:val="0"/>
        <w:snapToGrid w:val="0"/>
        <w:ind w:firstLine="48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（1）招标文件及</w:t>
      </w:r>
      <w:r>
        <w:rPr>
          <w:rFonts w:hint="eastAsia" w:ascii="宋体" w:hAnsi="宋体" w:eastAsia="宋体" w:cs="宋体"/>
          <w:snapToGrid w:val="0"/>
          <w:color w:val="auto"/>
          <w:kern w:val="0"/>
          <w:highlight w:val="none"/>
        </w:rPr>
        <w:t>其答疑（或修改）公告；</w:t>
      </w:r>
    </w:p>
    <w:p w14:paraId="1B8F1386">
      <w:pPr>
        <w:shd w:val="clear"/>
        <w:wordWrap w:val="0"/>
        <w:adjustRightInd w:val="0"/>
        <w:snapToGrid w:val="0"/>
        <w:ind w:firstLine="48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（2）施工现场情况、工程特点；</w:t>
      </w:r>
    </w:p>
    <w:p w14:paraId="20E44A77">
      <w:pPr>
        <w:shd w:val="clear"/>
        <w:wordWrap w:val="0"/>
        <w:adjustRightInd w:val="0"/>
        <w:snapToGrid w:val="0"/>
        <w:ind w:firstLine="48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（3）相关法律、法规、规定；</w:t>
      </w:r>
    </w:p>
    <w:p w14:paraId="2759DBB3">
      <w:pPr>
        <w:shd w:val="clear"/>
        <w:wordWrap w:val="0"/>
        <w:adjustRightInd w:val="0"/>
        <w:snapToGrid w:val="0"/>
        <w:ind w:firstLine="48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2BDF25C9">
      <w:pPr>
        <w:shd w:val="clear"/>
        <w:wordWrap w:val="0"/>
        <w:adjustRightInd w:val="0"/>
        <w:snapToGrid w:val="0"/>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10.3.2</w:t>
      </w:r>
      <w:r>
        <w:rPr>
          <w:rFonts w:hint="eastAsia" w:ascii="宋体" w:hAnsi="宋体" w:eastAsia="宋体" w:cs="宋体"/>
          <w:bCs/>
          <w:snapToGrid w:val="0"/>
          <w:color w:val="auto"/>
          <w:kern w:val="0"/>
          <w:highlight w:val="none"/>
        </w:rPr>
        <w:t xml:space="preserve"> 监理大纲</w:t>
      </w:r>
      <w:r>
        <w:rPr>
          <w:rFonts w:hint="eastAsia" w:ascii="宋体" w:hAnsi="宋体" w:eastAsia="宋体" w:cs="宋体"/>
          <w:snapToGrid w:val="0"/>
          <w:color w:val="auto"/>
          <w:kern w:val="0"/>
          <w:highlight w:val="none"/>
        </w:rPr>
        <w:t>包括但不限于以下内容：</w:t>
      </w:r>
    </w:p>
    <w:p w14:paraId="6C60C396">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（1）封面</w:t>
      </w:r>
      <w:r>
        <w:rPr>
          <w:rFonts w:hint="eastAsia" w:ascii="宋体" w:hAnsi="宋体" w:eastAsia="宋体" w:cs="宋体"/>
          <w:snapToGrid w:val="0"/>
          <w:color w:val="auto"/>
          <w:kern w:val="0"/>
          <w:szCs w:val="18"/>
          <w:highlight w:val="none"/>
        </w:rPr>
        <w:t>（格式一）</w:t>
      </w:r>
      <w:r>
        <w:rPr>
          <w:rFonts w:hint="eastAsia" w:ascii="宋体" w:hAnsi="宋体" w:eastAsia="宋体" w:cs="宋体"/>
          <w:snapToGrid w:val="0"/>
          <w:color w:val="auto"/>
          <w:kern w:val="0"/>
          <w:highlight w:val="none"/>
        </w:rPr>
        <w:t>；</w:t>
      </w:r>
    </w:p>
    <w:p w14:paraId="36B42795">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（2）目录；</w:t>
      </w:r>
    </w:p>
    <w:p w14:paraId="09E36A21">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（3）监理工程概况；</w:t>
      </w:r>
    </w:p>
    <w:p w14:paraId="6BA873C4">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（4）监理及相关服务的范围、内容；</w:t>
      </w:r>
    </w:p>
    <w:p w14:paraId="326B3218">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（5）监理及相关服务的依据、目标；</w:t>
      </w:r>
    </w:p>
    <w:p w14:paraId="2DDE49E7">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（6）项目监理机构设置（框图）、岗位职责；</w:t>
      </w:r>
    </w:p>
    <w:p w14:paraId="407DD8F1">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（7）监理及相关服务的工作程序、方法和制度；</w:t>
      </w:r>
    </w:p>
    <w:p w14:paraId="0D87122C">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（8）拟投入的监理及相关服务人员；</w:t>
      </w:r>
    </w:p>
    <w:p w14:paraId="7A201DC5">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（9）质量、进度、造价、安全、绿色施工监理措施；</w:t>
      </w:r>
    </w:p>
    <w:p w14:paraId="7F6CD43F">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（10）合同、信息管理方案；</w:t>
      </w:r>
    </w:p>
    <w:p w14:paraId="7D9CAA1C">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（11）组织协调内容及措施；</w:t>
      </w:r>
    </w:p>
    <w:p w14:paraId="0B7CB555">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（12）监理及相关服务的工作重点、难点分析；</w:t>
      </w:r>
    </w:p>
    <w:p w14:paraId="49003768">
      <w:pPr>
        <w:shd w:val="clear"/>
        <w:wordWrap w:val="0"/>
        <w:adjustRightInd w:val="0"/>
        <w:snapToGrid w:val="0"/>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（13）对本工程监理及相关服务的合理化建议。</w:t>
      </w:r>
    </w:p>
    <w:p w14:paraId="445A114F">
      <w:pPr>
        <w:shd w:val="clear"/>
        <w:wordWrap w:val="0"/>
        <w:adjustRightInd w:val="0"/>
        <w:snapToGrid w:val="0"/>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10.3.3</w:t>
      </w:r>
      <w:r>
        <w:rPr>
          <w:rFonts w:hint="eastAsia" w:ascii="宋体" w:hAnsi="宋体" w:eastAsia="宋体" w:cs="宋体"/>
          <w:snapToGrid w:val="0"/>
          <w:color w:val="auto"/>
          <w:kern w:val="0"/>
          <w:highlight w:val="none"/>
        </w:rPr>
        <w:t xml:space="preserve"> 本节第</w:t>
      </w:r>
      <w:r>
        <w:rPr>
          <w:rFonts w:hint="eastAsia" w:ascii="宋体" w:hAnsi="宋体" w:eastAsia="宋体" w:cs="宋体"/>
          <w:b/>
          <w:bCs/>
          <w:snapToGrid w:val="0"/>
          <w:color w:val="auto"/>
          <w:kern w:val="0"/>
          <w:highlight w:val="none"/>
        </w:rPr>
        <w:t>10.3.2</w:t>
      </w:r>
      <w:r>
        <w:rPr>
          <w:rFonts w:hint="eastAsia" w:ascii="宋体" w:hAnsi="宋体" w:eastAsia="宋体" w:cs="宋体"/>
          <w:snapToGrid w:val="0"/>
          <w:color w:val="auto"/>
          <w:kern w:val="0"/>
          <w:highlight w:val="none"/>
        </w:rPr>
        <w:t>目中所列出的</w:t>
      </w:r>
      <w:r>
        <w:rPr>
          <w:rFonts w:hint="eastAsia" w:ascii="宋体" w:hAnsi="宋体" w:eastAsia="宋体" w:cs="宋体"/>
          <w:bCs/>
          <w:snapToGrid w:val="0"/>
          <w:color w:val="auto"/>
          <w:kern w:val="0"/>
          <w:highlight w:val="none"/>
        </w:rPr>
        <w:t>监理大纲</w:t>
      </w:r>
      <w:r>
        <w:rPr>
          <w:rFonts w:hint="eastAsia" w:ascii="宋体" w:hAnsi="宋体" w:eastAsia="宋体" w:cs="宋体"/>
          <w:snapToGrid w:val="0"/>
          <w:color w:val="auto"/>
          <w:kern w:val="0"/>
          <w:highlight w:val="none"/>
        </w:rPr>
        <w:t>组成内容，</w:t>
      </w:r>
      <w:r>
        <w:rPr>
          <w:rFonts w:hint="eastAsia" w:ascii="宋体" w:hAnsi="宋体" w:eastAsia="宋体" w:cs="宋体"/>
          <w:snapToGrid w:val="0"/>
          <w:color w:val="auto"/>
          <w:kern w:val="0"/>
          <w:szCs w:val="18"/>
          <w:highlight w:val="none"/>
        </w:rPr>
        <w:t>所有投标人均应提供</w:t>
      </w:r>
      <w:r>
        <w:rPr>
          <w:rFonts w:hint="eastAsia" w:ascii="宋体" w:hAnsi="宋体" w:eastAsia="宋体" w:cs="宋体"/>
          <w:snapToGrid w:val="0"/>
          <w:color w:val="auto"/>
          <w:kern w:val="0"/>
          <w:highlight w:val="none"/>
        </w:rPr>
        <w:t>。</w:t>
      </w:r>
    </w:p>
    <w:p w14:paraId="6EA47CFA">
      <w:pPr>
        <w:shd w:val="clear"/>
        <w:wordWrap w:val="0"/>
        <w:adjustRightInd w:val="0"/>
        <w:snapToGrid w:val="0"/>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10.3.4</w:t>
      </w:r>
      <w:r>
        <w:rPr>
          <w:rFonts w:hint="eastAsia" w:ascii="宋体" w:hAnsi="宋体" w:eastAsia="宋体" w:cs="宋体"/>
          <w:snapToGrid w:val="0"/>
          <w:color w:val="auto"/>
          <w:kern w:val="0"/>
          <w:highlight w:val="none"/>
        </w:rPr>
        <w:t xml:space="preserve"> </w:t>
      </w:r>
      <w:r>
        <w:rPr>
          <w:rFonts w:hint="eastAsia" w:ascii="宋体" w:hAnsi="宋体" w:eastAsia="宋体" w:cs="宋体"/>
          <w:bCs/>
          <w:snapToGrid w:val="0"/>
          <w:color w:val="auto"/>
          <w:kern w:val="0"/>
          <w:highlight w:val="none"/>
        </w:rPr>
        <w:t>监理大纲</w:t>
      </w:r>
      <w:r>
        <w:rPr>
          <w:rFonts w:hint="eastAsia" w:ascii="宋体" w:hAnsi="宋体" w:eastAsia="宋体" w:cs="宋体"/>
          <w:snapToGrid w:val="0"/>
          <w:color w:val="auto"/>
          <w:kern w:val="0"/>
          <w:highlight w:val="none"/>
        </w:rPr>
        <w:t>的组成内容按本节第</w:t>
      </w:r>
      <w:r>
        <w:rPr>
          <w:rFonts w:hint="eastAsia" w:ascii="宋体" w:hAnsi="宋体" w:eastAsia="宋体" w:cs="宋体"/>
          <w:b/>
          <w:bCs/>
          <w:snapToGrid w:val="0"/>
          <w:color w:val="auto"/>
          <w:kern w:val="0"/>
          <w:highlight w:val="none"/>
        </w:rPr>
        <w:t>10.3.2</w:t>
      </w:r>
      <w:r>
        <w:rPr>
          <w:rFonts w:hint="eastAsia" w:ascii="宋体" w:hAnsi="宋体" w:eastAsia="宋体" w:cs="宋体"/>
          <w:snapToGrid w:val="0"/>
          <w:color w:val="auto"/>
          <w:kern w:val="0"/>
          <w:highlight w:val="none"/>
        </w:rPr>
        <w:t>目规定的顺序整理、编排后，逐页（页码起始从封面开始）连续标记页码。</w:t>
      </w:r>
    </w:p>
    <w:p w14:paraId="13623F2B">
      <w:pPr>
        <w:shd w:val="clear"/>
        <w:wordWrap w:val="0"/>
        <w:adjustRightInd w:val="0"/>
        <w:snapToGrid w:val="0"/>
        <w:ind w:firstLine="482" w:firstLineChars="200"/>
        <w:rPr>
          <w:rFonts w:hint="eastAsia" w:ascii="宋体" w:hAnsi="宋体" w:eastAsia="宋体" w:cs="宋体"/>
          <w:i/>
          <w:iCs/>
          <w:snapToGrid w:val="0"/>
          <w:color w:val="auto"/>
          <w:kern w:val="0"/>
          <w:highlight w:val="none"/>
        </w:rPr>
      </w:pPr>
      <w:r>
        <w:rPr>
          <w:rFonts w:hint="eastAsia" w:ascii="宋体" w:hAnsi="宋体" w:eastAsia="宋体" w:cs="宋体"/>
          <w:b/>
          <w:bCs/>
          <w:snapToGrid w:val="0"/>
          <w:color w:val="auto"/>
          <w:kern w:val="0"/>
          <w:highlight w:val="none"/>
        </w:rPr>
        <w:t>10.3.5</w:t>
      </w:r>
      <w:r>
        <w:rPr>
          <w:rFonts w:hint="eastAsia" w:ascii="宋体" w:hAnsi="宋体" w:eastAsia="宋体" w:cs="宋体"/>
          <w:snapToGrid w:val="0"/>
          <w:color w:val="auto"/>
          <w:kern w:val="0"/>
          <w:highlight w:val="none"/>
        </w:rPr>
        <w:t xml:space="preserve"> </w:t>
      </w:r>
      <w:r>
        <w:rPr>
          <w:rFonts w:hint="eastAsia" w:ascii="宋体" w:hAnsi="宋体" w:eastAsia="宋体" w:cs="宋体"/>
          <w:bCs/>
          <w:snapToGrid w:val="0"/>
          <w:color w:val="auto"/>
          <w:kern w:val="0"/>
          <w:highlight w:val="none"/>
        </w:rPr>
        <w:t>监理大纲</w:t>
      </w:r>
      <w:r>
        <w:rPr>
          <w:rFonts w:hint="eastAsia" w:ascii="宋体" w:hAnsi="宋体" w:eastAsia="宋体" w:cs="宋体"/>
          <w:snapToGrid w:val="0"/>
          <w:color w:val="auto"/>
          <w:kern w:val="0"/>
          <w:highlight w:val="none"/>
        </w:rPr>
        <w:t>应尽量避免手工涂改、行间插字或删除。如果出现上述情况，改动之处应加盖单位章或由投标人的法定代表人或其委托代理人签字确认。</w:t>
      </w:r>
    </w:p>
    <w:p w14:paraId="70609655">
      <w:pPr>
        <w:pStyle w:val="5"/>
        <w:shd w:val="clear"/>
        <w:spacing w:line="360" w:lineRule="auto"/>
        <w:ind w:left="0" w:leftChars="0" w:firstLine="482" w:firstLineChars="200"/>
        <w:jc w:val="left"/>
        <w:rPr>
          <w:rFonts w:hint="eastAsia" w:ascii="宋体" w:hAnsi="宋体" w:eastAsia="宋体" w:cs="宋体"/>
          <w:b/>
          <w:snapToGrid w:val="0"/>
          <w:color w:val="auto"/>
          <w:highlight w:val="none"/>
        </w:rPr>
      </w:pPr>
      <w:bookmarkStart w:id="194" w:name="_Toc18491"/>
      <w:bookmarkStart w:id="195" w:name="_Toc9264"/>
      <w:bookmarkStart w:id="196" w:name="_Toc22692"/>
      <w:bookmarkStart w:id="197" w:name="_Toc622"/>
      <w:bookmarkStart w:id="198" w:name="_Toc22841"/>
      <w:bookmarkStart w:id="199" w:name="_Toc5060"/>
      <w:bookmarkStart w:id="200" w:name="_Toc13149"/>
      <w:bookmarkStart w:id="201" w:name="_Toc20297"/>
      <w:bookmarkStart w:id="202" w:name="_Toc8133"/>
      <w:bookmarkStart w:id="203" w:name="_Toc4068"/>
      <w:bookmarkStart w:id="204" w:name="_Toc13785"/>
      <w:r>
        <w:rPr>
          <w:rFonts w:hint="eastAsia" w:ascii="宋体" w:hAnsi="宋体" w:eastAsia="宋体" w:cs="宋体"/>
          <w:b/>
          <w:snapToGrid w:val="0"/>
          <w:color w:val="auto"/>
          <w:highlight w:val="none"/>
        </w:rPr>
        <w:t>11．</w:t>
      </w:r>
      <w:bookmarkEnd w:id="193"/>
      <w:bookmarkEnd w:id="194"/>
      <w:bookmarkEnd w:id="195"/>
      <w:bookmarkEnd w:id="196"/>
      <w:bookmarkEnd w:id="197"/>
      <w:bookmarkEnd w:id="198"/>
      <w:bookmarkEnd w:id="199"/>
      <w:bookmarkEnd w:id="200"/>
      <w:bookmarkEnd w:id="201"/>
      <w:bookmarkEnd w:id="202"/>
      <w:r>
        <w:rPr>
          <w:rFonts w:hint="eastAsia" w:ascii="宋体" w:hAnsi="宋体" w:eastAsia="宋体" w:cs="宋体"/>
          <w:b/>
          <w:snapToGrid w:val="0"/>
          <w:color w:val="auto"/>
          <w:highlight w:val="none"/>
        </w:rPr>
        <w:t>电子投标</w:t>
      </w:r>
      <w:bookmarkEnd w:id="203"/>
      <w:bookmarkEnd w:id="204"/>
    </w:p>
    <w:p w14:paraId="2086A06C">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bookmarkStart w:id="205" w:name="_Hlt66200498"/>
      <w:bookmarkEnd w:id="205"/>
      <w:bookmarkStart w:id="206" w:name="_Hlt66511038"/>
      <w:bookmarkEnd w:id="206"/>
      <w:r>
        <w:rPr>
          <w:rFonts w:hint="eastAsia" w:ascii="宋体" w:hAnsi="宋体" w:eastAsia="宋体" w:cs="宋体"/>
          <w:b/>
          <w:bCs/>
          <w:snapToGrid w:val="0"/>
          <w:color w:val="auto"/>
          <w:kern w:val="0"/>
          <w:highlight w:val="none"/>
        </w:rPr>
        <w:t>11.1</w:t>
      </w:r>
      <w:r>
        <w:rPr>
          <w:rFonts w:hint="eastAsia" w:ascii="宋体" w:hAnsi="宋体" w:eastAsia="宋体" w:cs="宋体"/>
          <w:snapToGrid w:val="0"/>
          <w:color w:val="auto"/>
          <w:kern w:val="0"/>
          <w:highlight w:val="none"/>
        </w:rPr>
        <w:t xml:space="preserve"> </w:t>
      </w:r>
      <w:bookmarkStart w:id="207" w:name="_Hlt88627590"/>
      <w:bookmarkEnd w:id="207"/>
      <w:r>
        <w:rPr>
          <w:rFonts w:hint="eastAsia" w:ascii="宋体" w:hAnsi="宋体" w:eastAsia="宋体" w:cs="宋体"/>
          <w:snapToGrid w:val="0"/>
          <w:color w:val="auto"/>
          <w:kern w:val="0"/>
          <w:highlight w:val="none"/>
        </w:rPr>
        <w:t>在建设工程交易系统上传加盖了电子印章的投标文件、录入相关信息及标书页码信息，（</w:t>
      </w:r>
      <w:r>
        <w:rPr>
          <w:rFonts w:hint="eastAsia" w:ascii="宋体" w:hAnsi="宋体" w:eastAsia="宋体" w:cs="宋体"/>
          <w:b/>
          <w:bCs/>
          <w:snapToGrid w:val="0"/>
          <w:color w:val="auto"/>
          <w:kern w:val="0"/>
          <w:highlight w:val="none"/>
        </w:rPr>
        <w:t>页码起始从封面开始</w:t>
      </w:r>
      <w:r>
        <w:rPr>
          <w:rFonts w:hint="eastAsia" w:ascii="宋体" w:hAnsi="宋体" w:eastAsia="宋体" w:cs="宋体"/>
          <w:snapToGrid w:val="0"/>
          <w:color w:val="auto"/>
          <w:kern w:val="0"/>
          <w:highlight w:val="none"/>
        </w:rPr>
        <w:t>）并提交投标标书。提交标书为已加密投标文件。具体操作参照《韶关市公共资源建设工程交易系统-投标人操作指南》。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14:paraId="1578D499">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11.2</w:t>
      </w:r>
      <w:r>
        <w:rPr>
          <w:rFonts w:hint="eastAsia" w:ascii="宋体" w:hAnsi="宋体" w:eastAsia="宋体" w:cs="宋体"/>
          <w:snapToGrid w:val="0"/>
          <w:color w:val="auto"/>
          <w:kern w:val="0"/>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bookmarkStart w:id="208" w:name="_Toc32203"/>
    </w:p>
    <w:p w14:paraId="3BA2C826">
      <w:pPr>
        <w:shd w:val="clear"/>
        <w:wordWrap w:val="0"/>
        <w:adjustRightInd w:val="0"/>
        <w:snapToGrid w:val="0"/>
        <w:spacing w:line="440" w:lineRule="exact"/>
        <w:ind w:firstLine="560"/>
        <w:rPr>
          <w:rFonts w:hint="eastAsia" w:ascii="宋体" w:hAnsi="宋体" w:eastAsia="宋体" w:cs="宋体"/>
          <w:b w:val="0"/>
          <w:bCs w:val="0"/>
          <w:snapToGrid w:val="0"/>
          <w:color w:val="auto"/>
          <w:kern w:val="0"/>
          <w:highlight w:val="none"/>
        </w:rPr>
      </w:pPr>
      <w:r>
        <w:rPr>
          <w:rFonts w:hint="eastAsia" w:ascii="宋体" w:hAnsi="宋体" w:eastAsia="宋体" w:cs="宋体"/>
          <w:b/>
          <w:bCs/>
          <w:snapToGrid w:val="0"/>
          <w:color w:val="auto"/>
          <w:kern w:val="0"/>
          <w:highlight w:val="none"/>
        </w:rPr>
        <w:t>11.3</w:t>
      </w:r>
      <w:r>
        <w:rPr>
          <w:rFonts w:hint="eastAsia" w:ascii="宋体" w:hAnsi="宋体" w:eastAsia="宋体" w:cs="宋体"/>
          <w:b w:val="0"/>
          <w:bCs w:val="0"/>
          <w:snapToGrid w:val="0"/>
          <w:color w:val="auto"/>
          <w:kern w:val="0"/>
          <w:highlight w:val="none"/>
        </w:rPr>
        <w:t>投标文件的提交</w:t>
      </w:r>
    </w:p>
    <w:p w14:paraId="0F0BB757">
      <w:pPr>
        <w:shd w:val="clear"/>
        <w:wordWrap w:val="0"/>
        <w:adjustRightInd w:val="0"/>
        <w:snapToGrid w:val="0"/>
        <w:spacing w:line="440" w:lineRule="exact"/>
        <w:ind w:firstLine="560"/>
        <w:rPr>
          <w:rFonts w:hint="eastAsia" w:ascii="宋体" w:hAnsi="宋体" w:eastAsia="宋体" w:cs="宋体"/>
          <w:b w:val="0"/>
          <w:bCs w:val="0"/>
          <w:snapToGrid w:val="0"/>
          <w:color w:val="auto"/>
          <w:kern w:val="0"/>
          <w:highlight w:val="none"/>
        </w:rPr>
      </w:pPr>
      <w:r>
        <w:rPr>
          <w:rFonts w:hint="eastAsia" w:ascii="宋体" w:hAnsi="宋体" w:eastAsia="宋体" w:cs="宋体"/>
          <w:b/>
          <w:bCs/>
          <w:snapToGrid w:val="0"/>
          <w:color w:val="auto"/>
          <w:kern w:val="0"/>
          <w:highlight w:val="none"/>
        </w:rPr>
        <w:t xml:space="preserve">11.3.1 </w:t>
      </w:r>
      <w:r>
        <w:rPr>
          <w:rFonts w:hint="eastAsia" w:ascii="宋体" w:hAnsi="宋体" w:eastAsia="宋体" w:cs="宋体"/>
          <w:b w:val="0"/>
          <w:bCs w:val="0"/>
          <w:snapToGrid w:val="0"/>
          <w:color w:val="auto"/>
          <w:kern w:val="0"/>
          <w:highlight w:val="none"/>
        </w:rPr>
        <w:t>投标人必须在规定的截止时间前使用交易系统完成获取招标文件、缴纳投标保证和全流程电子投标，只有满足以上所有条件，方为有效投标。</w:t>
      </w:r>
    </w:p>
    <w:p w14:paraId="0FCB3A55">
      <w:pPr>
        <w:shd w:val="clear"/>
        <w:wordWrap w:val="0"/>
        <w:adjustRightInd w:val="0"/>
        <w:snapToGrid w:val="0"/>
        <w:spacing w:line="440" w:lineRule="exact"/>
        <w:ind w:firstLine="560"/>
        <w:rPr>
          <w:rFonts w:hint="eastAsia" w:ascii="宋体" w:hAnsi="宋体" w:eastAsia="宋体" w:cs="宋体"/>
          <w:b w:val="0"/>
          <w:bCs w:val="0"/>
          <w:snapToGrid w:val="0"/>
          <w:color w:val="auto"/>
          <w:kern w:val="0"/>
          <w:highlight w:val="none"/>
        </w:rPr>
      </w:pPr>
      <w:r>
        <w:rPr>
          <w:rFonts w:hint="eastAsia" w:ascii="宋体" w:hAnsi="宋体" w:eastAsia="宋体" w:cs="宋体"/>
          <w:b/>
          <w:bCs/>
          <w:snapToGrid w:val="0"/>
          <w:color w:val="auto"/>
          <w:kern w:val="0"/>
          <w:highlight w:val="none"/>
        </w:rPr>
        <w:t>11.3.2</w:t>
      </w:r>
      <w:r>
        <w:rPr>
          <w:rFonts w:hint="eastAsia" w:ascii="宋体" w:hAnsi="宋体" w:eastAsia="宋体" w:cs="宋体"/>
          <w:b w:val="0"/>
          <w:bCs w:val="0"/>
          <w:snapToGrid w:val="0"/>
          <w:color w:val="auto"/>
          <w:kern w:val="0"/>
          <w:highlight w:val="none"/>
        </w:rPr>
        <w:t xml:space="preserve"> 投标人如有招标文件要求提交的用于评审的证书、证件、证明原件（附一式两份清单），由投标人法定代表人或其委托代理人在指定的时间和地点递交（见</w:t>
      </w:r>
      <w:r>
        <w:rPr>
          <w:rFonts w:hint="eastAsia" w:ascii="宋体" w:hAnsi="宋体" w:eastAsia="宋体" w:cs="宋体"/>
          <w:color w:val="auto"/>
          <w:sz w:val="24"/>
          <w:szCs w:val="24"/>
          <w:highlight w:val="none"/>
          <w:lang w:val="en-US" w:eastAsia="zh-CN"/>
        </w:rPr>
        <w:t>本章</w:t>
      </w:r>
      <w:r>
        <w:rPr>
          <w:rFonts w:hint="eastAsia" w:ascii="宋体" w:hAnsi="宋体" w:eastAsia="宋体" w:cs="宋体"/>
          <w:snapToGrid w:val="0"/>
          <w:color w:val="auto"/>
          <w:kern w:val="0"/>
          <w:szCs w:val="24"/>
          <w:highlight w:val="none"/>
        </w:rPr>
        <w:t>第二节</w:t>
      </w:r>
      <w:r>
        <w:rPr>
          <w:rFonts w:hint="eastAsia" w:ascii="宋体" w:hAnsi="宋体" w:eastAsia="宋体" w:cs="宋体"/>
          <w:color w:val="auto"/>
          <w:sz w:val="24"/>
          <w:szCs w:val="24"/>
          <w:highlight w:val="none"/>
        </w:rPr>
        <w:t>“重要事项时间地点一览表”</w:t>
      </w:r>
      <w:r>
        <w:rPr>
          <w:rFonts w:hint="eastAsia" w:ascii="宋体" w:hAnsi="宋体" w:eastAsia="宋体" w:cs="宋体"/>
          <w:b w:val="0"/>
          <w:bCs w:val="0"/>
          <w:snapToGrid w:val="0"/>
          <w:color w:val="auto"/>
          <w:kern w:val="0"/>
          <w:highlight w:val="none"/>
        </w:rPr>
        <w:t>）。</w:t>
      </w:r>
    </w:p>
    <w:p w14:paraId="645E1CA8">
      <w:pPr>
        <w:pStyle w:val="5"/>
        <w:keepNext/>
        <w:keepLines/>
        <w:pageBreakBefore w:val="0"/>
        <w:widowControl w:val="0"/>
        <w:shd w:val="clear"/>
        <w:kinsoku/>
        <w:wordWrap/>
        <w:overflowPunct/>
        <w:topLinePunct w:val="0"/>
        <w:autoSpaceDE/>
        <w:autoSpaceDN/>
        <w:bidi w:val="0"/>
        <w:adjustRightInd/>
        <w:snapToGrid/>
        <w:spacing w:before="240"/>
        <w:jc w:val="left"/>
        <w:textAlignment w:val="auto"/>
        <w:rPr>
          <w:rFonts w:hint="eastAsia" w:ascii="宋体" w:hAnsi="宋体" w:eastAsia="宋体" w:cs="宋体"/>
          <w:b/>
          <w:snapToGrid w:val="0"/>
          <w:color w:val="auto"/>
          <w:highlight w:val="none"/>
        </w:rPr>
      </w:pPr>
      <w:bookmarkStart w:id="209" w:name="_Toc12850"/>
      <w:bookmarkStart w:id="210" w:name="_Toc7230"/>
      <w:bookmarkStart w:id="211" w:name="_Toc17228"/>
      <w:bookmarkStart w:id="212" w:name="_Toc9067"/>
      <w:bookmarkStart w:id="213" w:name="_Toc18783"/>
      <w:bookmarkStart w:id="214" w:name="_Toc23904"/>
      <w:bookmarkStart w:id="215" w:name="_Toc372"/>
      <w:bookmarkStart w:id="216" w:name="_Toc8384"/>
      <w:bookmarkStart w:id="217" w:name="_Toc8371"/>
      <w:bookmarkStart w:id="218" w:name="_Toc16668"/>
      <w:bookmarkStart w:id="219" w:name="_Toc11440"/>
      <w:r>
        <w:rPr>
          <w:rFonts w:hint="eastAsia" w:ascii="宋体" w:hAnsi="宋体" w:eastAsia="宋体" w:cs="宋体"/>
          <w:b/>
          <w:snapToGrid w:val="0"/>
          <w:color w:val="auto"/>
          <w:highlight w:val="none"/>
        </w:rPr>
        <w:t>12．</w:t>
      </w:r>
      <w:bookmarkEnd w:id="208"/>
      <w:bookmarkEnd w:id="209"/>
      <w:bookmarkEnd w:id="210"/>
      <w:bookmarkEnd w:id="211"/>
      <w:bookmarkEnd w:id="212"/>
      <w:bookmarkEnd w:id="213"/>
      <w:bookmarkEnd w:id="214"/>
      <w:bookmarkEnd w:id="215"/>
      <w:bookmarkEnd w:id="216"/>
      <w:bookmarkEnd w:id="217"/>
      <w:r>
        <w:rPr>
          <w:rFonts w:hint="eastAsia" w:ascii="宋体" w:hAnsi="宋体" w:eastAsia="宋体" w:cs="宋体"/>
          <w:b/>
          <w:snapToGrid w:val="0"/>
          <w:color w:val="auto"/>
          <w:highlight w:val="none"/>
        </w:rPr>
        <w:t>电子投标及投标解密失败及突发情况的补救方案</w:t>
      </w:r>
      <w:bookmarkEnd w:id="218"/>
      <w:bookmarkEnd w:id="219"/>
    </w:p>
    <w:p w14:paraId="3836F716">
      <w:pPr>
        <w:pStyle w:val="43"/>
        <w:shd w:val="clear"/>
        <w:wordWrap w:val="0"/>
        <w:adjustRightInd w:val="0"/>
        <w:snapToGrid w:val="0"/>
        <w:spacing w:line="440" w:lineRule="exact"/>
        <w:ind w:firstLine="482"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12.1</w:t>
      </w:r>
      <w:r>
        <w:rPr>
          <w:rFonts w:hint="eastAsia" w:ascii="宋体" w:hAnsi="宋体" w:eastAsia="宋体" w:cs="宋体"/>
          <w:snapToGrid w:val="0"/>
          <w:color w:val="auto"/>
          <w:kern w:val="0"/>
          <w:sz w:val="24"/>
          <w:highlight w:val="none"/>
        </w:rPr>
        <w:t xml:space="preserve"> 按照交易平台关于全流程电子化项目的相关指南进行操作。详见：</w:t>
      </w:r>
      <w:r>
        <w:rPr>
          <w:rFonts w:hint="eastAsia" w:ascii="宋体" w:hAnsi="宋体" w:eastAsia="宋体" w:cs="宋体"/>
          <w:snapToGrid w:val="0"/>
          <w:color w:val="auto"/>
          <w:kern w:val="0"/>
          <w:sz w:val="24"/>
          <w:highlight w:val="none"/>
          <w:lang w:eastAsia="zh-CN"/>
        </w:rPr>
        <w:t>全国公共资源交易平台 （广东省·韶关市）</w:t>
      </w:r>
      <w:r>
        <w:rPr>
          <w:rFonts w:hint="eastAsia" w:ascii="宋体" w:hAnsi="宋体" w:eastAsia="宋体" w:cs="宋体"/>
          <w:snapToGrid w:val="0"/>
          <w:color w:val="auto"/>
          <w:kern w:val="0"/>
          <w:sz w:val="24"/>
          <w:highlight w:val="none"/>
        </w:rPr>
        <w:t>交易指引栏目发布的最新版操作指引。</w:t>
      </w:r>
    </w:p>
    <w:p w14:paraId="1D2EB634">
      <w:pPr>
        <w:pStyle w:val="43"/>
        <w:shd w:val="clear"/>
        <w:wordWrap w:val="0"/>
        <w:adjustRightInd w:val="0"/>
        <w:snapToGrid w:val="0"/>
        <w:spacing w:line="440" w:lineRule="exact"/>
        <w:ind w:firstLine="482"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12.2</w:t>
      </w:r>
      <w:r>
        <w:rPr>
          <w:rFonts w:hint="eastAsia" w:ascii="宋体" w:hAnsi="宋体" w:eastAsia="宋体" w:cs="宋体"/>
          <w:snapToGrid w:val="0"/>
          <w:color w:val="auto"/>
          <w:kern w:val="0"/>
          <w:sz w:val="24"/>
          <w:highlight w:val="none"/>
        </w:rPr>
        <w:t xml:space="preserve"> </w:t>
      </w:r>
      <w:r>
        <w:rPr>
          <w:rFonts w:hint="eastAsia" w:ascii="宋体" w:hAnsi="宋体" w:eastAsia="宋体" w:cs="宋体"/>
          <w:b/>
          <w:bCs/>
          <w:snapToGrid w:val="0"/>
          <w:color w:val="auto"/>
          <w:kern w:val="0"/>
          <w:sz w:val="24"/>
          <w:highlight w:val="none"/>
        </w:rPr>
        <w:t>补救方案</w:t>
      </w:r>
    </w:p>
    <w:p w14:paraId="62B53B38">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r>
        <w:rPr>
          <w:rFonts w:hint="eastAsia" w:ascii="宋体" w:hAnsi="宋体" w:eastAsia="宋体" w:cs="宋体"/>
          <w:strike w:val="0"/>
          <w:dstrike w:val="0"/>
          <w:snapToGrid w:val="0"/>
          <w:color w:val="auto"/>
          <w:kern w:val="0"/>
          <w:highlight w:val="none"/>
        </w:rPr>
        <w:t>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r>
        <w:rPr>
          <w:rFonts w:hint="eastAsia" w:ascii="宋体" w:hAnsi="宋体" w:eastAsia="宋体" w:cs="宋体"/>
          <w:b/>
          <w:bCs/>
          <w:strike w:val="0"/>
          <w:dstrike w:val="0"/>
          <w:snapToGrid w:val="0"/>
          <w:color w:val="auto"/>
          <w:kern w:val="0"/>
          <w:highlight w:val="none"/>
        </w:rPr>
        <w:t>电子投标文件解密失败且未在规定的时限内按要求成功上传未加密的备用投标文件的，视为无效投标。</w:t>
      </w:r>
    </w:p>
    <w:p w14:paraId="37786DFF">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在评标过程中，因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31C23A20">
      <w:pPr>
        <w:shd w:val="clear"/>
        <w:wordWrap w:val="0"/>
        <w:adjustRightInd w:val="0"/>
        <w:snapToGrid w:val="0"/>
        <w:spacing w:line="440" w:lineRule="exact"/>
        <w:ind w:firstLine="480" w:firstLineChars="200"/>
        <w:rPr>
          <w:rFonts w:hint="eastAsia" w:ascii="宋体" w:hAnsi="宋体" w:eastAsia="宋体" w:cs="宋体"/>
          <w:strike w:val="0"/>
          <w:dstrike w:val="0"/>
          <w:snapToGrid w:val="0"/>
          <w:color w:val="auto"/>
          <w:kern w:val="0"/>
          <w:highlight w:val="none"/>
          <w:lang w:eastAsia="zh-CN"/>
        </w:rPr>
      </w:pPr>
      <w:r>
        <w:rPr>
          <w:rFonts w:hint="eastAsia" w:ascii="宋体" w:hAnsi="宋体" w:eastAsia="宋体" w:cs="宋体"/>
          <w:strike w:val="0"/>
          <w:dstrike w:val="0"/>
          <w:snapToGrid w:val="0"/>
          <w:color w:val="auto"/>
          <w:kern w:val="0"/>
          <w:highlight w:val="none"/>
        </w:rPr>
        <w:t>（3）除发生上述情况外，开标评标均以投标人通过交易平台网上提交的电子投标文件为准。</w:t>
      </w:r>
    </w:p>
    <w:p w14:paraId="63856655">
      <w:pPr>
        <w:shd w:val="clear"/>
        <w:wordWrap w:val="0"/>
        <w:adjustRightInd w:val="0"/>
        <w:snapToGrid w:val="0"/>
        <w:spacing w:line="440" w:lineRule="exact"/>
        <w:ind w:firstLine="482" w:firstLineChars="200"/>
        <w:outlineLvl w:val="2"/>
        <w:rPr>
          <w:rFonts w:hint="eastAsia" w:ascii="宋体" w:hAnsi="宋体" w:eastAsia="宋体" w:cs="宋体"/>
          <w:snapToGrid w:val="0"/>
          <w:color w:val="auto"/>
          <w:kern w:val="0"/>
          <w:highlight w:val="none"/>
        </w:rPr>
      </w:pPr>
      <w:bookmarkStart w:id="220" w:name="_Toc28013"/>
      <w:bookmarkStart w:id="221" w:name="_Toc18672"/>
      <w:bookmarkStart w:id="222" w:name="_Toc10059"/>
      <w:bookmarkStart w:id="223" w:name="_Toc15056"/>
      <w:bookmarkStart w:id="224" w:name="_Toc6192"/>
      <w:bookmarkStart w:id="225" w:name="_Toc22389"/>
      <w:bookmarkStart w:id="226" w:name="_Toc28656"/>
      <w:bookmarkStart w:id="227" w:name="_Toc28771"/>
      <w:bookmarkStart w:id="228" w:name="_Toc22212"/>
      <w:bookmarkStart w:id="229" w:name="_Toc3479"/>
      <w:r>
        <w:rPr>
          <w:rFonts w:hint="eastAsia" w:ascii="宋体" w:hAnsi="宋体" w:eastAsia="宋体" w:cs="宋体"/>
          <w:b/>
          <w:snapToGrid w:val="0"/>
          <w:color w:val="auto"/>
          <w:kern w:val="0"/>
          <w:highlight w:val="none"/>
        </w:rPr>
        <w:t>13．投标有效期</w:t>
      </w:r>
      <w:bookmarkEnd w:id="220"/>
      <w:bookmarkEnd w:id="221"/>
      <w:bookmarkEnd w:id="222"/>
      <w:bookmarkEnd w:id="223"/>
      <w:bookmarkEnd w:id="224"/>
      <w:bookmarkEnd w:id="225"/>
      <w:bookmarkEnd w:id="226"/>
      <w:bookmarkEnd w:id="227"/>
      <w:bookmarkEnd w:id="228"/>
      <w:bookmarkEnd w:id="229"/>
    </w:p>
    <w:p w14:paraId="7486930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本次招标投标有效期为</w:t>
      </w:r>
      <w:r>
        <w:rPr>
          <w:rFonts w:hint="eastAsia" w:ascii="宋体" w:hAnsi="宋体" w:eastAsia="宋体" w:cs="宋体"/>
          <w:snapToGrid w:val="0"/>
          <w:color w:val="auto"/>
          <w:kern w:val="0"/>
          <w:highlight w:val="none"/>
          <w:u w:val="single"/>
        </w:rPr>
        <w:t>90个</w:t>
      </w:r>
      <w:r>
        <w:rPr>
          <w:rFonts w:hint="eastAsia" w:ascii="宋体" w:hAnsi="宋体" w:eastAsia="宋体" w:cs="宋体"/>
          <w:snapToGrid w:val="0"/>
          <w:color w:val="auto"/>
          <w:kern w:val="0"/>
          <w:highlight w:val="none"/>
        </w:rPr>
        <w:t>日历天，自招标人或其授权的招标代理机构接收投标人递交的投标文件之日起计。在此期间，投标人不得撤销或修改其投标文件，否则其投标保证不予退还。</w:t>
      </w:r>
    </w:p>
    <w:p w14:paraId="1ED6A27F">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6F05F55F">
      <w:pPr>
        <w:shd w:val="clear"/>
        <w:wordWrap w:val="0"/>
        <w:adjustRightInd w:val="0"/>
        <w:snapToGrid w:val="0"/>
        <w:spacing w:line="440" w:lineRule="exact"/>
        <w:ind w:firstLine="482" w:firstLineChars="200"/>
        <w:outlineLvl w:val="2"/>
        <w:rPr>
          <w:rFonts w:hint="eastAsia" w:ascii="宋体" w:hAnsi="宋体" w:eastAsia="宋体" w:cs="宋体"/>
          <w:snapToGrid w:val="0"/>
          <w:color w:val="auto"/>
          <w:kern w:val="0"/>
          <w:highlight w:val="none"/>
        </w:rPr>
      </w:pPr>
      <w:bookmarkStart w:id="230" w:name="_Toc29341"/>
      <w:bookmarkStart w:id="231" w:name="_Toc15804"/>
      <w:bookmarkStart w:id="232" w:name="_Toc18658"/>
      <w:bookmarkStart w:id="233" w:name="_Toc16797"/>
      <w:bookmarkStart w:id="234" w:name="_Toc23878"/>
      <w:bookmarkStart w:id="235" w:name="_Toc3636"/>
      <w:bookmarkStart w:id="236" w:name="_Toc5946"/>
      <w:bookmarkStart w:id="237" w:name="_Toc1214"/>
      <w:bookmarkStart w:id="238" w:name="_Toc16024"/>
      <w:bookmarkStart w:id="239" w:name="_Toc18547"/>
      <w:r>
        <w:rPr>
          <w:rFonts w:hint="eastAsia" w:ascii="宋体" w:hAnsi="宋体" w:eastAsia="宋体" w:cs="宋体"/>
          <w:b/>
          <w:snapToGrid w:val="0"/>
          <w:color w:val="auto"/>
          <w:kern w:val="0"/>
          <w:highlight w:val="none"/>
        </w:rPr>
        <w:t>14．开标</w:t>
      </w:r>
      <w:bookmarkEnd w:id="230"/>
      <w:bookmarkEnd w:id="231"/>
      <w:bookmarkEnd w:id="232"/>
      <w:bookmarkEnd w:id="233"/>
      <w:bookmarkEnd w:id="234"/>
      <w:bookmarkEnd w:id="235"/>
      <w:bookmarkEnd w:id="236"/>
      <w:bookmarkEnd w:id="237"/>
      <w:bookmarkEnd w:id="238"/>
      <w:bookmarkEnd w:id="239"/>
    </w:p>
    <w:p w14:paraId="5A3EC126">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14.1</w:t>
      </w:r>
      <w:r>
        <w:rPr>
          <w:rFonts w:hint="eastAsia" w:ascii="宋体" w:hAnsi="宋体" w:eastAsia="宋体" w:cs="宋体"/>
          <w:snapToGrid w:val="0"/>
          <w:color w:val="auto"/>
          <w:kern w:val="0"/>
          <w:sz w:val="24"/>
          <w:highlight w:val="none"/>
        </w:rPr>
        <w:t xml:space="preserve"> 招标人邀请所有正确完成了</w:t>
      </w:r>
      <w:r>
        <w:rPr>
          <w:rFonts w:hint="eastAsia" w:ascii="宋体" w:hAnsi="宋体" w:eastAsia="宋体" w:cs="宋体"/>
          <w:snapToGrid w:val="0"/>
          <w:color w:val="auto"/>
          <w:kern w:val="0"/>
          <w:sz w:val="24"/>
          <w:szCs w:val="24"/>
          <w:highlight w:val="none"/>
        </w:rPr>
        <w:t>网上</w:t>
      </w:r>
      <w:r>
        <w:rPr>
          <w:rFonts w:hint="eastAsia" w:ascii="宋体" w:hAnsi="宋体" w:eastAsia="宋体" w:cs="宋体"/>
          <w:snapToGrid w:val="0"/>
          <w:color w:val="auto"/>
          <w:kern w:val="0"/>
          <w:sz w:val="24"/>
          <w:szCs w:val="24"/>
          <w:highlight w:val="none"/>
          <w:lang w:eastAsia="zh-CN"/>
        </w:rPr>
        <w:t>获取招标文件</w:t>
      </w:r>
      <w:r>
        <w:rPr>
          <w:rFonts w:hint="eastAsia" w:ascii="宋体" w:hAnsi="宋体" w:eastAsia="宋体" w:cs="宋体"/>
          <w:snapToGrid w:val="0"/>
          <w:color w:val="auto"/>
          <w:kern w:val="0"/>
          <w:sz w:val="24"/>
          <w:highlight w:val="none"/>
        </w:rPr>
        <w:t>、电子投标、缴纳投标保证的投标人参加开标</w:t>
      </w:r>
      <w:r>
        <w:rPr>
          <w:rFonts w:hint="eastAsia" w:ascii="宋体" w:hAnsi="宋体" w:eastAsia="宋体" w:cs="宋体"/>
          <w:b w:val="0"/>
          <w:bCs w:val="0"/>
          <w:snapToGrid w:val="0"/>
          <w:color w:val="auto"/>
          <w:kern w:val="0"/>
          <w:sz w:val="24"/>
          <w:highlight w:val="none"/>
        </w:rPr>
        <w:t>，投标人可自主决定是否参加</w:t>
      </w:r>
      <w:r>
        <w:rPr>
          <w:rFonts w:hint="eastAsia" w:ascii="宋体" w:hAnsi="宋体" w:eastAsia="宋体" w:cs="宋体"/>
          <w:snapToGrid w:val="0"/>
          <w:color w:val="auto"/>
          <w:kern w:val="0"/>
          <w:sz w:val="24"/>
          <w:highlight w:val="none"/>
        </w:rPr>
        <w:t>。投标人可登陆交易平台观看开标实况、提出异议或进行澄清、确认等操作（具体按招标文件和系统操作手册为准）。投标人不参加开标的，视其默认开标结果，以及放弃在开标期间见证、监督、投诉、申辩的权利。</w:t>
      </w:r>
    </w:p>
    <w:p w14:paraId="0CB688D2">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14.1.1</w:t>
      </w:r>
      <w:r>
        <w:rPr>
          <w:rFonts w:hint="eastAsia" w:ascii="宋体" w:hAnsi="宋体" w:eastAsia="宋体" w:cs="宋体"/>
          <w:snapToGrid w:val="0"/>
          <w:color w:val="auto"/>
          <w:kern w:val="0"/>
          <w:sz w:val="24"/>
          <w:highlight w:val="none"/>
        </w:rPr>
        <w:t xml:space="preserve"> 开标时间和地点：见</w:t>
      </w:r>
      <w:r>
        <w:rPr>
          <w:rFonts w:hint="eastAsia" w:ascii="宋体" w:hAnsi="宋体" w:eastAsia="宋体" w:cs="宋体"/>
          <w:snapToGrid w:val="0"/>
          <w:color w:val="auto"/>
          <w:kern w:val="0"/>
          <w:sz w:val="24"/>
          <w:highlight w:val="none"/>
          <w:lang w:val="en-US" w:eastAsia="zh-CN"/>
        </w:rPr>
        <w:t>本章</w:t>
      </w:r>
      <w:r>
        <w:rPr>
          <w:rFonts w:hint="eastAsia" w:ascii="宋体" w:hAnsi="宋体" w:eastAsia="宋体" w:cs="宋体"/>
          <w:snapToGrid w:val="0"/>
          <w:color w:val="auto"/>
          <w:kern w:val="0"/>
          <w:sz w:val="24"/>
          <w:highlight w:val="none"/>
        </w:rPr>
        <w:t>第二节“重要事项时间地点一览表”。</w:t>
      </w:r>
    </w:p>
    <w:p w14:paraId="228A7C77">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14.1.2</w:t>
      </w:r>
      <w:r>
        <w:rPr>
          <w:rFonts w:hint="eastAsia" w:ascii="宋体" w:hAnsi="宋体" w:eastAsia="宋体" w:cs="宋体"/>
          <w:snapToGrid w:val="0"/>
          <w:color w:val="auto"/>
          <w:kern w:val="0"/>
          <w:sz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招标文件“重要事项时间地点一览表”）至电子投标截止时间（见本招标文件“重要事项时间地点一览表”）期间登录</w:t>
      </w:r>
      <w:r>
        <w:rPr>
          <w:rFonts w:hint="eastAsia" w:ascii="宋体" w:hAnsi="宋体" w:eastAsia="宋体" w:cs="宋体"/>
          <w:snapToGrid w:val="0"/>
          <w:color w:val="auto"/>
          <w:kern w:val="0"/>
          <w:sz w:val="24"/>
          <w:highlight w:val="none"/>
          <w:lang w:eastAsia="zh-CN"/>
        </w:rPr>
        <w:t>全国公共资源交易平台（广东省·韶关市）（https://ygp.gdzwfw.gov.cn/ggzy-portal/#/440200/index）</w:t>
      </w:r>
      <w:r>
        <w:rPr>
          <w:rFonts w:hint="eastAsia" w:ascii="宋体" w:hAnsi="宋体" w:eastAsia="宋体" w:cs="宋体"/>
          <w:snapToGrid w:val="0"/>
          <w:color w:val="auto"/>
          <w:kern w:val="0"/>
          <w:sz w:val="24"/>
          <w:highlight w:val="none"/>
        </w:rPr>
        <w:t>查询是否发布了取消开标活动的相关信息。</w:t>
      </w:r>
    </w:p>
    <w:p w14:paraId="6D9C26A7">
      <w:pPr>
        <w:pStyle w:val="43"/>
        <w:shd w:val="clear"/>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lang w:val="en-US" w:eastAsia="zh-CN"/>
        </w:rPr>
        <w:t>14.1</w:t>
      </w:r>
      <w:r>
        <w:rPr>
          <w:rFonts w:hint="eastAsia" w:ascii="宋体" w:hAnsi="宋体" w:eastAsia="宋体" w:cs="宋体"/>
          <w:b/>
          <w:bCs/>
          <w:snapToGrid w:val="0"/>
          <w:color w:val="auto"/>
          <w:kern w:val="0"/>
          <w:sz w:val="24"/>
          <w:szCs w:val="20"/>
          <w:highlight w:val="none"/>
        </w:rPr>
        <w:t xml:space="preserve">.3 </w:t>
      </w:r>
      <w:r>
        <w:rPr>
          <w:rFonts w:hint="eastAsia" w:ascii="宋体" w:hAnsi="宋体" w:eastAsia="宋体" w:cs="宋体"/>
          <w:snapToGrid w:val="0"/>
          <w:color w:val="auto"/>
          <w:kern w:val="0"/>
          <w:sz w:val="24"/>
          <w:highlight w:val="none"/>
        </w:rPr>
        <w:t>本项目实行全流程电子化招标投标，</w:t>
      </w:r>
      <w:r>
        <w:rPr>
          <w:rFonts w:hint="eastAsia" w:ascii="宋体" w:hAnsi="宋体" w:eastAsia="宋体" w:cs="宋体"/>
          <w:snapToGrid w:val="0"/>
          <w:color w:val="auto"/>
          <w:kern w:val="0"/>
          <w:sz w:val="24"/>
          <w:highlight w:val="none"/>
          <w:lang w:val="en-US" w:eastAsia="zh-CN"/>
        </w:rPr>
        <w:t>投标</w:t>
      </w:r>
      <w:r>
        <w:rPr>
          <w:rFonts w:hint="eastAsia" w:ascii="宋体" w:hAnsi="宋体" w:eastAsia="宋体" w:cs="宋体"/>
          <w:snapToGrid w:val="0"/>
          <w:color w:val="auto"/>
          <w:kern w:val="0"/>
          <w:sz w:val="24"/>
          <w:highlight w:val="none"/>
        </w:rPr>
        <w:t>人在交易平台按要求上传加盖电子印章并经加密的电子投标文件，并在交易平台录准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1FB2A6E">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14.2</w:t>
      </w:r>
      <w:r>
        <w:rPr>
          <w:rFonts w:hint="eastAsia" w:ascii="宋体" w:hAnsi="宋体" w:eastAsia="宋体" w:cs="宋体"/>
          <w:snapToGrid w:val="0"/>
          <w:color w:val="auto"/>
          <w:kern w:val="0"/>
          <w:highlight w:val="none"/>
        </w:rPr>
        <w:t xml:space="preserve"> 开标程序</w:t>
      </w:r>
    </w:p>
    <w:p w14:paraId="03A38B87">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（1）主持人（招标人代表或招标人授权的招标代理机构人员）宣读开标纪律。</w:t>
      </w:r>
    </w:p>
    <w:p w14:paraId="1083DAE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（2）主持人宣布唱标人、记录人、见证人、监督人等有关人员姓名。</w:t>
      </w:r>
    </w:p>
    <w:p w14:paraId="7BDD9FC2">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（3）唱标人公布在投标截止时间前</w:t>
      </w:r>
      <w:r>
        <w:rPr>
          <w:rFonts w:hint="eastAsia" w:ascii="宋体" w:hAnsi="宋体" w:eastAsia="宋体" w:cs="宋体"/>
          <w:snapToGrid w:val="0"/>
          <w:color w:val="auto"/>
          <w:kern w:val="0"/>
          <w:highlight w:val="none"/>
          <w:lang w:val="en-US" w:eastAsia="zh-CN"/>
        </w:rPr>
        <w:t>提</w:t>
      </w:r>
      <w:r>
        <w:rPr>
          <w:rFonts w:hint="eastAsia" w:ascii="宋体" w:hAnsi="宋体" w:eastAsia="宋体" w:cs="宋体"/>
          <w:snapToGrid w:val="0"/>
          <w:color w:val="auto"/>
          <w:kern w:val="0"/>
          <w:highlight w:val="none"/>
        </w:rPr>
        <w:t>交</w:t>
      </w:r>
      <w:r>
        <w:rPr>
          <w:rFonts w:hint="eastAsia" w:ascii="宋体" w:hAnsi="宋体" w:eastAsia="宋体" w:cs="宋体"/>
          <w:snapToGrid w:val="0"/>
          <w:color w:val="auto"/>
          <w:kern w:val="0"/>
          <w:highlight w:val="none"/>
          <w:lang w:val="en-US" w:eastAsia="zh-CN"/>
        </w:rPr>
        <w:t>电子</w:t>
      </w:r>
      <w:r>
        <w:rPr>
          <w:rFonts w:hint="eastAsia" w:ascii="宋体" w:hAnsi="宋体" w:eastAsia="宋体" w:cs="宋体"/>
          <w:snapToGrid w:val="0"/>
          <w:color w:val="auto"/>
          <w:kern w:val="0"/>
          <w:highlight w:val="none"/>
        </w:rPr>
        <w:t>投标文件的投标人数量和名称</w:t>
      </w:r>
      <w:r>
        <w:rPr>
          <w:rFonts w:hint="eastAsia" w:ascii="宋体" w:hAnsi="宋体" w:eastAsia="宋体" w:cs="宋体"/>
          <w:snapToGrid w:val="0"/>
          <w:color w:val="auto"/>
          <w:kern w:val="0"/>
          <w:highlight w:val="none"/>
          <w:lang w:eastAsia="zh-CN"/>
        </w:rPr>
        <w:t>。</w:t>
      </w:r>
    </w:p>
    <w:p w14:paraId="5D70197D">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w:t>
      </w:r>
      <w:r>
        <w:rPr>
          <w:rFonts w:hint="eastAsia" w:ascii="宋体" w:hAnsi="宋体" w:eastAsia="宋体" w:cs="宋体"/>
          <w:color w:val="auto"/>
          <w:sz w:val="24"/>
          <w:szCs w:val="24"/>
          <w:highlight w:val="none"/>
        </w:rPr>
        <w:t>招标代理机构在交易场所工作人员的见证下，</w:t>
      </w:r>
      <w:r>
        <w:rPr>
          <w:rFonts w:hint="eastAsia" w:ascii="宋体" w:hAnsi="宋体" w:eastAsia="宋体" w:cs="宋体"/>
          <w:snapToGrid w:val="0"/>
          <w:color w:val="auto"/>
          <w:kern w:val="0"/>
          <w:sz w:val="24"/>
          <w:highlight w:val="none"/>
        </w:rPr>
        <w:t>对投标人的电子投标信息进行解密，建设工程交易系统自动生成《投标保证缴纳情况表》和《开标一览表》</w:t>
      </w:r>
      <w:r>
        <w:rPr>
          <w:rFonts w:hint="eastAsia" w:ascii="宋体" w:hAnsi="宋体" w:eastAsia="宋体" w:cs="宋体"/>
          <w:color w:val="auto"/>
          <w:szCs w:val="24"/>
          <w:highlight w:val="none"/>
        </w:rPr>
        <w:t>。</w:t>
      </w:r>
    </w:p>
    <w:p w14:paraId="5DB3398E">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）唱标人检查《开标一览表》中各投标人的投标总价、监理服务期限是否符合招标文件规定。若不符合规定，招标代理机构应将有关情形在《开标一览表》“备注”栏中注明。</w:t>
      </w:r>
    </w:p>
    <w:p w14:paraId="1CD257B8">
      <w:pPr>
        <w:shd w:val="clear"/>
        <w:wordWrap w:val="0"/>
        <w:adjustRightInd w:val="0"/>
        <w:snapToGrid w:val="0"/>
        <w:spacing w:line="440" w:lineRule="exact"/>
        <w:ind w:firstLine="482" w:firstLineChars="200"/>
        <w:rPr>
          <w:rFonts w:hint="eastAsia" w:ascii="宋体" w:hAnsi="宋体" w:eastAsia="宋体" w:cs="宋体"/>
          <w:b/>
          <w:bCs/>
          <w:strike w:val="0"/>
          <w:dstrike w:val="0"/>
          <w:color w:val="auto"/>
          <w:highlight w:val="none"/>
        </w:rPr>
      </w:pPr>
      <w:r>
        <w:rPr>
          <w:rFonts w:hint="eastAsia" w:ascii="宋体" w:hAnsi="宋体" w:eastAsia="宋体" w:cs="宋体"/>
          <w:b/>
          <w:bCs/>
          <w:strike w:val="0"/>
          <w:dstrike w:val="0"/>
          <w:color w:val="auto"/>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6F08586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）招标人代表、唱标人、记录人等有关人员在《投标保证缴纳情况表》以及《开标一览表》上签字确认。</w:t>
      </w:r>
    </w:p>
    <w:p w14:paraId="52F4783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7</w:t>
      </w:r>
      <w:r>
        <w:rPr>
          <w:rFonts w:hint="eastAsia" w:ascii="宋体" w:hAnsi="宋体" w:eastAsia="宋体" w:cs="宋体"/>
          <w:snapToGrid w:val="0"/>
          <w:color w:val="auto"/>
          <w:kern w:val="0"/>
          <w:highlight w:val="none"/>
        </w:rPr>
        <w:t>）主持人宣布有关注意事项后，宣布开标结束。</w:t>
      </w:r>
    </w:p>
    <w:p w14:paraId="7857DAFE">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14.3</w:t>
      </w:r>
      <w:r>
        <w:rPr>
          <w:rFonts w:hint="eastAsia" w:ascii="宋体" w:hAnsi="宋体" w:eastAsia="宋体" w:cs="宋体"/>
          <w:snapToGrid w:val="0"/>
          <w:color w:val="auto"/>
          <w:kern w:val="0"/>
          <w:highlight w:val="none"/>
        </w:rPr>
        <w:t xml:space="preserve"> 投标人对开标相关事项（如开标程序、唱标次序和内容等）有异议的，必须在开标期间和开标现场提出，招标人或其授权的招标代理机构应当场作出答复，并记录在案。对开标事项的异议未在开标期间和开标现场提出的，招标人不予受理。</w:t>
      </w:r>
    </w:p>
    <w:p w14:paraId="753F3591">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14.4</w:t>
      </w:r>
      <w:r>
        <w:rPr>
          <w:rFonts w:hint="eastAsia" w:ascii="宋体" w:hAnsi="宋体" w:eastAsia="宋体" w:cs="宋体"/>
          <w:snapToGrid w:val="0"/>
          <w:color w:val="auto"/>
          <w:kern w:val="0"/>
          <w:highlight w:val="none"/>
        </w:rPr>
        <w:t xml:space="preserve"> 招标代理机构资料原件</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lang w:val="en-US" w:eastAsia="zh-CN"/>
        </w:rPr>
        <w:t>如有）</w:t>
      </w:r>
      <w:r>
        <w:rPr>
          <w:rFonts w:hint="eastAsia" w:ascii="宋体" w:hAnsi="宋体" w:eastAsia="宋体" w:cs="宋体"/>
          <w:snapToGrid w:val="0"/>
          <w:color w:val="auto"/>
          <w:kern w:val="0"/>
          <w:highlight w:val="none"/>
        </w:rPr>
        <w:t>、《开标一览表》以及其他有关资料移交评标委员会。</w:t>
      </w:r>
      <w:bookmarkStart w:id="240" w:name="_Hlt127093805"/>
      <w:bookmarkEnd w:id="240"/>
    </w:p>
    <w:p w14:paraId="59E3E555">
      <w:pPr>
        <w:shd w:val="clear"/>
        <w:wordWrap w:val="0"/>
        <w:adjustRightInd w:val="0"/>
        <w:snapToGrid w:val="0"/>
        <w:spacing w:line="240" w:lineRule="auto"/>
        <w:ind w:firstLine="480" w:firstLineChars="200"/>
        <w:rPr>
          <w:rFonts w:hint="eastAsia" w:ascii="宋体" w:hAnsi="宋体" w:eastAsia="宋体" w:cs="宋体"/>
          <w:snapToGrid w:val="0"/>
          <w:color w:val="auto"/>
          <w:kern w:val="0"/>
          <w:highlight w:val="none"/>
        </w:rPr>
      </w:pPr>
    </w:p>
    <w:p w14:paraId="2889802C">
      <w:pPr>
        <w:shd w:val="clear"/>
        <w:wordWrap w:val="0"/>
        <w:adjustRightInd w:val="0"/>
        <w:snapToGrid w:val="0"/>
        <w:spacing w:line="440" w:lineRule="exact"/>
        <w:ind w:firstLine="482" w:firstLineChars="200"/>
        <w:outlineLvl w:val="2"/>
        <w:rPr>
          <w:rFonts w:hint="eastAsia" w:ascii="宋体" w:hAnsi="宋体" w:eastAsia="宋体" w:cs="宋体"/>
          <w:b/>
          <w:snapToGrid w:val="0"/>
          <w:color w:val="auto"/>
          <w:kern w:val="0"/>
          <w:highlight w:val="none"/>
        </w:rPr>
      </w:pPr>
      <w:bookmarkStart w:id="241" w:name="_Toc21857"/>
      <w:bookmarkStart w:id="242" w:name="_Toc12385"/>
      <w:bookmarkStart w:id="243" w:name="_Toc3135"/>
      <w:bookmarkStart w:id="244" w:name="_Toc28982"/>
      <w:bookmarkStart w:id="245" w:name="_Toc12120"/>
      <w:bookmarkStart w:id="246" w:name="_Toc6005"/>
      <w:bookmarkStart w:id="247" w:name="_Toc32135"/>
      <w:bookmarkStart w:id="248" w:name="_Toc15736"/>
      <w:bookmarkStart w:id="249" w:name="_Toc13528"/>
      <w:bookmarkStart w:id="250" w:name="_Toc16582"/>
      <w:r>
        <w:rPr>
          <w:rFonts w:hint="eastAsia" w:ascii="宋体" w:hAnsi="宋体" w:eastAsia="宋体" w:cs="宋体"/>
          <w:b/>
          <w:snapToGrid w:val="0"/>
          <w:color w:val="auto"/>
          <w:kern w:val="0"/>
          <w:highlight w:val="none"/>
        </w:rPr>
        <w:t>15．评标</w:t>
      </w:r>
      <w:bookmarkEnd w:id="241"/>
      <w:bookmarkEnd w:id="242"/>
      <w:bookmarkEnd w:id="243"/>
      <w:bookmarkEnd w:id="244"/>
      <w:bookmarkEnd w:id="245"/>
      <w:bookmarkEnd w:id="246"/>
      <w:bookmarkEnd w:id="247"/>
      <w:bookmarkEnd w:id="248"/>
      <w:bookmarkEnd w:id="249"/>
      <w:bookmarkEnd w:id="250"/>
    </w:p>
    <w:p w14:paraId="63B9AF62">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评标分为初步评审和详细评审两个阶段，由评标委员会在有关部门的监督下，严格按照本招标文件指定的评标方法，对投标人的投标文件进行评审。</w:t>
      </w:r>
    </w:p>
    <w:p w14:paraId="09C283E4">
      <w:pPr>
        <w:shd w:val="clear"/>
        <w:wordWrap w:val="0"/>
        <w:adjustRightInd w:val="0"/>
        <w:snapToGrid w:val="0"/>
        <w:spacing w:line="440" w:lineRule="exact"/>
        <w:ind w:firstLine="482" w:firstLineChars="200"/>
        <w:rPr>
          <w:rFonts w:hint="eastAsia" w:ascii="宋体" w:hAnsi="宋体" w:eastAsia="宋体" w:cs="宋体"/>
          <w:bCs/>
          <w:snapToGrid w:val="0"/>
          <w:color w:val="auto"/>
          <w:kern w:val="0"/>
          <w:highlight w:val="none"/>
        </w:rPr>
      </w:pPr>
      <w:r>
        <w:rPr>
          <w:rFonts w:hint="eastAsia" w:ascii="宋体" w:hAnsi="宋体" w:eastAsia="宋体" w:cs="宋体"/>
          <w:b/>
          <w:bCs/>
          <w:snapToGrid w:val="0"/>
          <w:color w:val="auto"/>
          <w:kern w:val="0"/>
          <w:highlight w:val="none"/>
        </w:rPr>
        <w:t>15.1</w:t>
      </w:r>
      <w:r>
        <w:rPr>
          <w:rFonts w:hint="eastAsia" w:ascii="宋体" w:hAnsi="宋体" w:eastAsia="宋体" w:cs="宋体"/>
          <w:bCs/>
          <w:snapToGrid w:val="0"/>
          <w:color w:val="auto"/>
          <w:kern w:val="0"/>
          <w:highlight w:val="none"/>
        </w:rPr>
        <w:t xml:space="preserve"> 评标委员会</w:t>
      </w:r>
    </w:p>
    <w:p w14:paraId="41730DEC">
      <w:pPr>
        <w:shd w:val="clear"/>
        <w:wordWrap w:val="0"/>
        <w:adjustRightInd w:val="0"/>
        <w:snapToGrid w:val="0"/>
        <w:spacing w:line="440" w:lineRule="exact"/>
        <w:ind w:firstLine="48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15.1.1</w:t>
      </w: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szCs w:val="24"/>
          <w:highlight w:val="none"/>
        </w:rPr>
        <w:t>评标委员会由5人组成，其中招标人代表 0人，专家5人。专家从广东省综合评标评审专家库</w:t>
      </w:r>
      <w:r>
        <w:rPr>
          <w:rFonts w:hint="eastAsia" w:ascii="宋体" w:hAnsi="宋体" w:eastAsia="宋体" w:cs="宋体"/>
          <w:snapToGrid w:val="0"/>
          <w:color w:val="auto"/>
          <w:kern w:val="0"/>
          <w:szCs w:val="24"/>
          <w:highlight w:val="none"/>
          <w:lang w:val="en-US" w:eastAsia="zh-CN"/>
        </w:rPr>
        <w:t>--韶关区域</w:t>
      </w:r>
      <w:r>
        <w:rPr>
          <w:rFonts w:hint="eastAsia" w:ascii="宋体" w:hAnsi="宋体" w:eastAsia="宋体" w:cs="宋体"/>
          <w:snapToGrid w:val="0"/>
          <w:color w:val="auto"/>
          <w:kern w:val="0"/>
          <w:szCs w:val="24"/>
          <w:highlight w:val="none"/>
        </w:rPr>
        <w:t>中随机抽取，其中技术类专家3人，经济类专家2人。</w:t>
      </w:r>
      <w:r>
        <w:rPr>
          <w:rFonts w:hint="eastAsia" w:ascii="宋体" w:hAnsi="宋体" w:eastAsia="宋体" w:cs="宋体"/>
          <w:snapToGrid w:val="0"/>
          <w:color w:val="auto"/>
          <w:kern w:val="0"/>
          <w:highlight w:val="none"/>
        </w:rPr>
        <w:t>评标委员会设负责人，由评标委员会成员推举产生。评标委员会负责人与评标委员会的其他成员有同等的表决权。</w:t>
      </w:r>
    </w:p>
    <w:p w14:paraId="2013DCB9">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15.1.2</w:t>
      </w:r>
      <w:r>
        <w:rPr>
          <w:rFonts w:hint="eastAsia" w:ascii="宋体" w:hAnsi="宋体" w:eastAsia="宋体" w:cs="宋体"/>
          <w:snapToGrid w:val="0"/>
          <w:color w:val="auto"/>
          <w:kern w:val="0"/>
          <w:highlight w:val="none"/>
        </w:rPr>
        <w:t xml:space="preserve"> 评标委员会应认真、公正、诚实、廉洁地履行职责。有下列情形之一的，不得担任评标委员会成员：</w:t>
      </w:r>
    </w:p>
    <w:p w14:paraId="3EC2902A">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（1）投标人或投标人主要负责人的近亲属；</w:t>
      </w:r>
    </w:p>
    <w:p w14:paraId="7D501F17">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（2）项目主管部门或者行政监督部门的人员；</w:t>
      </w:r>
    </w:p>
    <w:p w14:paraId="441F3ACB">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（3）与投标人有经济利益关系，可能影响对投标公正评审的；</w:t>
      </w:r>
    </w:p>
    <w:p w14:paraId="76B8BE14">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（4）曾因在招标、评标以及其他与招标投标有关活动中从事违法行为而受过行政处罚或刑事处罚的。</w:t>
      </w:r>
    </w:p>
    <w:p w14:paraId="67086DC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评标委员会成员有以上情形之一的，应主动提出回避。</w:t>
      </w:r>
    </w:p>
    <w:p w14:paraId="1B59C2C7">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15.1.3</w:t>
      </w:r>
      <w:r>
        <w:rPr>
          <w:rFonts w:hint="eastAsia" w:ascii="宋体" w:hAnsi="宋体" w:eastAsia="宋体" w:cs="宋体"/>
          <w:snapToGrid w:val="0"/>
          <w:color w:val="auto"/>
          <w:kern w:val="0"/>
          <w:highlight w:val="none"/>
        </w:rPr>
        <w:t xml:space="preserve"> 评标全过程实行封闭式管理，在中标结果公布前，禁止评标委员会成员以任何方式私下接触投标人。</w:t>
      </w:r>
    </w:p>
    <w:p w14:paraId="433710A7">
      <w:pPr>
        <w:shd w:val="clear"/>
        <w:wordWrap w:val="0"/>
        <w:adjustRightInd w:val="0"/>
        <w:snapToGrid w:val="0"/>
        <w:spacing w:line="440" w:lineRule="exact"/>
        <w:ind w:firstLine="480" w:firstLineChars="200"/>
        <w:rPr>
          <w:rFonts w:hint="eastAsia" w:ascii="宋体" w:hAnsi="宋体" w:eastAsia="宋体" w:cs="宋体"/>
          <w:b w:val="0"/>
          <w:bCs w:val="0"/>
          <w:snapToGrid w:val="0"/>
          <w:color w:val="auto"/>
          <w:kern w:val="0"/>
          <w:highlight w:val="none"/>
        </w:rPr>
      </w:pPr>
      <w:r>
        <w:rPr>
          <w:rFonts w:hint="eastAsia" w:ascii="宋体" w:hAnsi="宋体" w:eastAsia="宋体" w:cs="宋体"/>
          <w:b w:val="0"/>
          <w:bCs w:val="0"/>
          <w:snapToGrid w:val="0"/>
          <w:color w:val="auto"/>
          <w:kern w:val="0"/>
          <w:highlight w:val="none"/>
        </w:rPr>
        <w:t>评标过程中，招标文件明确指定采用现场实时查询的信息资料（如“信用中国”信息等），由招标代理机构工作人员在评标委员会成员、交易场所工作人员共同见证下，使用指定设备登录相关发布网站进行下载、打印，并移交评标委员会。完成评标后，相关查询资料应予妥善保存、归档。</w:t>
      </w:r>
    </w:p>
    <w:p w14:paraId="41C581B2">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15.1.4</w:t>
      </w:r>
      <w:r>
        <w:rPr>
          <w:rFonts w:hint="eastAsia" w:ascii="宋体" w:hAnsi="宋体" w:eastAsia="宋体" w:cs="宋体"/>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776BE">
      <w:pPr>
        <w:shd w:val="clear"/>
        <w:wordWrap w:val="0"/>
        <w:adjustRightInd w:val="0"/>
        <w:snapToGrid w:val="0"/>
        <w:spacing w:line="440" w:lineRule="exact"/>
        <w:ind w:firstLine="562"/>
        <w:rPr>
          <w:rFonts w:hint="eastAsia" w:ascii="宋体" w:hAnsi="宋体" w:eastAsia="宋体" w:cs="宋体"/>
          <w:b/>
          <w:snapToGrid w:val="0"/>
          <w:color w:val="auto"/>
          <w:kern w:val="0"/>
          <w:szCs w:val="22"/>
          <w:highlight w:val="none"/>
        </w:rPr>
      </w:pPr>
      <w:r>
        <w:rPr>
          <w:rFonts w:hint="eastAsia" w:ascii="宋体" w:hAnsi="宋体" w:eastAsia="宋体" w:cs="宋体"/>
          <w:b/>
          <w:bCs/>
          <w:snapToGrid w:val="0"/>
          <w:color w:val="auto"/>
          <w:kern w:val="0"/>
          <w:highlight w:val="none"/>
        </w:rPr>
        <w:t>15.1.5</w:t>
      </w:r>
      <w:r>
        <w:rPr>
          <w:rFonts w:hint="eastAsia" w:ascii="宋体" w:hAnsi="宋体" w:eastAsia="宋体" w:cs="宋体"/>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A9F7BF0">
      <w:pPr>
        <w:shd w:val="clear"/>
        <w:wordWrap w:val="0"/>
        <w:adjustRightInd w:val="0"/>
        <w:snapToGrid w:val="0"/>
        <w:spacing w:line="440" w:lineRule="exact"/>
        <w:ind w:firstLine="561"/>
        <w:rPr>
          <w:rFonts w:hint="eastAsia" w:ascii="宋体" w:hAnsi="宋体" w:eastAsia="宋体" w:cs="宋体"/>
          <w:bCs/>
          <w:snapToGrid w:val="0"/>
          <w:color w:val="auto"/>
          <w:kern w:val="0"/>
          <w:highlight w:val="none"/>
        </w:rPr>
      </w:pPr>
      <w:r>
        <w:rPr>
          <w:rFonts w:hint="eastAsia" w:ascii="宋体" w:hAnsi="宋体" w:eastAsia="宋体" w:cs="宋体"/>
          <w:b/>
          <w:bCs/>
          <w:snapToGrid w:val="0"/>
          <w:color w:val="auto"/>
          <w:kern w:val="0"/>
          <w:highlight w:val="none"/>
        </w:rPr>
        <w:t>15.2</w:t>
      </w:r>
      <w:r>
        <w:rPr>
          <w:rFonts w:hint="eastAsia" w:ascii="宋体" w:hAnsi="宋体" w:eastAsia="宋体" w:cs="宋体"/>
          <w:bCs/>
          <w:snapToGrid w:val="0"/>
          <w:color w:val="auto"/>
          <w:kern w:val="0"/>
          <w:szCs w:val="22"/>
          <w:highlight w:val="none"/>
        </w:rPr>
        <w:t xml:space="preserve"> 评标方法</w:t>
      </w:r>
    </w:p>
    <w:p w14:paraId="738B41C6">
      <w:pPr>
        <w:shd w:val="clear"/>
        <w:wordWrap w:val="0"/>
        <w:adjustRightInd w:val="0"/>
        <w:snapToGrid w:val="0"/>
        <w:spacing w:line="440" w:lineRule="exact"/>
        <w:ind w:firstLine="562"/>
        <w:rPr>
          <w:rFonts w:hint="eastAsia" w:ascii="宋体" w:hAnsi="宋体" w:eastAsia="宋体" w:cs="宋体"/>
          <w:i/>
          <w:iCs/>
          <w:snapToGrid w:val="0"/>
          <w:color w:val="auto"/>
          <w:kern w:val="0"/>
          <w:highlight w:val="none"/>
        </w:rPr>
      </w:pPr>
      <w:r>
        <w:rPr>
          <w:rFonts w:hint="eastAsia" w:ascii="宋体" w:hAnsi="宋体" w:eastAsia="宋体" w:cs="宋体"/>
          <w:snapToGrid w:val="0"/>
          <w:color w:val="auto"/>
          <w:kern w:val="0"/>
          <w:highlight w:val="none"/>
        </w:rPr>
        <w:t>根据有关法律、法规的相关规定，结合本招标项目资金来源和规模特点，本次招标采用“综合评估法”进行评标。</w:t>
      </w:r>
    </w:p>
    <w:p w14:paraId="24FD5082">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15.3</w:t>
      </w:r>
      <w:r>
        <w:rPr>
          <w:rFonts w:hint="eastAsia" w:ascii="宋体" w:hAnsi="宋体" w:eastAsia="宋体" w:cs="宋体"/>
          <w:bCs/>
          <w:snapToGrid w:val="0"/>
          <w:color w:val="auto"/>
          <w:kern w:val="0"/>
          <w:szCs w:val="22"/>
          <w:highlight w:val="none"/>
        </w:rPr>
        <w:t xml:space="preserve"> 评审范围：</w:t>
      </w:r>
      <w:r>
        <w:rPr>
          <w:rFonts w:hint="eastAsia" w:ascii="宋体" w:hAnsi="宋体" w:eastAsia="宋体" w:cs="宋体"/>
          <w:snapToGrid w:val="0"/>
          <w:color w:val="auto"/>
          <w:kern w:val="0"/>
          <w:highlight w:val="none"/>
        </w:rPr>
        <w:t>评标委员会应对所有进入评标投标人的投标文件进行评审。</w:t>
      </w:r>
    </w:p>
    <w:p w14:paraId="3DEFAD90">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15.4</w:t>
      </w:r>
      <w:r>
        <w:rPr>
          <w:rFonts w:hint="eastAsia" w:ascii="宋体" w:hAnsi="宋体" w:eastAsia="宋体" w:cs="宋体"/>
          <w:snapToGrid w:val="0"/>
          <w:color w:val="auto"/>
          <w:kern w:val="0"/>
          <w:highlight w:val="none"/>
        </w:rPr>
        <w:t xml:space="preserve"> 初步评审阶段</w:t>
      </w:r>
    </w:p>
    <w:p w14:paraId="654F181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初步评审阶段分为资格评审、形式评审和响应性评审三个环节。</w:t>
      </w:r>
    </w:p>
    <w:p w14:paraId="3A4D7150">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15.4.1 资格评审环节</w:t>
      </w:r>
    </w:p>
    <w:p w14:paraId="0FB9E803">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资格评审事项包括：</w:t>
      </w:r>
    </w:p>
    <w:p w14:paraId="22400572">
      <w:pPr>
        <w:numPr>
          <w:ilvl w:val="0"/>
          <w:numId w:val="1"/>
        </w:num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是否符合本章第三节第2.4条“禁止投标条款”规定。如果“禁止投标条款”包括列入严重失信主体名单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59A513D5">
      <w:pPr>
        <w:numPr>
          <w:ilvl w:val="0"/>
          <w:numId w:val="1"/>
        </w:num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投标人名称是否与营业执照、资质证书一致。</w:t>
      </w:r>
    </w:p>
    <w:p w14:paraId="2C5E9343">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3</w:t>
      </w:r>
      <w:r>
        <w:rPr>
          <w:rFonts w:hint="eastAsia" w:ascii="宋体" w:hAnsi="宋体" w:eastAsia="宋体" w:cs="宋体"/>
          <w:snapToGrid w:val="0"/>
          <w:color w:val="auto"/>
          <w:kern w:val="0"/>
          <w:highlight w:val="none"/>
        </w:rPr>
        <w:t>）投标人的资质是否符合招标文件规定；其营业执照、资质证书是否合法、有效。</w:t>
      </w:r>
    </w:p>
    <w:p w14:paraId="4768B43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4</w:t>
      </w:r>
      <w:r>
        <w:rPr>
          <w:rFonts w:hint="eastAsia" w:ascii="宋体" w:hAnsi="宋体" w:eastAsia="宋体" w:cs="宋体"/>
          <w:snapToGrid w:val="0"/>
          <w:color w:val="auto"/>
          <w:kern w:val="0"/>
          <w:highlight w:val="none"/>
        </w:rPr>
        <w:t>）投标文件中拟委派的总监理工程师是否与《开标一览表》一致；拟委派的总监理工程师的条件是否符合招标文件规定；是否擅自修改、遗漏《总监理工程师任职声明》的实质性内容；拟委派的总监理工程师现阶段有担任其他在施建设工程项目总监理工程师职务的，任职项目建设单位是否在《</w:t>
      </w:r>
      <w:r>
        <w:rPr>
          <w:rFonts w:hint="eastAsia" w:ascii="宋体" w:hAnsi="宋体" w:eastAsia="宋体" w:cs="宋体"/>
          <w:snapToGrid w:val="0"/>
          <w:color w:val="auto"/>
          <w:kern w:val="0"/>
          <w:szCs w:val="18"/>
          <w:highlight w:val="none"/>
        </w:rPr>
        <w:t>总监理工程师任职项目情况表</w:t>
      </w:r>
      <w:r>
        <w:rPr>
          <w:rFonts w:hint="eastAsia" w:ascii="宋体" w:hAnsi="宋体" w:eastAsia="宋体" w:cs="宋体"/>
          <w:snapToGrid w:val="0"/>
          <w:color w:val="auto"/>
          <w:kern w:val="0"/>
          <w:highlight w:val="none"/>
        </w:rPr>
        <w:t>》内盖章同意或另行出具了书面同意意见。</w:t>
      </w:r>
    </w:p>
    <w:p w14:paraId="1321CB39">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rPr>
        <w:t>）拟委派的总监理工程师的注册证书</w:t>
      </w:r>
      <w:r>
        <w:rPr>
          <w:rFonts w:hint="eastAsia" w:ascii="宋体" w:hAnsi="宋体" w:eastAsia="宋体" w:cs="宋体"/>
          <w:snapToGrid w:val="0"/>
          <w:color w:val="auto"/>
          <w:kern w:val="0"/>
          <w:highlight w:val="none"/>
          <w:lang w:val="en-US" w:eastAsia="zh-CN"/>
        </w:rPr>
        <w:t>是否为</w:t>
      </w:r>
      <w:r>
        <w:rPr>
          <w:rFonts w:hint="eastAsia" w:ascii="宋体" w:hAnsi="宋体" w:eastAsia="宋体" w:cs="宋体"/>
          <w:snapToGrid w:val="0"/>
          <w:color w:val="auto"/>
          <w:kern w:val="0"/>
          <w:highlight w:val="none"/>
        </w:rPr>
        <w:t>住房和城乡建设主管部门颁发的，注册单位与投标人</w:t>
      </w:r>
      <w:r>
        <w:rPr>
          <w:rFonts w:hint="eastAsia" w:ascii="宋体" w:hAnsi="宋体" w:eastAsia="宋体" w:cs="宋体"/>
          <w:snapToGrid w:val="0"/>
          <w:color w:val="auto"/>
          <w:kern w:val="0"/>
          <w:highlight w:val="none"/>
          <w:lang w:val="en-US" w:eastAsia="zh-CN"/>
        </w:rPr>
        <w:t>是否</w:t>
      </w:r>
      <w:r>
        <w:rPr>
          <w:rFonts w:hint="eastAsia" w:ascii="宋体" w:hAnsi="宋体" w:eastAsia="宋体" w:cs="宋体"/>
          <w:snapToGrid w:val="0"/>
          <w:color w:val="auto"/>
          <w:kern w:val="0"/>
          <w:highlight w:val="none"/>
        </w:rPr>
        <w:t>一致，</w:t>
      </w:r>
      <w:r>
        <w:rPr>
          <w:rFonts w:hint="eastAsia" w:ascii="宋体" w:hAnsi="宋体" w:eastAsia="宋体" w:cs="宋体"/>
          <w:snapToGrid w:val="0"/>
          <w:color w:val="auto"/>
          <w:kern w:val="0"/>
          <w:highlight w:val="none"/>
          <w:lang w:val="en-US" w:eastAsia="zh-CN"/>
        </w:rPr>
        <w:t>是否</w:t>
      </w:r>
      <w:r>
        <w:rPr>
          <w:rFonts w:hint="eastAsia" w:ascii="宋体" w:hAnsi="宋体" w:eastAsia="宋体" w:cs="宋体"/>
          <w:snapToGrid w:val="0"/>
          <w:color w:val="auto"/>
          <w:kern w:val="0"/>
          <w:highlight w:val="none"/>
        </w:rPr>
        <w:t>在有效期内。</w:t>
      </w:r>
    </w:p>
    <w:p w14:paraId="37FD1060">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）投标人为外省建筑企业的，是否按规定在“进粤企业和人员诚信信息登记平台”录入企业有关信息并通过数据规范检查</w:t>
      </w:r>
      <w:r>
        <w:rPr>
          <w:rFonts w:hint="eastAsia" w:ascii="宋体" w:hAnsi="宋体" w:eastAsia="宋体" w:cs="宋体"/>
          <w:color w:val="auto"/>
          <w:szCs w:val="24"/>
          <w:highlight w:val="none"/>
        </w:rPr>
        <w:t>。</w:t>
      </w:r>
    </w:p>
    <w:p w14:paraId="79E844E0">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15.4.2 形式评审环节</w:t>
      </w:r>
    </w:p>
    <w:p w14:paraId="471AAEC3">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形式评审事项包括：</w:t>
      </w:r>
    </w:p>
    <w:p w14:paraId="59D4DC1F">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（1）投标文件的分册组成是否符合招标文件规定。</w:t>
      </w:r>
    </w:p>
    <w:p w14:paraId="27E29FB1">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（2）本节第</w:t>
      </w:r>
      <w:r>
        <w:rPr>
          <w:rFonts w:hint="eastAsia" w:ascii="宋体" w:hAnsi="宋体" w:eastAsia="宋体" w:cs="宋体"/>
          <w:b/>
          <w:bCs/>
          <w:snapToGrid w:val="0"/>
          <w:color w:val="auto"/>
          <w:kern w:val="0"/>
          <w:szCs w:val="18"/>
          <w:highlight w:val="none"/>
        </w:rPr>
        <w:t>10.2.2</w:t>
      </w:r>
      <w:r>
        <w:rPr>
          <w:rFonts w:hint="eastAsia" w:ascii="宋体" w:hAnsi="宋体" w:eastAsia="宋体" w:cs="宋体"/>
          <w:snapToGrid w:val="0"/>
          <w:color w:val="auto"/>
          <w:kern w:val="0"/>
          <w:szCs w:val="18"/>
          <w:highlight w:val="none"/>
        </w:rPr>
        <w:t>目、</w:t>
      </w:r>
      <w:r>
        <w:rPr>
          <w:rFonts w:hint="eastAsia" w:ascii="宋体" w:hAnsi="宋体" w:eastAsia="宋体" w:cs="宋体"/>
          <w:snapToGrid w:val="0"/>
          <w:color w:val="auto"/>
          <w:kern w:val="0"/>
          <w:highlight w:val="none"/>
        </w:rPr>
        <w:t>第</w:t>
      </w:r>
      <w:r>
        <w:rPr>
          <w:rFonts w:hint="eastAsia" w:ascii="宋体" w:hAnsi="宋体" w:eastAsia="宋体" w:cs="宋体"/>
          <w:b/>
          <w:bCs/>
          <w:snapToGrid w:val="0"/>
          <w:color w:val="auto"/>
          <w:kern w:val="0"/>
          <w:szCs w:val="18"/>
          <w:highlight w:val="none"/>
        </w:rPr>
        <w:t>10.3.3</w:t>
      </w:r>
      <w:r>
        <w:rPr>
          <w:rFonts w:hint="eastAsia" w:ascii="宋体" w:hAnsi="宋体" w:eastAsia="宋体" w:cs="宋体"/>
          <w:snapToGrid w:val="0"/>
          <w:color w:val="auto"/>
          <w:kern w:val="0"/>
          <w:szCs w:val="18"/>
          <w:highlight w:val="none"/>
        </w:rPr>
        <w:t>目</w:t>
      </w:r>
      <w:r>
        <w:rPr>
          <w:rFonts w:hint="eastAsia" w:ascii="宋体" w:hAnsi="宋体" w:eastAsia="宋体" w:cs="宋体"/>
          <w:snapToGrid w:val="0"/>
          <w:color w:val="auto"/>
          <w:kern w:val="0"/>
          <w:highlight w:val="none"/>
        </w:rPr>
        <w:t>中规定的“</w:t>
      </w:r>
      <w:r>
        <w:rPr>
          <w:rFonts w:hint="eastAsia" w:ascii="宋体" w:hAnsi="宋体" w:eastAsia="宋体" w:cs="宋体"/>
          <w:snapToGrid w:val="0"/>
          <w:color w:val="auto"/>
          <w:kern w:val="0"/>
          <w:szCs w:val="18"/>
          <w:highlight w:val="none"/>
        </w:rPr>
        <w:t>所有投标人均应提供</w:t>
      </w:r>
      <w:r>
        <w:rPr>
          <w:rFonts w:hint="eastAsia" w:ascii="宋体" w:hAnsi="宋体" w:eastAsia="宋体" w:cs="宋体"/>
          <w:snapToGrid w:val="0"/>
          <w:color w:val="auto"/>
          <w:kern w:val="0"/>
          <w:highlight w:val="none"/>
        </w:rPr>
        <w:t>”的组成内容（包括该组成内容的所附资料）是否完整、齐全。</w:t>
      </w:r>
    </w:p>
    <w:p w14:paraId="21FC3C1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（3）各分册是否按招标文件规定签字、盖章。</w:t>
      </w:r>
    </w:p>
    <w:p w14:paraId="33BDC774">
      <w:pPr>
        <w:shd w:val="clear"/>
        <w:wordWrap w:val="0"/>
        <w:adjustRightInd w:val="0"/>
        <w:snapToGrid w:val="0"/>
        <w:spacing w:line="440" w:lineRule="exact"/>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 xml:space="preserve">    15.4.3 响应性评审环节</w:t>
      </w:r>
    </w:p>
    <w:p w14:paraId="7D2272FD">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响应性评审事项包括：</w:t>
      </w:r>
    </w:p>
    <w:p w14:paraId="46937836">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（1）投标有效期、监理及相关服务期限等是否响应招标文件实质性要求；是否擅自修改、遗漏《投标函》《各项承诺一览表》的实质性内容。</w:t>
      </w:r>
    </w:p>
    <w:p w14:paraId="12D47CFB">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（2）投标总价是否唯一；投标总价是否超出最高投标限价。</w:t>
      </w:r>
    </w:p>
    <w:p w14:paraId="183F9E6E">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（3）监理大纲中的监理及相关服务的范围、内容、目标是否符合招标文件规定。</w:t>
      </w:r>
    </w:p>
    <w:p w14:paraId="4C3F1C9F">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15.4.4</w:t>
      </w:r>
      <w:r>
        <w:rPr>
          <w:rFonts w:hint="eastAsia" w:ascii="宋体" w:hAnsi="宋体" w:eastAsia="宋体" w:cs="宋体"/>
          <w:snapToGrid w:val="0"/>
          <w:color w:val="auto"/>
          <w:kern w:val="0"/>
          <w:highlight w:val="none"/>
        </w:rPr>
        <w:t xml:space="preserve"> </w:t>
      </w:r>
      <w:r>
        <w:rPr>
          <w:rFonts w:hint="eastAsia" w:ascii="宋体" w:hAnsi="宋体" w:eastAsia="宋体" w:cs="宋体"/>
          <w:b/>
          <w:bCs/>
          <w:snapToGrid w:val="0"/>
          <w:color w:val="auto"/>
          <w:kern w:val="0"/>
          <w:highlight w:val="none"/>
        </w:rPr>
        <w:t>否决投标说明</w:t>
      </w:r>
    </w:p>
    <w:p w14:paraId="76399FEB">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初步评审阶段各个环节否决投标的全部条件，在本章第四节“否决投标条件”第</w:t>
      </w:r>
      <w:r>
        <w:rPr>
          <w:rFonts w:hint="eastAsia" w:ascii="宋体" w:hAnsi="宋体" w:eastAsia="宋体" w:cs="宋体"/>
          <w:b/>
          <w:bCs/>
          <w:snapToGrid w:val="0"/>
          <w:color w:val="auto"/>
          <w:kern w:val="0"/>
          <w:highlight w:val="none"/>
        </w:rPr>
        <w:t>1</w:t>
      </w:r>
      <w:r>
        <w:rPr>
          <w:rFonts w:hint="eastAsia" w:ascii="宋体" w:hAnsi="宋体" w:eastAsia="宋体" w:cs="宋体"/>
          <w:snapToGrid w:val="0"/>
          <w:color w:val="auto"/>
          <w:kern w:val="0"/>
          <w:highlight w:val="none"/>
        </w:rPr>
        <w:t>条至第</w:t>
      </w:r>
      <w:r>
        <w:rPr>
          <w:rFonts w:hint="eastAsia" w:ascii="宋体" w:hAnsi="宋体" w:eastAsia="宋体" w:cs="宋体"/>
          <w:b/>
          <w:bCs/>
          <w:snapToGrid w:val="0"/>
          <w:color w:val="auto"/>
          <w:kern w:val="0"/>
          <w:highlight w:val="none"/>
        </w:rPr>
        <w:t>4</w:t>
      </w:r>
      <w:r>
        <w:rPr>
          <w:rFonts w:hint="eastAsia" w:ascii="宋体" w:hAnsi="宋体" w:eastAsia="宋体" w:cs="宋体"/>
          <w:snapToGrid w:val="0"/>
          <w:color w:val="auto"/>
          <w:kern w:val="0"/>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2F9F7AC3">
      <w:pPr>
        <w:shd w:val="clear"/>
        <w:wordWrap w:val="0"/>
        <w:adjustRightInd w:val="0"/>
        <w:snapToGrid w:val="0"/>
        <w:spacing w:line="440" w:lineRule="exact"/>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    </w:t>
      </w:r>
      <w:bookmarkStart w:id="251" w:name="_Hlt121629839"/>
      <w:r>
        <w:rPr>
          <w:rFonts w:hint="eastAsia" w:ascii="宋体" w:hAnsi="宋体" w:eastAsia="宋体" w:cs="宋体"/>
          <w:b/>
          <w:bCs/>
          <w:snapToGrid w:val="0"/>
          <w:color w:val="auto"/>
          <w:kern w:val="0"/>
          <w:highlight w:val="none"/>
        </w:rPr>
        <w:t>15.5</w:t>
      </w:r>
      <w:r>
        <w:rPr>
          <w:rFonts w:hint="eastAsia" w:ascii="宋体" w:hAnsi="宋体" w:eastAsia="宋体" w:cs="宋体"/>
          <w:snapToGrid w:val="0"/>
          <w:color w:val="auto"/>
          <w:kern w:val="0"/>
          <w:highlight w:val="none"/>
        </w:rPr>
        <w:t xml:space="preserve"> </w:t>
      </w:r>
      <w:r>
        <w:rPr>
          <w:rFonts w:hint="eastAsia" w:ascii="宋体" w:hAnsi="宋体" w:eastAsia="宋体" w:cs="宋体"/>
          <w:b/>
          <w:bCs/>
          <w:snapToGrid w:val="0"/>
          <w:color w:val="auto"/>
          <w:kern w:val="0"/>
          <w:highlight w:val="none"/>
        </w:rPr>
        <w:t>详细评审阶段</w:t>
      </w:r>
    </w:p>
    <w:p w14:paraId="07B1508A">
      <w:pPr>
        <w:shd w:val="clear"/>
        <w:wordWrap w:val="0"/>
        <w:adjustRightInd w:val="0"/>
        <w:snapToGrid w:val="0"/>
        <w:spacing w:line="440" w:lineRule="exact"/>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    15.5.1</w:t>
      </w:r>
      <w:r>
        <w:rPr>
          <w:rFonts w:hint="eastAsia" w:ascii="宋体" w:hAnsi="宋体" w:eastAsia="宋体" w:cs="宋体"/>
          <w:bCs/>
          <w:snapToGrid w:val="0"/>
          <w:color w:val="auto"/>
          <w:kern w:val="0"/>
          <w:highlight w:val="none"/>
        </w:rPr>
        <w:t xml:space="preserve"> “综合评估法”评审程序</w:t>
      </w:r>
    </w:p>
    <w:p w14:paraId="2DCE2B99">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评审内容分为商务、技术和投标报价三大部分，综合得分满分为100分。其中，商务满分为</w:t>
      </w:r>
      <w:r>
        <w:rPr>
          <w:rFonts w:hint="eastAsia" w:ascii="宋体" w:hAnsi="宋体" w:eastAsia="宋体" w:cs="宋体"/>
          <w:snapToGrid w:val="0"/>
          <w:color w:val="auto"/>
          <w:kern w:val="0"/>
          <w:highlight w:val="none"/>
          <w:u w:val="single"/>
          <w:lang w:val="en-US" w:eastAsia="zh-CN"/>
        </w:rPr>
        <w:t>55</w:t>
      </w:r>
      <w:r>
        <w:rPr>
          <w:rFonts w:hint="eastAsia" w:ascii="宋体" w:hAnsi="宋体" w:eastAsia="宋体" w:cs="宋体"/>
          <w:snapToGrid w:val="0"/>
          <w:color w:val="auto"/>
          <w:kern w:val="0"/>
          <w:highlight w:val="none"/>
        </w:rPr>
        <w:t>分，技术满分为</w:t>
      </w:r>
      <w:r>
        <w:rPr>
          <w:rFonts w:hint="eastAsia" w:ascii="宋体" w:hAnsi="宋体" w:eastAsia="宋体" w:cs="宋体"/>
          <w:snapToGrid w:val="0"/>
          <w:color w:val="auto"/>
          <w:kern w:val="0"/>
          <w:highlight w:val="none"/>
          <w:u w:val="single"/>
          <w:lang w:val="en-US" w:eastAsia="zh-CN"/>
        </w:rPr>
        <w:t>15</w:t>
      </w:r>
      <w:r>
        <w:rPr>
          <w:rFonts w:hint="eastAsia" w:ascii="宋体" w:hAnsi="宋体" w:eastAsia="宋体" w:cs="宋体"/>
          <w:snapToGrid w:val="0"/>
          <w:color w:val="auto"/>
          <w:kern w:val="0"/>
          <w:highlight w:val="none"/>
        </w:rPr>
        <w:t>分，投标报价部分满分为</w:t>
      </w:r>
      <w:r>
        <w:rPr>
          <w:rFonts w:hint="eastAsia" w:ascii="宋体" w:hAnsi="宋体" w:eastAsia="宋体" w:cs="宋体"/>
          <w:snapToGrid w:val="0"/>
          <w:color w:val="auto"/>
          <w:kern w:val="0"/>
          <w:highlight w:val="none"/>
          <w:u w:val="single"/>
          <w:lang w:val="en-US" w:eastAsia="zh-CN"/>
        </w:rPr>
        <w:t>30</w:t>
      </w:r>
      <w:r>
        <w:rPr>
          <w:rFonts w:hint="eastAsia" w:ascii="宋体" w:hAnsi="宋体" w:eastAsia="宋体" w:cs="宋体"/>
          <w:snapToGrid w:val="0"/>
          <w:color w:val="auto"/>
          <w:kern w:val="0"/>
          <w:highlight w:val="none"/>
        </w:rPr>
        <w:t>分。</w:t>
      </w:r>
    </w:p>
    <w:p w14:paraId="41DEC510">
      <w:pPr>
        <w:shd w:val="clear"/>
        <w:wordWrap w:val="0"/>
        <w:adjustRightInd w:val="0"/>
        <w:snapToGrid w:val="0"/>
        <w:spacing w:line="440" w:lineRule="exact"/>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除特别注明外，综合得分以及商务、技术、投标报价得分的中间过程计算值和最终值，均按“四舍五入”原则精确到两位小数。</w:t>
      </w:r>
    </w:p>
    <w:p w14:paraId="2440881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（1）商务得分M</w:t>
      </w:r>
      <w:r>
        <w:rPr>
          <w:rFonts w:hint="eastAsia" w:ascii="宋体" w:hAnsi="宋体" w:eastAsia="宋体" w:cs="宋体"/>
          <w:snapToGrid w:val="0"/>
          <w:color w:val="auto"/>
          <w:kern w:val="0"/>
          <w:highlight w:val="none"/>
          <w:vertAlign w:val="subscript"/>
        </w:rPr>
        <w:t>1</w:t>
      </w:r>
    </w:p>
    <w:p w14:paraId="40D86E2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评标委员会按照《综合评分表》商务部分指定的评分标准对各评分因素进行打分。各评分因素得分之和即为某投标人的商务得分M</w:t>
      </w:r>
      <w:r>
        <w:rPr>
          <w:rFonts w:hint="eastAsia" w:ascii="宋体" w:hAnsi="宋体" w:eastAsia="宋体" w:cs="宋体"/>
          <w:snapToGrid w:val="0"/>
          <w:color w:val="auto"/>
          <w:kern w:val="0"/>
          <w:highlight w:val="none"/>
          <w:vertAlign w:val="subscript"/>
        </w:rPr>
        <w:t>1</w:t>
      </w:r>
      <w:r>
        <w:rPr>
          <w:rFonts w:hint="eastAsia" w:ascii="宋体" w:hAnsi="宋体" w:eastAsia="宋体" w:cs="宋体"/>
          <w:snapToGrid w:val="0"/>
          <w:color w:val="auto"/>
          <w:kern w:val="0"/>
          <w:highlight w:val="none"/>
        </w:rPr>
        <w:t>。</w:t>
      </w:r>
    </w:p>
    <w:p w14:paraId="5C65D0B9">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（2）技术得分M</w:t>
      </w:r>
      <w:r>
        <w:rPr>
          <w:rFonts w:hint="eastAsia" w:ascii="宋体" w:hAnsi="宋体" w:eastAsia="宋体" w:cs="宋体"/>
          <w:snapToGrid w:val="0"/>
          <w:color w:val="auto"/>
          <w:kern w:val="0"/>
          <w:highlight w:val="none"/>
          <w:vertAlign w:val="subscript"/>
        </w:rPr>
        <w:t>2</w:t>
      </w:r>
    </w:p>
    <w:p w14:paraId="5620992C">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评标委员会各成员独立按照《综合评分表》技术部分（监理大纲）指定的评分标准对各评分因素进行打分。将所有评分去掉一个最高分和一个最低分后，取算术平均值，即为某投标人的技术得分M</w:t>
      </w:r>
      <w:r>
        <w:rPr>
          <w:rFonts w:hint="eastAsia" w:ascii="宋体" w:hAnsi="宋体" w:eastAsia="宋体" w:cs="宋体"/>
          <w:snapToGrid w:val="0"/>
          <w:color w:val="auto"/>
          <w:kern w:val="0"/>
          <w:highlight w:val="none"/>
          <w:vertAlign w:val="subscript"/>
        </w:rPr>
        <w:t>2</w:t>
      </w:r>
      <w:r>
        <w:rPr>
          <w:rFonts w:hint="eastAsia" w:ascii="宋体" w:hAnsi="宋体" w:eastAsia="宋体" w:cs="宋体"/>
          <w:snapToGrid w:val="0"/>
          <w:color w:val="auto"/>
          <w:kern w:val="0"/>
          <w:highlight w:val="none"/>
        </w:rPr>
        <w:t>。</w:t>
      </w:r>
    </w:p>
    <w:p w14:paraId="274CD630">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（3）投标报价得分M</w:t>
      </w:r>
      <w:r>
        <w:rPr>
          <w:rFonts w:hint="eastAsia" w:ascii="宋体" w:hAnsi="宋体" w:eastAsia="宋体" w:cs="宋体"/>
          <w:snapToGrid w:val="0"/>
          <w:color w:val="auto"/>
          <w:kern w:val="0"/>
          <w:highlight w:val="none"/>
          <w:vertAlign w:val="subscript"/>
        </w:rPr>
        <w:t>3</w:t>
      </w:r>
    </w:p>
    <w:p w14:paraId="6F17B4E6">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a</w:t>
      </w:r>
      <w:r>
        <w:rPr>
          <w:rFonts w:hint="eastAsia" w:ascii="宋体" w:hAnsi="宋体" w:eastAsia="宋体" w:cs="宋体"/>
          <w:snapToGrid w:val="0"/>
          <w:color w:val="auto"/>
          <w:kern w:val="0"/>
          <w:highlight w:val="none"/>
        </w:rPr>
        <w:t>．评标委员会按照《综合评分表》投标报价部分指定的方法计算评标基准价D。</w:t>
      </w:r>
    </w:p>
    <w:p w14:paraId="7127D957">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b</w:t>
      </w:r>
      <w:r>
        <w:rPr>
          <w:rFonts w:hint="eastAsia" w:ascii="宋体" w:hAnsi="宋体" w:eastAsia="宋体" w:cs="宋体"/>
          <w:snapToGrid w:val="0"/>
          <w:color w:val="auto"/>
          <w:kern w:val="0"/>
          <w:highlight w:val="none"/>
        </w:rPr>
        <w:t>．采用内插法计算某投标人的投标报价得分M</w:t>
      </w:r>
      <w:r>
        <w:rPr>
          <w:rFonts w:hint="eastAsia" w:ascii="宋体" w:hAnsi="宋体" w:eastAsia="宋体" w:cs="宋体"/>
          <w:snapToGrid w:val="0"/>
          <w:color w:val="auto"/>
          <w:kern w:val="0"/>
          <w:highlight w:val="none"/>
          <w:vertAlign w:val="subscript"/>
        </w:rPr>
        <w:t>3</w:t>
      </w:r>
      <w:r>
        <w:rPr>
          <w:rFonts w:hint="eastAsia" w:ascii="宋体" w:hAnsi="宋体" w:eastAsia="宋体" w:cs="宋体"/>
          <w:snapToGrid w:val="0"/>
          <w:color w:val="auto"/>
          <w:kern w:val="0"/>
          <w:highlight w:val="none"/>
        </w:rPr>
        <w:t>，即当投标人的投标总价等于评标基准价时得满分，每高于评标基准价一个百分点扣</w:t>
      </w:r>
      <w:r>
        <w:rPr>
          <w:rFonts w:hint="eastAsia" w:ascii="宋体" w:hAnsi="宋体" w:eastAsia="宋体" w:cs="宋体"/>
          <w:snapToGrid w:val="0"/>
          <w:color w:val="auto"/>
          <w:kern w:val="0"/>
          <w:highlight w:val="none"/>
          <w:lang w:val="en-US" w:eastAsia="zh-CN"/>
        </w:rPr>
        <w:t>3</w:t>
      </w:r>
      <w:r>
        <w:rPr>
          <w:rFonts w:hint="eastAsia" w:ascii="宋体" w:hAnsi="宋体" w:eastAsia="宋体" w:cs="宋体"/>
          <w:snapToGrid w:val="0"/>
          <w:color w:val="auto"/>
          <w:kern w:val="0"/>
          <w:highlight w:val="none"/>
        </w:rPr>
        <w:t>分, 每低于评标基准价一个百分点扣</w:t>
      </w:r>
      <w:r>
        <w:rPr>
          <w:rFonts w:hint="eastAsia" w:ascii="宋体" w:hAnsi="宋体" w:eastAsia="宋体" w:cs="宋体"/>
          <w:snapToGrid w:val="0"/>
          <w:color w:val="auto"/>
          <w:kern w:val="0"/>
          <w:highlight w:val="none"/>
          <w:lang w:val="en-US" w:eastAsia="zh-CN"/>
        </w:rPr>
        <w:t>1</w:t>
      </w:r>
      <w:r>
        <w:rPr>
          <w:rFonts w:hint="eastAsia" w:ascii="宋体" w:hAnsi="宋体" w:eastAsia="宋体" w:cs="宋体"/>
          <w:snapToGrid w:val="0"/>
          <w:color w:val="auto"/>
          <w:kern w:val="0"/>
          <w:highlight w:val="none"/>
        </w:rPr>
        <w:t>分，扣完为止。公式如下：</w:t>
      </w:r>
    </w:p>
    <w:p w14:paraId="637993C9">
      <w:pPr>
        <w:shd w:val="clear"/>
        <w:wordWrap w:val="0"/>
        <w:adjustRightInd w:val="0"/>
        <w:snapToGrid w:val="0"/>
        <w:spacing w:line="44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M</w:t>
      </w:r>
      <w:r>
        <w:rPr>
          <w:rFonts w:hint="eastAsia" w:ascii="宋体" w:hAnsi="宋体" w:eastAsia="宋体" w:cs="宋体"/>
          <w:snapToGrid w:val="0"/>
          <w:color w:val="auto"/>
          <w:kern w:val="0"/>
          <w:highlight w:val="none"/>
          <w:vertAlign w:val="subscript"/>
        </w:rPr>
        <w:t>3</w:t>
      </w:r>
      <w:r>
        <w:rPr>
          <w:rFonts w:hint="eastAsia" w:ascii="宋体" w:hAnsi="宋体" w:eastAsia="宋体" w:cs="宋体"/>
          <w:snapToGrid w:val="0"/>
          <w:color w:val="auto"/>
          <w:kern w:val="0"/>
          <w:highlight w:val="none"/>
        </w:rPr>
        <w:t>＝投标报价满分－（| Di－D | ÷D）×100×E</w:t>
      </w:r>
    </w:p>
    <w:p w14:paraId="0D366BC8">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式中：D为评标基准价，Di为某投标人的投标总价；</w:t>
      </w:r>
    </w:p>
    <w:p w14:paraId="13DFBCFE">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E为扣分因子。当Di＞D时，E＝</w:t>
      </w:r>
      <w:r>
        <w:rPr>
          <w:rFonts w:hint="eastAsia" w:ascii="宋体" w:hAnsi="宋体" w:eastAsia="宋体" w:cs="宋体"/>
          <w:snapToGrid w:val="0"/>
          <w:color w:val="auto"/>
          <w:kern w:val="0"/>
          <w:highlight w:val="none"/>
          <w:lang w:val="en-US" w:eastAsia="zh-CN"/>
        </w:rPr>
        <w:t>3</w:t>
      </w:r>
      <w:r>
        <w:rPr>
          <w:rFonts w:hint="eastAsia" w:ascii="宋体" w:hAnsi="宋体" w:eastAsia="宋体" w:cs="宋体"/>
          <w:snapToGrid w:val="0"/>
          <w:color w:val="auto"/>
          <w:kern w:val="0"/>
          <w:highlight w:val="none"/>
        </w:rPr>
        <w:t>；当Di＜D时，E＝</w:t>
      </w:r>
      <w:r>
        <w:rPr>
          <w:rFonts w:hint="eastAsia" w:ascii="宋体" w:hAnsi="宋体" w:eastAsia="宋体" w:cs="宋体"/>
          <w:snapToGrid w:val="0"/>
          <w:color w:val="auto"/>
          <w:kern w:val="0"/>
          <w:highlight w:val="none"/>
          <w:lang w:val="en-US" w:eastAsia="zh-CN"/>
        </w:rPr>
        <w:t>1</w:t>
      </w:r>
      <w:r>
        <w:rPr>
          <w:rFonts w:hint="eastAsia" w:ascii="宋体" w:hAnsi="宋体" w:eastAsia="宋体" w:cs="宋体"/>
          <w:snapToGrid w:val="0"/>
          <w:color w:val="auto"/>
          <w:kern w:val="0"/>
          <w:highlight w:val="none"/>
        </w:rPr>
        <w:t>。</w:t>
      </w:r>
    </w:p>
    <w:p w14:paraId="460BDA5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（4）综合得分M</w:t>
      </w:r>
    </w:p>
    <w:p w14:paraId="0AA47EB8">
      <w:pPr>
        <w:shd w:val="clear"/>
        <w:wordWrap w:val="0"/>
        <w:adjustRightInd w:val="0"/>
        <w:snapToGrid w:val="0"/>
        <w:spacing w:line="44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M＝M</w:t>
      </w:r>
      <w:r>
        <w:rPr>
          <w:rFonts w:hint="eastAsia" w:ascii="宋体" w:hAnsi="宋体" w:eastAsia="宋体" w:cs="宋体"/>
          <w:snapToGrid w:val="0"/>
          <w:color w:val="auto"/>
          <w:kern w:val="0"/>
          <w:highlight w:val="none"/>
          <w:vertAlign w:val="subscript"/>
        </w:rPr>
        <w:t>1</w:t>
      </w:r>
      <w:r>
        <w:rPr>
          <w:rFonts w:hint="eastAsia" w:ascii="宋体" w:hAnsi="宋体" w:eastAsia="宋体" w:cs="宋体"/>
          <w:snapToGrid w:val="0"/>
          <w:color w:val="auto"/>
          <w:kern w:val="0"/>
          <w:highlight w:val="none"/>
        </w:rPr>
        <w:t>＋M</w:t>
      </w:r>
      <w:r>
        <w:rPr>
          <w:rFonts w:hint="eastAsia" w:ascii="宋体" w:hAnsi="宋体" w:eastAsia="宋体" w:cs="宋体"/>
          <w:snapToGrid w:val="0"/>
          <w:color w:val="auto"/>
          <w:kern w:val="0"/>
          <w:highlight w:val="none"/>
          <w:vertAlign w:val="subscript"/>
        </w:rPr>
        <w:t>2</w:t>
      </w:r>
      <w:r>
        <w:rPr>
          <w:rFonts w:hint="eastAsia" w:ascii="宋体" w:hAnsi="宋体" w:eastAsia="宋体" w:cs="宋体"/>
          <w:snapToGrid w:val="0"/>
          <w:color w:val="auto"/>
          <w:kern w:val="0"/>
          <w:highlight w:val="none"/>
        </w:rPr>
        <w:t>＋M</w:t>
      </w:r>
      <w:r>
        <w:rPr>
          <w:rFonts w:hint="eastAsia" w:ascii="宋体" w:hAnsi="宋体" w:eastAsia="宋体" w:cs="宋体"/>
          <w:snapToGrid w:val="0"/>
          <w:color w:val="auto"/>
          <w:kern w:val="0"/>
          <w:highlight w:val="none"/>
          <w:vertAlign w:val="subscript"/>
        </w:rPr>
        <w:t>3</w:t>
      </w:r>
    </w:p>
    <w:p w14:paraId="6C82BBF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式中：M为综合得分，M</w:t>
      </w:r>
      <w:r>
        <w:rPr>
          <w:rFonts w:hint="eastAsia" w:ascii="宋体" w:hAnsi="宋体" w:eastAsia="宋体" w:cs="宋体"/>
          <w:snapToGrid w:val="0"/>
          <w:color w:val="auto"/>
          <w:kern w:val="0"/>
          <w:highlight w:val="none"/>
          <w:vertAlign w:val="subscript"/>
        </w:rPr>
        <w:t>1</w:t>
      </w:r>
      <w:r>
        <w:rPr>
          <w:rFonts w:hint="eastAsia" w:ascii="宋体" w:hAnsi="宋体" w:eastAsia="宋体" w:cs="宋体"/>
          <w:snapToGrid w:val="0"/>
          <w:color w:val="auto"/>
          <w:kern w:val="0"/>
          <w:highlight w:val="none"/>
        </w:rPr>
        <w:t>为商务得分，M</w:t>
      </w:r>
      <w:r>
        <w:rPr>
          <w:rFonts w:hint="eastAsia" w:ascii="宋体" w:hAnsi="宋体" w:eastAsia="宋体" w:cs="宋体"/>
          <w:snapToGrid w:val="0"/>
          <w:color w:val="auto"/>
          <w:kern w:val="0"/>
          <w:highlight w:val="none"/>
          <w:vertAlign w:val="subscript"/>
        </w:rPr>
        <w:t>2</w:t>
      </w:r>
      <w:r>
        <w:rPr>
          <w:rFonts w:hint="eastAsia" w:ascii="宋体" w:hAnsi="宋体" w:eastAsia="宋体" w:cs="宋体"/>
          <w:snapToGrid w:val="0"/>
          <w:color w:val="auto"/>
          <w:kern w:val="0"/>
          <w:highlight w:val="none"/>
        </w:rPr>
        <w:t>为技术得分，M</w:t>
      </w:r>
      <w:r>
        <w:rPr>
          <w:rFonts w:hint="eastAsia" w:ascii="宋体" w:hAnsi="宋体" w:eastAsia="宋体" w:cs="宋体"/>
          <w:snapToGrid w:val="0"/>
          <w:color w:val="auto"/>
          <w:kern w:val="0"/>
          <w:highlight w:val="none"/>
          <w:vertAlign w:val="subscript"/>
        </w:rPr>
        <w:t>3</w:t>
      </w:r>
      <w:r>
        <w:rPr>
          <w:rFonts w:hint="eastAsia" w:ascii="宋体" w:hAnsi="宋体" w:eastAsia="宋体" w:cs="宋体"/>
          <w:snapToGrid w:val="0"/>
          <w:color w:val="auto"/>
          <w:kern w:val="0"/>
          <w:highlight w:val="none"/>
        </w:rPr>
        <w:t>为投标报价得分。</w:t>
      </w:r>
    </w:p>
    <w:p w14:paraId="70F2FCD8">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cols w:space="720" w:num="1"/>
          <w:rtlGutter w:val="0"/>
          <w:docGrid w:linePitch="327" w:charSpace="0"/>
        </w:sectPr>
      </w:pPr>
    </w:p>
    <w:p w14:paraId="0C0BE1B3">
      <w:pPr>
        <w:shd w:val="clear"/>
        <w:wordWrap w:val="0"/>
        <w:adjustRightInd w:val="0"/>
        <w:snapToGrid w:val="0"/>
        <w:spacing w:line="440" w:lineRule="exact"/>
        <w:jc w:val="center"/>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 w:val="36"/>
          <w:szCs w:val="36"/>
          <w:highlight w:val="none"/>
        </w:rPr>
        <w:t>表1</w:t>
      </w:r>
      <w:r>
        <w:rPr>
          <w:rFonts w:hint="eastAsia" w:ascii="宋体" w:hAnsi="宋体" w:eastAsia="宋体" w:cs="宋体"/>
          <w:b/>
          <w:bCs/>
          <w:snapToGrid w:val="0"/>
          <w:color w:val="auto"/>
          <w:kern w:val="0"/>
          <w:sz w:val="36"/>
          <w:szCs w:val="36"/>
          <w:highlight w:val="none"/>
          <w:lang w:val="en-US" w:eastAsia="zh-CN"/>
        </w:rPr>
        <w:t xml:space="preserve">  </w:t>
      </w:r>
      <w:r>
        <w:rPr>
          <w:rFonts w:hint="eastAsia" w:ascii="宋体" w:hAnsi="宋体" w:eastAsia="宋体" w:cs="宋体"/>
          <w:b/>
          <w:bCs/>
          <w:snapToGrid w:val="0"/>
          <w:color w:val="auto"/>
          <w:kern w:val="0"/>
          <w:sz w:val="36"/>
          <w:szCs w:val="36"/>
          <w:highlight w:val="none"/>
        </w:rPr>
        <w:t>综合评分表</w:t>
      </w:r>
    </w:p>
    <w:tbl>
      <w:tblPr>
        <w:tblStyle w:val="23"/>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649"/>
        <w:gridCol w:w="4516"/>
        <w:gridCol w:w="3457"/>
      </w:tblGrid>
      <w:tr w14:paraId="10CE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50" w:type="dxa"/>
            <w:gridSpan w:val="4"/>
            <w:noWrap w:val="0"/>
            <w:vAlign w:val="top"/>
          </w:tcPr>
          <w:p w14:paraId="1AF848ED">
            <w:pPr>
              <w:keepNext w:val="0"/>
              <w:keepLines w:val="0"/>
              <w:pageBreakBefore w:val="0"/>
              <w:widowControl w:val="0"/>
              <w:shd w:val="clear"/>
              <w:kinsoku/>
              <w:wordWrap w:val="0"/>
              <w:overflowPunct/>
              <w:topLinePunct w:val="0"/>
              <w:autoSpaceDE/>
              <w:autoSpaceDN/>
              <w:bidi w:val="0"/>
              <w:adjustRightInd w:val="0"/>
              <w:snapToGrid w:val="0"/>
              <w:spacing w:line="320" w:lineRule="exact"/>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商务部分满分：</w:t>
            </w:r>
            <w:r>
              <w:rPr>
                <w:rFonts w:hint="eastAsia" w:ascii="宋体" w:hAnsi="宋体" w:eastAsia="宋体" w:cs="宋体"/>
                <w:b/>
                <w:bCs/>
                <w:strike w:val="0"/>
                <w:dstrike w:val="0"/>
                <w:snapToGrid w:val="0"/>
                <w:color w:val="auto"/>
                <w:kern w:val="0"/>
                <w:sz w:val="24"/>
                <w:szCs w:val="24"/>
                <w:highlight w:val="none"/>
                <w:u w:val="single"/>
                <w:lang w:val="en-US" w:eastAsia="zh-CN"/>
              </w:rPr>
              <w:t>55</w:t>
            </w:r>
            <w:r>
              <w:rPr>
                <w:rFonts w:hint="eastAsia" w:ascii="宋体" w:hAnsi="宋体" w:eastAsia="宋体" w:cs="宋体"/>
                <w:b/>
                <w:bCs/>
                <w:strike w:val="0"/>
                <w:dstrike w:val="0"/>
                <w:snapToGrid w:val="0"/>
                <w:color w:val="auto"/>
                <w:kern w:val="0"/>
                <w:sz w:val="24"/>
                <w:szCs w:val="24"/>
                <w:highlight w:val="none"/>
              </w:rPr>
              <w:t>分。</w:t>
            </w:r>
          </w:p>
        </w:tc>
      </w:tr>
      <w:tr w14:paraId="7FB8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gridSpan w:val="2"/>
            <w:noWrap w:val="0"/>
            <w:vAlign w:val="center"/>
          </w:tcPr>
          <w:p w14:paraId="0D26ED2C">
            <w:pPr>
              <w:pStyle w:val="7"/>
              <w:keepNext w:val="0"/>
              <w:keepLines w:val="0"/>
              <w:pageBreakBefore w:val="0"/>
              <w:widowControl w:val="0"/>
              <w:shd w:val="clear"/>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评分因素</w:t>
            </w:r>
          </w:p>
        </w:tc>
        <w:tc>
          <w:tcPr>
            <w:tcW w:w="4516" w:type="dxa"/>
            <w:noWrap w:val="0"/>
            <w:vAlign w:val="center"/>
          </w:tcPr>
          <w:p w14:paraId="6DA7DC13">
            <w:pPr>
              <w:pStyle w:val="7"/>
              <w:keepNext w:val="0"/>
              <w:keepLines w:val="0"/>
              <w:pageBreakBefore w:val="0"/>
              <w:widowControl w:val="0"/>
              <w:shd w:val="clear"/>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评分标准</w:t>
            </w:r>
          </w:p>
        </w:tc>
        <w:tc>
          <w:tcPr>
            <w:tcW w:w="3457" w:type="dxa"/>
            <w:noWrap w:val="0"/>
            <w:vAlign w:val="center"/>
          </w:tcPr>
          <w:p w14:paraId="40CA4000">
            <w:pPr>
              <w:pStyle w:val="7"/>
              <w:keepNext w:val="0"/>
              <w:keepLines w:val="0"/>
              <w:pageBreakBefore w:val="0"/>
              <w:widowControl w:val="0"/>
              <w:shd w:val="clear"/>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备注</w:t>
            </w:r>
          </w:p>
        </w:tc>
      </w:tr>
      <w:tr w14:paraId="54F6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877" w:type="dxa"/>
            <w:gridSpan w:val="2"/>
            <w:noWrap w:val="0"/>
            <w:vAlign w:val="center"/>
          </w:tcPr>
          <w:p w14:paraId="69745789">
            <w:pPr>
              <w:keepNext w:val="0"/>
              <w:keepLines w:val="0"/>
              <w:pageBreakBefore w:val="0"/>
              <w:widowControl w:val="0"/>
              <w:kinsoku/>
              <w:wordWrap w:val="0"/>
              <w:overflowPunct/>
              <w:topLinePunct w:val="0"/>
              <w:autoSpaceDE/>
              <w:autoSpaceDN/>
              <w:bidi w:val="0"/>
              <w:adjustRightInd w:val="0"/>
              <w:snapToGrid w:val="0"/>
              <w:spacing w:afterAutospacing="0" w:line="42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企业业绩</w:t>
            </w:r>
          </w:p>
          <w:p w14:paraId="15507124">
            <w:pPr>
              <w:keepNext w:val="0"/>
              <w:keepLines w:val="0"/>
              <w:pageBreakBefore w:val="0"/>
              <w:widowControl w:val="0"/>
              <w:kinsoku/>
              <w:wordWrap w:val="0"/>
              <w:overflowPunct/>
              <w:topLinePunct w:val="0"/>
              <w:autoSpaceDE/>
              <w:autoSpaceDN/>
              <w:bidi w:val="0"/>
              <w:adjustRightInd w:val="0"/>
              <w:snapToGrid w:val="0"/>
              <w:spacing w:afterAutospacing="0" w:line="42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olor w:val="auto"/>
                <w:kern w:val="2"/>
                <w:sz w:val="24"/>
                <w:szCs w:val="24"/>
                <w:highlight w:val="none"/>
                <w:lang w:val="en-US" w:eastAsia="zh-CN" w:bidi="ar-SA"/>
              </w:rPr>
              <w:t>（15分）</w:t>
            </w:r>
          </w:p>
        </w:tc>
        <w:tc>
          <w:tcPr>
            <w:tcW w:w="4516" w:type="dxa"/>
            <w:noWrap w:val="0"/>
            <w:vAlign w:val="center"/>
          </w:tcPr>
          <w:p w14:paraId="7376DAD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投标人近5年来（2020年1月1日至今），独立监理过类似工程项目的，每提供一个项目得5分。</w:t>
            </w:r>
          </w:p>
          <w:p w14:paraId="3C0AE2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u w:val="none"/>
                <w:lang w:val="en-US" w:eastAsia="zh-CN"/>
              </w:rPr>
              <w:t>说明：本项最高得15分。</w:t>
            </w:r>
          </w:p>
        </w:tc>
        <w:tc>
          <w:tcPr>
            <w:tcW w:w="3457" w:type="dxa"/>
            <w:noWrap w:val="0"/>
            <w:vAlign w:val="center"/>
          </w:tcPr>
          <w:p w14:paraId="55CD49E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1.类似项目指：建安工程造价≥1000万元的市政工程施工监理服务项目。</w:t>
            </w:r>
          </w:p>
          <w:p w14:paraId="73D33B9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2.需同时提供监理合同关键页及竣工验收报告彩色扫描件。</w:t>
            </w:r>
          </w:p>
          <w:p w14:paraId="1642F6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3.业绩认定以竣工验收报告所载信息为准。</w:t>
            </w:r>
          </w:p>
          <w:p w14:paraId="61F6510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4.业绩不符合评分标准和备注规定的，不予计分。</w:t>
            </w:r>
          </w:p>
        </w:tc>
      </w:tr>
      <w:tr w14:paraId="2D15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gridSpan w:val="2"/>
            <w:noWrap w:val="0"/>
            <w:vAlign w:val="center"/>
          </w:tcPr>
          <w:p w14:paraId="72D5A9F1">
            <w:pPr>
              <w:keepNext w:val="0"/>
              <w:keepLines w:val="0"/>
              <w:pageBreakBefore w:val="0"/>
              <w:kinsoku/>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监理项目</w:t>
            </w:r>
          </w:p>
          <w:p w14:paraId="09BF5129">
            <w:pPr>
              <w:keepNext w:val="0"/>
              <w:keepLines w:val="0"/>
              <w:pageBreakBefore w:val="0"/>
              <w:kinsoku/>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获奖</w:t>
            </w:r>
          </w:p>
          <w:p w14:paraId="3388BAE5">
            <w:pPr>
              <w:keepNext w:val="0"/>
              <w:keepLines w:val="0"/>
              <w:pageBreakBefore w:val="0"/>
              <w:kinsoku/>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（10分）</w:t>
            </w:r>
          </w:p>
        </w:tc>
        <w:tc>
          <w:tcPr>
            <w:tcW w:w="4516" w:type="dxa"/>
            <w:noWrap w:val="0"/>
            <w:vAlign w:val="center"/>
          </w:tcPr>
          <w:p w14:paraId="3A6E02F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投标人近5年来（2020年1月1日至今）</w:t>
            </w:r>
            <w:r>
              <w:rPr>
                <w:rFonts w:hint="eastAsia" w:ascii="宋体" w:hAnsi="宋体" w:eastAsia="宋体" w:cs="宋体"/>
                <w:color w:val="auto"/>
                <w:sz w:val="24"/>
                <w:szCs w:val="24"/>
                <w:highlight w:val="none"/>
                <w:lang w:val="en-US" w:eastAsia="zh-CN"/>
              </w:rPr>
              <w:t>，监理过的市政</w:t>
            </w:r>
            <w:r>
              <w:rPr>
                <w:rFonts w:hint="eastAsia" w:ascii="宋体" w:hAnsi="宋体" w:eastAsia="宋体" w:cs="宋体"/>
                <w:b w:val="0"/>
                <w:bCs w:val="0"/>
                <w:color w:val="auto"/>
                <w:kern w:val="21"/>
                <w:sz w:val="24"/>
                <w:szCs w:val="24"/>
                <w:highlight w:val="none"/>
                <w:lang w:eastAsia="zh-CN"/>
              </w:rPr>
              <w:t>工程</w:t>
            </w:r>
            <w:r>
              <w:rPr>
                <w:rFonts w:hint="eastAsia" w:ascii="宋体" w:hAnsi="宋体" w:eastAsia="宋体" w:cs="宋体"/>
                <w:b w:val="0"/>
                <w:bCs w:val="0"/>
                <w:color w:val="auto"/>
                <w:sz w:val="24"/>
                <w:szCs w:val="24"/>
                <w:highlight w:val="none"/>
                <w:lang w:val="en-US" w:eastAsia="zh-CN"/>
              </w:rPr>
              <w:t>类</w:t>
            </w:r>
            <w:r>
              <w:rPr>
                <w:rFonts w:hint="eastAsia" w:ascii="宋体" w:hAnsi="宋体" w:eastAsia="宋体" w:cs="宋体"/>
                <w:color w:val="auto"/>
                <w:sz w:val="24"/>
                <w:szCs w:val="24"/>
                <w:highlight w:val="none"/>
                <w:lang w:val="en-US" w:eastAsia="zh-CN"/>
              </w:rPr>
              <w:t>项目获得奖项情况：</w:t>
            </w:r>
          </w:p>
          <w:p w14:paraId="1CD3487A">
            <w:pPr>
              <w:keepNext w:val="0"/>
              <w:keepLines w:val="0"/>
              <w:pageBreakBefore w:val="0"/>
              <w:widowControl w:val="0"/>
              <w:numPr>
                <w:ilvl w:val="0"/>
                <w:numId w:val="0"/>
              </w:numPr>
              <w:kinsoku/>
              <w:overflowPunct/>
              <w:topLinePunct w:val="0"/>
              <w:autoSpaceDE/>
              <w:autoSpaceDN/>
              <w:bidi w:val="0"/>
              <w:spacing w:line="4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rPr>
              <w:t>获得</w:t>
            </w:r>
            <w:r>
              <w:rPr>
                <w:rFonts w:hint="eastAsia" w:ascii="宋体" w:hAnsi="宋体" w:eastAsia="宋体" w:cs="宋体"/>
                <w:snapToGrid w:val="0"/>
                <w:color w:val="auto"/>
                <w:kern w:val="0"/>
                <w:sz w:val="24"/>
                <w:szCs w:val="24"/>
                <w:highlight w:val="none"/>
                <w:lang w:val="en-US" w:eastAsia="zh-CN"/>
              </w:rPr>
              <w:t>国家级奖项的，每个得</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lang w:val="en-US" w:eastAsia="zh-CN"/>
              </w:rPr>
              <w:t>分</w:t>
            </w:r>
          </w:p>
          <w:p w14:paraId="0DA7EB48">
            <w:pPr>
              <w:keepNext w:val="0"/>
              <w:keepLines w:val="0"/>
              <w:pageBreakBefore w:val="0"/>
              <w:widowControl w:val="0"/>
              <w:numPr>
                <w:ilvl w:val="0"/>
                <w:numId w:val="0"/>
              </w:numPr>
              <w:kinsoku/>
              <w:overflowPunct/>
              <w:topLinePunct w:val="0"/>
              <w:autoSpaceDE/>
              <w:autoSpaceDN/>
              <w:bidi w:val="0"/>
              <w:spacing w:line="4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rPr>
              <w:t>获得省级奖项的，</w:t>
            </w:r>
            <w:r>
              <w:rPr>
                <w:rFonts w:hint="eastAsia" w:ascii="宋体" w:hAnsi="宋体" w:eastAsia="宋体" w:cs="宋体"/>
                <w:snapToGrid w:val="0"/>
                <w:color w:val="auto"/>
                <w:kern w:val="0"/>
                <w:sz w:val="24"/>
                <w:szCs w:val="24"/>
                <w:highlight w:val="none"/>
                <w:lang w:val="en-US" w:eastAsia="zh-CN"/>
              </w:rPr>
              <w:t>每个</w:t>
            </w:r>
            <w:r>
              <w:rPr>
                <w:rFonts w:hint="eastAsia" w:ascii="宋体" w:hAnsi="宋体" w:eastAsia="宋体" w:cs="宋体"/>
                <w:snapToGrid w:val="0"/>
                <w:color w:val="auto"/>
                <w:kern w:val="0"/>
                <w:sz w:val="24"/>
                <w:szCs w:val="24"/>
                <w:highlight w:val="none"/>
              </w:rPr>
              <w:t>得</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分；</w:t>
            </w:r>
          </w:p>
          <w:p w14:paraId="0D39C365">
            <w:pPr>
              <w:keepNext w:val="0"/>
              <w:keepLines w:val="0"/>
              <w:pageBreakBefore w:val="0"/>
              <w:widowControl w:val="0"/>
              <w:numPr>
                <w:ilvl w:val="0"/>
                <w:numId w:val="0"/>
              </w:numPr>
              <w:kinsoku/>
              <w:overflowPunct/>
              <w:topLinePunct w:val="0"/>
              <w:autoSpaceDE/>
              <w:autoSpaceDN/>
              <w:bidi w:val="0"/>
              <w:spacing w:line="4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rPr>
              <w:t>获得地市级奖项的，每</w:t>
            </w:r>
            <w:r>
              <w:rPr>
                <w:rFonts w:hint="eastAsia" w:ascii="宋体" w:hAnsi="宋体" w:eastAsia="宋体" w:cs="宋体"/>
                <w:snapToGrid w:val="0"/>
                <w:color w:val="auto"/>
                <w:kern w:val="0"/>
                <w:sz w:val="24"/>
                <w:szCs w:val="24"/>
                <w:highlight w:val="none"/>
                <w:lang w:val="en-US" w:eastAsia="zh-CN"/>
              </w:rPr>
              <w:t>个</w:t>
            </w:r>
            <w:r>
              <w:rPr>
                <w:rFonts w:hint="eastAsia" w:ascii="宋体" w:hAnsi="宋体" w:eastAsia="宋体" w:cs="宋体"/>
                <w:snapToGrid w:val="0"/>
                <w:color w:val="auto"/>
                <w:kern w:val="0"/>
                <w:sz w:val="24"/>
                <w:szCs w:val="24"/>
                <w:highlight w:val="none"/>
              </w:rPr>
              <w:t>得</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分；</w:t>
            </w:r>
          </w:p>
          <w:p w14:paraId="7EAA3DAE">
            <w:pPr>
              <w:keepNext w:val="0"/>
              <w:keepLines w:val="0"/>
              <w:pageBreakBefore w:val="0"/>
              <w:widowControl w:val="0"/>
              <w:numPr>
                <w:ilvl w:val="0"/>
                <w:numId w:val="0"/>
              </w:numPr>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rPr>
              <w:t>未获得以上奖项的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不得分。</w:t>
            </w:r>
          </w:p>
          <w:p w14:paraId="3C51D4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rPr>
              <w:t>说明：本项最高得10分。</w:t>
            </w:r>
          </w:p>
        </w:tc>
        <w:tc>
          <w:tcPr>
            <w:tcW w:w="3457" w:type="dxa"/>
            <w:noWrap w:val="0"/>
            <w:vAlign w:val="center"/>
          </w:tcPr>
          <w:p w14:paraId="48C183CA">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1．允许投标人提交多个业绩，但同一业绩只按最高级别奖项计分一次。</w:t>
            </w:r>
          </w:p>
          <w:p w14:paraId="041E8179">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2．需附有关奖项证明彩色扫描件</w:t>
            </w:r>
            <w:r>
              <w:rPr>
                <w:rFonts w:hint="eastAsia" w:ascii="宋体" w:hAnsi="宋体" w:eastAsia="宋体" w:cs="宋体"/>
                <w:color w:val="auto"/>
                <w:sz w:val="24"/>
                <w:szCs w:val="24"/>
                <w:highlight w:val="none"/>
                <w:lang w:eastAsia="zh-CN"/>
              </w:rPr>
              <w:t>。</w:t>
            </w:r>
          </w:p>
          <w:p w14:paraId="52CB3923">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3．颁发机构限定以下范围：</w:t>
            </w:r>
          </w:p>
          <w:p w14:paraId="51372420">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①国家级奖项：</w:t>
            </w:r>
            <w:r>
              <w:rPr>
                <w:rFonts w:hint="eastAsia" w:ascii="宋体" w:hAnsi="宋体" w:eastAsia="宋体" w:cs="宋体"/>
                <w:color w:val="auto"/>
                <w:sz w:val="24"/>
                <w:szCs w:val="24"/>
                <w:highlight w:val="none"/>
                <w:u w:val="single"/>
              </w:rPr>
              <w:t>国务院、住建部、国家建筑行业协会</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rPr>
              <w:t>协会</w:t>
            </w:r>
            <w:r>
              <w:rPr>
                <w:rFonts w:hint="eastAsia" w:ascii="宋体" w:hAnsi="宋体" w:eastAsia="宋体" w:cs="宋体"/>
                <w:color w:val="auto"/>
                <w:sz w:val="24"/>
                <w:szCs w:val="24"/>
                <w:highlight w:val="none"/>
                <w:u w:val="single"/>
                <w:lang w:val="en-US" w:eastAsia="zh-CN"/>
              </w:rPr>
              <w:t>需经民政部门备案）</w:t>
            </w:r>
            <w:r>
              <w:rPr>
                <w:rFonts w:hint="eastAsia" w:ascii="宋体" w:hAnsi="宋体" w:eastAsia="宋体" w:cs="宋体"/>
                <w:color w:val="auto"/>
                <w:sz w:val="24"/>
                <w:szCs w:val="24"/>
                <w:highlight w:val="none"/>
                <w:u w:val="single"/>
              </w:rPr>
              <w:t>；</w:t>
            </w:r>
          </w:p>
          <w:p w14:paraId="055D45BE">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②省级奖项：</w:t>
            </w:r>
            <w:r>
              <w:rPr>
                <w:rFonts w:hint="eastAsia" w:ascii="宋体" w:hAnsi="宋体" w:eastAsia="宋体" w:cs="宋体"/>
                <w:color w:val="auto"/>
                <w:sz w:val="24"/>
                <w:szCs w:val="24"/>
                <w:highlight w:val="none"/>
                <w:u w:val="single"/>
              </w:rPr>
              <w:t>省级人民政府、省级住建部门、</w:t>
            </w:r>
            <w:r>
              <w:rPr>
                <w:rFonts w:hint="eastAsia" w:ascii="宋体" w:hAnsi="宋体" w:eastAsia="宋体" w:cs="宋体"/>
                <w:color w:val="auto"/>
                <w:sz w:val="24"/>
                <w:szCs w:val="24"/>
                <w:highlight w:val="none"/>
                <w:u w:val="single"/>
                <w:lang w:val="en-US" w:eastAsia="zh-CN"/>
              </w:rPr>
              <w:t>省级</w:t>
            </w:r>
            <w:r>
              <w:rPr>
                <w:rFonts w:hint="eastAsia" w:ascii="宋体" w:hAnsi="宋体" w:eastAsia="宋体" w:cs="宋体"/>
                <w:color w:val="auto"/>
                <w:sz w:val="24"/>
                <w:szCs w:val="24"/>
                <w:highlight w:val="none"/>
                <w:u w:val="single"/>
              </w:rPr>
              <w:t>建筑行业协会</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rPr>
              <w:t>协会</w:t>
            </w:r>
            <w:r>
              <w:rPr>
                <w:rFonts w:hint="eastAsia" w:ascii="宋体" w:hAnsi="宋体" w:eastAsia="宋体" w:cs="宋体"/>
                <w:color w:val="auto"/>
                <w:sz w:val="24"/>
                <w:szCs w:val="24"/>
                <w:highlight w:val="none"/>
                <w:u w:val="single"/>
                <w:lang w:val="en-US" w:eastAsia="zh-CN"/>
              </w:rPr>
              <w:t>需经民政部门备案）</w:t>
            </w:r>
            <w:r>
              <w:rPr>
                <w:rFonts w:hint="eastAsia" w:ascii="宋体" w:hAnsi="宋体" w:eastAsia="宋体" w:cs="宋体"/>
                <w:color w:val="auto"/>
                <w:sz w:val="24"/>
                <w:szCs w:val="24"/>
                <w:highlight w:val="none"/>
                <w:u w:val="single"/>
              </w:rPr>
              <w:t>；</w:t>
            </w:r>
          </w:p>
          <w:p w14:paraId="54CFF1FC">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③地市级奖项：</w:t>
            </w:r>
            <w:r>
              <w:rPr>
                <w:rFonts w:hint="eastAsia" w:ascii="宋体" w:hAnsi="宋体" w:eastAsia="宋体" w:cs="宋体"/>
                <w:color w:val="auto"/>
                <w:sz w:val="24"/>
                <w:szCs w:val="24"/>
                <w:highlight w:val="none"/>
                <w:u w:val="single"/>
              </w:rPr>
              <w:t>地市级人民政府、地市级住建部门、</w:t>
            </w:r>
            <w:r>
              <w:rPr>
                <w:rFonts w:hint="eastAsia" w:ascii="宋体" w:hAnsi="宋体" w:eastAsia="宋体" w:cs="宋体"/>
                <w:color w:val="auto"/>
                <w:sz w:val="24"/>
                <w:szCs w:val="24"/>
                <w:highlight w:val="none"/>
                <w:u w:val="single"/>
                <w:lang w:val="en-US" w:eastAsia="zh-CN"/>
              </w:rPr>
              <w:t>地级市</w:t>
            </w:r>
            <w:r>
              <w:rPr>
                <w:rFonts w:hint="eastAsia" w:ascii="宋体" w:hAnsi="宋体" w:eastAsia="宋体" w:cs="宋体"/>
                <w:color w:val="auto"/>
                <w:sz w:val="24"/>
                <w:szCs w:val="24"/>
                <w:highlight w:val="none"/>
                <w:u w:val="single"/>
              </w:rPr>
              <w:t>建筑行业协会</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rPr>
              <w:t>协会</w:t>
            </w:r>
            <w:r>
              <w:rPr>
                <w:rFonts w:hint="eastAsia" w:ascii="宋体" w:hAnsi="宋体" w:eastAsia="宋体" w:cs="宋体"/>
                <w:color w:val="auto"/>
                <w:sz w:val="24"/>
                <w:szCs w:val="24"/>
                <w:highlight w:val="none"/>
                <w:u w:val="single"/>
                <w:lang w:val="en-US" w:eastAsia="zh-CN"/>
              </w:rPr>
              <w:t>需经民政部门备案）</w:t>
            </w:r>
            <w:r>
              <w:rPr>
                <w:rFonts w:hint="eastAsia" w:ascii="宋体" w:hAnsi="宋体" w:eastAsia="宋体" w:cs="宋体"/>
                <w:color w:val="auto"/>
                <w:sz w:val="24"/>
                <w:szCs w:val="24"/>
                <w:highlight w:val="none"/>
                <w:u w:val="single"/>
              </w:rPr>
              <w:t>。</w:t>
            </w:r>
          </w:p>
          <w:p w14:paraId="3DABF1BC">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4．获奖时间以奖项证明的落款日期为准。</w:t>
            </w:r>
          </w:p>
          <w:p w14:paraId="05EF0655">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5．任一奖项有以下情形之一的，该奖项视为无效，不予计分：</w:t>
            </w:r>
          </w:p>
          <w:p w14:paraId="65DF5636">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①奖项不属于指定类别的；</w:t>
            </w:r>
          </w:p>
          <w:p w14:paraId="6AB8559B">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②颁发机构不符合要求的；</w:t>
            </w:r>
          </w:p>
          <w:p w14:paraId="0491A91C">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③获奖时间不符合要求的。</w:t>
            </w:r>
          </w:p>
          <w:p w14:paraId="553FA5F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color w:val="auto"/>
                <w:sz w:val="24"/>
                <w:szCs w:val="24"/>
                <w:highlight w:val="none"/>
              </w:rPr>
              <w:t>说明：以上所称“要求”均指本表评分标准及备注的要求，下同。</w:t>
            </w:r>
          </w:p>
        </w:tc>
      </w:tr>
      <w:tr w14:paraId="1395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7" w:type="dxa"/>
            <w:gridSpan w:val="2"/>
            <w:noWrap w:val="0"/>
            <w:vAlign w:val="center"/>
          </w:tcPr>
          <w:p w14:paraId="374B916E">
            <w:pPr>
              <w:keepNext w:val="0"/>
              <w:keepLines w:val="0"/>
              <w:pageBreakBefore w:val="0"/>
              <w:widowControl w:val="0"/>
              <w:kinsoku/>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企业荣誉</w:t>
            </w:r>
          </w:p>
          <w:p w14:paraId="7A9F4705">
            <w:pPr>
              <w:keepNext w:val="0"/>
              <w:keepLines w:val="0"/>
              <w:pageBreakBefore w:val="0"/>
              <w:widowControl w:val="0"/>
              <w:kinsoku/>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4516" w:type="dxa"/>
            <w:noWrap w:val="0"/>
            <w:vAlign w:val="center"/>
          </w:tcPr>
          <w:p w14:paraId="1DADFBF9">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投标人近3年来（2022年1月1日至今）</w:t>
            </w:r>
            <w:r>
              <w:rPr>
                <w:rFonts w:hint="eastAsia" w:ascii="宋体" w:hAnsi="宋体" w:eastAsia="宋体" w:cs="宋体"/>
                <w:color w:val="auto"/>
                <w:sz w:val="24"/>
                <w:szCs w:val="24"/>
                <w:highlight w:val="none"/>
              </w:rPr>
              <w:t>获得过</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企业荣誉情况：</w:t>
            </w:r>
          </w:p>
          <w:p w14:paraId="53894CAF">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1.获得过由</w:t>
            </w:r>
            <w:r>
              <w:rPr>
                <w:rFonts w:hint="eastAsia" w:ascii="宋体" w:hAnsi="宋体" w:eastAsia="宋体" w:cs="宋体"/>
                <w:snapToGrid w:val="0"/>
                <w:color w:val="auto"/>
                <w:kern w:val="0"/>
                <w:sz w:val="24"/>
                <w:szCs w:val="24"/>
                <w:highlight w:val="none"/>
                <w:lang w:eastAsia="zh-CN"/>
              </w:rPr>
              <w:t>省</w:t>
            </w:r>
            <w:r>
              <w:rPr>
                <w:rFonts w:hint="eastAsia" w:ascii="宋体" w:hAnsi="宋体" w:eastAsia="宋体" w:cs="宋体"/>
                <w:snapToGrid w:val="0"/>
                <w:color w:val="auto"/>
                <w:kern w:val="0"/>
                <w:sz w:val="24"/>
                <w:szCs w:val="24"/>
                <w:highlight w:val="none"/>
              </w:rPr>
              <w:t>级</w:t>
            </w:r>
            <w:r>
              <w:rPr>
                <w:rFonts w:hint="eastAsia" w:ascii="宋体" w:hAnsi="宋体" w:eastAsia="宋体" w:cs="宋体"/>
                <w:snapToGrid w:val="0"/>
                <w:color w:val="auto"/>
                <w:kern w:val="0"/>
                <w:sz w:val="24"/>
                <w:szCs w:val="24"/>
                <w:highlight w:val="none"/>
                <w:lang w:eastAsia="zh-CN"/>
              </w:rPr>
              <w:t>（或</w:t>
            </w:r>
            <w:r>
              <w:rPr>
                <w:rFonts w:hint="eastAsia" w:ascii="宋体" w:hAnsi="宋体" w:eastAsia="宋体" w:cs="宋体"/>
                <w:snapToGrid w:val="0"/>
                <w:color w:val="auto"/>
                <w:kern w:val="0"/>
                <w:sz w:val="24"/>
                <w:szCs w:val="24"/>
                <w:highlight w:val="none"/>
              </w:rPr>
              <w:t>以上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none"/>
                <w:lang w:val="en-US" w:eastAsia="zh-CN" w:bidi="ar-SA"/>
              </w:rPr>
              <w:t>建设行政主管部门</w:t>
            </w:r>
            <w:r>
              <w:rPr>
                <w:rFonts w:hint="eastAsia" w:ascii="宋体" w:hAnsi="宋体" w:eastAsia="宋体" w:cs="宋体"/>
                <w:snapToGrid w:val="0"/>
                <w:color w:val="auto"/>
                <w:kern w:val="0"/>
                <w:sz w:val="24"/>
                <w:szCs w:val="24"/>
                <w:highlight w:val="none"/>
                <w:lang w:eastAsia="zh-CN"/>
              </w:rPr>
              <w:t>或</w:t>
            </w:r>
            <w:r>
              <w:rPr>
                <w:rFonts w:hint="eastAsia" w:ascii="宋体" w:hAnsi="宋体" w:eastAsia="宋体" w:cs="宋体"/>
                <w:snapToGrid w:val="0"/>
                <w:color w:val="auto"/>
                <w:kern w:val="0"/>
                <w:sz w:val="24"/>
                <w:szCs w:val="24"/>
                <w:highlight w:val="none"/>
              </w:rPr>
              <w:t>行业协会</w:t>
            </w:r>
            <w:r>
              <w:rPr>
                <w:rFonts w:hint="eastAsia" w:ascii="宋体" w:hAnsi="宋体" w:eastAsia="宋体" w:cs="宋体"/>
                <w:snapToGrid w:val="0"/>
                <w:color w:val="auto"/>
                <w:kern w:val="0"/>
                <w:sz w:val="24"/>
                <w:szCs w:val="24"/>
                <w:highlight w:val="none"/>
                <w:lang w:val="en-US" w:eastAsia="zh-CN"/>
              </w:rPr>
              <w:t>颁发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优秀监理企业</w:t>
            </w:r>
            <w:r>
              <w:rPr>
                <w:rFonts w:hint="eastAsia" w:ascii="宋体" w:hAnsi="宋体" w:eastAsia="宋体" w:cs="宋体"/>
                <w:color w:val="auto"/>
                <w:sz w:val="24"/>
                <w:szCs w:val="24"/>
                <w:highlight w:val="none"/>
                <w:lang w:eastAsia="zh-CN"/>
              </w:rPr>
              <w:t>”荣誉称号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F433B6F">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2.获得过由</w:t>
            </w:r>
            <w:r>
              <w:rPr>
                <w:rFonts w:hint="eastAsia" w:ascii="宋体" w:hAnsi="宋体" w:eastAsia="宋体" w:cs="宋体"/>
                <w:snapToGrid w:val="0"/>
                <w:color w:val="auto"/>
                <w:kern w:val="0"/>
                <w:sz w:val="24"/>
                <w:szCs w:val="24"/>
                <w:highlight w:val="none"/>
                <w:lang w:val="en-US" w:eastAsia="zh-CN"/>
              </w:rPr>
              <w:t>地级市</w:t>
            </w:r>
            <w:r>
              <w:rPr>
                <w:rFonts w:hint="eastAsia" w:ascii="宋体" w:hAnsi="宋体" w:eastAsia="宋体" w:cs="宋体"/>
                <w:snapToGrid w:val="0"/>
                <w:color w:val="auto"/>
                <w:kern w:val="0"/>
                <w:sz w:val="24"/>
                <w:szCs w:val="24"/>
                <w:highlight w:val="none"/>
                <w:lang w:eastAsia="zh-CN"/>
              </w:rPr>
              <w:t>（或</w:t>
            </w:r>
            <w:r>
              <w:rPr>
                <w:rFonts w:hint="eastAsia" w:ascii="宋体" w:hAnsi="宋体" w:eastAsia="宋体" w:cs="宋体"/>
                <w:snapToGrid w:val="0"/>
                <w:color w:val="auto"/>
                <w:kern w:val="0"/>
                <w:sz w:val="24"/>
                <w:szCs w:val="24"/>
                <w:highlight w:val="none"/>
              </w:rPr>
              <w:t>以上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none"/>
                <w:lang w:val="en-US" w:eastAsia="zh-CN" w:bidi="ar-SA"/>
              </w:rPr>
              <w:t>建设行政主管部门</w:t>
            </w:r>
            <w:r>
              <w:rPr>
                <w:rFonts w:hint="eastAsia" w:ascii="宋体" w:hAnsi="宋体" w:eastAsia="宋体" w:cs="宋体"/>
                <w:snapToGrid w:val="0"/>
                <w:color w:val="auto"/>
                <w:kern w:val="0"/>
                <w:sz w:val="24"/>
                <w:szCs w:val="24"/>
                <w:highlight w:val="none"/>
                <w:lang w:eastAsia="zh-CN"/>
              </w:rPr>
              <w:t>或</w:t>
            </w:r>
            <w:r>
              <w:rPr>
                <w:rFonts w:hint="eastAsia" w:ascii="宋体" w:hAnsi="宋体" w:eastAsia="宋体" w:cs="宋体"/>
                <w:snapToGrid w:val="0"/>
                <w:color w:val="auto"/>
                <w:kern w:val="0"/>
                <w:sz w:val="24"/>
                <w:szCs w:val="24"/>
                <w:highlight w:val="none"/>
              </w:rPr>
              <w:t>行业协会</w:t>
            </w:r>
            <w:r>
              <w:rPr>
                <w:rFonts w:hint="eastAsia" w:ascii="宋体" w:hAnsi="宋体" w:eastAsia="宋体" w:cs="宋体"/>
                <w:snapToGrid w:val="0"/>
                <w:color w:val="auto"/>
                <w:kern w:val="0"/>
                <w:sz w:val="24"/>
                <w:szCs w:val="24"/>
                <w:highlight w:val="none"/>
                <w:lang w:val="en-US" w:eastAsia="zh-CN"/>
              </w:rPr>
              <w:t>颁发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优秀监理企业</w:t>
            </w:r>
            <w:r>
              <w:rPr>
                <w:rFonts w:hint="eastAsia" w:ascii="宋体" w:hAnsi="宋体" w:eastAsia="宋体" w:cs="宋体"/>
                <w:color w:val="auto"/>
                <w:sz w:val="24"/>
                <w:szCs w:val="24"/>
                <w:highlight w:val="none"/>
                <w:lang w:eastAsia="zh-CN"/>
              </w:rPr>
              <w:t>”荣誉称号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E93E0FA">
            <w:pPr>
              <w:keepNext w:val="0"/>
              <w:keepLines w:val="0"/>
              <w:pageBreakBefore w:val="0"/>
              <w:widowControl w:val="0"/>
              <w:numPr>
                <w:ilvl w:val="0"/>
                <w:numId w:val="0"/>
              </w:numPr>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napToGrid w:val="0"/>
                <w:color w:val="auto"/>
                <w:kern w:val="0"/>
                <w:sz w:val="24"/>
                <w:szCs w:val="24"/>
                <w:highlight w:val="none"/>
              </w:rPr>
              <w:t>未获得以上奖项的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不得分。</w:t>
            </w:r>
          </w:p>
          <w:p w14:paraId="0C9D9D9D">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rPr>
              <w:t>说明：本项最高得</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p>
        </w:tc>
        <w:tc>
          <w:tcPr>
            <w:tcW w:w="3457" w:type="dxa"/>
            <w:noWrap w:val="0"/>
            <w:vAlign w:val="center"/>
          </w:tcPr>
          <w:p w14:paraId="5C95A2BB">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1.需附</w:t>
            </w:r>
            <w:r>
              <w:rPr>
                <w:rFonts w:hint="eastAsia" w:ascii="宋体" w:hAnsi="宋体" w:eastAsia="宋体" w:cs="宋体"/>
                <w:snapToGrid w:val="0"/>
                <w:color w:val="auto"/>
                <w:kern w:val="0"/>
                <w:sz w:val="24"/>
                <w:szCs w:val="24"/>
                <w:highlight w:val="none"/>
                <w:lang w:val="en-US" w:eastAsia="zh-CN"/>
              </w:rPr>
              <w:t>获奖</w:t>
            </w:r>
            <w:r>
              <w:rPr>
                <w:rFonts w:hint="eastAsia" w:ascii="宋体" w:hAnsi="宋体" w:eastAsia="宋体" w:cs="宋体"/>
                <w:snapToGrid w:val="0"/>
                <w:color w:val="auto"/>
                <w:kern w:val="0"/>
                <w:sz w:val="24"/>
                <w:szCs w:val="24"/>
                <w:highlight w:val="none"/>
              </w:rPr>
              <w:t>证书</w:t>
            </w:r>
            <w:r>
              <w:rPr>
                <w:rFonts w:hint="eastAsia" w:ascii="宋体" w:hAnsi="宋体" w:eastAsia="宋体" w:cs="宋体"/>
                <w:snapToGrid w:val="0"/>
                <w:color w:val="auto"/>
                <w:kern w:val="0"/>
                <w:sz w:val="24"/>
                <w:szCs w:val="24"/>
                <w:highlight w:val="none"/>
                <w:lang w:val="en-US" w:eastAsia="zh-CN"/>
              </w:rPr>
              <w:t>彩色扫描件</w:t>
            </w:r>
            <w:r>
              <w:rPr>
                <w:rFonts w:hint="eastAsia" w:ascii="宋体" w:hAnsi="宋体" w:eastAsia="宋体" w:cs="宋体"/>
                <w:snapToGrid w:val="0"/>
                <w:color w:val="auto"/>
                <w:kern w:val="0"/>
                <w:sz w:val="24"/>
                <w:szCs w:val="24"/>
                <w:highlight w:val="none"/>
                <w:lang w:eastAsia="zh-CN"/>
              </w:rPr>
              <w:t>。</w:t>
            </w:r>
          </w:p>
          <w:p w14:paraId="1BB18914">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color w:val="auto"/>
                <w:sz w:val="24"/>
                <w:szCs w:val="24"/>
                <w:highlight w:val="none"/>
              </w:rPr>
              <w:t>任一奖项有以下情形之一的，该奖项视为无效，不予计分：</w:t>
            </w:r>
          </w:p>
          <w:p w14:paraId="501519C4">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①奖项不属于指定类别的；</w:t>
            </w:r>
          </w:p>
          <w:p w14:paraId="239C0682">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②颁发机构不符合要求的；</w:t>
            </w:r>
          </w:p>
          <w:p w14:paraId="564B732A">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pacing w:before="0" w:beforeAutospacing="0" w:after="0" w:afterAutospacing="0" w:line="420" w:lineRule="exact"/>
              <w:jc w:val="both"/>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color w:val="auto"/>
                <w:sz w:val="24"/>
                <w:szCs w:val="24"/>
                <w:highlight w:val="none"/>
              </w:rPr>
              <w:t>③获奖时间不符合要求的。</w:t>
            </w:r>
          </w:p>
        </w:tc>
      </w:tr>
      <w:tr w14:paraId="5751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7" w:type="dxa"/>
            <w:gridSpan w:val="2"/>
            <w:noWrap w:val="0"/>
            <w:vAlign w:val="center"/>
          </w:tcPr>
          <w:p w14:paraId="7575DB92">
            <w:pPr>
              <w:pStyle w:val="7"/>
              <w:keepNext w:val="0"/>
              <w:keepLines w:val="0"/>
              <w:pageBreakBefore w:val="0"/>
              <w:widowControl/>
              <w:kinsoku/>
              <w:wordWrap w:val="0"/>
              <w:overflowPunct/>
              <w:topLinePunct w:val="0"/>
              <w:autoSpaceDE/>
              <w:autoSpaceDN/>
              <w:bidi w:val="0"/>
              <w:adjustRightInd w:val="0"/>
              <w:snapToGrid w:val="0"/>
              <w:spacing w:after="0" w:afterLines="0" w:line="42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企业管理体系认证</w:t>
            </w:r>
          </w:p>
          <w:p w14:paraId="4BE9A070">
            <w:pPr>
              <w:pStyle w:val="7"/>
              <w:keepNext w:val="0"/>
              <w:keepLines w:val="0"/>
              <w:pageBreakBefore w:val="0"/>
              <w:widowControl/>
              <w:kinsoku/>
              <w:wordWrap w:val="0"/>
              <w:overflowPunct/>
              <w:topLinePunct w:val="0"/>
              <w:autoSpaceDE/>
              <w:autoSpaceDN/>
              <w:bidi w:val="0"/>
              <w:adjustRightInd w:val="0"/>
              <w:snapToGrid w:val="0"/>
              <w:spacing w:after="0" w:afterLines="0" w:line="420" w:lineRule="exact"/>
              <w:ind w:left="0" w:leftChars="0" w:right="0" w:rightChars="0" w:firstLine="0" w:firstLineChars="0"/>
              <w:jc w:val="center"/>
              <w:textAlignment w:val="auto"/>
              <w:rPr>
                <w:rFonts w:hint="eastAsia" w:ascii="宋体" w:hAnsi="宋体" w:eastAsia="宋体" w:cs="宋体"/>
                <w:b w:val="0"/>
                <w:bCs w:val="0"/>
                <w:strike w:val="0"/>
                <w:dstrike w:val="0"/>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lang w:val="en-US" w:eastAsia="zh-CN"/>
              </w:rPr>
              <w:t>（6分）</w:t>
            </w:r>
          </w:p>
        </w:tc>
        <w:tc>
          <w:tcPr>
            <w:tcW w:w="4516" w:type="dxa"/>
            <w:noWrap w:val="0"/>
            <w:vAlign w:val="center"/>
          </w:tcPr>
          <w:p w14:paraId="6AE3B5A8">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1．质量管理体系认证、职业健康安全管理体系认证、环境管理体系认证中，每获得1项认证得2分，最高得6分。</w:t>
            </w:r>
          </w:p>
          <w:p w14:paraId="36C72B90">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2．未获得以上认证的，不予计分。</w:t>
            </w:r>
          </w:p>
          <w:p w14:paraId="26D5C01F">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bCs/>
                <w:color w:val="auto"/>
                <w:kern w:val="2"/>
                <w:sz w:val="24"/>
                <w:szCs w:val="24"/>
                <w:highlight w:val="none"/>
                <w:lang w:val="en-US" w:eastAsia="zh-CN" w:bidi="ar-SA"/>
              </w:rPr>
              <w:t>说明：本项最高得6分。</w:t>
            </w:r>
          </w:p>
        </w:tc>
        <w:tc>
          <w:tcPr>
            <w:tcW w:w="3457" w:type="dxa"/>
            <w:noWrap w:val="0"/>
            <w:vAlign w:val="center"/>
          </w:tcPr>
          <w:p w14:paraId="2C1ED0D9">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1．需附在有效期内的认证证书彩色扫描件。</w:t>
            </w:r>
          </w:p>
          <w:p w14:paraId="4BC418CC">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2．认证证书不在有效期内的，该认证证书视为无效，不予计分。</w:t>
            </w:r>
          </w:p>
        </w:tc>
      </w:tr>
      <w:tr w14:paraId="32CE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77" w:type="dxa"/>
            <w:gridSpan w:val="2"/>
            <w:noWrap w:val="0"/>
            <w:vAlign w:val="center"/>
          </w:tcPr>
          <w:p w14:paraId="16B2AB28">
            <w:pPr>
              <w:keepNext w:val="0"/>
              <w:keepLines w:val="0"/>
              <w:pageBreakBefore w:val="0"/>
              <w:widowControl/>
              <w:kinsoku/>
              <w:wordWrap w:val="0"/>
              <w:overflowPunct/>
              <w:topLinePunct w:val="0"/>
              <w:autoSpaceDE/>
              <w:autoSpaceDN/>
              <w:bidi w:val="0"/>
              <w:adjustRightInd w:val="0"/>
              <w:snapToGrid w:val="0"/>
              <w:spacing w:afterAutospacing="0" w:line="420" w:lineRule="exact"/>
              <w:ind w:left="0" w:leftChars="0" w:right="0" w:rightChars="0" w:firstLine="0" w:firstLineChars="0"/>
              <w:jc w:val="center"/>
              <w:textAlignment w:val="auto"/>
              <w:rPr>
                <w:rFonts w:hint="eastAsia" w:ascii="宋体" w:hAnsi="宋体" w:eastAsia="宋体" w:cs="宋体"/>
                <w:strike w:val="0"/>
                <w:dstrike w:val="0"/>
                <w:snapToGrid w:val="0"/>
                <w:color w:val="auto"/>
                <w:kern w:val="0"/>
                <w:sz w:val="24"/>
                <w:szCs w:val="24"/>
                <w:highlight w:val="none"/>
                <w:lang w:val="en-US" w:eastAsia="zh-CN" w:bidi="ar-SA"/>
              </w:rPr>
            </w:pPr>
            <w:r>
              <w:rPr>
                <w:rFonts w:hint="eastAsia" w:ascii="宋体" w:hAnsi="宋体" w:eastAsia="宋体" w:cs="宋体"/>
                <w:strike w:val="0"/>
                <w:dstrike w:val="0"/>
                <w:snapToGrid w:val="0"/>
                <w:color w:val="auto"/>
                <w:kern w:val="0"/>
                <w:sz w:val="24"/>
                <w:szCs w:val="24"/>
                <w:highlight w:val="none"/>
                <w:lang w:val="en-US" w:eastAsia="zh-CN" w:bidi="ar-SA"/>
              </w:rPr>
              <w:t>企业</w:t>
            </w:r>
          </w:p>
          <w:p w14:paraId="2FABABD2">
            <w:pPr>
              <w:keepNext w:val="0"/>
              <w:keepLines w:val="0"/>
              <w:pageBreakBefore w:val="0"/>
              <w:widowControl/>
              <w:kinsoku/>
              <w:wordWrap w:val="0"/>
              <w:overflowPunct/>
              <w:topLinePunct w:val="0"/>
              <w:autoSpaceDE/>
              <w:autoSpaceDN/>
              <w:bidi w:val="0"/>
              <w:adjustRightInd w:val="0"/>
              <w:snapToGrid w:val="0"/>
              <w:spacing w:afterAutospacing="0" w:line="420" w:lineRule="exact"/>
              <w:ind w:left="0" w:leftChars="0" w:right="0" w:rightChars="0" w:firstLine="0" w:firstLineChars="0"/>
              <w:jc w:val="center"/>
              <w:textAlignment w:val="auto"/>
              <w:rPr>
                <w:rFonts w:hint="eastAsia" w:ascii="宋体" w:hAnsi="宋体" w:eastAsia="宋体" w:cs="宋体"/>
                <w:strike w:val="0"/>
                <w:dstrike w:val="0"/>
                <w:snapToGrid w:val="0"/>
                <w:color w:val="auto"/>
                <w:kern w:val="0"/>
                <w:sz w:val="24"/>
                <w:szCs w:val="24"/>
                <w:highlight w:val="none"/>
                <w:lang w:val="en-US" w:eastAsia="zh-CN" w:bidi="ar-SA"/>
              </w:rPr>
            </w:pPr>
            <w:r>
              <w:rPr>
                <w:rFonts w:hint="eastAsia" w:ascii="宋体" w:hAnsi="宋体" w:eastAsia="宋体" w:cs="宋体"/>
                <w:strike w:val="0"/>
                <w:dstrike w:val="0"/>
                <w:snapToGrid w:val="0"/>
                <w:color w:val="auto"/>
                <w:kern w:val="0"/>
                <w:sz w:val="24"/>
                <w:szCs w:val="24"/>
                <w:highlight w:val="none"/>
                <w:lang w:val="en-US" w:eastAsia="zh-CN" w:bidi="ar-SA"/>
              </w:rPr>
              <w:t>履约信誉</w:t>
            </w:r>
          </w:p>
          <w:p w14:paraId="49DCC7EB">
            <w:pPr>
              <w:keepNext w:val="0"/>
              <w:keepLines w:val="0"/>
              <w:pageBreakBefore w:val="0"/>
              <w:widowControl/>
              <w:kinsoku/>
              <w:wordWrap w:val="0"/>
              <w:overflowPunct/>
              <w:topLinePunct w:val="0"/>
              <w:autoSpaceDE/>
              <w:autoSpaceDN/>
              <w:bidi w:val="0"/>
              <w:adjustRightInd w:val="0"/>
              <w:snapToGrid w:val="0"/>
              <w:spacing w:afterAutospacing="0" w:line="420" w:lineRule="exact"/>
              <w:ind w:left="0" w:leftChars="0" w:right="0" w:rightChars="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strike w:val="0"/>
                <w:dstrike w:val="0"/>
                <w:snapToGrid w:val="0"/>
                <w:color w:val="auto"/>
                <w:kern w:val="0"/>
                <w:sz w:val="24"/>
                <w:szCs w:val="24"/>
                <w:highlight w:val="none"/>
                <w:lang w:val="en-US" w:eastAsia="zh-CN" w:bidi="ar-SA"/>
              </w:rPr>
              <w:t>（5分）</w:t>
            </w:r>
          </w:p>
        </w:tc>
        <w:tc>
          <w:tcPr>
            <w:tcW w:w="4516" w:type="dxa"/>
            <w:noWrap w:val="0"/>
            <w:vAlign w:val="center"/>
          </w:tcPr>
          <w:p w14:paraId="14ABEF96">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企业获得“守合同重信用企业”（以下简称“守重”）荣誉情况：</w:t>
            </w:r>
          </w:p>
          <w:p w14:paraId="2523CED5">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守重</w:t>
            </w:r>
            <w:r>
              <w:rPr>
                <w:rFonts w:hint="eastAsia" w:ascii="宋体" w:hAnsi="宋体" w:eastAsia="宋体" w:cs="宋体"/>
                <w:snapToGrid w:val="0"/>
                <w:color w:val="auto"/>
                <w:kern w:val="0"/>
                <w:sz w:val="24"/>
                <w:szCs w:val="24"/>
                <w:highlight w:val="none"/>
              </w:rPr>
              <w:t>连续</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含5年</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以上</w:t>
            </w:r>
            <w:r>
              <w:rPr>
                <w:rFonts w:hint="eastAsia" w:ascii="宋体" w:hAnsi="宋体" w:eastAsia="宋体" w:cs="宋体"/>
                <w:snapToGrid w:val="0"/>
                <w:color w:val="auto"/>
                <w:kern w:val="0"/>
                <w:sz w:val="24"/>
                <w:szCs w:val="24"/>
                <w:highlight w:val="none"/>
              </w:rPr>
              <w:t>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得</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分（其中必须有202</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年度）；</w:t>
            </w:r>
          </w:p>
          <w:p w14:paraId="2B08F9CA">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守重</w:t>
            </w:r>
            <w:r>
              <w:rPr>
                <w:rFonts w:hint="eastAsia" w:ascii="宋体" w:hAnsi="宋体" w:eastAsia="宋体" w:cs="宋体"/>
                <w:snapToGrid w:val="0"/>
                <w:color w:val="auto"/>
                <w:kern w:val="0"/>
                <w:sz w:val="24"/>
                <w:szCs w:val="24"/>
                <w:highlight w:val="none"/>
              </w:rPr>
              <w:t>连续</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年的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得</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分（其中必须有202</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年度）；</w:t>
            </w:r>
          </w:p>
          <w:p w14:paraId="54368C7F">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守重</w:t>
            </w:r>
            <w:r>
              <w:rPr>
                <w:rFonts w:hint="eastAsia" w:ascii="宋体" w:hAnsi="宋体" w:eastAsia="宋体" w:cs="宋体"/>
                <w:snapToGrid w:val="0"/>
                <w:color w:val="auto"/>
                <w:kern w:val="0"/>
                <w:sz w:val="24"/>
                <w:szCs w:val="24"/>
                <w:highlight w:val="none"/>
              </w:rPr>
              <w:t>连续</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年的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得</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分（其中必须有202</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年度）；</w:t>
            </w:r>
          </w:p>
          <w:p w14:paraId="11567B59">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color w:val="auto"/>
                <w:sz w:val="24"/>
                <w:szCs w:val="24"/>
                <w:highlight w:val="none"/>
                <w:lang w:val="en-US" w:eastAsia="zh-CN"/>
              </w:rPr>
              <w:t>.其他情形的，不予计分。</w:t>
            </w:r>
          </w:p>
          <w:p w14:paraId="69BB0E87">
            <w:pPr>
              <w:pStyle w:val="7"/>
              <w:keepNext w:val="0"/>
              <w:keepLines w:val="0"/>
              <w:pageBreakBefore w:val="0"/>
              <w:widowControl w:val="0"/>
              <w:kinsoku/>
              <w:wordWrap w:val="0"/>
              <w:overflowPunct/>
              <w:topLinePunct w:val="0"/>
              <w:autoSpaceDE/>
              <w:autoSpaceDN/>
              <w:bidi w:val="0"/>
              <w:adjustRightInd w:val="0"/>
              <w:snapToGrid w:val="0"/>
              <w:spacing w:after="0" w:afterLines="0" w:line="420" w:lineRule="exact"/>
              <w:ind w:left="0" w:leftChars="0" w:right="0" w:rightChars="0" w:firstLine="0" w:firstLineChars="0"/>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rPr>
              <w:t>说明：本项最高得</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p>
        </w:tc>
        <w:tc>
          <w:tcPr>
            <w:tcW w:w="3457" w:type="dxa"/>
            <w:noWrap w:val="0"/>
            <w:vAlign w:val="center"/>
          </w:tcPr>
          <w:p w14:paraId="4609C9C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1．需附“守重”证书彩色扫描件。</w:t>
            </w:r>
          </w:p>
          <w:p w14:paraId="2487F9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2．“守重”证书须由市场监督行政主管部门（原工商行政主管部门）或省级（含以上）市场协会信用等级评定委员会颁发。</w:t>
            </w:r>
          </w:p>
          <w:p w14:paraId="592D1E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3．任一年度“守重”证书有以下情形的，该年度视为中断年度：</w:t>
            </w:r>
          </w:p>
          <w:p w14:paraId="73D3931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①未提供“守重”证书彩色扫描件的；</w:t>
            </w:r>
          </w:p>
          <w:p w14:paraId="33DE74C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②颁发机构不符合要求的。</w:t>
            </w:r>
          </w:p>
        </w:tc>
      </w:tr>
      <w:tr w14:paraId="5E47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5" w:hRule="atLeast"/>
          <w:jc w:val="center"/>
        </w:trPr>
        <w:tc>
          <w:tcPr>
            <w:tcW w:w="1877" w:type="dxa"/>
            <w:gridSpan w:val="2"/>
            <w:noWrap w:val="0"/>
            <w:vAlign w:val="center"/>
          </w:tcPr>
          <w:p w14:paraId="5DD81630">
            <w:pPr>
              <w:keepNext w:val="0"/>
              <w:keepLines w:val="0"/>
              <w:pageBreakBefore w:val="0"/>
              <w:widowControl/>
              <w:kinsoku/>
              <w:wordWrap w:val="0"/>
              <w:overflowPunct/>
              <w:topLinePunct w:val="0"/>
              <w:autoSpaceDE/>
              <w:autoSpaceDN/>
              <w:bidi w:val="0"/>
              <w:adjustRightInd w:val="0"/>
              <w:snapToGrid w:val="0"/>
              <w:spacing w:afterAutospacing="0" w:line="420" w:lineRule="exact"/>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zh-TW" w:eastAsia="zh-TW" w:bidi="ar-SA"/>
              </w:rPr>
            </w:pPr>
            <w:r>
              <w:rPr>
                <w:rFonts w:hint="eastAsia" w:ascii="宋体" w:hAnsi="宋体" w:eastAsia="宋体" w:cs="宋体"/>
                <w:snapToGrid w:val="0"/>
                <w:color w:val="auto"/>
                <w:kern w:val="0"/>
                <w:sz w:val="24"/>
                <w:szCs w:val="24"/>
                <w:highlight w:val="none"/>
                <w:lang w:val="zh-TW" w:eastAsia="zh-CN" w:bidi="ar-SA"/>
              </w:rPr>
              <w:t>项目监理机构其他</w:t>
            </w:r>
            <w:r>
              <w:rPr>
                <w:rFonts w:hint="eastAsia" w:ascii="宋体" w:hAnsi="宋体" w:eastAsia="宋体" w:cs="宋体"/>
                <w:snapToGrid w:val="0"/>
                <w:color w:val="auto"/>
                <w:kern w:val="0"/>
                <w:sz w:val="24"/>
                <w:szCs w:val="24"/>
                <w:highlight w:val="none"/>
                <w:lang w:val="zh-TW" w:eastAsia="zh-TW" w:bidi="ar-SA"/>
              </w:rPr>
              <w:t>人员配备</w:t>
            </w:r>
          </w:p>
          <w:p w14:paraId="54A49852">
            <w:pPr>
              <w:keepNext w:val="0"/>
              <w:keepLines w:val="0"/>
              <w:pageBreakBefore w:val="0"/>
              <w:widowControl/>
              <w:kinsoku/>
              <w:wordWrap w:val="0"/>
              <w:overflowPunct/>
              <w:topLinePunct w:val="0"/>
              <w:autoSpaceDE/>
              <w:autoSpaceDN/>
              <w:bidi w:val="0"/>
              <w:adjustRightInd w:val="0"/>
              <w:snapToGrid w:val="0"/>
              <w:spacing w:afterAutospacing="0" w:line="420" w:lineRule="exact"/>
              <w:ind w:left="0" w:leftChars="0" w:right="0" w:righ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snapToGrid w:val="0"/>
                <w:color w:val="auto"/>
                <w:kern w:val="0"/>
                <w:sz w:val="24"/>
                <w:szCs w:val="24"/>
                <w:highlight w:val="none"/>
                <w:lang w:val="en-US" w:eastAsia="zh-CN" w:bidi="ar-SA"/>
              </w:rPr>
              <w:t>（14分）</w:t>
            </w:r>
          </w:p>
        </w:tc>
        <w:tc>
          <w:tcPr>
            <w:tcW w:w="4516" w:type="dxa"/>
            <w:noWrap w:val="0"/>
            <w:vAlign w:val="center"/>
          </w:tcPr>
          <w:p w14:paraId="5353AAE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在完全满足《需求表》的基础上对以下人员进行评分；</w:t>
            </w:r>
          </w:p>
          <w:p w14:paraId="510B97E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1.安全专业监理工程师：</w:t>
            </w:r>
          </w:p>
          <w:p w14:paraId="3E689A6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①具有全国注册监理工程师证书（市政公用工程）的，加1分；</w:t>
            </w:r>
          </w:p>
          <w:p w14:paraId="6D5A655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②具有注册安全工程证书的，加1分；</w:t>
            </w:r>
          </w:p>
          <w:p w14:paraId="4D86B5A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③具有建筑安全管理专业工程师职称的，加1分，具有建筑安全管理专业高级及以上职称的，加2分，最高加2分。</w:t>
            </w:r>
          </w:p>
          <w:p w14:paraId="7DAFB76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本小项满分4分。</w:t>
            </w:r>
          </w:p>
          <w:p w14:paraId="13194E7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2.排水专业监理工程师：</w:t>
            </w:r>
          </w:p>
          <w:p w14:paraId="198BF32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①具有全国注册监理工程师证书（机电安装工程）的，加2分；</w:t>
            </w:r>
          </w:p>
          <w:p w14:paraId="2C55179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②具有注册公用设备工程师证书（给水排水）的，加1分；</w:t>
            </w:r>
          </w:p>
          <w:p w14:paraId="2555C71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③具有二级造价工程师证书（土建）的，加1分，具有一级造价工程师证书（土建）的，得2分，最高加2分。</w:t>
            </w:r>
          </w:p>
          <w:p w14:paraId="133318F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本小项满分4分。</w:t>
            </w:r>
          </w:p>
          <w:p w14:paraId="5B844C1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w:t>
            </w:r>
            <w:r>
              <w:rPr>
                <w:rFonts w:hint="eastAsia" w:ascii="宋体" w:hAnsi="宋体" w:eastAsia="宋体" w:cs="宋体"/>
                <w:b/>
                <w:bCs/>
                <w:color w:val="auto"/>
                <w:highlight w:val="none"/>
                <w:lang w:val="en-US" w:eastAsia="zh-CN"/>
              </w:rPr>
              <w:t>造价工程师：</w:t>
            </w:r>
          </w:p>
          <w:p w14:paraId="0FEC116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①具有二级造价工程师证书（土建、安装）的，加1分，具有一级造价工程师证书（土建、安装）的，加2分，最高加2分；</w:t>
            </w:r>
          </w:p>
          <w:p w14:paraId="2D5A547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②具有工程造价专业工程师职称的，加1分，具有工程造价专业高级及以上职称的，加2分，最高加2分。</w:t>
            </w:r>
          </w:p>
          <w:p w14:paraId="30A9217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本小项满分4分。</w:t>
            </w:r>
          </w:p>
          <w:p w14:paraId="6EA92BA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right="0" w:rightChars="0" w:firstLine="0" w:firstLineChars="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kern w:val="2"/>
                <w:sz w:val="24"/>
                <w:highlight w:val="none"/>
                <w:lang w:val="en-US" w:eastAsia="zh-CN" w:bidi="ar-SA"/>
              </w:rPr>
              <w:t>（4）</w:t>
            </w:r>
            <w:r>
              <w:rPr>
                <w:rFonts w:hint="eastAsia" w:ascii="宋体" w:hAnsi="宋体" w:eastAsia="宋体" w:cs="宋体"/>
                <w:b/>
                <w:bCs/>
                <w:color w:val="auto"/>
                <w:highlight w:val="none"/>
                <w:lang w:val="en-US" w:eastAsia="zh-CN"/>
              </w:rPr>
              <w:t>监理员：</w:t>
            </w:r>
          </w:p>
          <w:p w14:paraId="1853C3C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具有全国注册监理工程师证书（市政公用工程）的，</w:t>
            </w:r>
            <w:r>
              <w:rPr>
                <w:rFonts w:hint="eastAsia" w:ascii="宋体" w:hAnsi="宋体" w:eastAsia="宋体" w:cs="宋体"/>
                <w:color w:val="auto"/>
                <w:kern w:val="0"/>
                <w:sz w:val="24"/>
                <w:szCs w:val="24"/>
                <w:highlight w:val="none"/>
                <w:lang w:val="en-US" w:eastAsia="zh-CN" w:bidi="ar-SA"/>
              </w:rPr>
              <w:t>加</w:t>
            </w:r>
            <w:r>
              <w:rPr>
                <w:rFonts w:hint="eastAsia" w:ascii="宋体" w:hAnsi="宋体" w:eastAsia="宋体" w:cs="宋体"/>
                <w:color w:val="auto"/>
                <w:highlight w:val="none"/>
                <w:lang w:val="en-US" w:eastAsia="zh-CN"/>
              </w:rPr>
              <w:t>2分。</w:t>
            </w:r>
          </w:p>
          <w:p w14:paraId="1F6BD9E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right="0" w:rightChars="0"/>
              <w:jc w:val="left"/>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bCs/>
                <w:color w:val="auto"/>
                <w:highlight w:val="none"/>
                <w:lang w:val="en-US" w:eastAsia="zh-CN"/>
              </w:rPr>
              <w:t>本项满分2分。</w:t>
            </w:r>
          </w:p>
        </w:tc>
        <w:tc>
          <w:tcPr>
            <w:tcW w:w="3457" w:type="dxa"/>
            <w:noWrap w:val="0"/>
            <w:vAlign w:val="center"/>
          </w:tcPr>
          <w:p w14:paraId="2F50B38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bidi="ar-SA"/>
              </w:rPr>
              <w:t>须提供相应证书彩色扫描件或电子证照或网页截图（注册单位须为投标企业）和近三个月，其中必须有2025年4月投标企业为其购买的社保证明扫描件（如为退休返聘人员则提供返聘合同扫描件），否则不予计分。</w:t>
            </w:r>
          </w:p>
        </w:tc>
      </w:tr>
      <w:tr w14:paraId="72E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50" w:type="dxa"/>
            <w:gridSpan w:val="4"/>
            <w:noWrap w:val="0"/>
            <w:vAlign w:val="top"/>
          </w:tcPr>
          <w:p w14:paraId="362D9E49">
            <w:pPr>
              <w:pStyle w:val="7"/>
              <w:shd w:val="clear"/>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技术部分（监理大纲）满分：</w:t>
            </w:r>
            <w:r>
              <w:rPr>
                <w:rFonts w:hint="eastAsia" w:ascii="宋体" w:hAnsi="宋体" w:eastAsia="宋体" w:cs="宋体"/>
                <w:b/>
                <w:bCs/>
                <w:strike w:val="0"/>
                <w:dstrike w:val="0"/>
                <w:snapToGrid w:val="0"/>
                <w:color w:val="auto"/>
                <w:kern w:val="0"/>
                <w:sz w:val="24"/>
                <w:szCs w:val="24"/>
                <w:highlight w:val="none"/>
                <w:u w:val="single"/>
                <w:lang w:val="en-US" w:eastAsia="zh-CN"/>
              </w:rPr>
              <w:t>15</w:t>
            </w:r>
            <w:r>
              <w:rPr>
                <w:rFonts w:hint="eastAsia" w:ascii="宋体" w:hAnsi="宋体" w:eastAsia="宋体" w:cs="宋体"/>
                <w:b/>
                <w:bCs/>
                <w:strike w:val="0"/>
                <w:dstrike w:val="0"/>
                <w:snapToGrid w:val="0"/>
                <w:color w:val="auto"/>
                <w:kern w:val="0"/>
                <w:sz w:val="24"/>
                <w:szCs w:val="24"/>
                <w:highlight w:val="none"/>
              </w:rPr>
              <w:t>分。</w:t>
            </w:r>
          </w:p>
        </w:tc>
      </w:tr>
      <w:tr w14:paraId="0087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7" w:type="dxa"/>
            <w:gridSpan w:val="2"/>
            <w:noWrap w:val="0"/>
            <w:vAlign w:val="center"/>
          </w:tcPr>
          <w:p w14:paraId="6435F9C8">
            <w:pPr>
              <w:pStyle w:val="7"/>
              <w:shd w:val="clear"/>
              <w:wordWrap w:val="0"/>
              <w:adjustRightInd w:val="0"/>
              <w:snapToGrid w:val="0"/>
              <w:spacing w:after="0" w:line="240" w:lineRule="auto"/>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评分因素</w:t>
            </w:r>
          </w:p>
        </w:tc>
        <w:tc>
          <w:tcPr>
            <w:tcW w:w="4516" w:type="dxa"/>
            <w:noWrap w:val="0"/>
            <w:vAlign w:val="center"/>
          </w:tcPr>
          <w:p w14:paraId="720759C2">
            <w:pPr>
              <w:pStyle w:val="7"/>
              <w:shd w:val="clear"/>
              <w:wordWrap w:val="0"/>
              <w:adjustRightInd w:val="0"/>
              <w:snapToGrid w:val="0"/>
              <w:spacing w:after="0" w:line="440" w:lineRule="exact"/>
              <w:jc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snapToGrid w:val="0"/>
                <w:color w:val="auto"/>
                <w:kern w:val="0"/>
                <w:sz w:val="24"/>
                <w:szCs w:val="24"/>
                <w:highlight w:val="none"/>
              </w:rPr>
              <w:t>评分标准</w:t>
            </w:r>
          </w:p>
        </w:tc>
        <w:tc>
          <w:tcPr>
            <w:tcW w:w="3457" w:type="dxa"/>
            <w:noWrap w:val="0"/>
            <w:vAlign w:val="center"/>
          </w:tcPr>
          <w:p w14:paraId="7B713107">
            <w:pPr>
              <w:pStyle w:val="7"/>
              <w:shd w:val="clear"/>
              <w:wordWrap w:val="0"/>
              <w:adjustRightInd w:val="0"/>
              <w:snapToGrid w:val="0"/>
              <w:spacing w:after="0" w:line="440" w:lineRule="exact"/>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备注</w:t>
            </w:r>
          </w:p>
        </w:tc>
      </w:tr>
      <w:tr w14:paraId="477D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877" w:type="dxa"/>
            <w:gridSpan w:val="2"/>
            <w:shd w:val="clear" w:color="auto" w:fill="auto"/>
            <w:noWrap w:val="0"/>
            <w:vAlign w:val="center"/>
          </w:tcPr>
          <w:p w14:paraId="635DE12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监理依据及工作目标（1.5分）</w:t>
            </w:r>
          </w:p>
        </w:tc>
        <w:tc>
          <w:tcPr>
            <w:tcW w:w="4516" w:type="dxa"/>
            <w:shd w:val="clear" w:color="auto" w:fill="auto"/>
            <w:noWrap w:val="0"/>
            <w:vAlign w:val="center"/>
          </w:tcPr>
          <w:p w14:paraId="15C31317">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4291B9C4">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3F1F0BDA">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5CD1ED57">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rPr>
              <w:t>【差】得该项因素分的0～60%（含0分）</w:t>
            </w:r>
            <w:r>
              <w:rPr>
                <w:rFonts w:hint="eastAsia" w:ascii="宋体" w:hAnsi="宋体" w:eastAsia="宋体" w:cs="宋体"/>
                <w:b w:val="0"/>
                <w:bCs w:val="0"/>
                <w:snapToGrid w:val="0"/>
                <w:color w:val="auto"/>
                <w:kern w:val="0"/>
                <w:sz w:val="24"/>
                <w:szCs w:val="24"/>
                <w:highlight w:val="none"/>
                <w:lang w:val="en-US" w:eastAsia="zh-CN"/>
              </w:rPr>
              <w:t>。</w:t>
            </w:r>
          </w:p>
        </w:tc>
        <w:tc>
          <w:tcPr>
            <w:tcW w:w="3457" w:type="dxa"/>
            <w:shd w:val="clear" w:color="auto" w:fill="auto"/>
            <w:noWrap w:val="0"/>
            <w:vAlign w:val="center"/>
          </w:tcPr>
          <w:p w14:paraId="33589322">
            <w:pPr>
              <w:keepNext w:val="0"/>
              <w:keepLines w:val="0"/>
              <w:widowControl/>
              <w:suppressLineNumbers w:val="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要求依据全面、适用；目标清晰、正确；针对性强。</w:t>
            </w:r>
          </w:p>
          <w:p w14:paraId="14C1D8F9">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lang w:val="en-US" w:eastAsia="zh-CN" w:bidi="ar-SA"/>
              </w:rPr>
            </w:pPr>
          </w:p>
        </w:tc>
      </w:tr>
      <w:tr w14:paraId="5B08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877" w:type="dxa"/>
            <w:gridSpan w:val="2"/>
            <w:shd w:val="clear" w:color="auto" w:fill="auto"/>
            <w:noWrap w:val="0"/>
            <w:vAlign w:val="center"/>
          </w:tcPr>
          <w:p w14:paraId="59183C75">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工程质量</w:t>
            </w:r>
          </w:p>
          <w:p w14:paraId="4D4AAAB2">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监理措施</w:t>
            </w:r>
          </w:p>
          <w:p w14:paraId="78D62485">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7431A0D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4B22271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0BDCC3B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4F01080A">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p>
        </w:tc>
        <w:tc>
          <w:tcPr>
            <w:tcW w:w="3457" w:type="dxa"/>
            <w:vMerge w:val="restart"/>
            <w:shd w:val="clear" w:color="auto" w:fill="auto"/>
            <w:noWrap w:val="0"/>
            <w:vAlign w:val="center"/>
          </w:tcPr>
          <w:p w14:paraId="31E9208A">
            <w:pPr>
              <w:pStyle w:val="7"/>
              <w:keepNext w:val="0"/>
              <w:keepLines w:val="0"/>
              <w:pageBreakBefore w:val="0"/>
              <w:shd w:val="clear"/>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要求目标正确、方法可行、预控和动态管理措施具体、针对性强。脱离本工程实际、机械照搬照抄规范和技术标准的，不能得满分。</w:t>
            </w:r>
          </w:p>
        </w:tc>
      </w:tr>
      <w:tr w14:paraId="047D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77" w:type="dxa"/>
            <w:gridSpan w:val="2"/>
            <w:shd w:val="clear" w:color="auto" w:fill="auto"/>
            <w:noWrap w:val="0"/>
            <w:vAlign w:val="center"/>
          </w:tcPr>
          <w:p w14:paraId="0C6687EF">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工程进度</w:t>
            </w:r>
          </w:p>
          <w:p w14:paraId="5C22F1C0">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监理措施</w:t>
            </w:r>
          </w:p>
          <w:p w14:paraId="22C22A28">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01F2EF4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4D1F05F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1158AD40">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1D5B5F0C">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p>
        </w:tc>
        <w:tc>
          <w:tcPr>
            <w:tcW w:w="3457" w:type="dxa"/>
            <w:vMerge w:val="continue"/>
            <w:shd w:val="clear" w:color="auto" w:fill="auto"/>
            <w:noWrap w:val="0"/>
            <w:vAlign w:val="center"/>
          </w:tcPr>
          <w:p w14:paraId="2E429B25">
            <w:pPr>
              <w:pStyle w:val="7"/>
              <w:shd w:val="clear"/>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p>
        </w:tc>
      </w:tr>
      <w:tr w14:paraId="0C7B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gridSpan w:val="2"/>
            <w:shd w:val="clear" w:color="auto" w:fill="auto"/>
            <w:noWrap w:val="0"/>
            <w:vAlign w:val="center"/>
          </w:tcPr>
          <w:p w14:paraId="4CED4C6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工程造价</w:t>
            </w:r>
          </w:p>
          <w:p w14:paraId="0BC52774">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监理措施</w:t>
            </w:r>
          </w:p>
          <w:p w14:paraId="56489060">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4A78C9B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66DBAFC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7BA26350">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2EF7BE46">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p>
        </w:tc>
        <w:tc>
          <w:tcPr>
            <w:tcW w:w="3457" w:type="dxa"/>
            <w:vMerge w:val="continue"/>
            <w:shd w:val="clear" w:color="auto" w:fill="auto"/>
            <w:noWrap w:val="0"/>
            <w:vAlign w:val="center"/>
          </w:tcPr>
          <w:p w14:paraId="165AD7EA">
            <w:pPr>
              <w:pStyle w:val="7"/>
              <w:shd w:val="clear"/>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p>
        </w:tc>
      </w:tr>
      <w:tr w14:paraId="592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77" w:type="dxa"/>
            <w:gridSpan w:val="2"/>
            <w:shd w:val="clear" w:color="auto" w:fill="auto"/>
            <w:noWrap w:val="0"/>
            <w:vAlign w:val="center"/>
          </w:tcPr>
          <w:p w14:paraId="4B95C697">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安全防护</w:t>
            </w:r>
          </w:p>
          <w:p w14:paraId="70822242">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监理措施</w:t>
            </w:r>
          </w:p>
          <w:p w14:paraId="3DABF97A">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5D49AEA0">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4AF86675">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02EC12F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60550469">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p>
        </w:tc>
        <w:tc>
          <w:tcPr>
            <w:tcW w:w="3457" w:type="dxa"/>
            <w:vMerge w:val="continue"/>
            <w:shd w:val="clear" w:color="auto" w:fill="auto"/>
            <w:noWrap w:val="0"/>
            <w:vAlign w:val="center"/>
          </w:tcPr>
          <w:p w14:paraId="1E337FFD">
            <w:pPr>
              <w:pStyle w:val="7"/>
              <w:shd w:val="clear"/>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p>
        </w:tc>
      </w:tr>
      <w:tr w14:paraId="2068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77" w:type="dxa"/>
            <w:gridSpan w:val="2"/>
            <w:shd w:val="clear" w:color="auto" w:fill="auto"/>
            <w:noWrap w:val="0"/>
            <w:vAlign w:val="center"/>
          </w:tcPr>
          <w:p w14:paraId="28C0954F">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绿色施工</w:t>
            </w:r>
          </w:p>
          <w:p w14:paraId="5B88ED1C">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文明施工监理措施</w:t>
            </w:r>
          </w:p>
          <w:p w14:paraId="3D160DD8">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6B3636D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7F4380C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03A691F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67AE655F">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r>
              <w:rPr>
                <w:rFonts w:hint="eastAsia" w:ascii="宋体" w:hAnsi="宋体" w:eastAsia="宋体" w:cs="宋体"/>
                <w:snapToGrid w:val="0"/>
                <w:color w:val="auto"/>
                <w:kern w:val="0"/>
                <w:sz w:val="24"/>
                <w:szCs w:val="24"/>
                <w:highlight w:val="none"/>
                <w:lang w:val="en-US" w:eastAsia="zh-CN" w:bidi="ar-SA"/>
              </w:rPr>
              <w:t>。</w:t>
            </w:r>
          </w:p>
        </w:tc>
        <w:tc>
          <w:tcPr>
            <w:tcW w:w="3457" w:type="dxa"/>
            <w:vMerge w:val="continue"/>
            <w:shd w:val="clear" w:color="auto" w:fill="auto"/>
            <w:noWrap w:val="0"/>
            <w:vAlign w:val="center"/>
          </w:tcPr>
          <w:p w14:paraId="64CC7A75">
            <w:pPr>
              <w:pageBreakBefore w:val="0"/>
              <w:widowControl w:val="0"/>
              <w:kinsoku/>
              <w:overflowPunct/>
              <w:topLinePunct w:val="0"/>
              <w:autoSpaceDE/>
              <w:autoSpaceDN/>
              <w:bidi w:val="0"/>
              <w:adjustRightInd w:val="0"/>
              <w:snapToGrid w:val="0"/>
              <w:spacing w:line="400" w:lineRule="exact"/>
              <w:jc w:val="both"/>
              <w:rPr>
                <w:rFonts w:hint="eastAsia" w:ascii="宋体" w:hAnsi="宋体" w:eastAsia="宋体" w:cs="宋体"/>
                <w:snapToGrid w:val="0"/>
                <w:color w:val="auto"/>
                <w:kern w:val="0"/>
                <w:sz w:val="24"/>
                <w:szCs w:val="24"/>
                <w:highlight w:val="none"/>
                <w:lang w:val="en-US" w:eastAsia="zh-CN" w:bidi="ar-SA"/>
              </w:rPr>
            </w:pPr>
          </w:p>
        </w:tc>
      </w:tr>
      <w:tr w14:paraId="107C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877" w:type="dxa"/>
            <w:gridSpan w:val="2"/>
            <w:shd w:val="clear" w:color="auto" w:fill="auto"/>
            <w:noWrap w:val="0"/>
            <w:vAlign w:val="center"/>
          </w:tcPr>
          <w:p w14:paraId="56C00B20">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合同信息</w:t>
            </w:r>
          </w:p>
          <w:p w14:paraId="026DF26C">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管理方案</w:t>
            </w:r>
          </w:p>
          <w:p w14:paraId="4CB1193A">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15358ADF">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08DE6875">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6346809E">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76990BD5">
            <w:pPr>
              <w:keepNext w:val="0"/>
              <w:keepLines w:val="0"/>
              <w:pageBreakBefore w:val="0"/>
              <w:widowControl w:val="0"/>
              <w:kinsoku/>
              <w:wordWrap w:val="0"/>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r>
              <w:rPr>
                <w:rFonts w:hint="eastAsia" w:ascii="宋体" w:hAnsi="宋体" w:eastAsia="宋体" w:cs="宋体"/>
                <w:snapToGrid w:val="0"/>
                <w:color w:val="auto"/>
                <w:kern w:val="0"/>
                <w:sz w:val="24"/>
                <w:szCs w:val="24"/>
                <w:highlight w:val="none"/>
                <w:lang w:val="en-US" w:eastAsia="zh-CN" w:bidi="ar-SA"/>
              </w:rPr>
              <w:t>。</w:t>
            </w:r>
          </w:p>
        </w:tc>
        <w:tc>
          <w:tcPr>
            <w:tcW w:w="3457" w:type="dxa"/>
            <w:shd w:val="clear" w:color="auto" w:fill="auto"/>
            <w:noWrap w:val="0"/>
            <w:vAlign w:val="center"/>
          </w:tcPr>
          <w:p w14:paraId="2F1731B2">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要求各项制度规范清晰，方法科学合理，措施及时有效，针对性强。能够切实防范和处理合同纠纷，提升监理工作效能。</w:t>
            </w:r>
          </w:p>
        </w:tc>
      </w:tr>
      <w:tr w14:paraId="0153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77" w:type="dxa"/>
            <w:gridSpan w:val="2"/>
            <w:shd w:val="clear" w:color="auto" w:fill="auto"/>
            <w:noWrap w:val="0"/>
            <w:vAlign w:val="center"/>
          </w:tcPr>
          <w:p w14:paraId="0E8E92BE">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组织协调</w:t>
            </w:r>
          </w:p>
          <w:p w14:paraId="1F8E7FEA">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内容及措施</w:t>
            </w:r>
          </w:p>
          <w:p w14:paraId="58E59278">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293FFE1F">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682DFB3B">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1A560A5E">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34797B7C">
            <w:pPr>
              <w:keepNext w:val="0"/>
              <w:keepLines w:val="0"/>
              <w:pageBreakBefore w:val="0"/>
              <w:widowControl w:val="0"/>
              <w:kinsoku/>
              <w:wordWrap w:val="0"/>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r>
              <w:rPr>
                <w:rFonts w:hint="eastAsia" w:ascii="宋体" w:hAnsi="宋体" w:eastAsia="宋体" w:cs="宋体"/>
                <w:snapToGrid w:val="0"/>
                <w:color w:val="auto"/>
                <w:kern w:val="0"/>
                <w:sz w:val="24"/>
                <w:szCs w:val="24"/>
                <w:highlight w:val="none"/>
                <w:lang w:val="en-US" w:eastAsia="zh-CN" w:bidi="ar-SA"/>
              </w:rPr>
              <w:t>。</w:t>
            </w:r>
          </w:p>
        </w:tc>
        <w:tc>
          <w:tcPr>
            <w:tcW w:w="3457" w:type="dxa"/>
            <w:shd w:val="clear" w:color="auto" w:fill="auto"/>
            <w:noWrap w:val="0"/>
            <w:vAlign w:val="center"/>
          </w:tcPr>
          <w:p w14:paraId="5BE81A2F">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要求各项制度规范清晰，方法科学合理，措施及时有效，针对性强。能够高效收集、协调、处理、反馈各方各类问题。</w:t>
            </w:r>
          </w:p>
        </w:tc>
      </w:tr>
      <w:tr w14:paraId="1EDA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77" w:type="dxa"/>
            <w:gridSpan w:val="2"/>
            <w:shd w:val="clear" w:color="auto" w:fill="auto"/>
            <w:noWrap w:val="0"/>
            <w:vAlign w:val="center"/>
          </w:tcPr>
          <w:p w14:paraId="3EFBEE57">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监理工作重点、难点分析</w:t>
            </w:r>
          </w:p>
          <w:p w14:paraId="48AFDB8C">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（1.5分）</w:t>
            </w:r>
          </w:p>
        </w:tc>
        <w:tc>
          <w:tcPr>
            <w:tcW w:w="4516" w:type="dxa"/>
            <w:shd w:val="clear" w:color="auto" w:fill="auto"/>
            <w:noWrap w:val="0"/>
            <w:vAlign w:val="center"/>
          </w:tcPr>
          <w:p w14:paraId="5BF3EF35">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13D8509F">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17AD1395">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24FCB165">
            <w:pPr>
              <w:keepNext w:val="0"/>
              <w:keepLines w:val="0"/>
              <w:pageBreakBefore w:val="0"/>
              <w:widowControl w:val="0"/>
              <w:kinsoku/>
              <w:wordWrap w:val="0"/>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r>
              <w:rPr>
                <w:rFonts w:hint="eastAsia" w:ascii="宋体" w:hAnsi="宋体" w:eastAsia="宋体" w:cs="宋体"/>
                <w:snapToGrid w:val="0"/>
                <w:color w:val="auto"/>
                <w:kern w:val="0"/>
                <w:sz w:val="24"/>
                <w:szCs w:val="24"/>
                <w:highlight w:val="none"/>
                <w:lang w:val="en-US" w:eastAsia="zh-CN" w:bidi="ar-SA"/>
              </w:rPr>
              <w:t>。</w:t>
            </w:r>
          </w:p>
        </w:tc>
        <w:tc>
          <w:tcPr>
            <w:tcW w:w="3457" w:type="dxa"/>
            <w:shd w:val="clear" w:color="auto" w:fill="auto"/>
            <w:noWrap w:val="0"/>
            <w:vAlign w:val="center"/>
          </w:tcPr>
          <w:p w14:paraId="3BE8B37F">
            <w:pPr>
              <w:keepNext w:val="0"/>
              <w:keepLines w:val="0"/>
              <w:pageBreakBefore w:val="0"/>
              <w:widowControl w:val="0"/>
              <w:kinsoku/>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要求方法可行、措施具体、针对性强。</w:t>
            </w:r>
          </w:p>
        </w:tc>
      </w:tr>
      <w:tr w14:paraId="5AFE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877" w:type="dxa"/>
            <w:gridSpan w:val="2"/>
            <w:shd w:val="clear" w:color="auto" w:fill="auto"/>
            <w:noWrap w:val="0"/>
            <w:vAlign w:val="center"/>
          </w:tcPr>
          <w:p w14:paraId="365F05FB">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合理化建议</w:t>
            </w:r>
          </w:p>
          <w:p w14:paraId="75105EA0">
            <w:pPr>
              <w:keepNext w:val="0"/>
              <w:keepLines w:val="0"/>
              <w:pageBreakBefore w:val="0"/>
              <w:widowControl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 1.5分）</w:t>
            </w:r>
          </w:p>
        </w:tc>
        <w:tc>
          <w:tcPr>
            <w:tcW w:w="4516" w:type="dxa"/>
            <w:shd w:val="clear" w:color="auto" w:fill="auto"/>
            <w:noWrap w:val="0"/>
            <w:vAlign w:val="center"/>
          </w:tcPr>
          <w:p w14:paraId="46A15742">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rPr>
              <w:t>优】得该项因素分的85%～100%（含85%）；</w:t>
            </w:r>
          </w:p>
          <w:p w14:paraId="1845EC7A">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【良】得该项因素分的70%～85%（含70%）；</w:t>
            </w:r>
          </w:p>
          <w:p w14:paraId="0F24F5B8">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【中】得该项因素分的60%～70%（含60%）；</w:t>
            </w:r>
          </w:p>
          <w:p w14:paraId="1348066E">
            <w:pPr>
              <w:keepNext w:val="0"/>
              <w:keepLines w:val="0"/>
              <w:pageBreakBefore w:val="0"/>
              <w:widowControl w:val="0"/>
              <w:kinsoku/>
              <w:wordWrap w:val="0"/>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【差】得该项因素分的0～60%（含0分）</w:t>
            </w:r>
            <w:r>
              <w:rPr>
                <w:rFonts w:hint="eastAsia" w:ascii="宋体" w:hAnsi="宋体" w:eastAsia="宋体" w:cs="宋体"/>
                <w:snapToGrid w:val="0"/>
                <w:color w:val="auto"/>
                <w:kern w:val="0"/>
                <w:sz w:val="24"/>
                <w:szCs w:val="24"/>
                <w:highlight w:val="none"/>
                <w:lang w:val="en-US" w:eastAsia="zh-CN" w:bidi="ar-SA"/>
              </w:rPr>
              <w:t>。</w:t>
            </w:r>
          </w:p>
        </w:tc>
        <w:tc>
          <w:tcPr>
            <w:tcW w:w="3457" w:type="dxa"/>
            <w:shd w:val="clear" w:color="auto" w:fill="auto"/>
            <w:noWrap w:val="0"/>
            <w:vAlign w:val="center"/>
          </w:tcPr>
          <w:p w14:paraId="5EAC4D72">
            <w:pPr>
              <w:keepNext w:val="0"/>
              <w:keepLines w:val="0"/>
              <w:pageBreakBefore w:val="0"/>
              <w:widowControl w:val="0"/>
              <w:kinsoku/>
              <w:overflowPunct/>
              <w:topLinePunct w:val="0"/>
              <w:autoSpaceDE/>
              <w:autoSpaceDN/>
              <w:bidi w:val="0"/>
              <w:adjustRightInd w:val="0"/>
              <w:snapToGrid w:val="0"/>
              <w:spacing w:line="380" w:lineRule="exact"/>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要求方法可行、措施具体、针对性强。</w:t>
            </w:r>
          </w:p>
        </w:tc>
      </w:tr>
      <w:tr w14:paraId="24A6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850" w:type="dxa"/>
            <w:gridSpan w:val="4"/>
            <w:noWrap w:val="0"/>
            <w:vAlign w:val="top"/>
          </w:tcPr>
          <w:p w14:paraId="6C5230FD">
            <w:pPr>
              <w:pStyle w:val="7"/>
              <w:shd w:val="clear"/>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投标报价部分满分：</w:t>
            </w:r>
            <w:r>
              <w:rPr>
                <w:rFonts w:hint="eastAsia" w:ascii="宋体" w:hAnsi="宋体" w:eastAsia="宋体" w:cs="宋体"/>
                <w:b/>
                <w:bCs/>
                <w:strike w:val="0"/>
                <w:dstrike w:val="0"/>
                <w:snapToGrid w:val="0"/>
                <w:color w:val="auto"/>
                <w:kern w:val="0"/>
                <w:sz w:val="24"/>
                <w:szCs w:val="24"/>
                <w:highlight w:val="none"/>
                <w:u w:val="single"/>
                <w:lang w:val="en-US" w:eastAsia="zh-CN"/>
              </w:rPr>
              <w:t>30</w:t>
            </w:r>
            <w:r>
              <w:rPr>
                <w:rFonts w:hint="eastAsia" w:ascii="宋体" w:hAnsi="宋体" w:eastAsia="宋体" w:cs="宋体"/>
                <w:b/>
                <w:bCs/>
                <w:strike w:val="0"/>
                <w:dstrike w:val="0"/>
                <w:snapToGrid w:val="0"/>
                <w:color w:val="auto"/>
                <w:kern w:val="0"/>
                <w:sz w:val="24"/>
                <w:szCs w:val="24"/>
                <w:highlight w:val="none"/>
              </w:rPr>
              <w:t>分。</w:t>
            </w:r>
          </w:p>
        </w:tc>
      </w:tr>
      <w:tr w14:paraId="0094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28" w:type="dxa"/>
            <w:noWrap w:val="0"/>
            <w:vAlign w:val="center"/>
          </w:tcPr>
          <w:p w14:paraId="5B791BDB">
            <w:pPr>
              <w:shd w:val="clear"/>
              <w:wordWrap w:val="0"/>
              <w:adjustRightInd w:val="0"/>
              <w:snapToGrid w:val="0"/>
              <w:spacing w:line="240" w:lineRule="auto"/>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评分事项</w:t>
            </w:r>
          </w:p>
        </w:tc>
        <w:tc>
          <w:tcPr>
            <w:tcW w:w="8622" w:type="dxa"/>
            <w:gridSpan w:val="3"/>
            <w:noWrap w:val="0"/>
            <w:vAlign w:val="center"/>
          </w:tcPr>
          <w:p w14:paraId="4CF81584">
            <w:pPr>
              <w:pStyle w:val="7"/>
              <w:shd w:val="clear"/>
              <w:wordWrap w:val="0"/>
              <w:adjustRightInd w:val="0"/>
              <w:snapToGrid w:val="0"/>
              <w:spacing w:after="0" w:line="400" w:lineRule="exact"/>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评分方法</w:t>
            </w:r>
          </w:p>
        </w:tc>
      </w:tr>
      <w:tr w14:paraId="424F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28" w:type="dxa"/>
            <w:noWrap w:val="0"/>
            <w:vAlign w:val="center"/>
          </w:tcPr>
          <w:p w14:paraId="57DD36FA">
            <w:pPr>
              <w:pStyle w:val="38"/>
              <w:shd w:val="clear"/>
              <w:adjustRightInd w:val="0"/>
              <w:snapToGrid w:val="0"/>
              <w:spacing w:line="40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rPr>
              <w:t>投标</w:t>
            </w:r>
          </w:p>
          <w:p w14:paraId="5B5A115C">
            <w:pPr>
              <w:pStyle w:val="38"/>
              <w:shd w:val="clear"/>
              <w:adjustRightInd w:val="0"/>
              <w:snapToGrid w:val="0"/>
              <w:spacing w:line="40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rPr>
              <w:t>报价</w:t>
            </w:r>
          </w:p>
          <w:p w14:paraId="1E5F8113">
            <w:pPr>
              <w:pStyle w:val="38"/>
              <w:shd w:val="clear"/>
              <w:adjustRightInd w:val="0"/>
              <w:snapToGrid w:val="0"/>
              <w:spacing w:line="400" w:lineRule="exact"/>
              <w:jc w:val="center"/>
              <w:rPr>
                <w:rFonts w:hint="eastAsia" w:ascii="宋体" w:hAnsi="宋体" w:eastAsia="宋体" w:cs="宋体"/>
                <w:strike w:val="0"/>
                <w:dstrike w:val="0"/>
                <w:snapToGrid w:val="0"/>
                <w:color w:val="auto"/>
                <w:kern w:val="0"/>
                <w:sz w:val="24"/>
                <w:szCs w:val="24"/>
                <w:highlight w:val="none"/>
              </w:rPr>
            </w:pPr>
          </w:p>
        </w:tc>
        <w:tc>
          <w:tcPr>
            <w:tcW w:w="8622" w:type="dxa"/>
            <w:gridSpan w:val="3"/>
            <w:noWrap w:val="0"/>
            <w:vAlign w:val="center"/>
          </w:tcPr>
          <w:p w14:paraId="4A8D434D">
            <w:pPr>
              <w:widowControl/>
              <w:numPr>
                <w:ilvl w:val="0"/>
                <w:numId w:val="2"/>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szCs w:val="24"/>
                <w:highlight w:val="none"/>
              </w:rPr>
              <w:t>确定招标控制价下浮系数n：用20～50号球分别代表一个下浮系数，由评委代表从这31个号码中随机抽取5次，每次抽取1个号码，抽出的号球不参与下次抽取。所抽取的5个号码对应下浮系数的算术平均值作为招标控制价下浮系数n。具体号码对应的下浮系数可参考下表。</w:t>
            </w:r>
          </w:p>
          <w:tbl>
            <w:tblPr>
              <w:tblStyle w:val="23"/>
              <w:tblW w:w="8442" w:type="dxa"/>
              <w:jc w:val="center"/>
              <w:tblLayout w:type="fixed"/>
              <w:tblCellMar>
                <w:top w:w="0" w:type="dxa"/>
                <w:left w:w="108" w:type="dxa"/>
                <w:bottom w:w="0" w:type="dxa"/>
                <w:right w:w="108" w:type="dxa"/>
              </w:tblCellMar>
            </w:tblPr>
            <w:tblGrid>
              <w:gridCol w:w="1770"/>
              <w:gridCol w:w="1197"/>
              <w:gridCol w:w="896"/>
              <w:gridCol w:w="931"/>
              <w:gridCol w:w="916"/>
              <w:gridCol w:w="953"/>
              <w:gridCol w:w="895"/>
              <w:gridCol w:w="884"/>
            </w:tblGrid>
            <w:tr w14:paraId="3B1A4A12">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2C1322C0">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号球</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0C315127">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20</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21BB79A4">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21</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5BAF254A">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22</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FFFD5AF">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23</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431F09B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24</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49BDB1E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25</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26F6EAF9">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26</w:t>
                  </w:r>
                </w:p>
              </w:tc>
            </w:tr>
            <w:tr w14:paraId="056E2EB0">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145C00FA">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下浮系数（%）</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5C77C036">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2.0</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1D3B3F5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2.1</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1650CF42">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2.2</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05F97D58">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2.3</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3ECCBA44">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2.4</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2ABD17E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2.5</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3EA50FC0">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2.6</w:t>
                  </w:r>
                </w:p>
              </w:tc>
            </w:tr>
            <w:tr w14:paraId="172E2ADD">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65748EBB">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号球</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79962BC0">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27</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01DDCC8E">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28</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3034241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29</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5B115F01">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30</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53758466">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31</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2DF85757">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32</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392842A9">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33</w:t>
                  </w:r>
                </w:p>
              </w:tc>
            </w:tr>
            <w:tr w14:paraId="1593792B">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77B215D5">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下浮系数（%）</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7D931709">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2.7</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56A7080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2.8</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296E629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2.9</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01A0C9E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3.0</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0091F239">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3.1</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599036A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3.2</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5322547F">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3.3</w:t>
                  </w:r>
                </w:p>
              </w:tc>
            </w:tr>
            <w:tr w14:paraId="61BB7C09">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2398AFC2">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号球</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3B06DB9A">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34</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1BE319B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35</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4EA5A1B5">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36</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786B10A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37</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12B90EB0">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38</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07BDD4B6">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39</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0F852735">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40</w:t>
                  </w:r>
                </w:p>
              </w:tc>
            </w:tr>
            <w:tr w14:paraId="0ACE7800">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525C8DEB">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下浮系数（%）</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73D7B7F8">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3.4</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07CDA149">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3.5</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2A884A4A">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3.6</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A4E3F9E">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3.7</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20AE2E3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3.8</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63200D97">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3.9</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1A04331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4.0</w:t>
                  </w:r>
                </w:p>
              </w:tc>
            </w:tr>
            <w:tr w14:paraId="789E1B09">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172ED0C5">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号球</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7E8179A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41</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0BD335D2">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42</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2ED36719">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43</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5F68DD67">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44</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33EB12E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45</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20CB566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46</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4AFC523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47</w:t>
                  </w:r>
                </w:p>
              </w:tc>
            </w:tr>
            <w:tr w14:paraId="09D720FB">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64227AB5">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下浮系数（%）</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5E81044B">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4.1</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294993DB">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4.2</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56D181A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4.3</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50F52C25">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4.4</w:t>
                  </w: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6EB9AF6E">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4.5</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12D2685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4.6</w:t>
                  </w: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0B164C41">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4.7</w:t>
                  </w:r>
                </w:p>
              </w:tc>
            </w:tr>
            <w:tr w14:paraId="3BA83291">
              <w:tblPrEx>
                <w:tblCellMar>
                  <w:top w:w="0" w:type="dxa"/>
                  <w:left w:w="108" w:type="dxa"/>
                  <w:bottom w:w="0" w:type="dxa"/>
                  <w:right w:w="108" w:type="dxa"/>
                </w:tblCellMar>
              </w:tblPrEx>
              <w:trPr>
                <w:trHeight w:val="335"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4E9C5D74">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号球</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22EE0C48">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48</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1E538640">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49</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1445AE8C">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50</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D4681D4">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579CB189">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69A3AA8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55A6BA7D">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r>
            <w:tr w14:paraId="191BE313">
              <w:tblPrEx>
                <w:tblCellMar>
                  <w:top w:w="0" w:type="dxa"/>
                  <w:left w:w="108" w:type="dxa"/>
                  <w:bottom w:w="0" w:type="dxa"/>
                  <w:right w:w="108" w:type="dxa"/>
                </w:tblCellMar>
              </w:tblPrEx>
              <w:trPr>
                <w:trHeight w:val="352"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bottom"/>
                </w:tcPr>
                <w:p w14:paraId="1FA6359E">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下浮系数（%）</w:t>
                  </w:r>
                </w:p>
              </w:tc>
              <w:tc>
                <w:tcPr>
                  <w:tcW w:w="1197" w:type="dxa"/>
                  <w:tcBorders>
                    <w:top w:val="single" w:color="000000" w:sz="4" w:space="0"/>
                    <w:left w:val="single" w:color="000000" w:sz="4" w:space="0"/>
                    <w:bottom w:val="single" w:color="000000" w:sz="4" w:space="0"/>
                    <w:right w:val="single" w:color="000000" w:sz="4" w:space="0"/>
                  </w:tcBorders>
                  <w:noWrap w:val="0"/>
                  <w:vAlign w:val="bottom"/>
                </w:tcPr>
                <w:p w14:paraId="4DF6295A">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4.8</w:t>
                  </w: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28A14C23">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4.9</w:t>
                  </w:r>
                </w:p>
              </w:tc>
              <w:tc>
                <w:tcPr>
                  <w:tcW w:w="931" w:type="dxa"/>
                  <w:tcBorders>
                    <w:top w:val="single" w:color="000000" w:sz="4" w:space="0"/>
                    <w:left w:val="single" w:color="000000" w:sz="4" w:space="0"/>
                    <w:bottom w:val="single" w:color="000000" w:sz="4" w:space="0"/>
                    <w:right w:val="single" w:color="000000" w:sz="4" w:space="0"/>
                  </w:tcBorders>
                  <w:noWrap w:val="0"/>
                  <w:vAlign w:val="bottom"/>
                </w:tcPr>
                <w:p w14:paraId="19579AC2">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5.0</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470535E">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bottom"/>
                </w:tcPr>
                <w:p w14:paraId="183A9440">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08FC9BDE">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0"/>
                  <w:vAlign w:val="bottom"/>
                </w:tcPr>
                <w:p w14:paraId="200A531E">
                  <w:pPr>
                    <w:keepNext w:val="0"/>
                    <w:keepLines w:val="0"/>
                    <w:pageBreakBefore w:val="0"/>
                    <w:widowControl/>
                    <w:kinsoku/>
                    <w:wordWrap w:val="0"/>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p>
              </w:tc>
            </w:tr>
          </w:tbl>
          <w:p w14:paraId="408B16B8">
            <w:pPr>
              <w:widowControl/>
              <w:snapToGrid w:val="0"/>
              <w:spacing w:line="400" w:lineRule="exact"/>
              <w:jc w:val="left"/>
              <w:rPr>
                <w:rFonts w:hint="eastAsia" w:ascii="宋体" w:hAnsi="宋体" w:eastAsia="宋体" w:cs="宋体"/>
                <w:bCs/>
                <w:strike w:val="0"/>
                <w:dstrike w:val="0"/>
                <w:snapToGrid w:val="0"/>
                <w:color w:val="auto"/>
                <w:kern w:val="0"/>
                <w:sz w:val="24"/>
                <w:szCs w:val="24"/>
                <w:highlight w:val="none"/>
              </w:rPr>
            </w:pPr>
            <w:r>
              <w:rPr>
                <w:rFonts w:hint="eastAsia" w:ascii="宋体" w:hAnsi="宋体" w:eastAsia="宋体" w:cs="宋体"/>
                <w:color w:val="auto"/>
                <w:szCs w:val="24"/>
                <w:highlight w:val="none"/>
              </w:rPr>
              <w:t>（2）评标基准价D＝最高投标限价×（1－n）</w:t>
            </w:r>
          </w:p>
        </w:tc>
      </w:tr>
      <w:tr w14:paraId="6389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1228" w:type="dxa"/>
            <w:noWrap w:val="0"/>
            <w:vAlign w:val="center"/>
          </w:tcPr>
          <w:p w14:paraId="18552486">
            <w:pPr>
              <w:pStyle w:val="38"/>
              <w:keepNext w:val="0"/>
              <w:keepLines w:val="0"/>
              <w:pageBreakBefore w:val="0"/>
              <w:widowControl w:val="0"/>
              <w:shd w:val="clea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aps w:val="0"/>
                <w:smallCaps w:val="0"/>
                <w:strike w:val="0"/>
                <w:dstrike w:val="0"/>
                <w:snapToGrid w:val="0"/>
                <w:color w:val="auto"/>
                <w:spacing w:val="0"/>
                <w:kern w:val="0"/>
                <w:sz w:val="24"/>
                <w:szCs w:val="24"/>
                <w:highlight w:val="none"/>
                <w:lang w:eastAsia="zh-CN"/>
              </w:rPr>
            </w:pPr>
            <w:r>
              <w:rPr>
                <w:rFonts w:hint="eastAsia" w:ascii="宋体" w:hAnsi="宋体" w:eastAsia="宋体" w:cs="宋体"/>
                <w:caps w:val="0"/>
                <w:smallCaps w:val="0"/>
                <w:strike w:val="0"/>
                <w:dstrike w:val="0"/>
                <w:snapToGrid w:val="0"/>
                <w:color w:val="auto"/>
                <w:spacing w:val="0"/>
                <w:kern w:val="0"/>
                <w:sz w:val="24"/>
                <w:szCs w:val="24"/>
                <w:highlight w:val="none"/>
                <w:lang w:eastAsia="zh-CN"/>
              </w:rPr>
              <w:t>投标报价得分</w:t>
            </w:r>
          </w:p>
          <w:p w14:paraId="4D0EC1F3">
            <w:pPr>
              <w:pStyle w:val="38"/>
              <w:keepNext w:val="0"/>
              <w:keepLines w:val="0"/>
              <w:pageBreakBefore w:val="0"/>
              <w:widowControl w:val="0"/>
              <w:shd w:val="clea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caps w:val="0"/>
                <w:smallCaps w:val="0"/>
                <w:strike w:val="0"/>
                <w:dstrike w:val="0"/>
                <w:snapToGrid w:val="0"/>
                <w:color w:val="auto"/>
                <w:spacing w:val="0"/>
                <w:kern w:val="0"/>
                <w:sz w:val="24"/>
                <w:szCs w:val="24"/>
                <w:highlight w:val="none"/>
                <w:lang w:val="en-US" w:eastAsia="zh-CN"/>
              </w:rPr>
              <w:t>M</w:t>
            </w:r>
            <w:r>
              <w:rPr>
                <w:rFonts w:hint="eastAsia" w:ascii="宋体" w:hAnsi="宋体" w:eastAsia="宋体" w:cs="宋体"/>
                <w:caps w:val="0"/>
                <w:smallCaps w:val="0"/>
                <w:strike w:val="0"/>
                <w:dstrike w:val="0"/>
                <w:snapToGrid w:val="0"/>
                <w:color w:val="auto"/>
                <w:spacing w:val="0"/>
                <w:kern w:val="0"/>
                <w:sz w:val="24"/>
                <w:szCs w:val="24"/>
                <w:highlight w:val="none"/>
                <w:vertAlign w:val="subscript"/>
                <w:lang w:val="en-US" w:eastAsia="zh-CN"/>
              </w:rPr>
              <w:t>3</w:t>
            </w:r>
          </w:p>
        </w:tc>
        <w:tc>
          <w:tcPr>
            <w:tcW w:w="8622" w:type="dxa"/>
            <w:gridSpan w:val="3"/>
            <w:noWrap w:val="0"/>
            <w:vAlign w:val="center"/>
          </w:tcPr>
          <w:p w14:paraId="1D720095">
            <w:pPr>
              <w:ind w:firstLine="480" w:firstLineChars="200"/>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strike w:val="0"/>
                <w:dstrike w:val="0"/>
                <w:snapToGrid w:val="0"/>
                <w:color w:val="auto"/>
                <w:kern w:val="0"/>
                <w:sz w:val="24"/>
                <w:szCs w:val="24"/>
                <w:highlight w:val="none"/>
              </w:rPr>
              <w:t>采用内插法计算某投标人的投标报价得分M3，即当投标人的投标总价等于评标基准价时得30分，每高于评标基准价一个百分点扣3分，每低于评标基准价一个百分点扣1分，扣完为止。公式如下：</w:t>
            </w:r>
          </w:p>
          <w:p w14:paraId="14E22017">
            <w:pPr>
              <w:ind w:firstLine="480" w:firstLineChars="200"/>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w:t>
            </w:r>
            <w:r>
              <w:rPr>
                <w:rFonts w:hint="eastAsia" w:ascii="宋体" w:hAnsi="宋体" w:eastAsia="宋体" w:cs="宋体"/>
                <w:snapToGrid w:val="0"/>
                <w:color w:val="auto"/>
                <w:kern w:val="0"/>
                <w:sz w:val="24"/>
                <w:szCs w:val="24"/>
                <w:highlight w:val="none"/>
                <w:vertAlign w:val="subscript"/>
              </w:rPr>
              <w:t>3</w:t>
            </w:r>
            <w:r>
              <w:rPr>
                <w:rFonts w:hint="eastAsia" w:ascii="宋体" w:hAnsi="宋体" w:eastAsia="宋体" w:cs="宋体"/>
                <w:strike w:val="0"/>
                <w:dstrike w:val="0"/>
                <w:snapToGrid w:val="0"/>
                <w:color w:val="auto"/>
                <w:kern w:val="0"/>
                <w:sz w:val="24"/>
                <w:szCs w:val="24"/>
                <w:highlight w:val="none"/>
              </w:rPr>
              <w:t>＝30－（| Di－D | ÷D）×100×E</w:t>
            </w:r>
          </w:p>
          <w:p w14:paraId="13CB448C">
            <w:pPr>
              <w:ind w:firstLine="480" w:firstLineChars="200"/>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strike w:val="0"/>
                <w:dstrike w:val="0"/>
                <w:snapToGrid w:val="0"/>
                <w:color w:val="auto"/>
                <w:kern w:val="0"/>
                <w:sz w:val="24"/>
                <w:szCs w:val="24"/>
                <w:highlight w:val="none"/>
              </w:rPr>
              <w:t>式中：D为评标基准价；Di为某投标人的投标总价；E为扣分因子，当Di＞D时，E＝3；当Di＜D时，E＝1。</w:t>
            </w:r>
          </w:p>
        </w:tc>
      </w:tr>
      <w:tr w14:paraId="3137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8" w:type="dxa"/>
            <w:noWrap w:val="0"/>
            <w:vAlign w:val="center"/>
          </w:tcPr>
          <w:p w14:paraId="42D174C1">
            <w:pPr>
              <w:pStyle w:val="38"/>
              <w:keepNext w:val="0"/>
              <w:keepLines w:val="0"/>
              <w:pageBreakBefore w:val="0"/>
              <w:widowControl w:val="0"/>
              <w:shd w:val="clear"/>
              <w:kinsoku/>
              <w:wordWrap w:val="0"/>
              <w:overflowPunct/>
              <w:topLinePunct w:val="0"/>
              <w:autoSpaceDE/>
              <w:autoSpaceDN/>
              <w:bidi w:val="0"/>
              <w:adjustRightInd w:val="0"/>
              <w:snapToGrid w:val="0"/>
              <w:spacing w:line="320" w:lineRule="exact"/>
              <w:jc w:val="center"/>
              <w:textAlignment w:val="auto"/>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总计</w:t>
            </w:r>
          </w:p>
          <w:p w14:paraId="44F38A87">
            <w:pPr>
              <w:pStyle w:val="38"/>
              <w:keepNext w:val="0"/>
              <w:keepLines w:val="0"/>
              <w:pageBreakBefore w:val="0"/>
              <w:widowControl w:val="0"/>
              <w:shd w:val="clear"/>
              <w:kinsoku/>
              <w:wordWrap w:val="0"/>
              <w:overflowPunct/>
              <w:topLinePunct w:val="0"/>
              <w:autoSpaceDE/>
              <w:autoSpaceDN/>
              <w:bidi w:val="0"/>
              <w:adjustRightInd w:val="0"/>
              <w:snapToGrid w:val="0"/>
              <w:spacing w:line="320" w:lineRule="exact"/>
              <w:jc w:val="center"/>
              <w:textAlignment w:val="auto"/>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100分</w:t>
            </w:r>
          </w:p>
        </w:tc>
        <w:tc>
          <w:tcPr>
            <w:tcW w:w="8622" w:type="dxa"/>
            <w:gridSpan w:val="3"/>
            <w:noWrap w:val="0"/>
            <w:vAlign w:val="center"/>
          </w:tcPr>
          <w:p w14:paraId="60A7468A">
            <w:pPr>
              <w:pStyle w:val="38"/>
              <w:shd w:val="clear"/>
              <w:wordWrap w:val="0"/>
              <w:adjustRightInd w:val="0"/>
              <w:snapToGrid w:val="0"/>
              <w:spacing w:line="400" w:lineRule="exact"/>
              <w:rPr>
                <w:rFonts w:hint="eastAsia" w:ascii="宋体" w:hAnsi="宋体" w:eastAsia="宋体" w:cs="宋体"/>
                <w:b/>
                <w:bCs/>
                <w:strike w:val="0"/>
                <w:dstrike w:val="0"/>
                <w:color w:val="auto"/>
                <w:sz w:val="24"/>
                <w:szCs w:val="24"/>
                <w:highlight w:val="none"/>
              </w:rPr>
            </w:pPr>
            <w:r>
              <w:rPr>
                <w:rFonts w:hint="eastAsia" w:ascii="宋体" w:hAnsi="宋体" w:eastAsia="宋体" w:cs="宋体"/>
                <w:b/>
                <w:bCs/>
                <w:color w:val="auto"/>
                <w:sz w:val="24"/>
                <w:szCs w:val="24"/>
                <w:highlight w:val="none"/>
              </w:rPr>
              <w:t>商务部分（</w:t>
            </w:r>
            <w:r>
              <w:rPr>
                <w:rFonts w:hint="eastAsia" w:ascii="宋体" w:hAnsi="宋体" w:eastAsia="宋体" w:cs="宋体"/>
                <w:b/>
                <w:bCs/>
                <w:color w:val="auto"/>
                <w:sz w:val="24"/>
                <w:szCs w:val="24"/>
                <w:highlight w:val="none"/>
                <w:lang w:val="en-US" w:eastAsia="zh-CN"/>
              </w:rPr>
              <w:t>55</w:t>
            </w:r>
            <w:r>
              <w:rPr>
                <w:rFonts w:hint="eastAsia" w:ascii="宋体" w:hAnsi="宋体" w:eastAsia="宋体" w:cs="宋体"/>
                <w:b/>
                <w:bCs/>
                <w:color w:val="auto"/>
                <w:sz w:val="24"/>
                <w:szCs w:val="24"/>
                <w:highlight w:val="none"/>
              </w:rPr>
              <w:t>分）＋技术部分（</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分）＋投标报价部分（</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c>
      </w:tr>
    </w:tbl>
    <w:p w14:paraId="2EFBC458">
      <w:pPr>
        <w:widowControl w:val="0"/>
        <w:shd w:val="clear"/>
        <w:adjustRightInd w:val="0"/>
        <w:spacing w:line="360" w:lineRule="atLeast"/>
        <w:jc w:val="left"/>
        <w:textAlignment w:val="baseline"/>
        <w:rPr>
          <w:rFonts w:hint="eastAsia" w:ascii="宋体" w:hAnsi="宋体" w:eastAsia="宋体" w:cs="宋体"/>
          <w:color w:val="auto"/>
          <w:kern w:val="0"/>
          <w:sz w:val="24"/>
          <w:highlight w:val="none"/>
          <w:lang w:val="en-US" w:eastAsia="zh-CN" w:bidi="ar-SA"/>
        </w:rPr>
      </w:pPr>
    </w:p>
    <w:p w14:paraId="0B41E875">
      <w:pPr>
        <w:spacing w:line="40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注：</w:t>
      </w:r>
    </w:p>
    <w:p w14:paraId="1A44BF51">
      <w:pPr>
        <w:numPr>
          <w:ilvl w:val="0"/>
          <w:numId w:val="3"/>
        </w:numPr>
        <w:spacing w:line="40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评分如出现小数点，则保留小数点后两位，第三位四舍五入。</w:t>
      </w:r>
    </w:p>
    <w:p w14:paraId="400ADC3D">
      <w:pPr>
        <w:wordWrap w:val="0"/>
        <w:adjustRightInd w:val="0"/>
        <w:snapToGrid w:val="0"/>
        <w:spacing w:line="440" w:lineRule="exact"/>
        <w:jc w:val="left"/>
        <w:rPr>
          <w:rFonts w:hint="eastAsia" w:ascii="宋体" w:hAnsi="宋体" w:eastAsia="宋体" w:cs="宋体"/>
          <w:b/>
          <w:bCs/>
          <w:snapToGrid w:val="0"/>
          <w:color w:val="auto"/>
          <w:kern w:val="0"/>
          <w:sz w:val="30"/>
          <w:highlight w:val="none"/>
        </w:rPr>
      </w:pPr>
      <w:r>
        <w:rPr>
          <w:rFonts w:hint="eastAsia" w:ascii="宋体" w:hAnsi="宋体" w:eastAsia="宋体" w:cs="宋体"/>
          <w:color w:val="auto"/>
          <w:kern w:val="0"/>
          <w:szCs w:val="24"/>
          <w:highlight w:val="none"/>
        </w:rPr>
        <w:t>2.除总监理工程师外，拟委派的监理机构其他人员不作为形式评审、资格评审、响应性评审的审查内容，只作为综合评分的评审依据。</w:t>
      </w:r>
    </w:p>
    <w:p w14:paraId="43FEC080">
      <w:pPr>
        <w:shd w:val="clear"/>
        <w:wordWrap w:val="0"/>
        <w:adjustRightInd w:val="0"/>
        <w:snapToGrid w:val="0"/>
        <w:spacing w:line="440" w:lineRule="exact"/>
        <w:jc w:val="both"/>
        <w:rPr>
          <w:rFonts w:hint="eastAsia" w:ascii="宋体" w:hAnsi="宋体" w:eastAsia="宋体" w:cs="宋体"/>
          <w:b/>
          <w:bCs/>
          <w:snapToGrid w:val="0"/>
          <w:color w:val="auto"/>
          <w:kern w:val="0"/>
          <w:sz w:val="30"/>
          <w:highlight w:val="none"/>
        </w:rPr>
      </w:pPr>
      <w:r>
        <w:rPr>
          <w:rFonts w:hint="eastAsia" w:ascii="宋体" w:hAnsi="宋体" w:eastAsia="宋体" w:cs="宋体"/>
          <w:b/>
          <w:bCs/>
          <w:snapToGrid w:val="0"/>
          <w:color w:val="auto"/>
          <w:kern w:val="0"/>
          <w:sz w:val="30"/>
          <w:highlight w:val="none"/>
        </w:rPr>
        <w:br w:type="page"/>
      </w:r>
    </w:p>
    <w:p w14:paraId="3D8D84C6">
      <w:pPr>
        <w:shd w:val="clear"/>
        <w:wordWrap w:val="0"/>
        <w:adjustRightInd w:val="0"/>
        <w:snapToGrid w:val="0"/>
        <w:spacing w:line="440" w:lineRule="exact"/>
        <w:jc w:val="center"/>
        <w:rPr>
          <w:rFonts w:hint="eastAsia" w:ascii="宋体" w:hAnsi="宋体" w:eastAsia="宋体" w:cs="宋体"/>
          <w:b/>
          <w:bCs/>
          <w:snapToGrid w:val="0"/>
          <w:color w:val="auto"/>
          <w:kern w:val="0"/>
          <w:sz w:val="36"/>
          <w:szCs w:val="36"/>
          <w:highlight w:val="none"/>
        </w:rPr>
      </w:pPr>
      <w:r>
        <w:rPr>
          <w:rFonts w:hint="eastAsia" w:ascii="宋体" w:hAnsi="宋体" w:eastAsia="宋体" w:cs="宋体"/>
          <w:b/>
          <w:bCs/>
          <w:snapToGrid w:val="0"/>
          <w:color w:val="auto"/>
          <w:kern w:val="0"/>
          <w:sz w:val="36"/>
          <w:szCs w:val="36"/>
          <w:highlight w:val="none"/>
        </w:rPr>
        <w:t>表2 项目监理机构其他人员需求表</w:t>
      </w:r>
    </w:p>
    <w:p w14:paraId="0EED9C63">
      <w:pPr>
        <w:pStyle w:val="30"/>
        <w:shd w:val="clear"/>
        <w:rPr>
          <w:rFonts w:hint="eastAsia" w:ascii="宋体" w:hAnsi="宋体" w:eastAsia="宋体" w:cs="宋体"/>
          <w:color w:val="auto"/>
          <w:highlight w:val="none"/>
        </w:rPr>
      </w:pPr>
    </w:p>
    <w:tbl>
      <w:tblPr>
        <w:tblStyle w:val="2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837"/>
        <w:gridCol w:w="1021"/>
        <w:gridCol w:w="5209"/>
      </w:tblGrid>
      <w:tr w14:paraId="3ED4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9300" w:type="dxa"/>
            <w:gridSpan w:val="4"/>
            <w:noWrap w:val="0"/>
            <w:vAlign w:val="center"/>
          </w:tcPr>
          <w:p w14:paraId="46017D17">
            <w:pPr>
              <w:widowControl w:val="0"/>
              <w:wordWrap w:val="0"/>
              <w:adjustRightInd w:val="0"/>
              <w:snapToGrid w:val="0"/>
              <w:spacing w:line="240" w:lineRule="auto"/>
              <w:jc w:val="left"/>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其他监理人员（除总监理工程师外）：共</w:t>
            </w:r>
            <w:r>
              <w:rPr>
                <w:rFonts w:hint="eastAsia" w:ascii="宋体" w:hAnsi="宋体" w:eastAsia="宋体" w:cs="宋体"/>
                <w:b/>
                <w:bCs/>
                <w:color w:val="auto"/>
                <w:kern w:val="2"/>
                <w:sz w:val="24"/>
                <w:szCs w:val="32"/>
                <w:highlight w:val="none"/>
                <w:u w:val="single"/>
                <w:lang w:val="en-US" w:eastAsia="zh-CN" w:bidi="ar-SA"/>
              </w:rPr>
              <w:t xml:space="preserve"> 4 </w:t>
            </w:r>
            <w:r>
              <w:rPr>
                <w:rFonts w:hint="eastAsia" w:ascii="宋体" w:hAnsi="宋体" w:eastAsia="宋体" w:cs="宋体"/>
                <w:b/>
                <w:bCs/>
                <w:color w:val="auto"/>
                <w:kern w:val="2"/>
                <w:sz w:val="24"/>
                <w:szCs w:val="32"/>
                <w:highlight w:val="none"/>
                <w:lang w:val="en-US" w:eastAsia="zh-CN" w:bidi="ar-SA"/>
              </w:rPr>
              <w:t>人</w:t>
            </w:r>
          </w:p>
        </w:tc>
      </w:tr>
      <w:tr w14:paraId="7F0B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233" w:type="dxa"/>
            <w:noWrap w:val="0"/>
            <w:vAlign w:val="center"/>
          </w:tcPr>
          <w:p w14:paraId="148989FF">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职务</w:t>
            </w:r>
          </w:p>
        </w:tc>
        <w:tc>
          <w:tcPr>
            <w:tcW w:w="1837" w:type="dxa"/>
            <w:noWrap w:val="0"/>
            <w:vAlign w:val="center"/>
          </w:tcPr>
          <w:p w14:paraId="71756A05">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专业要求</w:t>
            </w:r>
          </w:p>
        </w:tc>
        <w:tc>
          <w:tcPr>
            <w:tcW w:w="1021" w:type="dxa"/>
            <w:noWrap w:val="0"/>
            <w:vAlign w:val="center"/>
          </w:tcPr>
          <w:p w14:paraId="5878402F">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数量</w:t>
            </w:r>
          </w:p>
          <w:p w14:paraId="4153AA99">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要求</w:t>
            </w:r>
          </w:p>
        </w:tc>
        <w:tc>
          <w:tcPr>
            <w:tcW w:w="5209" w:type="dxa"/>
            <w:noWrap w:val="0"/>
            <w:vAlign w:val="center"/>
          </w:tcPr>
          <w:p w14:paraId="6DE4E772">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持证要求</w:t>
            </w:r>
          </w:p>
        </w:tc>
      </w:tr>
      <w:tr w14:paraId="677C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exact"/>
          <w:jc w:val="center"/>
        </w:trPr>
        <w:tc>
          <w:tcPr>
            <w:tcW w:w="1233" w:type="dxa"/>
            <w:vMerge w:val="restart"/>
            <w:noWrap w:val="0"/>
            <w:vAlign w:val="center"/>
          </w:tcPr>
          <w:p w14:paraId="57718F0F">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专业监理工程师</w:t>
            </w:r>
          </w:p>
        </w:tc>
        <w:tc>
          <w:tcPr>
            <w:tcW w:w="1837" w:type="dxa"/>
            <w:noWrap w:val="0"/>
            <w:vAlign w:val="center"/>
          </w:tcPr>
          <w:p w14:paraId="75E2582C">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给排水工程</w:t>
            </w:r>
          </w:p>
        </w:tc>
        <w:tc>
          <w:tcPr>
            <w:tcW w:w="1021" w:type="dxa"/>
            <w:noWrap w:val="0"/>
            <w:vAlign w:val="center"/>
          </w:tcPr>
          <w:p w14:paraId="3703F1E5">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1</w:t>
            </w:r>
          </w:p>
        </w:tc>
        <w:tc>
          <w:tcPr>
            <w:tcW w:w="5209" w:type="dxa"/>
            <w:vMerge w:val="restart"/>
            <w:noWrap w:val="0"/>
            <w:vAlign w:val="center"/>
          </w:tcPr>
          <w:p w14:paraId="7F403A23">
            <w:pPr>
              <w:widowControl w:val="0"/>
              <w:wordWrap w:val="0"/>
              <w:adjustRightInd w:val="0"/>
              <w:snapToGrid w:val="0"/>
              <w:spacing w:line="360" w:lineRule="auto"/>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符合以下3种情形之一均可：</w:t>
            </w:r>
          </w:p>
          <w:p w14:paraId="4E1DEDCF">
            <w:pPr>
              <w:widowControl w:val="0"/>
              <w:wordWrap w:val="0"/>
              <w:adjustRightInd w:val="0"/>
              <w:snapToGrid w:val="0"/>
              <w:spacing w:line="360" w:lineRule="auto"/>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u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具备所需专业注册监理工程师执业资格，持有效的注册证书；</w:t>
            </w:r>
          </w:p>
          <w:p w14:paraId="3294AFFD">
            <w:pPr>
              <w:widowControl w:val="0"/>
              <w:wordWrap w:val="0"/>
              <w:adjustRightInd w:val="0"/>
              <w:snapToGrid w:val="0"/>
              <w:spacing w:line="360" w:lineRule="auto"/>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u w:val="none"/>
                <w:lang w:val="en-US" w:eastAsia="zh-CN" w:bidi="ar-SA"/>
              </w:rPr>
              <w:t>．</w:t>
            </w:r>
            <w:r>
              <w:rPr>
                <w:rFonts w:hint="eastAsia" w:ascii="宋体" w:hAnsi="宋体" w:eastAsia="宋体" w:cs="宋体"/>
                <w:snapToGrid w:val="0"/>
                <w:color w:val="auto"/>
                <w:kern w:val="0"/>
                <w:sz w:val="24"/>
                <w:szCs w:val="24"/>
                <w:highlight w:val="none"/>
                <w:lang w:val="en-US" w:eastAsia="zh-CN" w:bidi="ar-SA"/>
              </w:rPr>
              <w:t>具备工程类注册执业资格，并经监理业务培训。持有效的注册证书、省级建设行政主管部门或其授权的组织（机构）颁发的岗位证书；</w:t>
            </w:r>
          </w:p>
          <w:p w14:paraId="7D37C3DD">
            <w:pPr>
              <w:widowControl w:val="0"/>
              <w:wordWrap w:val="0"/>
              <w:adjustRightInd w:val="0"/>
              <w:snapToGrid w:val="0"/>
              <w:spacing w:line="360" w:lineRule="auto"/>
              <w:jc w:val="both"/>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3．具备中级及以上专业技术职称，并经监理业务培训。持有效的职称证书、省级建设行政主管部门或其授权的组织（机构）颁发的岗位证书。</w:t>
            </w:r>
          </w:p>
        </w:tc>
      </w:tr>
      <w:tr w14:paraId="2536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exact"/>
          <w:jc w:val="center"/>
        </w:trPr>
        <w:tc>
          <w:tcPr>
            <w:tcW w:w="1233" w:type="dxa"/>
            <w:vMerge w:val="continue"/>
            <w:noWrap w:val="0"/>
            <w:vAlign w:val="center"/>
          </w:tcPr>
          <w:p w14:paraId="6FBD7D1C">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p>
        </w:tc>
        <w:tc>
          <w:tcPr>
            <w:tcW w:w="1837" w:type="dxa"/>
            <w:noWrap w:val="0"/>
            <w:vAlign w:val="center"/>
          </w:tcPr>
          <w:p w14:paraId="65C4C04A">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安全专业监理工程师</w:t>
            </w:r>
          </w:p>
        </w:tc>
        <w:tc>
          <w:tcPr>
            <w:tcW w:w="1021" w:type="dxa"/>
            <w:noWrap w:val="0"/>
            <w:vAlign w:val="center"/>
          </w:tcPr>
          <w:p w14:paraId="1E5E7834">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1</w:t>
            </w:r>
          </w:p>
        </w:tc>
        <w:tc>
          <w:tcPr>
            <w:tcW w:w="5209" w:type="dxa"/>
            <w:vMerge w:val="continue"/>
            <w:noWrap w:val="0"/>
            <w:vAlign w:val="center"/>
          </w:tcPr>
          <w:p w14:paraId="7B4AE089">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p>
        </w:tc>
      </w:tr>
      <w:tr w14:paraId="09BB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33" w:type="dxa"/>
            <w:noWrap w:val="0"/>
            <w:vAlign w:val="center"/>
          </w:tcPr>
          <w:p w14:paraId="312F68F1">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造价工程师</w:t>
            </w:r>
          </w:p>
        </w:tc>
        <w:tc>
          <w:tcPr>
            <w:tcW w:w="1837" w:type="dxa"/>
            <w:noWrap w:val="0"/>
            <w:vAlign w:val="center"/>
          </w:tcPr>
          <w:p w14:paraId="1FAFA22D">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造价工程师</w:t>
            </w:r>
          </w:p>
        </w:tc>
        <w:tc>
          <w:tcPr>
            <w:tcW w:w="1021" w:type="dxa"/>
            <w:noWrap w:val="0"/>
            <w:vAlign w:val="center"/>
          </w:tcPr>
          <w:p w14:paraId="59963742">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1</w:t>
            </w:r>
          </w:p>
        </w:tc>
        <w:tc>
          <w:tcPr>
            <w:tcW w:w="5209" w:type="dxa"/>
            <w:noWrap w:val="0"/>
            <w:vAlign w:val="center"/>
          </w:tcPr>
          <w:p w14:paraId="6F13112E">
            <w:pPr>
              <w:widowControl w:val="0"/>
              <w:wordWrap w:val="0"/>
              <w:adjustRightInd w:val="0"/>
              <w:snapToGrid w:val="0"/>
              <w:spacing w:line="360" w:lineRule="auto"/>
              <w:jc w:val="both"/>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具有造价工程师证书</w:t>
            </w:r>
          </w:p>
        </w:tc>
      </w:tr>
      <w:tr w14:paraId="1BEB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233" w:type="dxa"/>
            <w:noWrap w:val="0"/>
            <w:vAlign w:val="center"/>
          </w:tcPr>
          <w:p w14:paraId="681C066C">
            <w:pPr>
              <w:widowControl w:val="0"/>
              <w:wordWrap w:val="0"/>
              <w:adjustRightInd w:val="0"/>
              <w:snapToGrid w:val="0"/>
              <w:spacing w:line="360" w:lineRule="auto"/>
              <w:jc w:val="center"/>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监理员</w:t>
            </w:r>
          </w:p>
        </w:tc>
        <w:tc>
          <w:tcPr>
            <w:tcW w:w="1837" w:type="dxa"/>
            <w:noWrap w:val="0"/>
            <w:vAlign w:val="center"/>
          </w:tcPr>
          <w:p w14:paraId="4722D754">
            <w:pPr>
              <w:widowControl w:val="0"/>
              <w:wordWrap w:val="0"/>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具备监理员岗位证书（有效期内）</w:t>
            </w:r>
          </w:p>
        </w:tc>
        <w:tc>
          <w:tcPr>
            <w:tcW w:w="1021" w:type="dxa"/>
            <w:noWrap w:val="0"/>
            <w:vAlign w:val="center"/>
          </w:tcPr>
          <w:p w14:paraId="2116D73D">
            <w:pPr>
              <w:widowControl w:val="0"/>
              <w:wordWrap w:val="0"/>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5209" w:type="dxa"/>
            <w:noWrap w:val="0"/>
            <w:vAlign w:val="center"/>
          </w:tcPr>
          <w:p w14:paraId="5A7DF935">
            <w:pPr>
              <w:widowControl w:val="0"/>
              <w:wordWrap w:val="0"/>
              <w:adjustRightInd w:val="0"/>
              <w:snapToGrid w:val="0"/>
              <w:spacing w:line="360" w:lineRule="auto"/>
              <w:jc w:val="both"/>
              <w:rPr>
                <w:rFonts w:hint="eastAsia" w:ascii="宋体" w:hAnsi="宋体" w:eastAsia="宋体" w:cs="宋体"/>
                <w:snapToGrid w:val="0"/>
                <w:color w:val="auto"/>
                <w:kern w:val="0"/>
                <w:sz w:val="24"/>
                <w:szCs w:val="32"/>
                <w:highlight w:val="none"/>
                <w:lang w:val="en-US" w:eastAsia="zh-CN" w:bidi="ar-SA"/>
              </w:rPr>
            </w:pPr>
            <w:r>
              <w:rPr>
                <w:rFonts w:hint="eastAsia" w:ascii="宋体" w:hAnsi="宋体" w:eastAsia="宋体" w:cs="宋体"/>
                <w:snapToGrid w:val="0"/>
                <w:color w:val="auto"/>
                <w:kern w:val="0"/>
                <w:sz w:val="24"/>
                <w:szCs w:val="32"/>
                <w:highlight w:val="none"/>
                <w:lang w:val="en-US" w:eastAsia="zh-CN" w:bidi="ar-SA"/>
              </w:rPr>
              <w:t>经监理业务培训，持有效的省级建设行政主管部门或其授权的组织（机构）颁发的岗位证书。</w:t>
            </w:r>
          </w:p>
        </w:tc>
      </w:tr>
    </w:tbl>
    <w:p w14:paraId="4D1AEC30">
      <w:pPr>
        <w:shd w:val="clear"/>
        <w:rPr>
          <w:rFonts w:hint="eastAsia" w:ascii="宋体" w:hAnsi="宋体" w:eastAsia="宋体" w:cs="宋体"/>
          <w:color w:val="auto"/>
          <w:kern w:val="2"/>
          <w:sz w:val="24"/>
          <w:szCs w:val="24"/>
          <w:highlight w:val="none"/>
          <w:lang w:val="en-US" w:eastAsia="zh-CN" w:bidi="ar-SA"/>
        </w:rPr>
      </w:pPr>
    </w:p>
    <w:p w14:paraId="5F4C5ACD">
      <w:pPr>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注：以上人员一人一岗，不得重复。除总监理工程师外，拟委派的监理机构其他人员不作为形式评审、资格评审、响应性评审的审查内容，只作为综合评分的评审依据。</w:t>
      </w:r>
    </w:p>
    <w:p w14:paraId="6BDD099E">
      <w:pPr>
        <w:shd w:val="clear"/>
        <w:rPr>
          <w:rFonts w:hint="eastAsia" w:ascii="宋体" w:hAnsi="宋体" w:eastAsia="宋体" w:cs="宋体"/>
          <w:color w:val="auto"/>
          <w:sz w:val="30"/>
          <w:highlight w:val="none"/>
        </w:rPr>
      </w:pPr>
    </w:p>
    <w:p w14:paraId="1E506683">
      <w:pPr>
        <w:shd w:val="clear"/>
        <w:rPr>
          <w:rFonts w:hint="eastAsia" w:ascii="宋体" w:hAnsi="宋体" w:eastAsia="宋体" w:cs="宋体"/>
          <w:color w:val="auto"/>
          <w:sz w:val="30"/>
          <w:highlight w:val="none"/>
        </w:rPr>
      </w:pPr>
    </w:p>
    <w:p w14:paraId="0846089D">
      <w:pPr>
        <w:keepNext w:val="0"/>
        <w:keepLines w:val="0"/>
        <w:pageBreakBefore w:val="0"/>
        <w:widowControl w:val="0"/>
        <w:shd w:val="clear"/>
        <w:kinsoku/>
        <w:wordWrap w:val="0"/>
        <w:overflowPunct/>
        <w:topLinePunct w:val="0"/>
        <w:autoSpaceDE/>
        <w:autoSpaceDN/>
        <w:bidi w:val="0"/>
        <w:adjustRightInd w:val="0"/>
        <w:snapToGrid w:val="0"/>
        <w:spacing w:line="400" w:lineRule="exact"/>
        <w:textAlignment w:val="auto"/>
        <w:rPr>
          <w:rFonts w:hint="eastAsia" w:ascii="宋体" w:hAnsi="宋体" w:eastAsia="宋体" w:cs="宋体"/>
          <w:snapToGrid w:val="0"/>
          <w:color w:val="auto"/>
          <w:kern w:val="0"/>
          <w:highlight w:val="none"/>
        </w:rPr>
      </w:pPr>
      <w:r>
        <w:rPr>
          <w:rFonts w:hint="eastAsia" w:ascii="宋体" w:hAnsi="宋体" w:eastAsia="宋体" w:cs="宋体"/>
          <w:color w:val="auto"/>
          <w:sz w:val="30"/>
          <w:highlight w:val="none"/>
        </w:rPr>
        <w:br w:type="page"/>
      </w:r>
      <w:r>
        <w:rPr>
          <w:rFonts w:hint="eastAsia" w:ascii="宋体" w:hAnsi="宋体" w:eastAsia="宋体" w:cs="宋体"/>
          <w:b/>
          <w:bCs/>
          <w:snapToGrid w:val="0"/>
          <w:color w:val="auto"/>
          <w:kern w:val="0"/>
          <w:highlight w:val="none"/>
        </w:rPr>
        <w:t xml:space="preserve">15.5.2 </w:t>
      </w:r>
      <w:r>
        <w:rPr>
          <w:rFonts w:hint="eastAsia" w:ascii="宋体" w:hAnsi="宋体" w:eastAsia="宋体" w:cs="宋体"/>
          <w:snapToGrid w:val="0"/>
          <w:color w:val="auto"/>
          <w:kern w:val="0"/>
          <w:highlight w:val="none"/>
        </w:rPr>
        <w:t>否决投标说明</w:t>
      </w:r>
    </w:p>
    <w:p w14:paraId="0B2E4F6A">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562"/>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详细评审阶段否决投标的全部条件，在本章第四节“否决投标条件”第</w:t>
      </w:r>
      <w:r>
        <w:rPr>
          <w:rFonts w:hint="eastAsia" w:ascii="宋体" w:hAnsi="宋体" w:eastAsia="宋体" w:cs="宋体"/>
          <w:b/>
          <w:bCs/>
          <w:snapToGrid w:val="0"/>
          <w:color w:val="auto"/>
          <w:kern w:val="0"/>
          <w:highlight w:val="none"/>
        </w:rPr>
        <w:t>4</w:t>
      </w:r>
      <w:r>
        <w:rPr>
          <w:rFonts w:hint="eastAsia" w:ascii="宋体" w:hAnsi="宋体" w:eastAsia="宋体" w:cs="宋体"/>
          <w:snapToGrid w:val="0"/>
          <w:color w:val="auto"/>
          <w:kern w:val="0"/>
          <w:highlight w:val="none"/>
        </w:rPr>
        <w:t>条中集中列示。投标人有其中所列任何一种情形的，由评标委员会否决其投标。经详细评审后，若所有投标均被否决，招标人应当依法重新招标。</w:t>
      </w:r>
    </w:p>
    <w:p w14:paraId="5AF5DBA5">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snapToGrid w:val="0"/>
          <w:color w:val="auto"/>
          <w:kern w:val="0"/>
          <w:highlight w:val="none"/>
        </w:rPr>
      </w:pPr>
      <w:r>
        <w:rPr>
          <w:rFonts w:hint="eastAsia" w:ascii="宋体" w:hAnsi="宋体" w:eastAsia="宋体" w:cs="宋体"/>
          <w:b/>
          <w:bCs/>
          <w:snapToGrid w:val="0"/>
          <w:color w:val="auto"/>
          <w:kern w:val="0"/>
          <w:highlight w:val="none"/>
        </w:rPr>
        <w:t>注：投标人在详细评审阶段根据评分方法提供的佐证材料，其合法性、有效性和准确性不符合要求的，有关评分因素的评分按相应评分标准处理，但不否决投标。</w:t>
      </w:r>
    </w:p>
    <w:p w14:paraId="0914E953">
      <w:pPr>
        <w:keepNext w:val="0"/>
        <w:keepLines w:val="0"/>
        <w:pageBreakBefore w:val="0"/>
        <w:widowControl w:val="0"/>
        <w:shd w:val="clear"/>
        <w:kinsoku/>
        <w:wordWrap w:val="0"/>
        <w:overflowPunct/>
        <w:topLinePunct w:val="0"/>
        <w:autoSpaceDE/>
        <w:autoSpaceDN/>
        <w:bidi w:val="0"/>
        <w:adjustRightInd w:val="0"/>
        <w:snapToGrid w:val="0"/>
        <w:spacing w:line="400" w:lineRule="exact"/>
        <w:textAlignment w:val="auto"/>
        <w:outlineLvl w:val="2"/>
        <w:rPr>
          <w:rFonts w:hint="eastAsia" w:ascii="宋体" w:hAnsi="宋体" w:eastAsia="宋体" w:cs="宋体"/>
          <w:b/>
          <w:snapToGrid w:val="0"/>
          <w:color w:val="auto"/>
          <w:kern w:val="0"/>
          <w:highlight w:val="none"/>
        </w:rPr>
      </w:pPr>
      <w:bookmarkStart w:id="252" w:name="_Toc1392"/>
      <w:bookmarkStart w:id="253" w:name="_Toc8670"/>
      <w:bookmarkStart w:id="254" w:name="_Toc338"/>
      <w:bookmarkStart w:id="255" w:name="_Toc1588"/>
      <w:bookmarkStart w:id="256" w:name="_Toc7085"/>
      <w:bookmarkStart w:id="257" w:name="_Toc13843"/>
      <w:bookmarkStart w:id="258" w:name="_Toc286"/>
      <w:bookmarkStart w:id="259" w:name="_Toc14248"/>
      <w:bookmarkStart w:id="260" w:name="_Toc5306"/>
      <w:bookmarkStart w:id="261" w:name="_Toc19462"/>
      <w:r>
        <w:rPr>
          <w:rFonts w:hint="eastAsia" w:ascii="宋体" w:hAnsi="宋体" w:eastAsia="宋体" w:cs="宋体"/>
          <w:b/>
          <w:snapToGrid w:val="0"/>
          <w:color w:val="auto"/>
          <w:kern w:val="0"/>
          <w:highlight w:val="none"/>
        </w:rPr>
        <w:t>16．推荐中标候选人</w:t>
      </w:r>
      <w:bookmarkEnd w:id="252"/>
      <w:bookmarkEnd w:id="253"/>
      <w:bookmarkEnd w:id="254"/>
      <w:bookmarkEnd w:id="255"/>
      <w:bookmarkEnd w:id="256"/>
      <w:bookmarkEnd w:id="257"/>
      <w:bookmarkEnd w:id="258"/>
      <w:bookmarkEnd w:id="259"/>
      <w:bookmarkEnd w:id="260"/>
      <w:bookmarkEnd w:id="261"/>
    </w:p>
    <w:p w14:paraId="63C3436C">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16.1</w:t>
      </w:r>
      <w:r>
        <w:rPr>
          <w:rFonts w:hint="eastAsia" w:ascii="宋体" w:hAnsi="宋体" w:eastAsia="宋体" w:cs="宋体"/>
          <w:snapToGrid w:val="0"/>
          <w:color w:val="auto"/>
          <w:kern w:val="0"/>
          <w:highlight w:val="none"/>
        </w:rPr>
        <w:t xml:space="preserve"> 确定排名</w:t>
      </w:r>
    </w:p>
    <w:p w14:paraId="5CFF8FAE">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14:paraId="4BF4BE36">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16.2</w:t>
      </w:r>
      <w:r>
        <w:rPr>
          <w:rFonts w:hint="eastAsia" w:ascii="宋体" w:hAnsi="宋体" w:eastAsia="宋体" w:cs="宋体"/>
          <w:snapToGrid w:val="0"/>
          <w:color w:val="auto"/>
          <w:kern w:val="0"/>
          <w:highlight w:val="none"/>
        </w:rPr>
        <w:t xml:space="preserve"> 推荐方法</w:t>
      </w:r>
    </w:p>
    <w:p w14:paraId="41A611CA">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（1）有效投标人数量达到或超过3个的，评标委员会将前三名投标人作为中标候选人向招标人推荐，并标明排列顺序。</w:t>
      </w:r>
    </w:p>
    <w:p w14:paraId="3362AB10">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i/>
          <w:iCs/>
          <w:snapToGrid w:val="0"/>
          <w:color w:val="auto"/>
          <w:kern w:val="0"/>
          <w:highlight w:val="none"/>
        </w:rPr>
      </w:pPr>
      <w:r>
        <w:rPr>
          <w:rFonts w:hint="eastAsia" w:ascii="宋体" w:hAnsi="宋体" w:eastAsia="宋体" w:cs="宋体"/>
          <w:snapToGrid w:val="0"/>
          <w:color w:val="auto"/>
          <w:kern w:val="0"/>
          <w:highlight w:val="none"/>
        </w:rPr>
        <w:t>（2）</w:t>
      </w:r>
      <w:r>
        <w:rPr>
          <w:rFonts w:hint="eastAsia" w:ascii="宋体" w:hAnsi="宋体" w:eastAsia="宋体" w:cs="宋体"/>
          <w:b w:val="0"/>
          <w:bCs w:val="0"/>
          <w:snapToGrid w:val="0"/>
          <w:color w:val="auto"/>
          <w:kern w:val="0"/>
          <w:highlight w:val="none"/>
        </w:rPr>
        <w:t>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5DF0372D">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16.3</w:t>
      </w:r>
      <w:r>
        <w:rPr>
          <w:rFonts w:hint="eastAsia" w:ascii="宋体" w:hAnsi="宋体" w:eastAsia="宋体" w:cs="宋体"/>
          <w:snapToGrid w:val="0"/>
          <w:color w:val="auto"/>
          <w:kern w:val="0"/>
          <w:highlight w:val="none"/>
        </w:rPr>
        <w:t xml:space="preserve"> 评标委员会完成评标后，应向招标人提交由全体评标委员会成员签字的评标报告和中标候选人名单。</w:t>
      </w:r>
    </w:p>
    <w:p w14:paraId="3704CB7E">
      <w:pPr>
        <w:keepNext w:val="0"/>
        <w:keepLines w:val="0"/>
        <w:pageBreakBefore w:val="0"/>
        <w:widowControl w:val="0"/>
        <w:shd w:val="clear"/>
        <w:kinsoku/>
        <w:wordWrap w:val="0"/>
        <w:overflowPunct/>
        <w:topLinePunct w:val="0"/>
        <w:autoSpaceDE/>
        <w:autoSpaceDN/>
        <w:bidi w:val="0"/>
        <w:adjustRightInd w:val="0"/>
        <w:snapToGrid w:val="0"/>
        <w:spacing w:line="400" w:lineRule="exact"/>
        <w:textAlignment w:val="auto"/>
        <w:outlineLvl w:val="9"/>
        <w:rPr>
          <w:rFonts w:hint="eastAsia" w:ascii="宋体" w:hAnsi="宋体" w:eastAsia="宋体" w:cs="宋体"/>
          <w:b/>
          <w:snapToGrid w:val="0"/>
          <w:color w:val="auto"/>
          <w:kern w:val="0"/>
          <w:highlight w:val="none"/>
        </w:rPr>
      </w:pPr>
      <w:bookmarkStart w:id="262" w:name="_Toc5634"/>
      <w:bookmarkStart w:id="263" w:name="_Toc9762"/>
      <w:bookmarkStart w:id="264" w:name="_Toc2181"/>
      <w:bookmarkStart w:id="265" w:name="_Toc3318"/>
      <w:bookmarkStart w:id="266" w:name="_Toc15400"/>
      <w:bookmarkStart w:id="267" w:name="_Toc13727"/>
      <w:bookmarkStart w:id="268" w:name="_Toc14955"/>
      <w:bookmarkStart w:id="269" w:name="_Toc1471"/>
      <w:bookmarkStart w:id="270" w:name="_Toc24833"/>
    </w:p>
    <w:p w14:paraId="77F15CBC">
      <w:pPr>
        <w:keepNext w:val="0"/>
        <w:keepLines w:val="0"/>
        <w:pageBreakBefore w:val="0"/>
        <w:widowControl w:val="0"/>
        <w:shd w:val="clear"/>
        <w:kinsoku/>
        <w:wordWrap w:val="0"/>
        <w:overflowPunct/>
        <w:topLinePunct w:val="0"/>
        <w:autoSpaceDE/>
        <w:autoSpaceDN/>
        <w:bidi w:val="0"/>
        <w:adjustRightInd w:val="0"/>
        <w:snapToGrid w:val="0"/>
        <w:spacing w:line="400" w:lineRule="exact"/>
        <w:textAlignment w:val="auto"/>
        <w:outlineLvl w:val="2"/>
        <w:rPr>
          <w:rFonts w:hint="eastAsia" w:ascii="宋体" w:hAnsi="宋体" w:eastAsia="宋体" w:cs="宋体"/>
          <w:snapToGrid w:val="0"/>
          <w:color w:val="auto"/>
          <w:kern w:val="0"/>
          <w:highlight w:val="none"/>
        </w:rPr>
      </w:pPr>
      <w:bookmarkStart w:id="271" w:name="_Toc17572"/>
      <w:r>
        <w:rPr>
          <w:rFonts w:hint="eastAsia" w:ascii="宋体" w:hAnsi="宋体" w:eastAsia="宋体" w:cs="宋体"/>
          <w:b/>
          <w:snapToGrid w:val="0"/>
          <w:color w:val="auto"/>
          <w:kern w:val="0"/>
          <w:highlight w:val="none"/>
        </w:rPr>
        <w:t>17．中标候选人公示</w:t>
      </w:r>
      <w:bookmarkEnd w:id="262"/>
      <w:bookmarkEnd w:id="263"/>
      <w:bookmarkEnd w:id="264"/>
      <w:bookmarkEnd w:id="265"/>
      <w:bookmarkEnd w:id="266"/>
      <w:bookmarkEnd w:id="267"/>
      <w:bookmarkEnd w:id="268"/>
      <w:bookmarkEnd w:id="269"/>
      <w:bookmarkEnd w:id="270"/>
      <w:bookmarkEnd w:id="271"/>
    </w:p>
    <w:p w14:paraId="6D661740">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17.</w:t>
      </w:r>
      <w:r>
        <w:rPr>
          <w:rFonts w:hint="eastAsia" w:ascii="宋体" w:hAnsi="宋体" w:eastAsia="宋体" w:cs="宋体"/>
          <w:b/>
          <w:bCs/>
          <w:snapToGrid w:val="0"/>
          <w:color w:val="auto"/>
          <w:kern w:val="0"/>
          <w:highlight w:val="none"/>
          <w:lang w:val="en-US" w:eastAsia="zh-CN"/>
        </w:rPr>
        <w:t>1</w:t>
      </w:r>
      <w:r>
        <w:rPr>
          <w:rFonts w:hint="eastAsia" w:ascii="宋体" w:hAnsi="宋体" w:eastAsia="宋体" w:cs="宋体"/>
          <w:snapToGrid w:val="0"/>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进行公示，公示期不得少于3天。</w:t>
      </w:r>
    </w:p>
    <w:p w14:paraId="759BC993">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17.</w:t>
      </w:r>
      <w:r>
        <w:rPr>
          <w:rFonts w:hint="eastAsia" w:ascii="宋体" w:hAnsi="宋体" w:eastAsia="宋体" w:cs="宋体"/>
          <w:b/>
          <w:bCs/>
          <w:snapToGrid w:val="0"/>
          <w:color w:val="auto"/>
          <w:kern w:val="0"/>
          <w:highlight w:val="none"/>
          <w:lang w:val="en-US" w:eastAsia="zh-CN"/>
        </w:rPr>
        <w:t>2</w:t>
      </w:r>
      <w:r>
        <w:rPr>
          <w:rFonts w:hint="eastAsia" w:ascii="宋体" w:hAnsi="宋体" w:eastAsia="宋体" w:cs="宋体"/>
          <w:snapToGrid w:val="0"/>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w:t>
      </w:r>
      <w:r>
        <w:rPr>
          <w:rFonts w:hint="eastAsia" w:ascii="宋体" w:hAnsi="宋体" w:eastAsia="宋体" w:cs="宋体"/>
          <w:snapToGrid w:val="0"/>
          <w:color w:val="auto"/>
          <w:kern w:val="0"/>
          <w:szCs w:val="24"/>
          <w:highlight w:val="none"/>
        </w:rPr>
        <w:t>《韶关市工程建设项目招标投标活动异议和投诉处理办法》（韶</w:t>
      </w:r>
      <w:r>
        <w:rPr>
          <w:rFonts w:hint="eastAsia" w:ascii="宋体" w:hAnsi="宋体" w:eastAsia="宋体" w:cs="宋体"/>
          <w:snapToGrid w:val="0"/>
          <w:color w:val="auto"/>
          <w:kern w:val="0"/>
          <w:szCs w:val="24"/>
          <w:highlight w:val="none"/>
          <w:lang w:val="en-US" w:eastAsia="zh-CN"/>
        </w:rPr>
        <w:t>发改</w:t>
      </w:r>
      <w:r>
        <w:rPr>
          <w:rFonts w:hint="eastAsia" w:ascii="宋体" w:hAnsi="宋体" w:eastAsia="宋体" w:cs="宋体"/>
          <w:snapToGrid w:val="0"/>
          <w:color w:val="auto"/>
          <w:kern w:val="0"/>
          <w:szCs w:val="24"/>
          <w:highlight w:val="none"/>
        </w:rPr>
        <w:t>〔202</w:t>
      </w:r>
      <w:r>
        <w:rPr>
          <w:rFonts w:hint="eastAsia" w:ascii="宋体" w:hAnsi="宋体" w:eastAsia="宋体" w:cs="宋体"/>
          <w:snapToGrid w:val="0"/>
          <w:color w:val="auto"/>
          <w:kern w:val="0"/>
          <w:szCs w:val="24"/>
          <w:highlight w:val="none"/>
          <w:lang w:val="en-US" w:eastAsia="zh-CN"/>
        </w:rPr>
        <w:t>1</w:t>
      </w:r>
      <w:r>
        <w:rPr>
          <w:rFonts w:hint="eastAsia" w:ascii="宋体" w:hAnsi="宋体" w:eastAsia="宋体" w:cs="宋体"/>
          <w:snapToGrid w:val="0"/>
          <w:color w:val="auto"/>
          <w:kern w:val="0"/>
          <w:szCs w:val="24"/>
          <w:highlight w:val="none"/>
        </w:rPr>
        <w:t>〕</w:t>
      </w:r>
      <w:r>
        <w:rPr>
          <w:rFonts w:hint="eastAsia" w:ascii="宋体" w:hAnsi="宋体" w:eastAsia="宋体" w:cs="宋体"/>
          <w:snapToGrid w:val="0"/>
          <w:color w:val="auto"/>
          <w:kern w:val="0"/>
          <w:szCs w:val="24"/>
          <w:highlight w:val="none"/>
          <w:lang w:val="en-US" w:eastAsia="zh-CN"/>
        </w:rPr>
        <w:t>44</w:t>
      </w:r>
      <w:r>
        <w:rPr>
          <w:rFonts w:hint="eastAsia" w:ascii="宋体" w:hAnsi="宋体" w:eastAsia="宋体" w:cs="宋体"/>
          <w:snapToGrid w:val="0"/>
          <w:color w:val="auto"/>
          <w:kern w:val="0"/>
          <w:szCs w:val="24"/>
          <w:highlight w:val="none"/>
        </w:rPr>
        <w:t>号）</w:t>
      </w:r>
      <w:r>
        <w:rPr>
          <w:rFonts w:hint="eastAsia" w:ascii="宋体" w:hAnsi="宋体" w:eastAsia="宋体" w:cs="宋体"/>
          <w:snapToGrid w:val="0"/>
          <w:color w:val="auto"/>
          <w:kern w:val="0"/>
          <w:highlight w:val="none"/>
        </w:rPr>
        <w:t>执行。</w:t>
      </w:r>
    </w:p>
    <w:p w14:paraId="3AC1D477">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17.</w:t>
      </w:r>
      <w:r>
        <w:rPr>
          <w:rFonts w:hint="eastAsia" w:ascii="宋体" w:hAnsi="宋体" w:eastAsia="宋体" w:cs="宋体"/>
          <w:b/>
          <w:bCs/>
          <w:snapToGrid w:val="0"/>
          <w:color w:val="auto"/>
          <w:kern w:val="0"/>
          <w:highlight w:val="none"/>
          <w:lang w:val="en-US" w:eastAsia="zh-CN"/>
        </w:rPr>
        <w:t>3</w:t>
      </w:r>
      <w:r>
        <w:rPr>
          <w:rFonts w:hint="eastAsia" w:ascii="宋体" w:hAnsi="宋体" w:eastAsia="宋体" w:cs="宋体"/>
          <w:snapToGrid w:val="0"/>
          <w:color w:val="auto"/>
          <w:kern w:val="0"/>
          <w:highlight w:val="none"/>
        </w:rPr>
        <w:t>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58787025">
      <w:pPr>
        <w:keepNext w:val="0"/>
        <w:keepLines w:val="0"/>
        <w:pageBreakBefore w:val="0"/>
        <w:widowControl w:val="0"/>
        <w:shd w:val="clear"/>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cols w:space="720" w:num="1"/>
          <w:rtlGutter w:val="0"/>
          <w:docGrid w:linePitch="327" w:charSpace="0"/>
        </w:sectPr>
      </w:pPr>
    </w:p>
    <w:p w14:paraId="26E3FAA7">
      <w:pPr>
        <w:keepNext w:val="0"/>
        <w:keepLines w:val="0"/>
        <w:pageBreakBefore w:val="0"/>
        <w:widowControl w:val="0"/>
        <w:shd w:val="clear"/>
        <w:kinsoku/>
        <w:wordWrap w:val="0"/>
        <w:overflowPunct/>
        <w:topLinePunct w:val="0"/>
        <w:autoSpaceDE/>
        <w:autoSpaceDN/>
        <w:bidi w:val="0"/>
        <w:adjustRightInd w:val="0"/>
        <w:snapToGrid w:val="0"/>
        <w:spacing w:line="410" w:lineRule="exact"/>
        <w:textAlignment w:val="auto"/>
        <w:outlineLvl w:val="1"/>
        <w:rPr>
          <w:rFonts w:hint="eastAsia" w:ascii="宋体" w:hAnsi="宋体" w:eastAsia="宋体" w:cs="宋体"/>
          <w:snapToGrid w:val="0"/>
          <w:color w:val="auto"/>
          <w:kern w:val="0"/>
          <w:highlight w:val="none"/>
        </w:rPr>
      </w:pPr>
      <w:bookmarkStart w:id="272" w:name="_Toc32043"/>
      <w:bookmarkStart w:id="273" w:name="_Toc9979"/>
      <w:bookmarkStart w:id="274" w:name="_Toc11463"/>
      <w:bookmarkStart w:id="275" w:name="_Toc2045"/>
      <w:bookmarkStart w:id="276" w:name="_Toc32311"/>
      <w:bookmarkStart w:id="277" w:name="_Toc30086"/>
      <w:bookmarkStart w:id="278" w:name="_Toc5821"/>
      <w:bookmarkStart w:id="279" w:name="_Toc21901"/>
      <w:bookmarkStart w:id="280" w:name="_Toc29477"/>
      <w:bookmarkStart w:id="281" w:name="_Toc17249"/>
      <w:r>
        <w:rPr>
          <w:rFonts w:hint="eastAsia" w:ascii="宋体" w:hAnsi="宋体" w:eastAsia="宋体" w:cs="宋体"/>
          <w:b/>
          <w:bCs/>
          <w:snapToGrid w:val="0"/>
          <w:color w:val="auto"/>
          <w:kern w:val="0"/>
          <w:highlight w:val="none"/>
        </w:rPr>
        <w:t>第四节 否决投标条件</w:t>
      </w:r>
      <w:bookmarkEnd w:id="272"/>
      <w:bookmarkEnd w:id="273"/>
      <w:bookmarkEnd w:id="274"/>
      <w:bookmarkEnd w:id="275"/>
      <w:bookmarkEnd w:id="276"/>
      <w:bookmarkEnd w:id="277"/>
      <w:bookmarkEnd w:id="278"/>
      <w:bookmarkEnd w:id="279"/>
      <w:bookmarkEnd w:id="280"/>
      <w:bookmarkEnd w:id="281"/>
    </w:p>
    <w:p w14:paraId="1178B196">
      <w:pPr>
        <w:keepNext w:val="0"/>
        <w:keepLines w:val="0"/>
        <w:pageBreakBefore w:val="0"/>
        <w:widowControl w:val="0"/>
        <w:shd w:val="clear"/>
        <w:kinsoku/>
        <w:wordWrap w:val="0"/>
        <w:overflowPunct/>
        <w:topLinePunct w:val="0"/>
        <w:autoSpaceDE/>
        <w:autoSpaceDN/>
        <w:bidi w:val="0"/>
        <w:adjustRightInd w:val="0"/>
        <w:snapToGrid w:val="0"/>
        <w:spacing w:line="410" w:lineRule="exact"/>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highlight w:val="none"/>
        </w:rPr>
        <w:t>投标人未有列入本节情形的，评标时一律不得否决其投标。</w:t>
      </w:r>
      <w:r>
        <w:rPr>
          <w:rFonts w:hint="eastAsia" w:ascii="宋体" w:hAnsi="宋体" w:eastAsia="宋体" w:cs="宋体"/>
          <w:snapToGrid w:val="0"/>
          <w:color w:val="auto"/>
          <w:kern w:val="0"/>
          <w:highlight w:val="none"/>
        </w:rPr>
        <w:t>本节所称“规定”均指招标文件的规定。</w:t>
      </w:r>
    </w:p>
    <w:p w14:paraId="50143294">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outlineLvl w:val="2"/>
        <w:rPr>
          <w:rFonts w:hint="eastAsia" w:ascii="宋体" w:hAnsi="宋体" w:eastAsia="宋体" w:cs="宋体"/>
          <w:snapToGrid w:val="0"/>
          <w:color w:val="auto"/>
          <w:kern w:val="0"/>
          <w:highlight w:val="none"/>
        </w:rPr>
      </w:pPr>
      <w:bookmarkStart w:id="282" w:name="_Toc30404"/>
      <w:bookmarkStart w:id="283" w:name="_Toc26846"/>
      <w:bookmarkStart w:id="284" w:name="_Toc5725"/>
      <w:bookmarkStart w:id="285" w:name="_Toc29575"/>
      <w:bookmarkStart w:id="286" w:name="_Toc13547"/>
      <w:bookmarkStart w:id="287" w:name="_Toc1612"/>
      <w:bookmarkStart w:id="288" w:name="_Toc5419"/>
      <w:bookmarkStart w:id="289" w:name="_Toc26916"/>
      <w:bookmarkStart w:id="290" w:name="_Toc32629"/>
      <w:bookmarkStart w:id="291" w:name="_Toc29216"/>
      <w:r>
        <w:rPr>
          <w:rFonts w:hint="eastAsia" w:ascii="宋体" w:hAnsi="宋体" w:eastAsia="宋体" w:cs="宋体"/>
          <w:b/>
          <w:bCs/>
          <w:snapToGrid w:val="0"/>
          <w:color w:val="auto"/>
          <w:kern w:val="0"/>
          <w:highlight w:val="none"/>
        </w:rPr>
        <w:t>1．资格评审环节</w:t>
      </w:r>
      <w:bookmarkEnd w:id="282"/>
      <w:bookmarkEnd w:id="283"/>
      <w:bookmarkEnd w:id="284"/>
      <w:bookmarkEnd w:id="285"/>
      <w:bookmarkEnd w:id="286"/>
      <w:bookmarkEnd w:id="287"/>
      <w:bookmarkEnd w:id="288"/>
      <w:bookmarkEnd w:id="289"/>
      <w:bookmarkEnd w:id="290"/>
      <w:bookmarkEnd w:id="291"/>
    </w:p>
    <w:p w14:paraId="7EB58A0C">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投标人有下列情形之一的，评标委员会应否决其投标。被否决的投标，不进入形式评审环节。</w:t>
      </w:r>
    </w:p>
    <w:p w14:paraId="094E6F79">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（1）有本章第三节第</w:t>
      </w:r>
      <w:r>
        <w:rPr>
          <w:rFonts w:hint="eastAsia" w:ascii="宋体" w:hAnsi="宋体" w:eastAsia="宋体" w:cs="宋体"/>
          <w:b/>
          <w:bCs/>
          <w:snapToGrid w:val="0"/>
          <w:color w:val="auto"/>
          <w:kern w:val="0"/>
          <w:highlight w:val="none"/>
        </w:rPr>
        <w:t>2.4</w:t>
      </w:r>
      <w:r>
        <w:rPr>
          <w:rFonts w:hint="eastAsia" w:ascii="宋体" w:hAnsi="宋体" w:eastAsia="宋体" w:cs="宋体"/>
          <w:snapToGrid w:val="0"/>
          <w:color w:val="auto"/>
          <w:kern w:val="0"/>
          <w:highlight w:val="none"/>
        </w:rPr>
        <w:t>条“禁止投标条款”规定的任何一种情形；</w:t>
      </w:r>
    </w:p>
    <w:p w14:paraId="6C1662FF">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（2）投标人资质不符合</w:t>
      </w:r>
      <w:r>
        <w:rPr>
          <w:rFonts w:hint="eastAsia" w:ascii="宋体" w:hAnsi="宋体" w:eastAsia="宋体" w:cs="宋体"/>
          <w:snapToGrid w:val="0"/>
          <w:color w:val="auto"/>
          <w:kern w:val="0"/>
          <w:szCs w:val="18"/>
          <w:highlight w:val="none"/>
        </w:rPr>
        <w:t>规定的；</w:t>
      </w:r>
    </w:p>
    <w:p w14:paraId="747FF03A">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（3）投标人名称与营业执照、资质证书上的企业名称相互不一致的；其资质证书不是由住房城乡建设主管部门颁发的；营业执照、资质证书被吊销、暂扣或不在有效期内的；</w:t>
      </w:r>
    </w:p>
    <w:p w14:paraId="3C91FD81">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b w:val="0"/>
          <w:bCs w:val="0"/>
          <w:snapToGrid w:val="0"/>
          <w:color w:val="auto"/>
          <w:kern w:val="0"/>
          <w:highlight w:val="none"/>
        </w:rPr>
      </w:pPr>
      <w:r>
        <w:rPr>
          <w:rFonts w:hint="eastAsia" w:ascii="宋体" w:hAnsi="宋体" w:eastAsia="宋体" w:cs="宋体"/>
          <w:b w:val="0"/>
          <w:bCs w:val="0"/>
          <w:snapToGrid w:val="0"/>
          <w:color w:val="auto"/>
          <w:kern w:val="0"/>
          <w:highlight w:val="none"/>
        </w:rPr>
        <w:t>注：投标人已经工商变更，但其企业资质证书的企业名称未完成变更的，不得否决其投标；投标人营业执照、资质证书之间登记的信息不一致，应当允许投标人澄清，不得直接否决其投标。</w:t>
      </w:r>
    </w:p>
    <w:p w14:paraId="12916B4A">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2" w:firstLineChars="200"/>
        <w:textAlignment w:val="auto"/>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不得否决其投标。</w:t>
      </w:r>
    </w:p>
    <w:p w14:paraId="123FA2F4">
      <w:pPr>
        <w:keepNext w:val="0"/>
        <w:keepLines w:val="0"/>
        <w:pageBreakBefore w:val="0"/>
        <w:widowControl w:val="0"/>
        <w:shd w:val="clear"/>
        <w:kinsoku/>
        <w:wordWrap w:val="0"/>
        <w:overflowPunct/>
        <w:topLinePunct w:val="0"/>
        <w:autoSpaceDE/>
        <w:autoSpaceDN/>
        <w:bidi w:val="0"/>
        <w:adjustRightInd w:val="0"/>
        <w:snapToGrid w:val="0"/>
        <w:spacing w:line="410" w:lineRule="exact"/>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（4）投标文件中拟委派的总监理工程师与《开标一览表》不一致的；拟委派的总监理工程师的条件不符合规定的；</w:t>
      </w:r>
      <w:r>
        <w:rPr>
          <w:rFonts w:hint="eastAsia" w:ascii="宋体" w:hAnsi="宋体" w:eastAsia="宋体" w:cs="宋体"/>
          <w:snapToGrid w:val="0"/>
          <w:color w:val="auto"/>
          <w:kern w:val="0"/>
          <w:szCs w:val="22"/>
          <w:highlight w:val="none"/>
        </w:rPr>
        <w:t>擅自修改、遗漏《总监理工程师任职声明》实质性内容的；</w:t>
      </w:r>
      <w:r>
        <w:rPr>
          <w:rFonts w:hint="eastAsia" w:ascii="宋体" w:hAnsi="宋体" w:eastAsia="宋体" w:cs="宋体"/>
          <w:snapToGrid w:val="0"/>
          <w:color w:val="auto"/>
          <w:kern w:val="0"/>
          <w:highlight w:val="none"/>
        </w:rPr>
        <w:t>拟委派的总监理工程师现阶段有担任其他在施建设工程项目总监理工程师职务，但《</w:t>
      </w:r>
      <w:r>
        <w:rPr>
          <w:rFonts w:hint="eastAsia" w:ascii="宋体" w:hAnsi="宋体" w:eastAsia="宋体" w:cs="宋体"/>
          <w:snapToGrid w:val="0"/>
          <w:color w:val="auto"/>
          <w:kern w:val="0"/>
          <w:szCs w:val="18"/>
          <w:highlight w:val="none"/>
        </w:rPr>
        <w:t>总监理工程师任职项目情况表</w:t>
      </w:r>
      <w:r>
        <w:rPr>
          <w:rFonts w:hint="eastAsia" w:ascii="宋体" w:hAnsi="宋体" w:eastAsia="宋体" w:cs="宋体"/>
          <w:snapToGrid w:val="0"/>
          <w:color w:val="auto"/>
          <w:kern w:val="0"/>
          <w:highlight w:val="none"/>
        </w:rPr>
        <w:t>》未经任职项目建设单位盖章同意、又未提交任职项目建设单位另行出具的书面同意意见的；</w:t>
      </w:r>
    </w:p>
    <w:p w14:paraId="53838AD3">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（5）拟委派的总监理工程师的注册证书不是住房和城乡建设主管部门颁发的，或注册单位与投标人不一致的，或不在有效期内的；</w:t>
      </w:r>
    </w:p>
    <w:p w14:paraId="15CD4F7C">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注：投标人已经工商变更，但其员工执业资格注册证书的注册单位名称未完成变更的，不得否决其投标。</w:t>
      </w:r>
    </w:p>
    <w:p w14:paraId="778F47DB">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（6）招标文件规定不接受联合体投标，但以联合体投标的；</w:t>
      </w:r>
    </w:p>
    <w:p w14:paraId="44C218D6">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（7）投标人为外省企业，但未提供“进粤企业和人员诚信信息登记平台”企业信息情况的。</w:t>
      </w:r>
    </w:p>
    <w:p w14:paraId="50D1C1D5">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p>
    <w:p w14:paraId="038E72C5">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outlineLvl w:val="2"/>
        <w:rPr>
          <w:rFonts w:hint="eastAsia" w:ascii="宋体" w:hAnsi="宋体" w:eastAsia="宋体" w:cs="宋体"/>
          <w:snapToGrid w:val="0"/>
          <w:color w:val="auto"/>
          <w:kern w:val="0"/>
          <w:highlight w:val="none"/>
        </w:rPr>
      </w:pPr>
      <w:bookmarkStart w:id="292" w:name="_Toc23556"/>
      <w:bookmarkStart w:id="293" w:name="_Toc629"/>
      <w:bookmarkStart w:id="294" w:name="_Toc19550"/>
      <w:bookmarkStart w:id="295" w:name="_Toc29817"/>
      <w:bookmarkStart w:id="296" w:name="_Toc18817"/>
      <w:bookmarkStart w:id="297" w:name="_Toc9954"/>
      <w:bookmarkStart w:id="298" w:name="_Toc27998"/>
      <w:bookmarkStart w:id="299" w:name="_Toc27039"/>
      <w:bookmarkStart w:id="300" w:name="_Toc25976"/>
      <w:bookmarkStart w:id="301" w:name="_Toc7175"/>
      <w:r>
        <w:rPr>
          <w:rFonts w:hint="eastAsia" w:ascii="宋体" w:hAnsi="宋体" w:eastAsia="宋体" w:cs="宋体"/>
          <w:b/>
          <w:bCs/>
          <w:snapToGrid w:val="0"/>
          <w:color w:val="auto"/>
          <w:kern w:val="0"/>
          <w:highlight w:val="none"/>
        </w:rPr>
        <w:t>2．形式评审环节</w:t>
      </w:r>
      <w:bookmarkEnd w:id="292"/>
      <w:bookmarkEnd w:id="293"/>
      <w:bookmarkEnd w:id="294"/>
      <w:bookmarkEnd w:id="295"/>
      <w:bookmarkEnd w:id="296"/>
      <w:bookmarkEnd w:id="297"/>
      <w:bookmarkEnd w:id="298"/>
      <w:bookmarkEnd w:id="299"/>
      <w:bookmarkEnd w:id="300"/>
      <w:bookmarkEnd w:id="301"/>
    </w:p>
    <w:p w14:paraId="6E4FE9D5">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投标人有下列情形之一的，评标委员会应否决其投标。被否决的投标，不进入响应性评审环节。</w:t>
      </w:r>
    </w:p>
    <w:p w14:paraId="331E7942">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（8）投标文件的分册组成不符合规定的；</w:t>
      </w:r>
    </w:p>
    <w:p w14:paraId="7E56B104">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（9）本章第三节第</w:t>
      </w:r>
      <w:r>
        <w:rPr>
          <w:rFonts w:hint="eastAsia" w:ascii="宋体" w:hAnsi="宋体" w:eastAsia="宋体" w:cs="宋体"/>
          <w:b/>
          <w:bCs/>
          <w:snapToGrid w:val="0"/>
          <w:color w:val="auto"/>
          <w:kern w:val="0"/>
          <w:szCs w:val="18"/>
          <w:highlight w:val="none"/>
        </w:rPr>
        <w:t>10.2.2</w:t>
      </w:r>
      <w:r>
        <w:rPr>
          <w:rFonts w:hint="eastAsia" w:ascii="宋体" w:hAnsi="宋体" w:eastAsia="宋体" w:cs="宋体"/>
          <w:snapToGrid w:val="0"/>
          <w:color w:val="auto"/>
          <w:kern w:val="0"/>
          <w:szCs w:val="18"/>
          <w:highlight w:val="none"/>
        </w:rPr>
        <w:t>目、</w:t>
      </w:r>
      <w:r>
        <w:rPr>
          <w:rFonts w:hint="eastAsia" w:ascii="宋体" w:hAnsi="宋体" w:eastAsia="宋体" w:cs="宋体"/>
          <w:snapToGrid w:val="0"/>
          <w:color w:val="auto"/>
          <w:kern w:val="0"/>
          <w:highlight w:val="none"/>
        </w:rPr>
        <w:t>第</w:t>
      </w:r>
      <w:r>
        <w:rPr>
          <w:rFonts w:hint="eastAsia" w:ascii="宋体" w:hAnsi="宋体" w:eastAsia="宋体" w:cs="宋体"/>
          <w:b/>
          <w:bCs/>
          <w:snapToGrid w:val="0"/>
          <w:color w:val="auto"/>
          <w:kern w:val="0"/>
          <w:szCs w:val="18"/>
          <w:highlight w:val="none"/>
        </w:rPr>
        <w:t>10.3.3</w:t>
      </w:r>
      <w:r>
        <w:rPr>
          <w:rFonts w:hint="eastAsia" w:ascii="宋体" w:hAnsi="宋体" w:eastAsia="宋体" w:cs="宋体"/>
          <w:snapToGrid w:val="0"/>
          <w:color w:val="auto"/>
          <w:kern w:val="0"/>
          <w:szCs w:val="18"/>
          <w:highlight w:val="none"/>
        </w:rPr>
        <w:t>目</w:t>
      </w:r>
      <w:r>
        <w:rPr>
          <w:rFonts w:hint="eastAsia" w:ascii="宋体" w:hAnsi="宋体" w:eastAsia="宋体" w:cs="宋体"/>
          <w:snapToGrid w:val="0"/>
          <w:color w:val="auto"/>
          <w:kern w:val="0"/>
          <w:highlight w:val="none"/>
        </w:rPr>
        <w:t>中规定的“</w:t>
      </w:r>
      <w:r>
        <w:rPr>
          <w:rFonts w:hint="eastAsia" w:ascii="宋体" w:hAnsi="宋体" w:eastAsia="宋体" w:cs="宋体"/>
          <w:snapToGrid w:val="0"/>
          <w:color w:val="auto"/>
          <w:kern w:val="0"/>
          <w:szCs w:val="18"/>
          <w:highlight w:val="none"/>
        </w:rPr>
        <w:t>所有投标人均应提供</w:t>
      </w:r>
      <w:r>
        <w:rPr>
          <w:rFonts w:hint="eastAsia" w:ascii="宋体" w:hAnsi="宋体" w:eastAsia="宋体" w:cs="宋体"/>
          <w:snapToGrid w:val="0"/>
          <w:color w:val="auto"/>
          <w:kern w:val="0"/>
          <w:highlight w:val="none"/>
        </w:rPr>
        <w:t>”的组成内容（包括该组成内容的所附资料）中，任何一项有缺漏的；</w:t>
      </w:r>
    </w:p>
    <w:p w14:paraId="460B14CB">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（10）关键字迹模糊、无法辨认，</w:t>
      </w:r>
      <w:r>
        <w:rPr>
          <w:rFonts w:hint="eastAsia" w:ascii="宋体" w:hAnsi="宋体" w:eastAsia="宋体" w:cs="宋体"/>
          <w:b/>
          <w:bCs/>
          <w:snapToGrid w:val="0"/>
          <w:color w:val="auto"/>
          <w:kern w:val="0"/>
          <w:highlight w:val="none"/>
        </w:rPr>
        <w:t>且该种过错将导致评标委员会无法作出投标文件是否响应招标文件实质性要求的</w:t>
      </w:r>
      <w:r>
        <w:rPr>
          <w:rFonts w:hint="eastAsia" w:ascii="宋体" w:hAnsi="宋体" w:eastAsia="宋体" w:cs="宋体"/>
          <w:snapToGrid w:val="0"/>
          <w:color w:val="auto"/>
          <w:kern w:val="0"/>
          <w:highlight w:val="none"/>
        </w:rPr>
        <w:t>；出现手工涂改、行间插字或删除，但未加盖单位章或由投标人的法定代表人或其委托代理人签字确认的；</w:t>
      </w:r>
    </w:p>
    <w:p w14:paraId="78DB4AE9">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（11）投标文件未按规定签字、盖章的；</w:t>
      </w:r>
    </w:p>
    <w:p w14:paraId="144EFBD1">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outlineLvl w:val="2"/>
        <w:rPr>
          <w:rFonts w:hint="eastAsia" w:ascii="宋体" w:hAnsi="宋体" w:eastAsia="宋体" w:cs="宋体"/>
          <w:b/>
          <w:bCs/>
          <w:snapToGrid w:val="0"/>
          <w:color w:val="auto"/>
          <w:kern w:val="0"/>
          <w:highlight w:val="none"/>
        </w:rPr>
      </w:pPr>
      <w:bookmarkStart w:id="302" w:name="_Toc15146"/>
      <w:bookmarkStart w:id="303" w:name="_Toc10256"/>
      <w:bookmarkStart w:id="304" w:name="_Toc3494"/>
      <w:bookmarkStart w:id="305" w:name="_Toc2157"/>
      <w:bookmarkStart w:id="306" w:name="_Toc15131"/>
      <w:bookmarkStart w:id="307" w:name="_Toc18248"/>
      <w:bookmarkStart w:id="308" w:name="_Toc13541"/>
      <w:bookmarkStart w:id="309" w:name="_Toc2266"/>
      <w:bookmarkStart w:id="310" w:name="_Toc5389"/>
      <w:bookmarkStart w:id="311" w:name="_Toc6320"/>
      <w:r>
        <w:rPr>
          <w:rFonts w:hint="eastAsia" w:ascii="宋体" w:hAnsi="宋体" w:eastAsia="宋体" w:cs="宋体"/>
          <w:b/>
          <w:bCs/>
          <w:snapToGrid w:val="0"/>
          <w:color w:val="auto"/>
          <w:kern w:val="0"/>
          <w:highlight w:val="none"/>
        </w:rPr>
        <w:t>3．响应性评审环节</w:t>
      </w:r>
      <w:bookmarkEnd w:id="302"/>
      <w:bookmarkEnd w:id="303"/>
      <w:bookmarkEnd w:id="304"/>
      <w:bookmarkEnd w:id="305"/>
      <w:bookmarkEnd w:id="306"/>
      <w:bookmarkEnd w:id="307"/>
      <w:bookmarkEnd w:id="308"/>
      <w:bookmarkEnd w:id="309"/>
      <w:bookmarkEnd w:id="310"/>
      <w:bookmarkEnd w:id="311"/>
    </w:p>
    <w:p w14:paraId="5872E0F6">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投标人有下列情形之一的，评标委员会应否决其投标。被否决的投标，不进入详细评审阶段。</w:t>
      </w:r>
    </w:p>
    <w:p w14:paraId="55545B5C">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（12）投标有效期、服务期限不符合规定的；擅自修改、遗漏《投标函》《各项承诺一览表》实质性内容的；</w:t>
      </w:r>
    </w:p>
    <w:p w14:paraId="6FA99E0E">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（13）出现两个或两个以上投标总价的（同一个投标总价大、小写不一致的除外）；投标总价超出最高投标限价的；</w:t>
      </w:r>
    </w:p>
    <w:p w14:paraId="5345AF8D">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（14）在监理大纲评审中，评标委员会认定监理及相关服务的范围、内容、目标不符合规定的；质量、进度、造价监理措施明显不符合国家和省市现行有关规范、规定、标准，</w:t>
      </w:r>
      <w:r>
        <w:rPr>
          <w:rFonts w:hint="eastAsia" w:ascii="宋体" w:hAnsi="宋体" w:eastAsia="宋体" w:cs="宋体"/>
          <w:b/>
          <w:bCs/>
          <w:snapToGrid w:val="0"/>
          <w:color w:val="auto"/>
          <w:kern w:val="0"/>
          <w:highlight w:val="none"/>
        </w:rPr>
        <w:t>且该种过错将导致“三控制”目标无法实现的</w:t>
      </w:r>
      <w:r>
        <w:rPr>
          <w:rFonts w:hint="eastAsia" w:ascii="宋体" w:hAnsi="宋体" w:eastAsia="宋体" w:cs="宋体"/>
          <w:snapToGrid w:val="0"/>
          <w:color w:val="auto"/>
          <w:kern w:val="0"/>
          <w:highlight w:val="none"/>
        </w:rPr>
        <w:t>。</w:t>
      </w:r>
    </w:p>
    <w:p w14:paraId="0867B835">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outlineLvl w:val="2"/>
        <w:rPr>
          <w:rFonts w:hint="eastAsia" w:ascii="宋体" w:hAnsi="宋体" w:eastAsia="宋体" w:cs="宋体"/>
          <w:b/>
          <w:bCs/>
          <w:snapToGrid w:val="0"/>
          <w:color w:val="auto"/>
          <w:kern w:val="0"/>
          <w:highlight w:val="none"/>
        </w:rPr>
      </w:pPr>
      <w:bookmarkStart w:id="312" w:name="_Toc25582"/>
      <w:bookmarkStart w:id="313" w:name="_Toc31954"/>
      <w:bookmarkStart w:id="314" w:name="_Toc32705"/>
      <w:bookmarkStart w:id="315" w:name="_Toc4460"/>
      <w:bookmarkStart w:id="316" w:name="_Toc24207"/>
      <w:bookmarkStart w:id="317" w:name="_Toc2561"/>
      <w:bookmarkStart w:id="318" w:name="_Toc14330"/>
      <w:bookmarkStart w:id="319" w:name="_Toc29576"/>
      <w:bookmarkStart w:id="320" w:name="_Toc8804"/>
      <w:bookmarkStart w:id="321" w:name="_Toc3133"/>
      <w:r>
        <w:rPr>
          <w:rFonts w:hint="eastAsia" w:ascii="宋体" w:hAnsi="宋体" w:eastAsia="宋体" w:cs="宋体"/>
          <w:b/>
          <w:bCs/>
          <w:snapToGrid w:val="0"/>
          <w:color w:val="auto"/>
          <w:kern w:val="0"/>
          <w:highlight w:val="none"/>
        </w:rPr>
        <w:t>4．其他</w:t>
      </w:r>
      <w:bookmarkEnd w:id="312"/>
      <w:bookmarkEnd w:id="313"/>
      <w:bookmarkEnd w:id="314"/>
      <w:bookmarkEnd w:id="315"/>
      <w:bookmarkEnd w:id="316"/>
      <w:bookmarkEnd w:id="317"/>
      <w:bookmarkEnd w:id="318"/>
      <w:bookmarkEnd w:id="319"/>
      <w:bookmarkEnd w:id="320"/>
      <w:bookmarkEnd w:id="321"/>
    </w:p>
    <w:p w14:paraId="7FE128D9">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szCs w:val="22"/>
          <w:highlight w:val="none"/>
        </w:rPr>
      </w:pPr>
      <w:r>
        <w:rPr>
          <w:rFonts w:hint="eastAsia" w:ascii="宋体" w:hAnsi="宋体" w:eastAsia="宋体" w:cs="宋体"/>
          <w:snapToGrid w:val="0"/>
          <w:color w:val="auto"/>
          <w:kern w:val="0"/>
          <w:highlight w:val="none"/>
        </w:rPr>
        <w:t>在任何评标环节（或阶段），投标人有下列情形之一的，评标委员会应否决其投标。</w:t>
      </w:r>
      <w:r>
        <w:rPr>
          <w:rFonts w:hint="eastAsia" w:ascii="宋体" w:hAnsi="宋体" w:eastAsia="宋体" w:cs="宋体"/>
          <w:snapToGrid w:val="0"/>
          <w:color w:val="auto"/>
          <w:kern w:val="0"/>
          <w:szCs w:val="22"/>
          <w:highlight w:val="none"/>
        </w:rPr>
        <w:t>被否决的投标，不进入下一环节（或阶段）。</w:t>
      </w:r>
    </w:p>
    <w:p w14:paraId="5C4057B1">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（15）不按评标委员会要求澄清、说明或补正的；</w:t>
      </w:r>
    </w:p>
    <w:p w14:paraId="5659F11B">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（16）有下列情形之一，被评标委员会认定属于串通投标的：</w:t>
      </w:r>
    </w:p>
    <w:p w14:paraId="1C8204A3">
      <w:pPr>
        <w:keepNext w:val="0"/>
        <w:keepLines w:val="0"/>
        <w:pageBreakBefore w:val="0"/>
        <w:widowControl w:val="0"/>
        <w:shd w:val="clear"/>
        <w:kinsoku/>
        <w:wordWrap w:val="0"/>
        <w:overflowPunct/>
        <w:topLinePunct w:val="0"/>
        <w:autoSpaceDE/>
        <w:autoSpaceDN/>
        <w:bidi w:val="0"/>
        <w:adjustRightInd w:val="0"/>
        <w:snapToGrid w:val="0"/>
        <w:spacing w:line="410" w:lineRule="exact"/>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①不同投标人的投标文件两处以上（含两处）错、漏一致；</w:t>
      </w:r>
    </w:p>
    <w:p w14:paraId="1F8DA8C6">
      <w:pPr>
        <w:keepNext w:val="0"/>
        <w:keepLines w:val="0"/>
        <w:pageBreakBefore w:val="0"/>
        <w:widowControl w:val="0"/>
        <w:shd w:val="clear"/>
        <w:kinsoku/>
        <w:wordWrap w:val="0"/>
        <w:overflowPunct/>
        <w:topLinePunct w:val="0"/>
        <w:autoSpaceDE/>
        <w:autoSpaceDN/>
        <w:bidi w:val="0"/>
        <w:adjustRightInd w:val="0"/>
        <w:snapToGrid w:val="0"/>
        <w:spacing w:line="410" w:lineRule="exact"/>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②不同投标人的投标各项报价存在异常一致或者呈规律性变化；</w:t>
      </w:r>
    </w:p>
    <w:p w14:paraId="2D9E8A70">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③不同投标人的投标文件由同一单位或者同一个人编制；</w:t>
      </w:r>
    </w:p>
    <w:p w14:paraId="2DD74F91">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④不同投标人的投标文件中投标资料（包括电子资料）相互混装或项目班子成员出现同一人；</w:t>
      </w:r>
    </w:p>
    <w:p w14:paraId="6F4E10AE">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⑤不同投标人的投标文件由同一电脑编制；</w:t>
      </w:r>
    </w:p>
    <w:p w14:paraId="3176E477">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⑥不同投标人的投标保证由同一企业或同一账户资金缴纳；</w:t>
      </w:r>
    </w:p>
    <w:p w14:paraId="15BCD1C2">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⑦不同投标人委托同一个人或注册在同一家企业的注册人员或同一家企业为其投标提供投标咨询、商务报价、技术咨询（招标项目本身要求采用专有技术的除外）等服务。</w:t>
      </w:r>
    </w:p>
    <w:bookmarkEnd w:id="251"/>
    <w:p w14:paraId="5C9AFA9D">
      <w:pPr>
        <w:keepNext w:val="0"/>
        <w:keepLines w:val="0"/>
        <w:pageBreakBefore w:val="0"/>
        <w:widowControl w:val="0"/>
        <w:shd w:val="clear"/>
        <w:kinsoku/>
        <w:wordWrap w:val="0"/>
        <w:overflowPunct/>
        <w:topLinePunct w:val="0"/>
        <w:autoSpaceDE/>
        <w:autoSpaceDN/>
        <w:bidi w:val="0"/>
        <w:adjustRightInd w:val="0"/>
        <w:snapToGrid w:val="0"/>
        <w:spacing w:line="410" w:lineRule="exact"/>
        <w:ind w:firstLine="480"/>
        <w:textAlignment w:val="auto"/>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cols w:space="720" w:num="1"/>
          <w:rtlGutter w:val="0"/>
          <w:docGrid w:linePitch="327" w:charSpace="0"/>
        </w:sectPr>
      </w:pPr>
    </w:p>
    <w:p w14:paraId="64887B42">
      <w:pPr>
        <w:shd w:val="clear"/>
        <w:wordWrap w:val="0"/>
        <w:adjustRightInd w:val="0"/>
        <w:snapToGrid w:val="0"/>
        <w:spacing w:line="440" w:lineRule="exact"/>
        <w:jc w:val="center"/>
        <w:outlineLvl w:val="0"/>
        <w:rPr>
          <w:rFonts w:hint="eastAsia" w:ascii="宋体" w:hAnsi="宋体" w:eastAsia="宋体" w:cs="宋体"/>
          <w:b/>
          <w:snapToGrid w:val="0"/>
          <w:color w:val="auto"/>
          <w:kern w:val="0"/>
          <w:highlight w:val="none"/>
        </w:rPr>
      </w:pPr>
      <w:bookmarkStart w:id="322" w:name="_Hlt70150994"/>
      <w:bookmarkEnd w:id="322"/>
      <w:bookmarkStart w:id="323" w:name="_Hlt87952408"/>
      <w:bookmarkEnd w:id="323"/>
      <w:bookmarkStart w:id="324" w:name="_Hlt112206772"/>
      <w:bookmarkEnd w:id="324"/>
      <w:bookmarkStart w:id="325" w:name="_Hlt69669771"/>
      <w:bookmarkEnd w:id="325"/>
      <w:bookmarkStart w:id="326" w:name="_Hlt69698741"/>
      <w:bookmarkStart w:id="327" w:name="_Toc16530"/>
      <w:bookmarkStart w:id="328" w:name="_Toc12800"/>
      <w:bookmarkStart w:id="329" w:name="_Toc12363"/>
      <w:bookmarkStart w:id="330" w:name="_Toc13342"/>
      <w:bookmarkStart w:id="331" w:name="_Toc20600"/>
      <w:bookmarkStart w:id="332" w:name="_Toc20451"/>
      <w:bookmarkStart w:id="333" w:name="_Hlt69698769"/>
      <w:bookmarkStart w:id="334" w:name="_Toc11069"/>
      <w:bookmarkStart w:id="335" w:name="_Toc30866"/>
      <w:bookmarkStart w:id="336" w:name="_Toc15398"/>
      <w:bookmarkStart w:id="337" w:name="_Toc28161"/>
      <w:bookmarkStart w:id="338" w:name="_Hlt69698722"/>
      <w:bookmarkStart w:id="339" w:name="_Toc20848"/>
      <w:r>
        <w:rPr>
          <w:rFonts w:hint="eastAsia" w:ascii="宋体" w:hAnsi="宋体" w:eastAsia="宋体" w:cs="宋体"/>
          <w:b/>
          <w:snapToGrid w:val="0"/>
          <w:color w:val="auto"/>
          <w:kern w:val="0"/>
          <w:highlight w:val="none"/>
        </w:rPr>
        <w:t>第</w:t>
      </w:r>
      <w:bookmarkStart w:id="340" w:name="_Hlt69669171"/>
      <w:bookmarkEnd w:id="340"/>
      <w:r>
        <w:rPr>
          <w:rFonts w:hint="eastAsia" w:ascii="宋体" w:hAnsi="宋体" w:eastAsia="宋体" w:cs="宋体"/>
          <w:b/>
          <w:snapToGrid w:val="0"/>
          <w:color w:val="auto"/>
          <w:kern w:val="0"/>
          <w:highlight w:val="none"/>
        </w:rPr>
        <w:t>二章</w:t>
      </w:r>
      <w:bookmarkStart w:id="341" w:name="_Hlt87793839"/>
      <w:bookmarkEnd w:id="341"/>
      <w:r>
        <w:rPr>
          <w:rFonts w:hint="eastAsia" w:ascii="宋体" w:hAnsi="宋体" w:eastAsia="宋体" w:cs="宋体"/>
          <w:b/>
          <w:snapToGrid w:val="0"/>
          <w:color w:val="auto"/>
          <w:kern w:val="0"/>
          <w:highlight w:val="none"/>
        </w:rPr>
        <w:t xml:space="preserve"> 中标人须知</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189ECD4">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1．中标通知书</w:t>
      </w:r>
    </w:p>
    <w:p w14:paraId="0B86C4BD">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265C6A8B">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p>
    <w:p w14:paraId="5391E715">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2．中标结果公示</w:t>
      </w:r>
    </w:p>
    <w:p w14:paraId="466E5CFF">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中标通知书发出后15日内，招标人应将中标结果在广东省招标投标监管网（http://zbtb.gd.gov.cn）及全国公共资源交易平台（广东省·韶关市）（https://ygp.gdzwfw.gov.cn/ggzy-portal/#/440200/index）进行公示。</w:t>
      </w:r>
    </w:p>
    <w:p w14:paraId="502BA8DA">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p>
    <w:p w14:paraId="490B8118">
      <w:pPr>
        <w:shd w:val="clear"/>
        <w:wordWrap w:val="0"/>
        <w:adjustRightInd w:val="0"/>
        <w:snapToGrid w:val="0"/>
        <w:spacing w:line="440" w:lineRule="exact"/>
        <w:ind w:firstLine="562"/>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3．履约保证</w:t>
      </w:r>
    </w:p>
    <w:p w14:paraId="30CFEA4C">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3.1 中标人须在领取中标通知书之日起</w:t>
      </w:r>
      <w:r>
        <w:rPr>
          <w:rFonts w:hint="eastAsia" w:ascii="宋体" w:hAnsi="宋体" w:eastAsia="宋体" w:cs="宋体"/>
          <w:snapToGrid w:val="0"/>
          <w:color w:val="auto"/>
          <w:kern w:val="0"/>
          <w:highlight w:val="none"/>
          <w:u w:val="single"/>
        </w:rPr>
        <w:t>10</w:t>
      </w:r>
      <w:r>
        <w:rPr>
          <w:rFonts w:hint="eastAsia" w:ascii="宋体" w:hAnsi="宋体" w:eastAsia="宋体" w:cs="宋体"/>
          <w:snapToGrid w:val="0"/>
          <w:color w:val="auto"/>
          <w:kern w:val="0"/>
          <w:highlight w:val="none"/>
        </w:rPr>
        <w:t>个工作日内、签订合同前提交金额为中标</w:t>
      </w:r>
      <w:r>
        <w:rPr>
          <w:rFonts w:hint="eastAsia" w:ascii="宋体" w:hAnsi="宋体" w:eastAsia="宋体" w:cs="宋体"/>
          <w:snapToGrid w:val="0"/>
          <w:color w:val="auto"/>
          <w:kern w:val="0"/>
          <w:highlight w:val="none"/>
          <w:u w:val="single"/>
        </w:rPr>
        <w:t xml:space="preserve">价 </w:t>
      </w:r>
      <w:r>
        <w:rPr>
          <w:rFonts w:hint="eastAsia" w:ascii="宋体" w:hAnsi="宋体" w:eastAsia="宋体" w:cs="宋体"/>
          <w:snapToGrid w:val="0"/>
          <w:color w:val="auto"/>
          <w:kern w:val="0"/>
          <w:highlight w:val="none"/>
          <w:u w:val="single"/>
          <w:lang w:val="en-US" w:eastAsia="zh-CN"/>
        </w:rPr>
        <w:t xml:space="preserve">5 </w:t>
      </w:r>
      <w:r>
        <w:rPr>
          <w:rFonts w:hint="eastAsia" w:ascii="宋体" w:hAnsi="宋体" w:eastAsia="宋体" w:cs="宋体"/>
          <w:snapToGrid w:val="0"/>
          <w:color w:val="auto"/>
          <w:kern w:val="0"/>
          <w:highlight w:val="none"/>
          <w:u w:val="single"/>
        </w:rPr>
        <w:t>%</w:t>
      </w:r>
      <w:r>
        <w:rPr>
          <w:rFonts w:hint="eastAsia" w:ascii="宋体" w:hAnsi="宋体" w:eastAsia="宋体" w:cs="宋体"/>
          <w:snapToGrid w:val="0"/>
          <w:color w:val="auto"/>
          <w:kern w:val="0"/>
          <w:highlight w:val="none"/>
        </w:rPr>
        <w:t>的履约保证。</w:t>
      </w:r>
    </w:p>
    <w:p w14:paraId="3F2AAFF0">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3.2 履约保证的形式包括履约保证金、履约保证担保、履约保证保险三种，由中标人自主选择。</w:t>
      </w:r>
    </w:p>
    <w:p w14:paraId="2052D3F3">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采用履约保证金的，中标人在招标人发起收缴履约保证后，即可在建设工程交易系统申请缴纳履约保证金，获取本次中标履约保证金缴纳账号。中标人必须于履约保证金到账截止时间（以建设工程交易系统提示为准）前，从其基本账户将履约保证金转账到指定的缴纳账号。逾期到账的、从非投标人基本账户转出的，视其放弃中标，并由招标人通报建设行政管理部门。</w:t>
      </w:r>
    </w:p>
    <w:p w14:paraId="0D2B0D4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采用履约保证担保的，中标人应提交有效的银行电子保函，银行电子保函的有效期应当自合同生效之日起至项目通过竣工验收之日后28天止。中标人必须在履约保证担保截止时间（以建设工程交易系统提示为准）前，使用工程建设交易系统完成网上办理电子保函。</w:t>
      </w:r>
    </w:p>
    <w:p w14:paraId="3AA9119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采用履约保证保险的，中标人须在履约保证保险投保截止时间（以建设工程交易系统提示为准）前，使用建设工程交易系统完成网上投保。中标人可在系统选择保险机构、录入投保信息、支付保费、下载电子保单，电子保单的有效期应当自合同生效之日起至项目通过竣工验收之日后28天止的有效期不得短于投标有效期。</w:t>
      </w:r>
    </w:p>
    <w:p w14:paraId="5EEC2500">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3.3 中标人在工程建设交易系统约定的时间内未提交履约保证的，视其放弃中标，并由招标人通报建设行政管理部门。</w:t>
      </w:r>
    </w:p>
    <w:p w14:paraId="4C9530AD">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3.4 在工程实施过程中，如果承包人（即招标阶段的中标人，下同）由于自身的资金、技术、质量、非不可抗力等原因给发包人（即招标阶段的招标人，下同）造成经济损失，发包人有权扣划相应金额的履约保证。</w:t>
      </w:r>
    </w:p>
    <w:p w14:paraId="44178E23">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3.5 项目通过竣工验收之日后28天内，由发包人工程建设交易系统内进行履约保证金退回操作，将履约保证（履约保证金不计利息）原路退还给承包人。</w:t>
      </w:r>
    </w:p>
    <w:p w14:paraId="5F02770C">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126AF571">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4．合同订立</w:t>
      </w:r>
    </w:p>
    <w:p w14:paraId="230CEBC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4.1</w:t>
      </w:r>
      <w:r>
        <w:rPr>
          <w:rFonts w:hint="eastAsia" w:ascii="宋体" w:hAnsi="宋体" w:eastAsia="宋体" w:cs="宋体"/>
          <w:snapToGrid w:val="0"/>
          <w:color w:val="auto"/>
          <w:kern w:val="0"/>
          <w:highlight w:val="none"/>
        </w:rPr>
        <w:t xml:space="preserve"> 招标人应当自中标通知书发出之日起</w:t>
      </w:r>
      <w:r>
        <w:rPr>
          <w:rFonts w:hint="eastAsia" w:ascii="宋体" w:hAnsi="宋体" w:eastAsia="宋体" w:cs="宋体"/>
          <w:snapToGrid w:val="0"/>
          <w:color w:val="auto"/>
          <w:kern w:val="0"/>
          <w:highlight w:val="none"/>
          <w:u w:val="single"/>
        </w:rPr>
        <w:t xml:space="preserve"> 30 </w:t>
      </w:r>
      <w:r>
        <w:rPr>
          <w:rFonts w:hint="eastAsia" w:ascii="宋体" w:hAnsi="宋体" w:eastAsia="宋体" w:cs="宋体"/>
          <w:snapToGrid w:val="0"/>
          <w:color w:val="auto"/>
          <w:kern w:val="0"/>
          <w:highlight w:val="none"/>
        </w:rPr>
        <w:t>日内，按照招标文件、中标人的投标文件与中标人订立书面合同。</w:t>
      </w:r>
    </w:p>
    <w:p w14:paraId="1B5C557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4.2</w:t>
      </w:r>
      <w:r>
        <w:rPr>
          <w:rFonts w:hint="eastAsia" w:ascii="宋体" w:hAnsi="宋体" w:eastAsia="宋体" w:cs="宋体"/>
          <w:snapToGrid w:val="0"/>
          <w:color w:val="auto"/>
          <w:kern w:val="0"/>
          <w:highlight w:val="none"/>
        </w:rPr>
        <w:t xml:space="preserve"> 合同的标的、质量、履行期限条款和合同的价款、风险分担等主要条款，应当与招标文件、中标人的投标文件的内容一致。中标人在签订合同时不得向招标人提出附加条件。</w:t>
      </w:r>
    </w:p>
    <w:p w14:paraId="5318005D">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4.3</w:t>
      </w:r>
      <w:r>
        <w:rPr>
          <w:rFonts w:hint="eastAsia" w:ascii="宋体" w:hAnsi="宋体" w:eastAsia="宋体" w:cs="宋体"/>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147C2DFC">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4.4</w:t>
      </w:r>
      <w:r>
        <w:rPr>
          <w:rFonts w:hint="eastAsia" w:ascii="宋体" w:hAnsi="宋体" w:eastAsia="宋体" w:cs="宋体"/>
          <w:snapToGrid w:val="0"/>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41AD8A9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1F98E4F7">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5．放弃中标的处理</w:t>
      </w:r>
    </w:p>
    <w:p w14:paraId="659AA803">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5.1</w:t>
      </w:r>
      <w:r>
        <w:rPr>
          <w:rFonts w:hint="eastAsia" w:ascii="宋体" w:hAnsi="宋体" w:eastAsia="宋体" w:cs="宋体"/>
          <w:snapToGrid w:val="0"/>
          <w:color w:val="auto"/>
          <w:kern w:val="0"/>
          <w:highlight w:val="none"/>
        </w:rPr>
        <w:t xml:space="preserve"> 中标人</w:t>
      </w:r>
      <w:r>
        <w:rPr>
          <w:rFonts w:hint="eastAsia" w:ascii="宋体" w:hAnsi="宋体" w:eastAsia="宋体" w:cs="宋体"/>
          <w:snapToGrid w:val="0"/>
          <w:color w:val="auto"/>
          <w:highlight w:val="none"/>
        </w:rPr>
        <w:t>无正当理由放弃中标的，</w:t>
      </w:r>
      <w:r>
        <w:rPr>
          <w:rFonts w:hint="eastAsia" w:ascii="宋体" w:hAnsi="宋体" w:eastAsia="宋体" w:cs="宋体"/>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宋体" w:hAnsi="宋体" w:eastAsia="宋体" w:cs="宋体"/>
          <w:bCs/>
          <w:snapToGrid w:val="0"/>
          <w:color w:val="auto"/>
          <w:kern w:val="0"/>
          <w:highlight w:val="none"/>
        </w:rPr>
        <w:t>因此种情况造成招标人重新招标的</w:t>
      </w:r>
      <w:r>
        <w:rPr>
          <w:rFonts w:hint="eastAsia" w:ascii="宋体" w:hAnsi="宋体" w:eastAsia="宋体" w:cs="宋体"/>
          <w:snapToGrid w:val="0"/>
          <w:color w:val="auto"/>
          <w:kern w:val="0"/>
          <w:highlight w:val="none"/>
        </w:rPr>
        <w:t>，招标人可不接受该弃标人再次投标。同时，招标人应将该弃标人的失信行为向行政监督部门报告。</w:t>
      </w:r>
    </w:p>
    <w:p w14:paraId="5D8A472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5.2</w:t>
      </w:r>
      <w:r>
        <w:rPr>
          <w:rFonts w:hint="eastAsia" w:ascii="宋体" w:hAnsi="宋体" w:eastAsia="宋体" w:cs="宋体"/>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72F79DF2">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6．分包</w:t>
      </w:r>
    </w:p>
    <w:p w14:paraId="2DB709F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合同范围内的监理服务严禁分包，一经发现，委托人有权解除合同，由此引起的一切经济损失和法律责任由监理人自行承担。</w:t>
      </w:r>
    </w:p>
    <w:p w14:paraId="27AE81F0">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3F75362C">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lang w:val="en-US" w:eastAsia="zh-CN"/>
        </w:rPr>
        <w:t>7</w:t>
      </w:r>
      <w:r>
        <w:rPr>
          <w:rFonts w:hint="eastAsia" w:ascii="宋体" w:hAnsi="宋体" w:eastAsia="宋体" w:cs="宋体"/>
          <w:b/>
          <w:bCs/>
          <w:snapToGrid w:val="0"/>
          <w:color w:val="auto"/>
          <w:kern w:val="0"/>
          <w:highlight w:val="none"/>
        </w:rPr>
        <w:t>．监理服务期限</w:t>
      </w:r>
    </w:p>
    <w:p w14:paraId="15EECF17">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u w:val="single"/>
        </w:rPr>
      </w:pPr>
      <w:r>
        <w:rPr>
          <w:rFonts w:hint="eastAsia" w:ascii="宋体" w:hAnsi="宋体" w:eastAsia="宋体" w:cs="宋体"/>
          <w:b/>
          <w:bCs/>
          <w:snapToGrid w:val="0"/>
          <w:color w:val="auto"/>
          <w:kern w:val="0"/>
          <w:highlight w:val="none"/>
          <w:lang w:val="en-US" w:eastAsia="zh-CN"/>
        </w:rPr>
        <w:t>7</w:t>
      </w:r>
      <w:r>
        <w:rPr>
          <w:rFonts w:hint="eastAsia" w:ascii="宋体" w:hAnsi="宋体" w:eastAsia="宋体" w:cs="宋体"/>
          <w:b/>
          <w:bCs/>
          <w:snapToGrid w:val="0"/>
          <w:color w:val="auto"/>
          <w:kern w:val="0"/>
          <w:highlight w:val="none"/>
        </w:rPr>
        <w:t>.1</w:t>
      </w:r>
      <w:r>
        <w:rPr>
          <w:rFonts w:hint="eastAsia" w:ascii="宋体" w:hAnsi="宋体" w:eastAsia="宋体" w:cs="宋体"/>
          <w:snapToGrid w:val="0"/>
          <w:color w:val="auto"/>
          <w:kern w:val="0"/>
          <w:highlight w:val="none"/>
        </w:rPr>
        <w:t xml:space="preserve"> 本工程监理服务期限为：</w:t>
      </w:r>
      <w:r>
        <w:rPr>
          <w:rFonts w:hint="eastAsia" w:ascii="宋体" w:hAnsi="宋体" w:eastAsia="宋体" w:cs="宋体"/>
          <w:b/>
          <w:bCs/>
          <w:snapToGrid w:val="0"/>
          <w:color w:val="auto"/>
          <w:kern w:val="0"/>
          <w:highlight w:val="none"/>
          <w:u w:val="single"/>
        </w:rPr>
        <w:t>监理服务期从监理合同签订之日起计，至本工程缺陷责任保修期结束且本工程结算金额经政府主管部门审定且双方的责任义务履行完毕时止。</w:t>
      </w:r>
    </w:p>
    <w:p w14:paraId="65F0C7D3">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7</w:t>
      </w:r>
      <w:r>
        <w:rPr>
          <w:rFonts w:hint="eastAsia" w:ascii="宋体" w:hAnsi="宋体" w:eastAsia="宋体" w:cs="宋体"/>
          <w:b/>
          <w:bCs/>
          <w:snapToGrid w:val="0"/>
          <w:color w:val="auto"/>
          <w:kern w:val="0"/>
          <w:highlight w:val="none"/>
        </w:rPr>
        <w:t>.2</w:t>
      </w:r>
      <w:r>
        <w:rPr>
          <w:rFonts w:hint="eastAsia" w:ascii="宋体" w:hAnsi="宋体" w:eastAsia="宋体" w:cs="宋体"/>
          <w:snapToGrid w:val="0"/>
          <w:color w:val="auto"/>
          <w:kern w:val="0"/>
          <w:highlight w:val="none"/>
        </w:rPr>
        <w:t xml:space="preserve"> 当满足专用合同条款约定的开始监理条件时，招标人应提前7天向中标人发出开始监理通知。监理服务期限自开始监理通知中载明的开始监理日期起计算。</w:t>
      </w:r>
    </w:p>
    <w:p w14:paraId="1C700C7E">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 xml:space="preserve">7.3 </w:t>
      </w:r>
      <w:r>
        <w:rPr>
          <w:rFonts w:hint="eastAsia" w:ascii="宋体" w:hAnsi="宋体" w:eastAsia="宋体" w:cs="宋体"/>
          <w:snapToGrid w:val="0"/>
          <w:color w:val="auto"/>
          <w:kern w:val="0"/>
          <w:highlight w:val="none"/>
        </w:rPr>
        <w:t>在合同履行过程中，由于下列原因造成监理服务期限延误的，委托人应当延长监理服务期限，监理酬金具体方法在专用合同条款中约定。</w:t>
      </w:r>
    </w:p>
    <w:p w14:paraId="29A49F47">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（1）合同变更；</w:t>
      </w:r>
    </w:p>
    <w:p w14:paraId="65A80CB4">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（2）因委托人原因导致的监理工作暂停；</w:t>
      </w:r>
    </w:p>
    <w:p w14:paraId="2568771E">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（3）未按合同约定及时支付监理服务酬金；</w:t>
      </w:r>
    </w:p>
    <w:p w14:paraId="4D5E6818">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（4）未及时履行合同约定的相关义务；</w:t>
      </w:r>
    </w:p>
    <w:p w14:paraId="494BC434">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（5）由于承包人（指在本工程监理范围内，与委托人签订勘察、设计、施工承包合同的当事人，下同）延误、行政管理造成的监理服务期限延误；</w:t>
      </w:r>
    </w:p>
    <w:p w14:paraId="182EB0D0">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（6）造成监理服务期限延误的其他原因。</w:t>
      </w:r>
    </w:p>
    <w:p w14:paraId="76ABE719">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p>
    <w:p w14:paraId="71712B94">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8</w:t>
      </w:r>
      <w:r>
        <w:rPr>
          <w:rFonts w:hint="eastAsia" w:ascii="宋体" w:hAnsi="宋体" w:eastAsia="宋体" w:cs="宋体"/>
          <w:b/>
          <w:bCs/>
          <w:snapToGrid w:val="0"/>
          <w:color w:val="auto"/>
          <w:kern w:val="0"/>
          <w:highlight w:val="none"/>
        </w:rPr>
        <w:t>．项目监理机构</w:t>
      </w:r>
    </w:p>
    <w:p w14:paraId="18429F0C">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8</w:t>
      </w:r>
      <w:r>
        <w:rPr>
          <w:rFonts w:hint="eastAsia" w:ascii="宋体" w:hAnsi="宋体" w:eastAsia="宋体" w:cs="宋体"/>
          <w:b/>
          <w:bCs/>
          <w:snapToGrid w:val="0"/>
          <w:color w:val="auto"/>
          <w:kern w:val="0"/>
          <w:highlight w:val="none"/>
        </w:rPr>
        <w:t>.1</w:t>
      </w:r>
      <w:r>
        <w:rPr>
          <w:rFonts w:hint="eastAsia" w:ascii="宋体" w:hAnsi="宋体" w:eastAsia="宋体" w:cs="宋体"/>
          <w:snapToGrid w:val="0"/>
          <w:color w:val="auto"/>
          <w:kern w:val="0"/>
          <w:highlight w:val="none"/>
        </w:rPr>
        <w:t xml:space="preserve"> 监理人派驻项目监理机构的人员必须为其投标文件确定的人员，否则委托人有权解除合同。</w:t>
      </w:r>
    </w:p>
    <w:p w14:paraId="65303335">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8</w:t>
      </w:r>
      <w:r>
        <w:rPr>
          <w:rFonts w:hint="eastAsia" w:ascii="宋体" w:hAnsi="宋体" w:eastAsia="宋体" w:cs="宋体"/>
          <w:b/>
          <w:bCs/>
          <w:snapToGrid w:val="0"/>
          <w:color w:val="auto"/>
          <w:kern w:val="0"/>
          <w:highlight w:val="none"/>
        </w:rPr>
        <w:t>.2</w:t>
      </w:r>
      <w:r>
        <w:rPr>
          <w:rFonts w:hint="eastAsia" w:ascii="宋体" w:hAnsi="宋体" w:eastAsia="宋体" w:cs="宋体"/>
          <w:snapToGrid w:val="0"/>
          <w:color w:val="auto"/>
          <w:kern w:val="0"/>
          <w:highlight w:val="none"/>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14:paraId="5D63AEA9">
      <w:pPr>
        <w:shd w:val="clear"/>
        <w:wordWrap w:val="0"/>
        <w:adjustRightInd w:val="0"/>
        <w:snapToGrid w:val="0"/>
        <w:spacing w:line="440" w:lineRule="exact"/>
        <w:ind w:firstLine="482" w:firstLineChars="200"/>
        <w:rPr>
          <w:rFonts w:hint="eastAsia" w:ascii="宋体" w:hAnsi="宋体" w:eastAsia="宋体" w:cs="宋体"/>
          <w:b/>
          <w:snapToGrid w:val="0"/>
          <w:color w:val="auto"/>
          <w:kern w:val="0"/>
          <w:highlight w:val="none"/>
        </w:rPr>
      </w:pPr>
    </w:p>
    <w:p w14:paraId="5543F4B5">
      <w:pPr>
        <w:shd w:val="clear"/>
        <w:wordWrap w:val="0"/>
        <w:adjustRightInd w:val="0"/>
        <w:snapToGrid w:val="0"/>
        <w:spacing w:line="440" w:lineRule="exact"/>
        <w:ind w:firstLine="482" w:firstLineChars="200"/>
        <w:rPr>
          <w:rFonts w:hint="eastAsia" w:ascii="宋体" w:hAnsi="宋体" w:eastAsia="宋体" w:cs="宋体"/>
          <w:strike/>
          <w:snapToGrid w:val="0"/>
          <w:color w:val="auto"/>
          <w:kern w:val="0"/>
          <w:highlight w:val="none"/>
        </w:rPr>
      </w:pPr>
      <w:r>
        <w:rPr>
          <w:rFonts w:hint="eastAsia" w:ascii="宋体" w:hAnsi="宋体" w:eastAsia="宋体" w:cs="宋体"/>
          <w:b/>
          <w:snapToGrid w:val="0"/>
          <w:color w:val="auto"/>
          <w:kern w:val="0"/>
          <w:highlight w:val="none"/>
          <w:lang w:val="en-US" w:eastAsia="zh-CN"/>
        </w:rPr>
        <w:t>9</w:t>
      </w:r>
      <w:r>
        <w:rPr>
          <w:rFonts w:hint="eastAsia" w:ascii="宋体" w:hAnsi="宋体" w:eastAsia="宋体" w:cs="宋体"/>
          <w:b/>
          <w:snapToGrid w:val="0"/>
          <w:color w:val="auto"/>
          <w:kern w:val="0"/>
          <w:highlight w:val="none"/>
        </w:rPr>
        <w:t>．安全防护</w:t>
      </w:r>
    </w:p>
    <w:p w14:paraId="4025EE3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监理人应按照安全监理有关规定，采取严格、科学的安全防护措施，确保监理人员人身安全，承担由于自身安全防护措施不力所造成的安全事故责任和发生的费用。</w:t>
      </w:r>
    </w:p>
    <w:p w14:paraId="795B2A9D">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4EEF4D26">
      <w:pPr>
        <w:shd w:val="clear"/>
        <w:wordWrap w:val="0"/>
        <w:adjustRightInd w:val="0"/>
        <w:snapToGrid w:val="0"/>
        <w:spacing w:line="440" w:lineRule="exact"/>
        <w:ind w:firstLine="482" w:firstLineChars="200"/>
        <w:rPr>
          <w:rFonts w:hint="eastAsia" w:ascii="宋体" w:hAnsi="宋体" w:eastAsia="宋体" w:cs="宋体"/>
          <w:strike/>
          <w:snapToGrid w:val="0"/>
          <w:color w:val="auto"/>
          <w:kern w:val="0"/>
          <w:highlight w:val="none"/>
        </w:rPr>
      </w:pPr>
      <w:r>
        <w:rPr>
          <w:rFonts w:hint="eastAsia" w:ascii="宋体" w:hAnsi="宋体" w:eastAsia="宋体" w:cs="宋体"/>
          <w:b/>
          <w:snapToGrid w:val="0"/>
          <w:color w:val="auto"/>
          <w:kern w:val="0"/>
          <w:highlight w:val="none"/>
        </w:rPr>
        <w:t>1</w:t>
      </w:r>
      <w:r>
        <w:rPr>
          <w:rFonts w:hint="eastAsia" w:ascii="宋体" w:hAnsi="宋体" w:eastAsia="宋体" w:cs="宋体"/>
          <w:b/>
          <w:snapToGrid w:val="0"/>
          <w:color w:val="auto"/>
          <w:kern w:val="0"/>
          <w:highlight w:val="none"/>
          <w:lang w:val="en-US" w:eastAsia="zh-CN"/>
        </w:rPr>
        <w:t>0</w:t>
      </w:r>
      <w:r>
        <w:rPr>
          <w:rFonts w:hint="eastAsia" w:ascii="宋体" w:hAnsi="宋体" w:eastAsia="宋体" w:cs="宋体"/>
          <w:b/>
          <w:snapToGrid w:val="0"/>
          <w:color w:val="auto"/>
          <w:kern w:val="0"/>
          <w:highlight w:val="none"/>
        </w:rPr>
        <w:t>．接受监督</w:t>
      </w:r>
    </w:p>
    <w:p w14:paraId="35773A1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监理人应严格按照法律、法规以及</w:t>
      </w:r>
      <w:r>
        <w:rPr>
          <w:rFonts w:hint="eastAsia" w:ascii="宋体" w:hAnsi="宋体" w:eastAsia="宋体" w:cs="宋体"/>
          <w:bCs/>
          <w:snapToGrid w:val="0"/>
          <w:color w:val="auto"/>
          <w:kern w:val="0"/>
          <w:highlight w:val="none"/>
        </w:rPr>
        <w:t>《建设工程监理规范》（GB/T 50319—2013）有关规定实施监理，同时须</w:t>
      </w:r>
      <w:r>
        <w:rPr>
          <w:rFonts w:hint="eastAsia" w:ascii="宋体" w:hAnsi="宋体" w:eastAsia="宋体" w:cs="宋体"/>
          <w:snapToGrid w:val="0"/>
          <w:color w:val="auto"/>
          <w:kern w:val="0"/>
          <w:highlight w:val="none"/>
        </w:rPr>
        <w:t>服从委托人以及建设行政主管部门对监理工作全方位的监督，及时将监理大纲、监理规划、监理实施细则等监理文件报委托人审查备案。</w:t>
      </w:r>
    </w:p>
    <w:p w14:paraId="37C6586E">
      <w:pPr>
        <w:shd w:val="clear"/>
        <w:wordWrap w:val="0"/>
        <w:adjustRightInd w:val="0"/>
        <w:snapToGrid w:val="0"/>
        <w:spacing w:line="440" w:lineRule="exact"/>
        <w:ind w:firstLine="560"/>
        <w:rPr>
          <w:rFonts w:hint="eastAsia" w:ascii="宋体" w:hAnsi="宋体" w:eastAsia="宋体" w:cs="宋体"/>
          <w:bCs/>
          <w:snapToGrid w:val="0"/>
          <w:color w:val="auto"/>
          <w:kern w:val="0"/>
          <w:highlight w:val="none"/>
        </w:rPr>
      </w:pPr>
    </w:p>
    <w:p w14:paraId="49DF79CD">
      <w:pPr>
        <w:shd w:val="clear"/>
        <w:wordWrap w:val="0"/>
        <w:adjustRightInd w:val="0"/>
        <w:snapToGrid w:val="0"/>
        <w:spacing w:line="440" w:lineRule="exact"/>
        <w:ind w:firstLine="560"/>
        <w:rPr>
          <w:rFonts w:hint="eastAsia" w:ascii="宋体" w:hAnsi="宋体" w:eastAsia="宋体" w:cs="宋体"/>
          <w:bCs/>
          <w:snapToGrid w:val="0"/>
          <w:color w:val="auto"/>
          <w:kern w:val="0"/>
          <w:highlight w:val="none"/>
        </w:rPr>
      </w:pPr>
      <w:r>
        <w:rPr>
          <w:rFonts w:hint="eastAsia" w:ascii="宋体" w:hAnsi="宋体" w:eastAsia="宋体" w:cs="宋体"/>
          <w:b/>
          <w:snapToGrid w:val="0"/>
          <w:color w:val="auto"/>
          <w:kern w:val="0"/>
          <w:highlight w:val="none"/>
        </w:rPr>
        <w:t>1</w:t>
      </w:r>
      <w:r>
        <w:rPr>
          <w:rFonts w:hint="eastAsia" w:ascii="宋体" w:hAnsi="宋体" w:eastAsia="宋体" w:cs="宋体"/>
          <w:b/>
          <w:snapToGrid w:val="0"/>
          <w:color w:val="auto"/>
          <w:kern w:val="0"/>
          <w:highlight w:val="none"/>
          <w:lang w:val="en-US" w:eastAsia="zh-CN"/>
        </w:rPr>
        <w:t>1</w:t>
      </w:r>
      <w:r>
        <w:rPr>
          <w:rFonts w:hint="eastAsia" w:ascii="宋体" w:hAnsi="宋体" w:eastAsia="宋体" w:cs="宋体"/>
          <w:b/>
          <w:snapToGrid w:val="0"/>
          <w:color w:val="auto"/>
          <w:kern w:val="0"/>
          <w:highlight w:val="none"/>
        </w:rPr>
        <w:t>．监理档案移交</w:t>
      </w:r>
    </w:p>
    <w:p w14:paraId="3DD3E295">
      <w:pPr>
        <w:shd w:val="clear"/>
        <w:wordWrap w:val="0"/>
        <w:adjustRightInd w:val="0"/>
        <w:snapToGrid w:val="0"/>
        <w:spacing w:line="440" w:lineRule="exact"/>
        <w:ind w:firstLine="56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工程竣工验收后，监理人应向委托人提交一式</w:t>
      </w:r>
      <w:r>
        <w:rPr>
          <w:rFonts w:hint="eastAsia" w:ascii="宋体" w:hAnsi="宋体" w:eastAsia="宋体" w:cs="宋体"/>
          <w:bCs/>
          <w:snapToGrid w:val="0"/>
          <w:color w:val="auto"/>
          <w:kern w:val="0"/>
          <w:highlight w:val="none"/>
          <w:u w:val="single"/>
        </w:rPr>
        <w:t xml:space="preserve"> 八 </w:t>
      </w:r>
      <w:r>
        <w:rPr>
          <w:rFonts w:hint="eastAsia" w:ascii="宋体" w:hAnsi="宋体" w:eastAsia="宋体" w:cs="宋体"/>
          <w:bCs/>
          <w:snapToGrid w:val="0"/>
          <w:color w:val="auto"/>
          <w:kern w:val="0"/>
          <w:highlight w:val="none"/>
        </w:rPr>
        <w:t>份符合《建设工程监理规范》（GB/T 50319—2013）</w:t>
      </w:r>
      <w:r>
        <w:rPr>
          <w:rFonts w:hint="eastAsia" w:ascii="宋体" w:hAnsi="宋体" w:eastAsia="宋体" w:cs="宋体"/>
          <w:bCs/>
          <w:snapToGrid w:val="0"/>
          <w:color w:val="auto"/>
          <w:kern w:val="0"/>
          <w:highlight w:val="none"/>
          <w:lang w:val="en-US" w:eastAsia="zh-CN"/>
        </w:rPr>
        <w:t>以及</w:t>
      </w:r>
      <w:r>
        <w:rPr>
          <w:rFonts w:hint="eastAsia" w:ascii="宋体" w:hAnsi="宋体" w:eastAsia="宋体" w:cs="宋体"/>
          <w:bCs/>
          <w:snapToGrid w:val="0"/>
          <w:color w:val="auto"/>
          <w:kern w:val="0"/>
          <w:highlight w:val="none"/>
        </w:rPr>
        <w:t>《韶关市城市建设档案管理办法》要求的监理档案。</w:t>
      </w:r>
    </w:p>
    <w:p w14:paraId="13B3ED8E">
      <w:pPr>
        <w:shd w:val="clear"/>
        <w:wordWrap w:val="0"/>
        <w:adjustRightInd w:val="0"/>
        <w:snapToGrid w:val="0"/>
        <w:spacing w:line="440" w:lineRule="exact"/>
        <w:ind w:firstLine="560"/>
        <w:rPr>
          <w:rFonts w:hint="eastAsia" w:ascii="宋体" w:hAnsi="宋体" w:eastAsia="宋体" w:cs="宋体"/>
          <w:bCs/>
          <w:snapToGrid w:val="0"/>
          <w:color w:val="auto"/>
          <w:kern w:val="0"/>
          <w:highlight w:val="none"/>
        </w:rPr>
      </w:pPr>
    </w:p>
    <w:p w14:paraId="0DD0507D">
      <w:pPr>
        <w:shd w:val="clear"/>
        <w:wordWrap w:val="0"/>
        <w:adjustRightInd w:val="0"/>
        <w:snapToGrid w:val="0"/>
        <w:spacing w:line="440" w:lineRule="exact"/>
        <w:ind w:firstLine="560"/>
        <w:rPr>
          <w:rFonts w:hint="eastAsia" w:ascii="宋体" w:hAnsi="宋体" w:eastAsia="宋体" w:cs="宋体"/>
          <w:strike/>
          <w:snapToGrid w:val="0"/>
          <w:color w:val="auto"/>
          <w:kern w:val="0"/>
          <w:highlight w:val="none"/>
        </w:rPr>
      </w:pPr>
      <w:r>
        <w:rPr>
          <w:rFonts w:hint="eastAsia" w:ascii="宋体" w:hAnsi="宋体" w:eastAsia="宋体" w:cs="宋体"/>
          <w:b/>
          <w:bCs/>
          <w:snapToGrid w:val="0"/>
          <w:color w:val="auto"/>
          <w:kern w:val="0"/>
          <w:highlight w:val="none"/>
        </w:rPr>
        <w:t>1</w:t>
      </w:r>
      <w:r>
        <w:rPr>
          <w:rFonts w:hint="eastAsia" w:ascii="宋体" w:hAnsi="宋体" w:eastAsia="宋体" w:cs="宋体"/>
          <w:b/>
          <w:bCs/>
          <w:snapToGrid w:val="0"/>
          <w:color w:val="auto"/>
          <w:kern w:val="0"/>
          <w:highlight w:val="none"/>
          <w:lang w:val="en-US" w:eastAsia="zh-CN"/>
        </w:rPr>
        <w:t>2</w:t>
      </w:r>
      <w:r>
        <w:rPr>
          <w:rFonts w:hint="eastAsia" w:ascii="宋体" w:hAnsi="宋体" w:eastAsia="宋体" w:cs="宋体"/>
          <w:b/>
          <w:snapToGrid w:val="0"/>
          <w:color w:val="auto"/>
          <w:kern w:val="0"/>
          <w:highlight w:val="none"/>
        </w:rPr>
        <w:t>．不良行为处理</w:t>
      </w:r>
    </w:p>
    <w:p w14:paraId="4DEFFB39">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及其有关人员有下列行为之一的，委托人应及时报请建设行政主管部门查处。除按照有关法律、法规进行处罚外，不良行为将计入企业及有关个人诚信档案，并在韶关市住房和城乡建设管理局网站（http://zgj.sg.gov.cn）公布。</w:t>
      </w:r>
    </w:p>
    <w:p w14:paraId="6C0311F2">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（1）转让监理业务的；</w:t>
      </w:r>
    </w:p>
    <w:p w14:paraId="57E0C65D">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（2）非原参加投标中标的总监理工程师负责组织监理或在实施过程中擅自更换总监理工程师的、项目监理机构的其他监理人员与中标文件确定的人员不相符的；</w:t>
      </w:r>
    </w:p>
    <w:p w14:paraId="16A18984">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（3）与建设单位、施工单位串通，签认虚假工程量或工程造价的；</w:t>
      </w:r>
    </w:p>
    <w:p w14:paraId="440AA0B7">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（4）现场监理不到位的；</w:t>
      </w:r>
    </w:p>
    <w:p w14:paraId="33DB7102">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（5）非本人资格证书注册单位从事监理工作的；</w:t>
      </w:r>
    </w:p>
    <w:p w14:paraId="18972C6E">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（6）总监理工程师承担超过三项工程监理任务的；</w:t>
      </w:r>
    </w:p>
    <w:p w14:paraId="3F359204">
      <w:pPr>
        <w:pStyle w:val="53"/>
        <w:shd w:val="clear"/>
        <w:wordWrap w:val="0"/>
        <w:adjustRightInd w:val="0"/>
        <w:snapToGrid w:val="0"/>
        <w:spacing w:line="440" w:lineRule="exact"/>
        <w:ind w:firstLine="48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（7）违反有关法律、法规、规章规定的其它行为。</w:t>
      </w:r>
    </w:p>
    <w:p w14:paraId="71BF67E9">
      <w:pPr>
        <w:pStyle w:val="46"/>
        <w:numPr>
          <w:ilvl w:val="0"/>
          <w:numId w:val="0"/>
        </w:numPr>
        <w:shd w:val="clear"/>
        <w:wordWrap w:val="0"/>
        <w:adjustRightInd w:val="0"/>
        <w:snapToGrid w:val="0"/>
        <w:spacing w:line="440" w:lineRule="exact"/>
        <w:rPr>
          <w:rFonts w:hint="eastAsia" w:ascii="宋体" w:hAnsi="宋体" w:eastAsia="宋体" w:cs="宋体"/>
          <w:b/>
          <w:bCs/>
          <w:snapToGrid w:val="0"/>
          <w:color w:val="auto"/>
          <w:kern w:val="0"/>
          <w:highlight w:val="none"/>
          <w:lang w:val="en-US" w:eastAsia="zh-CN"/>
        </w:rPr>
      </w:pPr>
    </w:p>
    <w:p w14:paraId="3A4351B9">
      <w:pPr>
        <w:pStyle w:val="46"/>
        <w:numPr>
          <w:ilvl w:val="0"/>
          <w:numId w:val="0"/>
        </w:num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lang w:val="en-US" w:eastAsia="zh-CN"/>
        </w:rPr>
        <w:t>14.</w:t>
      </w:r>
      <w:r>
        <w:rPr>
          <w:rFonts w:hint="eastAsia" w:ascii="宋体" w:hAnsi="宋体" w:eastAsia="宋体" w:cs="宋体"/>
          <w:b/>
          <w:bCs/>
          <w:snapToGrid w:val="0"/>
          <w:color w:val="auto"/>
          <w:kern w:val="0"/>
          <w:highlight w:val="none"/>
        </w:rPr>
        <w:t>其他事项</w:t>
      </w:r>
    </w:p>
    <w:p w14:paraId="27F7537B">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bookmarkStart w:id="342" w:name="_Toc7302"/>
      <w:bookmarkStart w:id="343" w:name="_Toc6731"/>
      <w:bookmarkStart w:id="344" w:name="_Toc12639"/>
      <w:bookmarkStart w:id="345" w:name="_Toc28684"/>
      <w:bookmarkStart w:id="346" w:name="_Toc26868"/>
      <w:bookmarkStart w:id="347" w:name="_Toc16389"/>
      <w:bookmarkStart w:id="348" w:name="_Toc19507"/>
      <w:bookmarkStart w:id="349" w:name="_Hlt69698713"/>
      <w:bookmarkStart w:id="350" w:name="_Toc24108"/>
      <w:bookmarkStart w:id="351" w:name="_Hlt69698765"/>
      <w:bookmarkStart w:id="352" w:name="_Toc16162"/>
      <w:bookmarkStart w:id="353" w:name="_Toc23491"/>
      <w:bookmarkStart w:id="354" w:name="_Toc16510"/>
      <w:bookmarkStart w:id="355" w:name="_Hlt69698776"/>
      <w:bookmarkStart w:id="356" w:name="_Toc28918"/>
      <w:r>
        <w:rPr>
          <w:rFonts w:hint="eastAsia" w:ascii="宋体" w:hAnsi="宋体" w:eastAsia="宋体" w:cs="宋体"/>
          <w:b/>
          <w:bCs/>
          <w:snapToGrid w:val="0"/>
          <w:color w:val="auto"/>
          <w:kern w:val="0"/>
          <w:sz w:val="24"/>
          <w:szCs w:val="24"/>
          <w:highlight w:val="none"/>
          <w:lang w:val="en-US" w:eastAsia="zh-CN" w:bidi="ar-SA"/>
        </w:rPr>
        <w:t xml:space="preserve">14.1 </w:t>
      </w:r>
      <w:r>
        <w:rPr>
          <w:rFonts w:hint="eastAsia" w:ascii="宋体" w:hAnsi="宋体" w:eastAsia="宋体" w:cs="宋体"/>
          <w:b w:val="0"/>
          <w:bCs w:val="0"/>
          <w:snapToGrid w:val="0"/>
          <w:color w:val="auto"/>
          <w:kern w:val="0"/>
          <w:sz w:val="24"/>
          <w:szCs w:val="24"/>
          <w:highlight w:val="none"/>
          <w:lang w:val="en-US" w:eastAsia="zh-CN" w:bidi="ar-SA"/>
        </w:rPr>
        <w:t>若由于监理单位的过错或失职，对委托人造成损失的，监理人必须依法承担赔偿责任。</w:t>
      </w:r>
    </w:p>
    <w:p w14:paraId="3400F050">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14.2 </w:t>
      </w:r>
      <w:r>
        <w:rPr>
          <w:rFonts w:hint="eastAsia" w:ascii="宋体" w:hAnsi="宋体" w:eastAsia="宋体" w:cs="宋体"/>
          <w:snapToGrid w:val="0"/>
          <w:color w:val="auto"/>
          <w:kern w:val="0"/>
          <w:szCs w:val="24"/>
          <w:highlight w:val="none"/>
        </w:rPr>
        <w:t>本工程质量必须达到</w:t>
      </w:r>
      <w:r>
        <w:rPr>
          <w:rFonts w:hint="eastAsia" w:ascii="宋体" w:hAnsi="宋体" w:eastAsia="宋体" w:cs="宋体"/>
          <w:snapToGrid w:val="0"/>
          <w:color w:val="auto"/>
          <w:kern w:val="0"/>
          <w:szCs w:val="24"/>
          <w:highlight w:val="none"/>
          <w:u w:val="single"/>
        </w:rPr>
        <w:t>《建筑工程施工质量验收统一标准》(GB50300-2013)合格</w:t>
      </w:r>
      <w:r>
        <w:rPr>
          <w:rFonts w:hint="eastAsia" w:ascii="宋体" w:hAnsi="宋体" w:eastAsia="宋体" w:cs="宋体"/>
          <w:snapToGrid w:val="0"/>
          <w:color w:val="auto"/>
          <w:kern w:val="0"/>
          <w:szCs w:val="24"/>
          <w:highlight w:val="none"/>
        </w:rPr>
        <w:t>标准。</w:t>
      </w:r>
      <w:r>
        <w:rPr>
          <w:rFonts w:hint="eastAsia" w:ascii="宋体" w:hAnsi="宋体" w:eastAsia="宋体" w:cs="宋体"/>
          <w:b w:val="0"/>
          <w:bCs w:val="0"/>
          <w:snapToGrid w:val="0"/>
          <w:color w:val="auto"/>
          <w:kern w:val="0"/>
          <w:sz w:val="24"/>
          <w:szCs w:val="24"/>
          <w:highlight w:val="none"/>
          <w:lang w:val="en-US" w:eastAsia="zh-CN" w:bidi="ar-SA"/>
        </w:rPr>
        <w:t>若因监理人原因，工程在竣工验收或分部工程验收时没有达到此标准，监理人按监理合同价款（指监理结算价款）的10％向委托人缴纳质量违约金。</w:t>
      </w:r>
    </w:p>
    <w:p w14:paraId="32AF44C0">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14.3 </w:t>
      </w:r>
      <w:r>
        <w:rPr>
          <w:rFonts w:hint="eastAsia" w:ascii="宋体" w:hAnsi="宋体" w:eastAsia="宋体" w:cs="宋体"/>
          <w:b w:val="0"/>
          <w:bCs w:val="0"/>
          <w:snapToGrid w:val="0"/>
          <w:color w:val="auto"/>
          <w:kern w:val="0"/>
          <w:sz w:val="24"/>
          <w:szCs w:val="24"/>
          <w:highlight w:val="none"/>
          <w:lang w:val="en-US" w:eastAsia="zh-CN" w:bidi="ar-SA"/>
        </w:rPr>
        <w:t>监理人必须按投标文件中的服务承诺条款履行合同。</w:t>
      </w:r>
    </w:p>
    <w:p w14:paraId="6BA86CD7">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14.4 </w:t>
      </w:r>
      <w:r>
        <w:rPr>
          <w:rFonts w:hint="eastAsia" w:ascii="宋体" w:hAnsi="宋体" w:eastAsia="宋体" w:cs="宋体"/>
          <w:b w:val="0"/>
          <w:bCs w:val="0"/>
          <w:snapToGrid w:val="0"/>
          <w:color w:val="auto"/>
          <w:kern w:val="0"/>
          <w:sz w:val="24"/>
          <w:szCs w:val="24"/>
          <w:highlight w:val="none"/>
          <w:lang w:val="en-US" w:eastAsia="zh-CN" w:bidi="ar-SA"/>
        </w:rPr>
        <w:t>监理人在监理期间应严格遵守国家、省、市有关防火、爆破和监理安全以及文明监理、深夜监理、环卫城管等规定，建立规章制度和防护措施。否则，由此造成的经济和法律责任，均由监理人负责。</w:t>
      </w:r>
    </w:p>
    <w:p w14:paraId="1AAE0E48">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14.5 </w:t>
      </w:r>
      <w:r>
        <w:rPr>
          <w:rFonts w:hint="eastAsia" w:ascii="宋体" w:hAnsi="宋体" w:eastAsia="宋体" w:cs="宋体"/>
          <w:b w:val="0"/>
          <w:bCs w:val="0"/>
          <w:snapToGrid w:val="0"/>
          <w:color w:val="auto"/>
          <w:kern w:val="0"/>
          <w:sz w:val="24"/>
          <w:szCs w:val="24"/>
          <w:highlight w:val="none"/>
          <w:lang w:val="en-US" w:eastAsia="zh-CN" w:bidi="ar-SA"/>
        </w:rPr>
        <w:t>监理人应按安全监理的要求，采取严格科学的安全措施，确保监理安全和第三者的安全，承担由于自身安全措施不力所造成的事故责任和发生的费用。</w:t>
      </w:r>
    </w:p>
    <w:p w14:paraId="780669D8">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14.6 </w:t>
      </w:r>
      <w:r>
        <w:rPr>
          <w:rFonts w:hint="eastAsia" w:ascii="宋体" w:hAnsi="宋体" w:eastAsia="宋体" w:cs="宋体"/>
          <w:b w:val="0"/>
          <w:bCs w:val="0"/>
          <w:snapToGrid w:val="0"/>
          <w:color w:val="auto"/>
          <w:kern w:val="0"/>
          <w:sz w:val="24"/>
          <w:szCs w:val="24"/>
          <w:highlight w:val="none"/>
          <w:lang w:val="en-US" w:eastAsia="zh-CN" w:bidi="ar-SA"/>
        </w:rPr>
        <w:t>工程竣工验收后，监理人应向委托人提供符合现行《建设工程监理规范》（GB/t50319-2013）、《韶关市城市建设档案管理办法》及韶关市城市建设档案馆的要求（质量、数量），编制成册的监理档案资料（制作标准和相关要求按韶关市城市建设档案馆的有关规定执行），并承担档案涉及的所有费用。</w:t>
      </w:r>
    </w:p>
    <w:p w14:paraId="2434EC78">
      <w:pPr>
        <w:shd w:val="clear"/>
        <w:adjustRightInd w:val="0"/>
        <w:snapToGrid w:val="0"/>
        <w:spacing w:line="440" w:lineRule="exact"/>
        <w:ind w:firstLine="482" w:firstLineChars="200"/>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14.7 </w:t>
      </w:r>
      <w:r>
        <w:rPr>
          <w:rFonts w:hint="eastAsia" w:ascii="宋体" w:hAnsi="宋体" w:eastAsia="宋体" w:cs="宋体"/>
          <w:b w:val="0"/>
          <w:bCs w:val="0"/>
          <w:snapToGrid w:val="0"/>
          <w:color w:val="auto"/>
          <w:kern w:val="0"/>
          <w:sz w:val="24"/>
          <w:szCs w:val="24"/>
          <w:highlight w:val="none"/>
          <w:lang w:val="en-US" w:eastAsia="zh-CN" w:bidi="ar-SA"/>
        </w:rPr>
        <w:t>监理人须服从委托人及政府工程质量监督部门对监理工程全方位的监督，监理资料应及时报送委托人审查备案。</w:t>
      </w:r>
    </w:p>
    <w:p w14:paraId="2D4AC54E">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14.8</w:t>
      </w:r>
      <w:r>
        <w:rPr>
          <w:rFonts w:hint="eastAsia" w:ascii="宋体" w:hAnsi="宋体" w:eastAsia="宋体" w:cs="宋体"/>
          <w:b w:val="0"/>
          <w:bCs w:val="0"/>
          <w:snapToGrid w:val="0"/>
          <w:color w:val="auto"/>
          <w:kern w:val="0"/>
          <w:sz w:val="24"/>
          <w:szCs w:val="24"/>
          <w:highlight w:val="none"/>
          <w:lang w:val="en-US" w:eastAsia="zh-CN" w:bidi="ar-SA"/>
        </w:rPr>
        <w:t>监理人在施工过程中若发生现场签证时，按委托人签证管理办法执行。</w:t>
      </w:r>
    </w:p>
    <w:p w14:paraId="48EA6F57">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14.9 </w:t>
      </w:r>
      <w:r>
        <w:rPr>
          <w:rFonts w:hint="eastAsia" w:ascii="宋体" w:hAnsi="宋体" w:eastAsia="宋体" w:cs="宋体"/>
          <w:b w:val="0"/>
          <w:bCs w:val="0"/>
          <w:snapToGrid w:val="0"/>
          <w:color w:val="auto"/>
          <w:kern w:val="0"/>
          <w:sz w:val="24"/>
          <w:szCs w:val="24"/>
          <w:highlight w:val="none"/>
          <w:lang w:val="en-US" w:eastAsia="zh-CN" w:bidi="ar-SA"/>
        </w:rPr>
        <w:t>招标文件、招标答疑书、投标文件和中标通知书是委托人与监理人双方签订的施工监理合同的主要组成部分，并与合同一样，具有相同的法律效力。如中标通知书发出后，发现监理人的投标文件中有与招标文件所述内容及要求不符的，按招标文件执行。</w:t>
      </w:r>
    </w:p>
    <w:p w14:paraId="0163C287">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14.10 </w:t>
      </w:r>
      <w:r>
        <w:rPr>
          <w:rFonts w:hint="eastAsia" w:ascii="宋体" w:hAnsi="宋体" w:eastAsia="宋体" w:cs="宋体"/>
          <w:b w:val="0"/>
          <w:bCs w:val="0"/>
          <w:snapToGrid w:val="0"/>
          <w:color w:val="auto"/>
          <w:kern w:val="0"/>
          <w:sz w:val="24"/>
          <w:szCs w:val="24"/>
          <w:highlight w:val="none"/>
          <w:lang w:val="en-US" w:eastAsia="zh-CN" w:bidi="ar-SA"/>
        </w:rPr>
        <w:t>监理人若在韶关市无固定服务场所和固定专业负责人的，则在合同签订后尽快完成驻韶固定办公场所办理和安排固定项目负责人及其他相关监理人员驻韶办公。</w:t>
      </w:r>
    </w:p>
    <w:p w14:paraId="2E5FE5FE">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 xml:space="preserve">14.11 </w:t>
      </w:r>
      <w:r>
        <w:rPr>
          <w:rFonts w:hint="eastAsia" w:ascii="宋体" w:hAnsi="宋体" w:eastAsia="宋体" w:cs="宋体"/>
          <w:b w:val="0"/>
          <w:bCs w:val="0"/>
          <w:snapToGrid w:val="0"/>
          <w:color w:val="auto"/>
          <w:kern w:val="0"/>
          <w:sz w:val="24"/>
          <w:szCs w:val="24"/>
          <w:highlight w:val="none"/>
          <w:lang w:val="en-US" w:eastAsia="zh-CN" w:bidi="ar-SA"/>
        </w:rPr>
        <w:t>监理人拟派驻现场的监理机构组成人员数量须符合《广东省建设厅转发建设部关于印发&lt;房屋建筑工程施工旁站监理管理办法（试行）&gt;的通知》（粤建管（2002）97号文》关于工程项目监理人数配置要求。同时，监理人派驻到工程所在地进行监理服务的监理人员，应能够胜任监理合同约定的监理服务工作。发包人有权以书面形式要求监理人更换不能按照监理合同的约定进行监理服务的派驻人员。</w:t>
      </w:r>
    </w:p>
    <w:p w14:paraId="422F0CE4">
      <w:pPr>
        <w:shd w:val="clear"/>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14.12</w:t>
      </w:r>
      <w:r>
        <w:rPr>
          <w:rFonts w:hint="eastAsia" w:ascii="宋体" w:hAnsi="宋体" w:eastAsia="宋体" w:cs="宋体"/>
          <w:b w:val="0"/>
          <w:bCs w:val="0"/>
          <w:snapToGrid w:val="0"/>
          <w:color w:val="auto"/>
          <w:kern w:val="0"/>
          <w:sz w:val="24"/>
          <w:szCs w:val="24"/>
          <w:highlight w:val="none"/>
          <w:lang w:val="en-US" w:eastAsia="zh-CN" w:bidi="ar-SA"/>
        </w:rPr>
        <w:t>监理单位应在开工前向业主方提交派驻现场监理人员名单。</w:t>
      </w:r>
    </w:p>
    <w:p w14:paraId="7CF32C82">
      <w:pPr>
        <w:shd w:val="clear"/>
        <w:rPr>
          <w:rFonts w:hint="eastAsia" w:ascii="宋体" w:hAnsi="宋体" w:eastAsia="宋体" w:cs="宋体"/>
          <w:color w:val="auto"/>
          <w:highlight w:val="none"/>
        </w:rPr>
      </w:pPr>
    </w:p>
    <w:p w14:paraId="4D8D1D5F">
      <w:pPr>
        <w:pStyle w:val="3"/>
        <w:shd w:val="clear"/>
        <w:tabs>
          <w:tab w:val="left" w:pos="885"/>
        </w:tabs>
        <w:wordWrap w:val="0"/>
        <w:autoSpaceDE/>
        <w:autoSpaceDN/>
        <w:snapToGrid w:val="0"/>
        <w:spacing w:line="440" w:lineRule="exact"/>
        <w:ind w:left="885" w:hanging="885"/>
        <w:jc w:val="center"/>
        <w:rPr>
          <w:rFonts w:hint="eastAsia" w:ascii="宋体" w:hAnsi="宋体" w:eastAsia="宋体" w:cs="宋体"/>
          <w:b/>
          <w:snapToGrid w:val="0"/>
          <w:color w:val="auto"/>
          <w:highlight w:val="none"/>
        </w:rPr>
      </w:pPr>
      <w:bookmarkStart w:id="357" w:name="_Toc15860"/>
      <w:r>
        <w:rPr>
          <w:rFonts w:hint="eastAsia" w:ascii="宋体" w:hAnsi="宋体" w:eastAsia="宋体" w:cs="宋体"/>
          <w:b/>
          <w:snapToGrid w:val="0"/>
          <w:color w:val="auto"/>
          <w:highlight w:val="none"/>
          <w:lang w:val="en-US" w:eastAsia="zh-CN"/>
        </w:rPr>
        <w:br w:type="page"/>
      </w:r>
      <w:bookmarkEnd w:id="357"/>
      <w:bookmarkStart w:id="358" w:name="_Toc20085"/>
      <w:r>
        <w:rPr>
          <w:rFonts w:hint="eastAsia" w:ascii="宋体" w:hAnsi="宋体" w:eastAsia="宋体" w:cs="宋体"/>
          <w:b/>
          <w:snapToGrid w:val="0"/>
          <w:color w:val="auto"/>
          <w:sz w:val="24"/>
          <w:highlight w:val="none"/>
        </w:rPr>
        <w:t>第三章</w:t>
      </w:r>
      <w:bookmarkStart w:id="359" w:name="_Hlt87793831"/>
      <w:bookmarkEnd w:id="359"/>
      <w:r>
        <w:rPr>
          <w:rFonts w:hint="eastAsia" w:ascii="宋体" w:hAnsi="宋体" w:eastAsia="宋体" w:cs="宋体"/>
          <w:b/>
          <w:snapToGrid w:val="0"/>
          <w:color w:val="auto"/>
          <w:sz w:val="24"/>
          <w:highlight w:val="none"/>
        </w:rPr>
        <w:t xml:space="preserve"> 拟签订合同的主要条款</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8"/>
      <w:bookmarkStart w:id="360" w:name="_Toc322793288"/>
      <w:bookmarkStart w:id="361" w:name="_Toc326916629"/>
      <w:bookmarkStart w:id="362" w:name="_Toc2688"/>
    </w:p>
    <w:bookmarkEnd w:id="360"/>
    <w:bookmarkEnd w:id="361"/>
    <w:bookmarkEnd w:id="362"/>
    <w:p w14:paraId="4DE3195C">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p>
    <w:p w14:paraId="6F09701E">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1．现场办公条件</w:t>
      </w:r>
    </w:p>
    <w:p w14:paraId="1A73C605">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1.1</w:t>
      </w:r>
      <w:r>
        <w:rPr>
          <w:rFonts w:hint="eastAsia" w:ascii="宋体" w:hAnsi="宋体" w:eastAsia="宋体" w:cs="宋体"/>
          <w:snapToGrid w:val="0"/>
          <w:color w:val="auto"/>
          <w:kern w:val="0"/>
          <w:highlight w:val="none"/>
        </w:rPr>
        <w:t xml:space="preserve"> 监理人的办公、休息场所不得与承包人混用。所需场所、水电网络接入由委托人征求监理人意见后，与承包人协调明确，但费用（若有）由监理人支付。监理人所需场所的数量及其面积应与工程规模、特点相匹配，并应满足监理工作正常运作的需要。</w:t>
      </w:r>
    </w:p>
    <w:p w14:paraId="6B20C0BE">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1.2</w:t>
      </w:r>
      <w:r>
        <w:rPr>
          <w:rFonts w:hint="eastAsia" w:ascii="宋体" w:hAnsi="宋体" w:eastAsia="宋体" w:cs="宋体"/>
          <w:snapToGrid w:val="0"/>
          <w:color w:val="auto"/>
          <w:kern w:val="0"/>
          <w:highlight w:val="none"/>
        </w:rPr>
        <w:t xml:space="preserve"> 监理人应按照工程需要，自行配备以下的设施、设备：</w:t>
      </w:r>
    </w:p>
    <w:p w14:paraId="602B81A6">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（1）办公桌椅、文件柜、床铺被褥、供冷采暖设施等办公和生活设施；</w:t>
      </w:r>
    </w:p>
    <w:p w14:paraId="52E5D67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（2）电脑、投影、打印机、复印机、传真机等办公设备及其耗材；</w:t>
      </w:r>
    </w:p>
    <w:p w14:paraId="4985D42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（3）拍摄、录音、录像等取证器材；</w:t>
      </w:r>
    </w:p>
    <w:p w14:paraId="4595E387">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（4）信息化管理软件或系统；</w:t>
      </w:r>
    </w:p>
    <w:p w14:paraId="7B08B797">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（5）通信和交通工具；</w:t>
      </w:r>
    </w:p>
    <w:p w14:paraId="2A65E9D7">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（6）本工程必备的规范标准、图集等书籍手册；</w:t>
      </w:r>
    </w:p>
    <w:p w14:paraId="4B1B8653">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（7）安全帽、安全鞋、安全手套、安全服装、手电筒等安全防护用具；</w:t>
      </w:r>
    </w:p>
    <w:p w14:paraId="005FBA8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r>
        <w:rPr>
          <w:rFonts w:hint="eastAsia" w:ascii="宋体" w:hAnsi="宋体" w:eastAsia="宋体" w:cs="宋体"/>
          <w:snapToGrid w:val="0"/>
          <w:color w:val="auto"/>
          <w:kern w:val="0"/>
          <w:highlight w:val="none"/>
          <w:u w:val="single"/>
          <w:lang w:val="en-US" w:eastAsia="zh-CN"/>
        </w:rPr>
        <w:t xml:space="preserve">打卡 / </w:t>
      </w:r>
      <w:r>
        <w:rPr>
          <w:rFonts w:hint="eastAsia" w:ascii="宋体" w:hAnsi="宋体" w:eastAsia="宋体" w:cs="宋体"/>
          <w:snapToGrid w:val="0"/>
          <w:color w:val="auto"/>
          <w:kern w:val="0"/>
          <w:highlight w:val="none"/>
          <w:u w:val="single"/>
        </w:rPr>
        <w:t>指纹识别</w:t>
      </w:r>
      <w:r>
        <w:rPr>
          <w:rFonts w:hint="eastAsia" w:ascii="宋体" w:hAnsi="宋体" w:eastAsia="宋体" w:cs="宋体"/>
          <w:snapToGrid w:val="0"/>
          <w:color w:val="auto"/>
          <w:kern w:val="0"/>
          <w:highlight w:val="none"/>
          <w:u w:val="single"/>
          <w:lang w:val="en-US" w:eastAsia="zh-CN"/>
        </w:rPr>
        <w:t xml:space="preserve"> / </w:t>
      </w:r>
      <w:r>
        <w:rPr>
          <w:rFonts w:hint="eastAsia" w:ascii="宋体" w:hAnsi="宋体" w:eastAsia="宋体" w:cs="宋体"/>
          <w:snapToGrid w:val="0"/>
          <w:color w:val="auto"/>
          <w:kern w:val="0"/>
          <w:highlight w:val="none"/>
          <w:u w:val="single"/>
        </w:rPr>
        <w:t xml:space="preserve">人脸识别 </w:t>
      </w:r>
      <w:r>
        <w:rPr>
          <w:rFonts w:hint="eastAsia" w:ascii="宋体" w:hAnsi="宋体" w:eastAsia="宋体" w:cs="宋体"/>
          <w:snapToGrid w:val="0"/>
          <w:color w:val="auto"/>
          <w:kern w:val="0"/>
          <w:highlight w:val="none"/>
        </w:rPr>
        <w:t>考勤设备考勤设备；</w:t>
      </w:r>
    </w:p>
    <w:p w14:paraId="7660483C">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9</w:t>
      </w:r>
      <w:r>
        <w:rPr>
          <w:rFonts w:hint="eastAsia" w:ascii="宋体" w:hAnsi="宋体" w:eastAsia="宋体" w:cs="宋体"/>
          <w:snapToGrid w:val="0"/>
          <w:color w:val="auto"/>
          <w:kern w:val="0"/>
          <w:highlight w:val="none"/>
        </w:rPr>
        <w:t>）配备满足用于监理现场抽检所用的试验设备和仪器；</w:t>
      </w:r>
    </w:p>
    <w:p w14:paraId="7893A53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lang w:val="en-US" w:eastAsia="zh-CN"/>
        </w:rPr>
        <w:t>10</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其他与监理工作有关的设备与用品。</w:t>
      </w:r>
    </w:p>
    <w:p w14:paraId="27BBDB7D">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6219BF4A">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2．酬金</w:t>
      </w:r>
    </w:p>
    <w:p w14:paraId="5CF373A2">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2.1</w:t>
      </w:r>
      <w:r>
        <w:rPr>
          <w:rFonts w:hint="eastAsia" w:ascii="宋体" w:hAnsi="宋体" w:eastAsia="宋体" w:cs="宋体"/>
          <w:snapToGrid w:val="0"/>
          <w:color w:val="auto"/>
          <w:kern w:val="0"/>
          <w:highlight w:val="none"/>
        </w:rPr>
        <w:t xml:space="preserve"> “酬金”指监理人履行本合同义务，委托人按照本合同约定（包括按照合同约定进行的变更和调整）给付监理人的金额。</w:t>
      </w:r>
    </w:p>
    <w:p w14:paraId="6C1D47DC">
      <w:pPr>
        <w:keepNext w:val="0"/>
        <w:keepLines w:val="0"/>
        <w:widowControl w:val="0"/>
        <w:suppressLineNumbers w:val="0"/>
        <w:shd w:val="clear"/>
        <w:wordWrap w:val="0"/>
        <w:adjustRightInd w:val="0"/>
        <w:snapToGrid w:val="0"/>
        <w:spacing w:before="0" w:beforeAutospacing="0" w:after="0" w:afterAutospacing="0" w:line="440" w:lineRule="exact"/>
        <w:ind w:left="0" w:right="0" w:firstLine="482" w:firstLineChars="200"/>
        <w:jc w:val="both"/>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2.2</w:t>
      </w:r>
      <w:r>
        <w:rPr>
          <w:rFonts w:hint="eastAsia" w:ascii="宋体" w:hAnsi="宋体" w:eastAsia="宋体" w:cs="宋体"/>
          <w:snapToGrid w:val="0"/>
          <w:color w:val="auto"/>
          <w:kern w:val="0"/>
          <w:highlight w:val="none"/>
        </w:rPr>
        <w:t xml:space="preserve"> 酬金结算原则：</w:t>
      </w:r>
      <w:r>
        <w:rPr>
          <w:rFonts w:hint="eastAsia" w:ascii="宋体" w:hAnsi="宋体" w:eastAsia="宋体" w:cs="宋体"/>
          <w:snapToGrid w:val="0"/>
          <w:color w:val="auto"/>
          <w:kern w:val="0"/>
          <w:highlight w:val="none"/>
          <w:u w:val="single"/>
        </w:rPr>
        <w:t>固定总价包干</w:t>
      </w:r>
      <w:r>
        <w:rPr>
          <w:rFonts w:hint="eastAsia" w:ascii="宋体" w:hAnsi="宋体" w:eastAsia="宋体" w:cs="宋体"/>
          <w:bCs/>
          <w:snapToGrid w:val="0"/>
          <w:color w:val="auto"/>
          <w:kern w:val="0"/>
          <w:highlight w:val="none"/>
          <w:u w:val="single"/>
        </w:rPr>
        <w:t>。</w:t>
      </w:r>
    </w:p>
    <w:p w14:paraId="23AE2F4D">
      <w:pPr>
        <w:pStyle w:val="33"/>
        <w:shd w:val="clear"/>
        <w:jc w:val="left"/>
        <w:rPr>
          <w:rFonts w:hint="eastAsia" w:ascii="宋体" w:hAnsi="宋体" w:eastAsia="宋体" w:cs="宋体"/>
          <w:color w:val="auto"/>
          <w:highlight w:val="none"/>
        </w:rPr>
      </w:pPr>
    </w:p>
    <w:p w14:paraId="40333A7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3．酬金发票</w:t>
      </w:r>
    </w:p>
    <w:p w14:paraId="727B119A">
      <w:pPr>
        <w:shd w:val="clear"/>
        <w:wordWrap w:val="0"/>
        <w:adjustRightInd w:val="0"/>
        <w:snapToGrid w:val="0"/>
        <w:spacing w:line="440" w:lineRule="exact"/>
        <w:ind w:firstLine="480" w:firstLineChars="200"/>
        <w:rPr>
          <w:rFonts w:hint="eastAsia" w:ascii="宋体" w:hAnsi="宋体" w:eastAsia="宋体" w:cs="宋体"/>
          <w:b w:val="0"/>
          <w:bCs w:val="0"/>
          <w:snapToGrid w:val="0"/>
          <w:color w:val="auto"/>
          <w:kern w:val="0"/>
          <w:highlight w:val="none"/>
        </w:rPr>
      </w:pPr>
      <w:r>
        <w:rPr>
          <w:rFonts w:hint="eastAsia" w:ascii="宋体" w:hAnsi="宋体" w:eastAsia="宋体" w:cs="宋体"/>
          <w:b w:val="0"/>
          <w:bCs w:val="0"/>
          <w:snapToGrid w:val="0"/>
          <w:color w:val="auto"/>
          <w:kern w:val="0"/>
          <w:highlight w:val="none"/>
        </w:rPr>
        <w:t>委托人每次支付酬金前，监理人均应提供有效的增值税</w:t>
      </w:r>
      <w:r>
        <w:rPr>
          <w:rFonts w:hint="eastAsia" w:ascii="宋体" w:hAnsi="宋体" w:eastAsia="宋体" w:cs="宋体"/>
          <w:b w:val="0"/>
          <w:bCs w:val="0"/>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lang w:val="en-US" w:eastAsia="zh-CN"/>
        </w:rPr>
        <w:t>普通/专用</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b w:val="0"/>
          <w:bCs w:val="0"/>
          <w:snapToGrid w:val="0"/>
          <w:color w:val="auto"/>
          <w:kern w:val="0"/>
          <w:highlight w:val="none"/>
        </w:rPr>
        <w:t xml:space="preserve">发票。如果监理人无法提供符合要求的酬金发票，由此造成的相应损失由监理人承担。 </w:t>
      </w:r>
    </w:p>
    <w:p w14:paraId="2C87B740">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p>
    <w:p w14:paraId="2A9FF572">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4．违约责任</w:t>
      </w:r>
    </w:p>
    <w:p w14:paraId="1E55A284">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4.1</w:t>
      </w:r>
      <w:r>
        <w:rPr>
          <w:rFonts w:hint="eastAsia" w:ascii="宋体" w:hAnsi="宋体" w:eastAsia="宋体" w:cs="宋体"/>
          <w:snapToGrid w:val="0"/>
          <w:color w:val="auto"/>
          <w:kern w:val="0"/>
          <w:highlight w:val="none"/>
        </w:rPr>
        <w:t xml:space="preserve"> 监理人的违约责任</w:t>
      </w:r>
    </w:p>
    <w:p w14:paraId="2F88B6AF">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监理人未履行本合同义务的，应承担相应的责任。</w:t>
      </w:r>
    </w:p>
    <w:p w14:paraId="2082D0F1">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4.1.1</w:t>
      </w:r>
      <w:r>
        <w:rPr>
          <w:rFonts w:hint="eastAsia" w:ascii="宋体" w:hAnsi="宋体" w:eastAsia="宋体" w:cs="宋体"/>
          <w:snapToGrid w:val="0"/>
          <w:color w:val="auto"/>
          <w:kern w:val="0"/>
          <w:highlight w:val="none"/>
        </w:rPr>
        <w:t xml:space="preserve"> 因监理人违反本合同约定给委托人造成损失的，监理人应当赔偿委托人损失。</w:t>
      </w:r>
    </w:p>
    <w:p w14:paraId="279D48ED">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监理人赔偿金额按下列方法确定：</w:t>
      </w:r>
      <w:r>
        <w:rPr>
          <w:rFonts w:hint="eastAsia" w:ascii="宋体" w:hAnsi="宋体" w:eastAsia="宋体" w:cs="宋体"/>
          <w:snapToGrid w:val="0"/>
          <w:color w:val="auto"/>
          <w:kern w:val="0"/>
          <w:highlight w:val="none"/>
          <w:u w:val="single"/>
        </w:rPr>
        <w:t>按本章第8条执行</w:t>
      </w:r>
      <w:r>
        <w:rPr>
          <w:rFonts w:hint="eastAsia" w:ascii="宋体" w:hAnsi="宋体" w:eastAsia="宋体" w:cs="宋体"/>
          <w:snapToGrid w:val="0"/>
          <w:color w:val="auto"/>
          <w:kern w:val="0"/>
          <w:highlight w:val="none"/>
        </w:rPr>
        <w:t>。</w:t>
      </w:r>
    </w:p>
    <w:p w14:paraId="7AEDDB68">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监理人承担部分赔偿责任的，其承担赔偿金额由双方协商确定。</w:t>
      </w:r>
    </w:p>
    <w:p w14:paraId="47FA70AE">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4.1.2</w:t>
      </w:r>
      <w:r>
        <w:rPr>
          <w:rFonts w:hint="eastAsia" w:ascii="宋体" w:hAnsi="宋体" w:eastAsia="宋体" w:cs="宋体"/>
          <w:snapToGrid w:val="0"/>
          <w:color w:val="auto"/>
          <w:kern w:val="0"/>
          <w:highlight w:val="none"/>
        </w:rPr>
        <w:t xml:space="preserve"> 监理人向委托人的索赔不成立时，监理人应赔偿委托人由此发生的费用。</w:t>
      </w:r>
    </w:p>
    <w:p w14:paraId="22AF3505">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4.2</w:t>
      </w:r>
      <w:r>
        <w:rPr>
          <w:rFonts w:hint="eastAsia" w:ascii="宋体" w:hAnsi="宋体" w:eastAsia="宋体" w:cs="宋体"/>
          <w:snapToGrid w:val="0"/>
          <w:color w:val="auto"/>
          <w:kern w:val="0"/>
          <w:highlight w:val="none"/>
        </w:rPr>
        <w:t xml:space="preserve"> 委托人的违约责任</w:t>
      </w:r>
    </w:p>
    <w:p w14:paraId="1363FC4B">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委托人未履行本合同义务的，应承担相应的责任。</w:t>
      </w:r>
    </w:p>
    <w:p w14:paraId="2A9BBB4B">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4.2.1</w:t>
      </w:r>
      <w:r>
        <w:rPr>
          <w:rFonts w:hint="eastAsia" w:ascii="宋体" w:hAnsi="宋体" w:eastAsia="宋体" w:cs="宋体"/>
          <w:snapToGrid w:val="0"/>
          <w:color w:val="auto"/>
          <w:kern w:val="0"/>
          <w:highlight w:val="none"/>
        </w:rPr>
        <w:t xml:space="preserve"> 委托人违反本合同约定造成监理人损失的，委托人应予以赔偿。</w:t>
      </w:r>
    </w:p>
    <w:p w14:paraId="3A7B341F">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4.2.2</w:t>
      </w:r>
      <w:r>
        <w:rPr>
          <w:rFonts w:hint="eastAsia" w:ascii="宋体" w:hAnsi="宋体" w:eastAsia="宋体" w:cs="宋体"/>
          <w:snapToGrid w:val="0"/>
          <w:color w:val="auto"/>
          <w:kern w:val="0"/>
          <w:highlight w:val="none"/>
        </w:rPr>
        <w:t xml:space="preserve"> 委托人向监理人的索赔不成立时，应赔偿监理人由此引起的费用。</w:t>
      </w:r>
    </w:p>
    <w:p w14:paraId="4DD12028">
      <w:pPr>
        <w:wordWrap w:val="0"/>
        <w:adjustRightInd w:val="0"/>
        <w:snapToGrid w:val="0"/>
        <w:spacing w:line="440" w:lineRule="exact"/>
        <w:ind w:firstLine="56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4.2.3</w:t>
      </w:r>
      <w:r>
        <w:rPr>
          <w:rFonts w:hint="eastAsia" w:ascii="宋体" w:hAnsi="宋体" w:eastAsia="宋体" w:cs="宋体"/>
          <w:snapToGrid w:val="0"/>
          <w:color w:val="auto"/>
          <w:kern w:val="0"/>
          <w:highlight w:val="none"/>
        </w:rPr>
        <w:t xml:space="preserve"> 委托人未能按期支付酬金超过28天，应支付逾期付款利息。委托人逾期付款利息按下列方法确定：</w:t>
      </w:r>
      <w:r>
        <w:rPr>
          <w:rFonts w:hint="eastAsia" w:ascii="宋体" w:hAnsi="宋体" w:eastAsia="宋体" w:cs="宋体"/>
          <w:snapToGrid w:val="0"/>
          <w:color w:val="auto"/>
          <w:kern w:val="0"/>
          <w:highlight w:val="none"/>
          <w:u w:val="single"/>
        </w:rPr>
        <w:t>不计算</w:t>
      </w:r>
      <w:r>
        <w:rPr>
          <w:rFonts w:hint="eastAsia" w:ascii="宋体" w:hAnsi="宋体" w:eastAsia="宋体" w:cs="宋体"/>
          <w:snapToGrid w:val="0"/>
          <w:color w:val="auto"/>
          <w:kern w:val="0"/>
          <w:highlight w:val="none"/>
        </w:rPr>
        <w:t>。</w:t>
      </w:r>
    </w:p>
    <w:p w14:paraId="5192F935">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4.3</w:t>
      </w:r>
      <w:r>
        <w:rPr>
          <w:rFonts w:hint="eastAsia" w:ascii="宋体" w:hAnsi="宋体" w:eastAsia="宋体" w:cs="宋体"/>
          <w:snapToGrid w:val="0"/>
          <w:color w:val="auto"/>
          <w:kern w:val="0"/>
          <w:highlight w:val="none"/>
        </w:rPr>
        <w:t xml:space="preserve"> 除外责任</w:t>
      </w:r>
    </w:p>
    <w:p w14:paraId="3D39E556">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因非监理人的原因，且监理人无过错，发生工程质量事故、安全事故、工期延误等造成的损失，监理人不承担赔偿责任。</w:t>
      </w:r>
    </w:p>
    <w:p w14:paraId="62FF9D1E">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因不可抗力导致本合同全部或部分不能履行时，双方各自承担其因此而造成的损失、损害。</w:t>
      </w:r>
    </w:p>
    <w:p w14:paraId="187A7E84">
      <w:pPr>
        <w:shd w:val="clear"/>
        <w:wordWrap w:val="0"/>
        <w:adjustRightInd w:val="0"/>
        <w:snapToGrid w:val="0"/>
        <w:spacing w:line="440" w:lineRule="exact"/>
        <w:ind w:firstLine="560"/>
        <w:rPr>
          <w:rFonts w:hint="eastAsia" w:ascii="宋体" w:hAnsi="宋体" w:eastAsia="宋体" w:cs="宋体"/>
          <w:snapToGrid w:val="0"/>
          <w:color w:val="auto"/>
          <w:kern w:val="0"/>
          <w:highlight w:val="none"/>
        </w:rPr>
      </w:pPr>
    </w:p>
    <w:p w14:paraId="62E3D49D">
      <w:pPr>
        <w:shd w:val="clea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5．支付</w:t>
      </w:r>
    </w:p>
    <w:p w14:paraId="7C2FB5A7">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5.1 </w:t>
      </w:r>
      <w:r>
        <w:rPr>
          <w:rFonts w:hint="eastAsia" w:ascii="宋体" w:hAnsi="宋体" w:eastAsia="宋体" w:cs="宋体"/>
          <w:snapToGrid w:val="0"/>
          <w:color w:val="auto"/>
          <w:kern w:val="0"/>
          <w:highlight w:val="none"/>
        </w:rPr>
        <w:t>支付货币</w:t>
      </w:r>
    </w:p>
    <w:p w14:paraId="4D26AA0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酬金均以人民币支付。</w:t>
      </w:r>
    </w:p>
    <w:p w14:paraId="3330736D">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 xml:space="preserve">5.2 </w:t>
      </w:r>
      <w:r>
        <w:rPr>
          <w:rFonts w:hint="eastAsia" w:ascii="宋体" w:hAnsi="宋体" w:eastAsia="宋体" w:cs="宋体"/>
          <w:snapToGrid w:val="0"/>
          <w:color w:val="auto"/>
          <w:kern w:val="0"/>
          <w:highlight w:val="none"/>
        </w:rPr>
        <w:t>支付申请</w:t>
      </w:r>
    </w:p>
    <w:p w14:paraId="702971F5">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监理人应在本合同约定的每次应付款时间的7天前，向委托人提交支付申请书。支付申请书应当说明当期应付款总额，并列出当期应支付的款项及其金额。</w:t>
      </w:r>
    </w:p>
    <w:p w14:paraId="0FBDB3F2">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5.3</w:t>
      </w:r>
      <w:r>
        <w:rPr>
          <w:rFonts w:hint="eastAsia" w:ascii="宋体" w:hAnsi="宋体" w:eastAsia="宋体" w:cs="宋体"/>
          <w:snapToGrid w:val="0"/>
          <w:color w:val="auto"/>
          <w:kern w:val="0"/>
          <w:highlight w:val="none"/>
        </w:rPr>
        <w:t xml:space="preserve"> 支付酬金：</w:t>
      </w:r>
    </w:p>
    <w:p w14:paraId="6E6BAFA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支付的酬金包括正常工作酬金。</w:t>
      </w:r>
    </w:p>
    <w:p w14:paraId="038DF0C9">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5.3.1</w:t>
      </w:r>
      <w:r>
        <w:rPr>
          <w:rFonts w:hint="eastAsia" w:ascii="宋体" w:hAnsi="宋体" w:eastAsia="宋体" w:cs="宋体"/>
          <w:snapToGrid w:val="0"/>
          <w:color w:val="auto"/>
          <w:kern w:val="0"/>
          <w:highlight w:val="none"/>
        </w:rPr>
        <w:t>本项目支付</w:t>
      </w:r>
      <w:r>
        <w:rPr>
          <w:rFonts w:hint="eastAsia" w:ascii="宋体" w:hAnsi="宋体" w:eastAsia="宋体" w:cs="宋体"/>
          <w:snapToGrid w:val="0"/>
          <w:color w:val="auto"/>
          <w:kern w:val="0"/>
          <w:highlight w:val="none"/>
          <w:u w:val="single"/>
        </w:rPr>
        <w:t>30%</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rPr>
        <w:t>监理服务费预付款；</w:t>
      </w:r>
    </w:p>
    <w:p w14:paraId="617F1836">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5.3.2</w:t>
      </w:r>
      <w:r>
        <w:rPr>
          <w:rFonts w:hint="eastAsia" w:ascii="宋体" w:hAnsi="宋体" w:eastAsia="宋体" w:cs="宋体"/>
          <w:snapToGrid w:val="0"/>
          <w:color w:val="auto"/>
          <w:kern w:val="0"/>
          <w:highlight w:val="none"/>
        </w:rPr>
        <w:t>本项目施工阶段按月分期支付监理服务费；具体分期支付方式如下：</w:t>
      </w:r>
    </w:p>
    <w:p w14:paraId="700D006C">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每月监理服务费=经审核的每月实际所有专业施工完成投资额×监理人中标费率×80%；施工过程中累计支付的监理服务费不得超过监理服务费合同价款的80%。</w:t>
      </w:r>
    </w:p>
    <w:p w14:paraId="027DE03D">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5.3.3</w:t>
      </w:r>
      <w:r>
        <w:rPr>
          <w:rFonts w:hint="eastAsia" w:ascii="宋体" w:hAnsi="宋体" w:eastAsia="宋体" w:cs="宋体"/>
          <w:snapToGrid w:val="0"/>
          <w:color w:val="auto"/>
          <w:kern w:val="0"/>
          <w:highlight w:val="none"/>
        </w:rPr>
        <w:t>工程竣工验收合格备案并经县财政局投资评审中心结算审核后，委托人于次月向监理人支付至监理服务费结算价的97%。</w:t>
      </w:r>
    </w:p>
    <w:p w14:paraId="26A7A4F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5.3.4</w:t>
      </w:r>
      <w:r>
        <w:rPr>
          <w:rFonts w:hint="eastAsia" w:ascii="宋体" w:hAnsi="宋体" w:eastAsia="宋体" w:cs="宋体"/>
          <w:snapToGrid w:val="0"/>
          <w:color w:val="auto"/>
          <w:kern w:val="0"/>
          <w:highlight w:val="none"/>
        </w:rPr>
        <w:t>其余</w:t>
      </w:r>
      <w:r>
        <w:rPr>
          <w:rFonts w:hint="eastAsia" w:ascii="宋体" w:hAnsi="宋体" w:eastAsia="宋体" w:cs="宋体"/>
          <w:snapToGrid w:val="0"/>
          <w:color w:val="auto"/>
          <w:kern w:val="0"/>
          <w:highlight w:val="none"/>
          <w:u w:val="single"/>
        </w:rPr>
        <w:t>3%</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rPr>
        <w:t>款项留作保修期服务保证金（保证的形式包括保证金、保证担保、保证保险三种，由中标人自主选择）。该款项自工程交（竣）工验收合格之日起一年期满后 14 天内结合质量保修阶段服务情况结清（不计利息）。</w:t>
      </w:r>
    </w:p>
    <w:p w14:paraId="6EFF202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5.3.5</w:t>
      </w:r>
      <w:r>
        <w:rPr>
          <w:rFonts w:hint="eastAsia" w:ascii="宋体" w:hAnsi="宋体" w:eastAsia="宋体" w:cs="宋体"/>
          <w:snapToGrid w:val="0"/>
          <w:color w:val="auto"/>
          <w:kern w:val="0"/>
          <w:highlight w:val="none"/>
        </w:rPr>
        <w:t>每一期合同价款支付前，中标人均需按照发包人开出的违约通知和韶关市非税收入罚款流程进行违约金缴纳，如不按时缴纳，产生后果由中标人负责。</w:t>
      </w:r>
    </w:p>
    <w:p w14:paraId="38862061">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5.4</w:t>
      </w:r>
      <w:r>
        <w:rPr>
          <w:rFonts w:hint="eastAsia" w:ascii="宋体" w:hAnsi="宋体" w:eastAsia="宋体" w:cs="宋体"/>
          <w:snapToGrid w:val="0"/>
          <w:color w:val="auto"/>
          <w:kern w:val="0"/>
          <w:highlight w:val="none"/>
        </w:rPr>
        <w:t xml:space="preserve"> 有争议部分的付款</w:t>
      </w:r>
    </w:p>
    <w:p w14:paraId="6A44DAF8">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委托人对监理人提交的支付申请书有异议时，应当在收到监理人提交的支付申请书后7天内，以书面形式向监理人发出异议通知。无异议部分的款项应按期支付，有异议部分的款项按本章第7条处理。</w:t>
      </w:r>
    </w:p>
    <w:p w14:paraId="1EEF3F7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2F5452B6">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6．合同生效、变更、暂停、解除与终止</w:t>
      </w:r>
    </w:p>
    <w:p w14:paraId="668204A3">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6.1</w:t>
      </w:r>
      <w:r>
        <w:rPr>
          <w:rFonts w:hint="eastAsia" w:ascii="宋体" w:hAnsi="宋体" w:eastAsia="宋体" w:cs="宋体"/>
          <w:snapToGrid w:val="0"/>
          <w:color w:val="auto"/>
          <w:kern w:val="0"/>
          <w:highlight w:val="none"/>
        </w:rPr>
        <w:t xml:space="preserve"> 生效</w:t>
      </w:r>
    </w:p>
    <w:p w14:paraId="5261B9B7">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委托人和监理人的法定代表人或其授权代理人在协议书上签字并盖单位章后本合同生效。</w:t>
      </w:r>
    </w:p>
    <w:p w14:paraId="389DF166">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6.2</w:t>
      </w:r>
      <w:r>
        <w:rPr>
          <w:rFonts w:hint="eastAsia" w:ascii="宋体" w:hAnsi="宋体" w:eastAsia="宋体" w:cs="宋体"/>
          <w:snapToGrid w:val="0"/>
          <w:color w:val="auto"/>
          <w:kern w:val="0"/>
          <w:highlight w:val="none"/>
        </w:rPr>
        <w:t xml:space="preserve"> 变更</w:t>
      </w:r>
    </w:p>
    <w:p w14:paraId="4C896AEF">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6.2.1</w:t>
      </w:r>
      <w:r>
        <w:rPr>
          <w:rFonts w:hint="eastAsia" w:ascii="宋体" w:hAnsi="宋体" w:eastAsia="宋体" w:cs="宋体"/>
          <w:snapToGrid w:val="0"/>
          <w:color w:val="auto"/>
          <w:kern w:val="0"/>
          <w:highlight w:val="none"/>
        </w:rPr>
        <w:t xml:space="preserve"> 任何一方提出变更请求时，双方经协商一致后可进行变更。</w:t>
      </w:r>
    </w:p>
    <w:p w14:paraId="347CBC4E">
      <w:pPr>
        <w:shd w:val="clear"/>
        <w:wordWrap w:val="0"/>
        <w:adjustRightInd w:val="0"/>
        <w:snapToGrid w:val="0"/>
        <w:spacing w:line="440" w:lineRule="exact"/>
        <w:ind w:firstLine="482" w:firstLineChars="200"/>
        <w:rPr>
          <w:rFonts w:hint="eastAsia" w:ascii="宋体" w:hAnsi="宋体" w:eastAsia="宋体" w:cs="宋体"/>
          <w:b w:val="0"/>
          <w:bCs w:val="0"/>
          <w:snapToGrid w:val="0"/>
          <w:color w:val="auto"/>
          <w:kern w:val="0"/>
          <w:highlight w:val="none"/>
        </w:rPr>
      </w:pPr>
      <w:r>
        <w:rPr>
          <w:rFonts w:hint="eastAsia" w:ascii="宋体" w:hAnsi="宋体" w:eastAsia="宋体" w:cs="宋体"/>
          <w:b/>
          <w:bCs/>
          <w:snapToGrid w:val="0"/>
          <w:color w:val="auto"/>
          <w:kern w:val="0"/>
          <w:highlight w:val="none"/>
        </w:rPr>
        <w:t>6.2.2</w:t>
      </w:r>
      <w:r>
        <w:rPr>
          <w:rFonts w:hint="eastAsia" w:ascii="宋体" w:hAnsi="宋体" w:eastAsia="宋体" w:cs="宋体"/>
          <w:b w:val="0"/>
          <w:bCs w:val="0"/>
          <w:snapToGrid w:val="0"/>
          <w:color w:val="auto"/>
          <w:kern w:val="0"/>
          <w:highlight w:val="none"/>
        </w:rPr>
        <w:t>除不可抗力外，因非监理人原因导致监理人履行合同期限延长、内容增加时，监理人应当将此情况与可能产生的影响及时通知委托人。增加的监理工作时间、工作内容应视为附加工作。</w:t>
      </w:r>
    </w:p>
    <w:p w14:paraId="203CBE7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lang w:val="en-US" w:eastAsia="zh-CN"/>
        </w:rPr>
      </w:pPr>
      <w:r>
        <w:rPr>
          <w:rFonts w:hint="eastAsia" w:ascii="宋体" w:hAnsi="宋体" w:eastAsia="宋体" w:cs="宋体"/>
          <w:b w:val="0"/>
          <w:bCs w:val="0"/>
          <w:snapToGrid w:val="0"/>
          <w:color w:val="auto"/>
          <w:kern w:val="0"/>
          <w:highlight w:val="none"/>
        </w:rPr>
        <w:t>发生以上情形的附加工作酬金的确定方法为</w:t>
      </w:r>
      <w:r>
        <w:rPr>
          <w:rFonts w:hint="eastAsia" w:ascii="宋体" w:hAnsi="宋体" w:eastAsia="宋体" w:cs="宋体"/>
          <w:b w:val="0"/>
          <w:bCs w:val="0"/>
          <w:snapToGrid w:val="0"/>
          <w:color w:val="auto"/>
          <w:kern w:val="0"/>
          <w:highlight w:val="none"/>
          <w:u w:val="single"/>
        </w:rPr>
        <w:t>：项目建设期间，即使出现缓建或停建事件导致监理工期延长，不另增加监理服务费。</w:t>
      </w:r>
    </w:p>
    <w:p w14:paraId="680C2A6A">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6.2.3</w:t>
      </w:r>
      <w:r>
        <w:rPr>
          <w:rFonts w:hint="eastAsia" w:ascii="宋体" w:hAnsi="宋体" w:eastAsia="宋体" w:cs="宋体"/>
          <w:snapToGrid w:val="0"/>
          <w:color w:val="auto"/>
          <w:kern w:val="0"/>
          <w:highlight w:val="none"/>
        </w:rPr>
        <w:t xml:space="preserve"> 合同生效后，如果实际情况发生变化使得监理人不能完成全部或部分工作时，监理人应立即通知委托人。除不可抗力外，其善后工作以及恢复服务的准备工作应为附加工作。监理人用于恢复服务的准备时间不应超过28天。</w:t>
      </w:r>
    </w:p>
    <w:p w14:paraId="4D08F866">
      <w:pPr>
        <w:shd w:val="clear"/>
        <w:wordWrap w:val="0"/>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发生以上情形的附加工作酬金的确定方法为：</w:t>
      </w:r>
      <w:r>
        <w:rPr>
          <w:rFonts w:hint="eastAsia" w:ascii="宋体" w:hAnsi="宋体" w:eastAsia="宋体" w:cs="宋体"/>
          <w:snapToGrid w:val="0"/>
          <w:color w:val="auto"/>
          <w:kern w:val="0"/>
          <w:highlight w:val="none"/>
          <w:u w:val="single"/>
        </w:rPr>
        <w:t>项目建设期间，即使出现缓建或停建事件导致监理工期延长，不另增加监理服务费</w:t>
      </w:r>
      <w:r>
        <w:rPr>
          <w:rFonts w:hint="eastAsia" w:ascii="宋体" w:hAnsi="宋体" w:eastAsia="宋体" w:cs="宋体"/>
          <w:snapToGrid w:val="0"/>
          <w:color w:val="auto"/>
          <w:kern w:val="0"/>
          <w:highlight w:val="none"/>
        </w:rPr>
        <w:t>。</w:t>
      </w:r>
    </w:p>
    <w:p w14:paraId="730520AE">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6.2.4</w:t>
      </w:r>
      <w:r>
        <w:rPr>
          <w:rFonts w:hint="eastAsia" w:ascii="宋体" w:hAnsi="宋体" w:eastAsia="宋体" w:cs="宋体"/>
          <w:snapToGrid w:val="0"/>
          <w:color w:val="auto"/>
          <w:kern w:val="0"/>
          <w:highlight w:val="none"/>
        </w:rPr>
        <w:t xml:space="preserve"> 合同签订后，遇有与工程相关的法律法规、标准颁布或修订的，双方应遵照执行。由此引起监理与相关服务的范围、时间、酬金变化的，双方应通过协商进行相应调整。</w:t>
      </w:r>
    </w:p>
    <w:p w14:paraId="747CBF86">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6.2.</w:t>
      </w:r>
      <w:r>
        <w:rPr>
          <w:rFonts w:hint="eastAsia" w:ascii="宋体" w:hAnsi="宋体" w:eastAsia="宋体" w:cs="宋体"/>
          <w:b/>
          <w:bCs/>
          <w:snapToGrid w:val="0"/>
          <w:color w:val="auto"/>
          <w:kern w:val="0"/>
          <w:highlight w:val="none"/>
          <w:lang w:val="en-US" w:eastAsia="zh-CN"/>
        </w:rPr>
        <w:t>5</w:t>
      </w:r>
      <w:r>
        <w:rPr>
          <w:rFonts w:hint="eastAsia" w:ascii="宋体" w:hAnsi="宋体" w:eastAsia="宋体" w:cs="宋体"/>
          <w:snapToGrid w:val="0"/>
          <w:color w:val="auto"/>
          <w:kern w:val="0"/>
          <w:highlight w:val="none"/>
        </w:rPr>
        <w:t>因非监理人原因造成项目</w:t>
      </w:r>
      <w:r>
        <w:rPr>
          <w:rFonts w:hint="eastAsia" w:ascii="宋体" w:hAnsi="宋体" w:eastAsia="宋体" w:cs="宋体"/>
          <w:snapToGrid w:val="0"/>
          <w:color w:val="auto"/>
          <w:kern w:val="0"/>
          <w:highlight w:val="none"/>
          <w:u w:val="single"/>
        </w:rPr>
        <w:t xml:space="preserve"> 概算/预算 </w:t>
      </w:r>
      <w:r>
        <w:rPr>
          <w:rFonts w:hint="eastAsia" w:ascii="宋体" w:hAnsi="宋体" w:eastAsia="宋体" w:cs="宋体"/>
          <w:snapToGrid w:val="0"/>
          <w:color w:val="auto"/>
          <w:kern w:val="0"/>
          <w:highlight w:val="none"/>
        </w:rPr>
        <w:t>投资额增加时</w:t>
      </w:r>
      <w:r>
        <w:rPr>
          <w:rFonts w:hint="eastAsia" w:ascii="宋体" w:hAnsi="宋体" w:eastAsia="宋体" w:cs="宋体"/>
          <w:snapToGrid w:val="0"/>
          <w:color w:val="auto"/>
          <w:kern w:val="0"/>
          <w:highlight w:val="none"/>
          <w:lang w:val="en"/>
        </w:rPr>
        <w:t>，</w:t>
      </w:r>
      <w:r>
        <w:rPr>
          <w:rFonts w:hint="eastAsia" w:ascii="宋体" w:hAnsi="宋体" w:eastAsia="宋体" w:cs="宋体"/>
          <w:snapToGrid w:val="0"/>
          <w:color w:val="auto"/>
          <w:kern w:val="0"/>
          <w:highlight w:val="none"/>
          <w:u w:val="single"/>
        </w:rPr>
        <w:t>不另增加监理服务费。</w:t>
      </w:r>
    </w:p>
    <w:p w14:paraId="1B03C1CC">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lang w:val="en-US" w:eastAsia="zh-CN"/>
        </w:rPr>
      </w:pPr>
    </w:p>
    <w:p w14:paraId="298C67C6">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6.2.6</w:t>
      </w:r>
      <w:r>
        <w:rPr>
          <w:rFonts w:hint="eastAsia" w:ascii="宋体" w:hAnsi="宋体" w:eastAsia="宋体" w:cs="宋体"/>
          <w:b/>
          <w:bCs/>
          <w:snapToGrid w:val="0"/>
          <w:color w:val="auto"/>
          <w:kern w:val="0"/>
          <w:highlight w:val="none"/>
        </w:rPr>
        <w:t xml:space="preserve"> </w:t>
      </w:r>
      <w:r>
        <w:rPr>
          <w:rFonts w:hint="eastAsia" w:ascii="宋体" w:hAnsi="宋体" w:eastAsia="宋体" w:cs="宋体"/>
          <w:snapToGrid w:val="0"/>
          <w:color w:val="auto"/>
          <w:kern w:val="0"/>
          <w:highlight w:val="none"/>
        </w:rPr>
        <w:t>因工程规模、监理范围的变化导致监理人的正常工作量减少时，按减少工作量的比例从协议书约定的正常工作酬金中扣减相同比例的酬金。</w:t>
      </w:r>
    </w:p>
    <w:p w14:paraId="3F4EDC3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6.3</w:t>
      </w:r>
      <w:r>
        <w:rPr>
          <w:rFonts w:hint="eastAsia" w:ascii="宋体" w:hAnsi="宋体" w:eastAsia="宋体" w:cs="宋体"/>
          <w:snapToGrid w:val="0"/>
          <w:color w:val="auto"/>
          <w:kern w:val="0"/>
          <w:highlight w:val="none"/>
        </w:rPr>
        <w:t xml:space="preserve"> 暂停与解除</w:t>
      </w:r>
    </w:p>
    <w:p w14:paraId="75D3C78C">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除双方协商一致可以解除本合同外，当一方无正当理由未履行本合同约定的义务时，另一方可以根据本合同约定暂停履行本合同直至解除本合同。</w:t>
      </w:r>
    </w:p>
    <w:p w14:paraId="476EB640">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6.3.1</w:t>
      </w:r>
      <w:r>
        <w:rPr>
          <w:rFonts w:hint="eastAsia" w:ascii="宋体" w:hAnsi="宋体" w:eastAsia="宋体" w:cs="宋体"/>
          <w:snapToGrid w:val="0"/>
          <w:color w:val="auto"/>
          <w:kern w:val="0"/>
          <w:highlight w:val="none"/>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B94FAF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因解除本合同或解除监理人的部分义务导致监理人遭受的损失，除依法可以免除责任的情况外，应由委托人予以补偿，补偿金额由双方协商确定。解除本合同的协议必须采取书面形式，协议未达成之前，本合同仍然有效。</w:t>
      </w:r>
    </w:p>
    <w:p w14:paraId="4D381FC7">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6.3.2</w:t>
      </w:r>
      <w:r>
        <w:rPr>
          <w:rFonts w:hint="eastAsia" w:ascii="宋体" w:hAnsi="宋体" w:eastAsia="宋体" w:cs="宋体"/>
          <w:snapToGrid w:val="0"/>
          <w:color w:val="auto"/>
          <w:kern w:val="0"/>
          <w:highlight w:val="none"/>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ABD5759">
      <w:pPr>
        <w:shd w:val="clear"/>
        <w:wordWrap w:val="0"/>
        <w:adjustRightInd w:val="0"/>
        <w:snapToGrid w:val="0"/>
        <w:spacing w:line="440" w:lineRule="exact"/>
        <w:ind w:firstLine="480" w:firstLineChars="200"/>
        <w:rPr>
          <w:rFonts w:hint="eastAsia" w:ascii="宋体" w:hAnsi="宋体" w:eastAsia="宋体" w:cs="宋体"/>
          <w:b/>
          <w:bCs/>
          <w:snapToGrid w:val="0"/>
          <w:color w:val="auto"/>
          <w:kern w:val="0"/>
          <w:highlight w:val="none"/>
        </w:rPr>
      </w:pPr>
      <w:r>
        <w:rPr>
          <w:rFonts w:hint="eastAsia" w:ascii="宋体" w:hAnsi="宋体" w:eastAsia="宋体" w:cs="宋体"/>
          <w:snapToGrid w:val="0"/>
          <w:color w:val="auto"/>
          <w:kern w:val="0"/>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本章第</w:t>
      </w:r>
      <w:r>
        <w:rPr>
          <w:rFonts w:hint="eastAsia" w:ascii="宋体" w:hAnsi="宋体" w:eastAsia="宋体" w:cs="宋体"/>
          <w:b/>
          <w:bCs/>
          <w:snapToGrid w:val="0"/>
          <w:color w:val="auto"/>
          <w:kern w:val="0"/>
          <w:highlight w:val="none"/>
        </w:rPr>
        <w:t>4.2</w:t>
      </w:r>
      <w:r>
        <w:rPr>
          <w:rFonts w:hint="eastAsia" w:ascii="宋体" w:hAnsi="宋体" w:eastAsia="宋体" w:cs="宋体"/>
          <w:snapToGrid w:val="0"/>
          <w:color w:val="auto"/>
          <w:kern w:val="0"/>
          <w:highlight w:val="none"/>
        </w:rPr>
        <w:t>条约定的责任。</w:t>
      </w:r>
    </w:p>
    <w:p w14:paraId="0D837221">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6.3.3</w:t>
      </w:r>
      <w:r>
        <w:rPr>
          <w:rFonts w:hint="eastAsia" w:ascii="宋体" w:hAnsi="宋体" w:eastAsia="宋体" w:cs="宋体"/>
          <w:snapToGrid w:val="0"/>
          <w:color w:val="auto"/>
          <w:kern w:val="0"/>
          <w:highlight w:val="none"/>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本章第</w:t>
      </w:r>
      <w:r>
        <w:rPr>
          <w:rFonts w:hint="eastAsia" w:ascii="宋体" w:hAnsi="宋体" w:eastAsia="宋体" w:cs="宋体"/>
          <w:b/>
          <w:bCs/>
          <w:snapToGrid w:val="0"/>
          <w:color w:val="auto"/>
          <w:kern w:val="0"/>
          <w:highlight w:val="none"/>
        </w:rPr>
        <w:t>4.1</w:t>
      </w:r>
      <w:r>
        <w:rPr>
          <w:rFonts w:hint="eastAsia" w:ascii="宋体" w:hAnsi="宋体" w:eastAsia="宋体" w:cs="宋体"/>
          <w:snapToGrid w:val="0"/>
          <w:color w:val="auto"/>
          <w:kern w:val="0"/>
          <w:highlight w:val="none"/>
        </w:rPr>
        <w:t>条约定的责任。</w:t>
      </w:r>
    </w:p>
    <w:p w14:paraId="3DCA276C">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lang w:val="en-US" w:eastAsia="zh-CN"/>
        </w:rPr>
        <w:t xml:space="preserve">6.3.4 </w:t>
      </w:r>
      <w:r>
        <w:rPr>
          <w:rFonts w:hint="eastAsia" w:ascii="宋体" w:hAnsi="宋体" w:eastAsia="宋体" w:cs="宋体"/>
          <w:snapToGrid w:val="0"/>
          <w:color w:val="auto"/>
          <w:kern w:val="0"/>
          <w:highlight w:val="none"/>
        </w:rPr>
        <w:t>监理人在专用条件</w:t>
      </w:r>
      <w:r>
        <w:rPr>
          <w:rFonts w:hint="eastAsia" w:ascii="宋体" w:hAnsi="宋体" w:eastAsia="宋体" w:cs="宋体"/>
          <w:b/>
          <w:bCs/>
          <w:snapToGrid w:val="0"/>
          <w:color w:val="auto"/>
          <w:kern w:val="0"/>
          <w:highlight w:val="none"/>
        </w:rPr>
        <w:t>5.3</w:t>
      </w:r>
      <w:r>
        <w:rPr>
          <w:rFonts w:hint="eastAsia" w:ascii="宋体" w:hAnsi="宋体" w:eastAsia="宋体" w:cs="宋体"/>
          <w:snapToGrid w:val="0"/>
          <w:color w:val="auto"/>
          <w:kern w:val="0"/>
          <w:highlight w:val="none"/>
        </w:rPr>
        <w:t>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本章第</w:t>
      </w:r>
      <w:r>
        <w:rPr>
          <w:rFonts w:hint="eastAsia" w:ascii="宋体" w:hAnsi="宋体" w:eastAsia="宋体" w:cs="宋体"/>
          <w:b/>
          <w:bCs/>
          <w:snapToGrid w:val="0"/>
          <w:color w:val="auto"/>
          <w:kern w:val="0"/>
          <w:highlight w:val="none"/>
        </w:rPr>
        <w:t>4.2.3</w:t>
      </w:r>
      <w:r>
        <w:rPr>
          <w:rFonts w:hint="eastAsia" w:ascii="宋体" w:hAnsi="宋体" w:eastAsia="宋体" w:cs="宋体"/>
          <w:snapToGrid w:val="0"/>
          <w:color w:val="auto"/>
          <w:kern w:val="0"/>
          <w:highlight w:val="none"/>
        </w:rPr>
        <w:t>目约定的责任。</w:t>
      </w:r>
    </w:p>
    <w:p w14:paraId="560E6C7A">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6.3.</w:t>
      </w:r>
      <w:r>
        <w:rPr>
          <w:rFonts w:hint="eastAsia" w:ascii="宋体" w:hAnsi="宋体" w:eastAsia="宋体" w:cs="宋体"/>
          <w:b/>
          <w:bCs/>
          <w:snapToGrid w:val="0"/>
          <w:color w:val="auto"/>
          <w:kern w:val="0"/>
          <w:highlight w:val="none"/>
          <w:lang w:val="en-US" w:eastAsia="zh-CN"/>
        </w:rPr>
        <w:t>5</w:t>
      </w:r>
      <w:r>
        <w:rPr>
          <w:rFonts w:hint="eastAsia" w:ascii="宋体" w:hAnsi="宋体" w:eastAsia="宋体" w:cs="宋体"/>
          <w:snapToGrid w:val="0"/>
          <w:color w:val="auto"/>
          <w:kern w:val="0"/>
          <w:highlight w:val="none"/>
        </w:rPr>
        <w:t xml:space="preserve"> 因不可抗力致使本合同部分或全部不能履行时，一方应立即通知另一方，可暂停或解除本合同。</w:t>
      </w:r>
    </w:p>
    <w:p w14:paraId="5ACF2698">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6.3.</w:t>
      </w:r>
      <w:r>
        <w:rPr>
          <w:rFonts w:hint="eastAsia" w:ascii="宋体" w:hAnsi="宋体" w:eastAsia="宋体" w:cs="宋体"/>
          <w:b/>
          <w:bCs/>
          <w:snapToGrid w:val="0"/>
          <w:color w:val="auto"/>
          <w:kern w:val="0"/>
          <w:highlight w:val="none"/>
          <w:lang w:val="en-US" w:eastAsia="zh-CN"/>
        </w:rPr>
        <w:t>6</w:t>
      </w:r>
      <w:r>
        <w:rPr>
          <w:rFonts w:hint="eastAsia" w:ascii="宋体" w:hAnsi="宋体" w:eastAsia="宋体" w:cs="宋体"/>
          <w:snapToGrid w:val="0"/>
          <w:color w:val="auto"/>
          <w:kern w:val="0"/>
          <w:highlight w:val="none"/>
        </w:rPr>
        <w:t xml:space="preserve"> 本合同解除后，本合同约定的有关结算、清理、争议解决方式的条件仍然有效。</w:t>
      </w:r>
    </w:p>
    <w:p w14:paraId="3760FC3D">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6.4</w:t>
      </w:r>
      <w:r>
        <w:rPr>
          <w:rFonts w:hint="eastAsia" w:ascii="宋体" w:hAnsi="宋体" w:eastAsia="宋体" w:cs="宋体"/>
          <w:snapToGrid w:val="0"/>
          <w:color w:val="auto"/>
          <w:kern w:val="0"/>
          <w:highlight w:val="none"/>
        </w:rPr>
        <w:t xml:space="preserve"> 终止</w:t>
      </w:r>
    </w:p>
    <w:p w14:paraId="5ABE0CA9">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以下条件全部满足时，本合同即告终止：</w:t>
      </w:r>
    </w:p>
    <w:p w14:paraId="1FDAAB19">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（1）监理人完成本合同约定的全部工作；</w:t>
      </w:r>
    </w:p>
    <w:p w14:paraId="1509E9D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（2）委托人与监理人结清并支付全部酬金。</w:t>
      </w:r>
    </w:p>
    <w:p w14:paraId="0224FF7A">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4D617FAE">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7．争议解决</w:t>
      </w:r>
    </w:p>
    <w:p w14:paraId="4FC7F3B7">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7.1</w:t>
      </w:r>
      <w:r>
        <w:rPr>
          <w:rFonts w:hint="eastAsia" w:ascii="宋体" w:hAnsi="宋体" w:eastAsia="宋体" w:cs="宋体"/>
          <w:snapToGrid w:val="0"/>
          <w:color w:val="auto"/>
          <w:kern w:val="0"/>
          <w:highlight w:val="none"/>
        </w:rPr>
        <w:t xml:space="preserve"> 协商</w:t>
      </w:r>
    </w:p>
    <w:p w14:paraId="69D29F71">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双方应本着诚信原则协商解决彼此间的争议。</w:t>
      </w:r>
    </w:p>
    <w:p w14:paraId="416821CF">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7.2</w:t>
      </w:r>
      <w:r>
        <w:rPr>
          <w:rFonts w:hint="eastAsia" w:ascii="宋体" w:hAnsi="宋体" w:eastAsia="宋体" w:cs="宋体"/>
          <w:snapToGrid w:val="0"/>
          <w:color w:val="auto"/>
          <w:kern w:val="0"/>
          <w:highlight w:val="none"/>
        </w:rPr>
        <w:t xml:space="preserve"> 调解</w:t>
      </w:r>
    </w:p>
    <w:p w14:paraId="2C623687">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如果双方不能在14天内或双方商定的其他时间内解决本合同争议，可以将其提交给</w:t>
      </w:r>
      <w:r>
        <w:rPr>
          <w:rFonts w:hint="eastAsia" w:ascii="宋体" w:hAnsi="宋体" w:eastAsia="宋体" w:cs="宋体"/>
          <w:snapToGrid w:val="0"/>
          <w:color w:val="auto"/>
          <w:kern w:val="0"/>
          <w:highlight w:val="none"/>
          <w:u w:val="single"/>
        </w:rPr>
        <w:t xml:space="preserve"> 合同备案部门或事后达成协议的调解人 </w:t>
      </w:r>
      <w:r>
        <w:rPr>
          <w:rFonts w:hint="eastAsia" w:ascii="宋体" w:hAnsi="宋体" w:eastAsia="宋体" w:cs="宋体"/>
          <w:snapToGrid w:val="0"/>
          <w:color w:val="auto"/>
          <w:kern w:val="0"/>
          <w:highlight w:val="none"/>
        </w:rPr>
        <w:t>进行调解。</w:t>
      </w:r>
    </w:p>
    <w:p w14:paraId="23758B27">
      <w:pPr>
        <w:shd w:val="clea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7.3</w:t>
      </w:r>
      <w:r>
        <w:rPr>
          <w:rFonts w:hint="eastAsia" w:ascii="宋体" w:hAnsi="宋体" w:eastAsia="宋体" w:cs="宋体"/>
          <w:snapToGrid w:val="0"/>
          <w:color w:val="auto"/>
          <w:kern w:val="0"/>
          <w:highlight w:val="none"/>
        </w:rPr>
        <w:t xml:space="preserve"> 仲裁或诉讼</w:t>
      </w:r>
    </w:p>
    <w:p w14:paraId="1DC577BE">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双方均有权不经调解直接向专用条件约定的仲裁机构申请仲裁或向有管辖权的人民法院提起诉讼。</w:t>
      </w:r>
    </w:p>
    <w:p w14:paraId="257BCE41">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本合同争议的最终解决方式为下列第</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u w:val="single"/>
          <w:lang w:val="en-US" w:eastAsia="zh-CN"/>
        </w:rPr>
        <w:t>2</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种方式：</w:t>
      </w:r>
    </w:p>
    <w:p w14:paraId="3B9BD61B">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（1）提请</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u w:val="single"/>
          <w:lang w:val="en-US" w:eastAsia="zh-CN"/>
        </w:rPr>
        <w:t>项目所在地</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仲裁委员会进行仲裁。</w:t>
      </w:r>
    </w:p>
    <w:p w14:paraId="0C195A04">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（2）向</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u w:val="single"/>
          <w:lang w:val="en-US" w:eastAsia="zh-CN"/>
        </w:rPr>
        <w:t>项目所在地</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人民法院提起诉讼。</w:t>
      </w:r>
    </w:p>
    <w:p w14:paraId="12653920">
      <w:pPr>
        <w:shd w:val="clea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p>
    <w:p w14:paraId="16FD78DB">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8．监理</w:t>
      </w:r>
      <w:r>
        <w:rPr>
          <w:rFonts w:hint="eastAsia" w:ascii="宋体" w:hAnsi="宋体" w:eastAsia="宋体" w:cs="宋体"/>
          <w:b/>
          <w:bCs/>
          <w:snapToGrid w:val="0"/>
          <w:color w:val="auto"/>
          <w:kern w:val="0"/>
          <w:sz w:val="24"/>
          <w:szCs w:val="24"/>
          <w:highlight w:val="none"/>
          <w:lang w:val="en-US" w:eastAsia="zh-CN"/>
        </w:rPr>
        <w:t>人</w:t>
      </w:r>
      <w:r>
        <w:rPr>
          <w:rFonts w:hint="eastAsia" w:ascii="宋体" w:hAnsi="宋体" w:eastAsia="宋体" w:cs="宋体"/>
          <w:b/>
          <w:bCs/>
          <w:snapToGrid w:val="0"/>
          <w:color w:val="auto"/>
          <w:kern w:val="0"/>
          <w:sz w:val="24"/>
          <w:szCs w:val="24"/>
          <w:highlight w:val="none"/>
        </w:rPr>
        <w:t>违约及违约责任条款</w:t>
      </w:r>
    </w:p>
    <w:p w14:paraId="759649C1">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 违约及违约责任</w:t>
      </w:r>
    </w:p>
    <w:p w14:paraId="6D683E4D">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highlight w:val="none"/>
          <w:lang w:val="en-US" w:eastAsia="zh-CN"/>
        </w:rPr>
        <w:t>8.1.1</w:t>
      </w:r>
      <w:r>
        <w:rPr>
          <w:rFonts w:hint="eastAsia" w:ascii="宋体" w:hAnsi="宋体" w:eastAsia="宋体" w:cs="宋体"/>
          <w:snapToGrid w:val="0"/>
          <w:color w:val="auto"/>
          <w:kern w:val="0"/>
          <w:szCs w:val="22"/>
          <w:highlight w:val="none"/>
        </w:rPr>
        <w:t>所有监理违约发生的违约金均均根据相关规定通过“广东省非税收入管理系统”缴纳。</w:t>
      </w:r>
    </w:p>
    <w:p w14:paraId="29F67517">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highlight w:val="none"/>
          <w:lang w:val="en-US" w:eastAsia="zh-CN"/>
        </w:rPr>
        <w:t>8.1.2</w:t>
      </w:r>
      <w:r>
        <w:rPr>
          <w:rFonts w:hint="eastAsia" w:ascii="宋体" w:hAnsi="宋体" w:eastAsia="宋体" w:cs="宋体"/>
          <w:snapToGrid w:val="0"/>
          <w:color w:val="auto"/>
          <w:kern w:val="0"/>
          <w:sz w:val="24"/>
          <w:szCs w:val="24"/>
          <w:highlight w:val="none"/>
        </w:rPr>
        <w:t>通常情况下，监理人不能按合同履行其义务和职责，因工作过失或渎职而造成了工程的经济和工期损失，为监理人违约，监理人应当赔偿经济损失，并承担相关的行政、法律责任。在本监理合同中，双方约定将监理人违约范围适当扩大，增加两种视为监理人违约的情况，一是监理人未按约定履行其义务工作时，即使未造成损失，</w:t>
      </w:r>
      <w:r>
        <w:rPr>
          <w:rFonts w:hint="eastAsia" w:ascii="宋体" w:hAnsi="宋体" w:eastAsia="宋体" w:cs="宋体"/>
          <w:snapToGrid w:val="0"/>
          <w:color w:val="auto"/>
          <w:kern w:val="0"/>
          <w:sz w:val="24"/>
          <w:szCs w:val="24"/>
          <w:highlight w:val="none"/>
          <w:lang w:eastAsia="zh-CN"/>
        </w:rPr>
        <w:t>亦</w:t>
      </w:r>
      <w:r>
        <w:rPr>
          <w:rFonts w:hint="eastAsia" w:ascii="宋体" w:hAnsi="宋体" w:eastAsia="宋体" w:cs="宋体"/>
          <w:snapToGrid w:val="0"/>
          <w:color w:val="auto"/>
          <w:kern w:val="0"/>
          <w:sz w:val="24"/>
          <w:szCs w:val="24"/>
          <w:highlight w:val="none"/>
        </w:rPr>
        <w:t xml:space="preserve">视为监理人违约；二是监理目标未能达标，无论主要原因是什么，视为监理人违约。故本附件将监理人违约分为监理不良行为、监理过失、监理渎职及监理不达标四大情形造成的违约，这四种违约情形及违约责任的承担作如下规定： </w:t>
      </w:r>
    </w:p>
    <w:p w14:paraId="1C0753FD">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highlight w:val="none"/>
          <w:lang w:val="en-US" w:eastAsia="zh-CN"/>
        </w:rPr>
        <w:t xml:space="preserve">8.1.3 </w:t>
      </w:r>
      <w:r>
        <w:rPr>
          <w:rFonts w:hint="eastAsia" w:ascii="宋体" w:hAnsi="宋体" w:eastAsia="宋体" w:cs="宋体"/>
          <w:b/>
          <w:bCs/>
          <w:snapToGrid w:val="0"/>
          <w:color w:val="auto"/>
          <w:kern w:val="0"/>
          <w:sz w:val="24"/>
          <w:szCs w:val="24"/>
          <w:highlight w:val="none"/>
        </w:rPr>
        <w:t>监理违约行为一览表</w:t>
      </w:r>
    </w:p>
    <w:p w14:paraId="401DC995">
      <w:pPr>
        <w:pStyle w:val="3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监理违约行为一览表</w:t>
      </w:r>
      <w:r>
        <w:rPr>
          <w:rFonts w:hint="eastAsia" w:ascii="宋体" w:hAnsi="宋体" w:eastAsia="宋体" w:cs="宋体"/>
          <w:color w:val="auto"/>
          <w:sz w:val="24"/>
          <w:szCs w:val="24"/>
          <w:highlight w:val="none"/>
        </w:rPr>
        <w:t xml:space="preserve"> </w:t>
      </w:r>
    </w:p>
    <w:p w14:paraId="23B5AF7F">
      <w:pPr>
        <w:pStyle w:val="33"/>
        <w:shd w:val="clear"/>
        <w:rPr>
          <w:rFonts w:hint="eastAsia" w:ascii="宋体" w:hAnsi="宋体" w:eastAsia="宋体" w:cs="宋体"/>
          <w:color w:val="auto"/>
          <w:sz w:val="24"/>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5701"/>
        <w:gridCol w:w="1950"/>
        <w:gridCol w:w="1155"/>
      </w:tblGrid>
      <w:tr w14:paraId="40A4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83" w:type="dxa"/>
            <w:noWrap w:val="0"/>
            <w:vAlign w:val="top"/>
          </w:tcPr>
          <w:p w14:paraId="32D7F9D3">
            <w:pPr>
              <w:pStyle w:val="33"/>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01" w:type="dxa"/>
            <w:noWrap w:val="0"/>
            <w:vAlign w:val="top"/>
          </w:tcPr>
          <w:p w14:paraId="634C7AFC">
            <w:pPr>
              <w:pStyle w:val="33"/>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违约行为</w:t>
            </w:r>
          </w:p>
        </w:tc>
        <w:tc>
          <w:tcPr>
            <w:tcW w:w="1950" w:type="dxa"/>
            <w:noWrap w:val="0"/>
            <w:vAlign w:val="top"/>
          </w:tcPr>
          <w:p w14:paraId="4FD4D7F3">
            <w:pPr>
              <w:pStyle w:val="33"/>
              <w:rPr>
                <w:rFonts w:hint="eastAsia" w:ascii="宋体" w:hAnsi="宋体" w:eastAsia="宋体" w:cs="宋体"/>
                <w:color w:val="auto"/>
                <w:sz w:val="24"/>
                <w:highlight w:val="none"/>
              </w:rPr>
            </w:pPr>
            <w:r>
              <w:rPr>
                <w:rFonts w:hint="eastAsia" w:ascii="宋体" w:hAnsi="宋体" w:eastAsia="宋体" w:cs="宋体"/>
                <w:color w:val="auto"/>
                <w:sz w:val="24"/>
                <w:highlight w:val="none"/>
              </w:rPr>
              <w:t>违约金额</w:t>
            </w:r>
          </w:p>
        </w:tc>
        <w:tc>
          <w:tcPr>
            <w:tcW w:w="1155" w:type="dxa"/>
            <w:noWrap w:val="0"/>
            <w:vAlign w:val="top"/>
          </w:tcPr>
          <w:p w14:paraId="283B0FEC">
            <w:pPr>
              <w:pStyle w:val="33"/>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073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3" w:type="dxa"/>
            <w:noWrap w:val="0"/>
            <w:vAlign w:val="center"/>
          </w:tcPr>
          <w:p w14:paraId="25192641">
            <w:pPr>
              <w:pStyle w:val="33"/>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5701" w:type="dxa"/>
            <w:noWrap w:val="0"/>
            <w:vAlign w:val="top"/>
          </w:tcPr>
          <w:p w14:paraId="7D902E8E">
            <w:pPr>
              <w:pStyle w:val="33"/>
              <w:spacing w:line="4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监理不良行为违约</w:t>
            </w:r>
          </w:p>
        </w:tc>
        <w:tc>
          <w:tcPr>
            <w:tcW w:w="1950" w:type="dxa"/>
            <w:noWrap w:val="0"/>
            <w:vAlign w:val="center"/>
          </w:tcPr>
          <w:p w14:paraId="48020E45">
            <w:pPr>
              <w:pStyle w:val="33"/>
              <w:rPr>
                <w:rFonts w:hint="eastAsia" w:ascii="宋体" w:hAnsi="宋体" w:eastAsia="宋体" w:cs="宋体"/>
                <w:b w:val="0"/>
                <w:bCs/>
                <w:color w:val="auto"/>
                <w:sz w:val="24"/>
                <w:highlight w:val="none"/>
              </w:rPr>
            </w:pPr>
          </w:p>
        </w:tc>
        <w:tc>
          <w:tcPr>
            <w:tcW w:w="1155" w:type="dxa"/>
            <w:noWrap w:val="0"/>
            <w:vAlign w:val="top"/>
          </w:tcPr>
          <w:p w14:paraId="1B36607E">
            <w:pPr>
              <w:pStyle w:val="33"/>
              <w:jc w:val="both"/>
              <w:rPr>
                <w:rFonts w:hint="eastAsia" w:ascii="宋体" w:hAnsi="宋体" w:eastAsia="宋体" w:cs="宋体"/>
                <w:b w:val="0"/>
                <w:bCs/>
                <w:color w:val="auto"/>
                <w:sz w:val="24"/>
                <w:highlight w:val="none"/>
              </w:rPr>
            </w:pPr>
          </w:p>
        </w:tc>
      </w:tr>
      <w:tr w14:paraId="456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A9D5E25">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5701" w:type="dxa"/>
            <w:noWrap w:val="0"/>
            <w:vAlign w:val="top"/>
          </w:tcPr>
          <w:p w14:paraId="40CDA9A1">
            <w:pPr>
              <w:pStyle w:val="33"/>
              <w:spacing w:line="400" w:lineRule="exact"/>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本项目对总监实施考勤，考勤每月累计不少于20天</w:t>
            </w:r>
          </w:p>
        </w:tc>
        <w:tc>
          <w:tcPr>
            <w:tcW w:w="1950" w:type="dxa"/>
            <w:noWrap w:val="0"/>
            <w:vAlign w:val="center"/>
          </w:tcPr>
          <w:p w14:paraId="3486D3F8">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¥1000元/天</w:t>
            </w:r>
          </w:p>
        </w:tc>
        <w:tc>
          <w:tcPr>
            <w:tcW w:w="1155" w:type="dxa"/>
            <w:noWrap w:val="0"/>
            <w:vAlign w:val="top"/>
          </w:tcPr>
          <w:p w14:paraId="7AF82482">
            <w:pPr>
              <w:pStyle w:val="33"/>
              <w:jc w:val="both"/>
              <w:rPr>
                <w:rFonts w:hint="eastAsia" w:ascii="宋体" w:hAnsi="宋体" w:eastAsia="宋体" w:cs="宋体"/>
                <w:b w:val="0"/>
                <w:bCs/>
                <w:color w:val="auto"/>
                <w:sz w:val="24"/>
                <w:highlight w:val="none"/>
              </w:rPr>
            </w:pPr>
          </w:p>
        </w:tc>
      </w:tr>
      <w:tr w14:paraId="2FEB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6A59E12">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5701" w:type="dxa"/>
            <w:noWrap w:val="0"/>
            <w:vAlign w:val="top"/>
          </w:tcPr>
          <w:p w14:paraId="420CE33C">
            <w:pPr>
              <w:pStyle w:val="33"/>
              <w:spacing w:line="400" w:lineRule="exact"/>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本项目对驻场监理人员实施考勤，考勤每月累计不到位天数超过6天</w:t>
            </w:r>
          </w:p>
        </w:tc>
        <w:tc>
          <w:tcPr>
            <w:tcW w:w="1950" w:type="dxa"/>
            <w:noWrap w:val="0"/>
            <w:vAlign w:val="center"/>
          </w:tcPr>
          <w:p w14:paraId="44EC1CE4">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¥1000元/天</w:t>
            </w:r>
          </w:p>
        </w:tc>
        <w:tc>
          <w:tcPr>
            <w:tcW w:w="1155" w:type="dxa"/>
            <w:noWrap w:val="0"/>
            <w:vAlign w:val="top"/>
          </w:tcPr>
          <w:p w14:paraId="79850385">
            <w:pPr>
              <w:pStyle w:val="33"/>
              <w:jc w:val="both"/>
              <w:rPr>
                <w:rFonts w:hint="eastAsia" w:ascii="宋体" w:hAnsi="宋体" w:eastAsia="宋体" w:cs="宋体"/>
                <w:b w:val="0"/>
                <w:bCs/>
                <w:color w:val="auto"/>
                <w:sz w:val="24"/>
                <w:highlight w:val="none"/>
              </w:rPr>
            </w:pPr>
          </w:p>
        </w:tc>
      </w:tr>
      <w:tr w14:paraId="0E9D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E30B047">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5701" w:type="dxa"/>
            <w:noWrap w:val="0"/>
            <w:vAlign w:val="top"/>
          </w:tcPr>
          <w:p w14:paraId="1BA7F50A">
            <w:pPr>
              <w:pStyle w:val="33"/>
              <w:spacing w:line="400" w:lineRule="exact"/>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其他监理人员必须按配备要求在现场驻场监理，离开项目现场必须经委托人书面同意，如委托人发现监理人员非正常离岗</w:t>
            </w:r>
          </w:p>
        </w:tc>
        <w:tc>
          <w:tcPr>
            <w:tcW w:w="1950" w:type="dxa"/>
            <w:noWrap w:val="0"/>
            <w:vAlign w:val="center"/>
          </w:tcPr>
          <w:p w14:paraId="0B3656BB">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¥1000元/次</w:t>
            </w:r>
          </w:p>
        </w:tc>
        <w:tc>
          <w:tcPr>
            <w:tcW w:w="1155" w:type="dxa"/>
            <w:noWrap w:val="0"/>
            <w:vAlign w:val="top"/>
          </w:tcPr>
          <w:p w14:paraId="2B4E2A69">
            <w:pPr>
              <w:pStyle w:val="33"/>
              <w:jc w:val="both"/>
              <w:rPr>
                <w:rFonts w:hint="eastAsia" w:ascii="宋体" w:hAnsi="宋体" w:eastAsia="宋体" w:cs="宋体"/>
                <w:b w:val="0"/>
                <w:bCs/>
                <w:color w:val="auto"/>
                <w:sz w:val="24"/>
                <w:highlight w:val="none"/>
              </w:rPr>
            </w:pPr>
          </w:p>
        </w:tc>
      </w:tr>
      <w:tr w14:paraId="2F50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B6F26BB">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p>
        </w:tc>
        <w:tc>
          <w:tcPr>
            <w:tcW w:w="5701" w:type="dxa"/>
            <w:noWrap w:val="0"/>
            <w:vAlign w:val="top"/>
          </w:tcPr>
          <w:p w14:paraId="4A60A09C">
            <w:pPr>
              <w:pStyle w:val="33"/>
              <w:spacing w:line="400" w:lineRule="exact"/>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同一问题未能按时整改，每重复一次</w:t>
            </w:r>
          </w:p>
        </w:tc>
        <w:tc>
          <w:tcPr>
            <w:tcW w:w="1950" w:type="dxa"/>
            <w:noWrap w:val="0"/>
            <w:vAlign w:val="center"/>
          </w:tcPr>
          <w:p w14:paraId="5B633FA8">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¥3000元/次</w:t>
            </w:r>
          </w:p>
        </w:tc>
        <w:tc>
          <w:tcPr>
            <w:tcW w:w="1155" w:type="dxa"/>
            <w:noWrap w:val="0"/>
            <w:vAlign w:val="top"/>
          </w:tcPr>
          <w:p w14:paraId="31E44127">
            <w:pPr>
              <w:pStyle w:val="33"/>
              <w:jc w:val="both"/>
              <w:rPr>
                <w:rFonts w:hint="eastAsia" w:ascii="宋体" w:hAnsi="宋体" w:eastAsia="宋体" w:cs="宋体"/>
                <w:b w:val="0"/>
                <w:bCs/>
                <w:color w:val="auto"/>
                <w:sz w:val="24"/>
                <w:highlight w:val="none"/>
              </w:rPr>
            </w:pPr>
          </w:p>
        </w:tc>
      </w:tr>
      <w:tr w14:paraId="3C18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4BC6839">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w:t>
            </w:r>
          </w:p>
        </w:tc>
        <w:tc>
          <w:tcPr>
            <w:tcW w:w="5701" w:type="dxa"/>
            <w:noWrap w:val="0"/>
            <w:vAlign w:val="top"/>
          </w:tcPr>
          <w:p w14:paraId="357DB43E">
            <w:pPr>
              <w:pStyle w:val="33"/>
              <w:spacing w:line="400" w:lineRule="exact"/>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必须充分考虑总监的履职能力和可行性，充分评估总监的身体健康状况及合同约定服务期限，监理人原则上不得更换总监，若监理人提出《广东省住房和城乡建设厅关于建设工程项目招标中标后监督检查的办法》（粤建市〔2009〕8号第九条所述除外情形之一需变更更换总监的</w:t>
            </w:r>
          </w:p>
        </w:tc>
        <w:tc>
          <w:tcPr>
            <w:tcW w:w="1950" w:type="dxa"/>
            <w:noWrap w:val="0"/>
            <w:vAlign w:val="center"/>
          </w:tcPr>
          <w:p w14:paraId="37DA1649">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合同价的2%</w:t>
            </w:r>
          </w:p>
        </w:tc>
        <w:tc>
          <w:tcPr>
            <w:tcW w:w="1155" w:type="dxa"/>
            <w:noWrap w:val="0"/>
            <w:vAlign w:val="top"/>
          </w:tcPr>
          <w:p w14:paraId="1DB51077">
            <w:pPr>
              <w:pStyle w:val="33"/>
              <w:jc w:val="both"/>
              <w:rPr>
                <w:rFonts w:hint="eastAsia" w:ascii="宋体" w:hAnsi="宋体" w:eastAsia="宋体" w:cs="宋体"/>
                <w:b w:val="0"/>
                <w:bCs/>
                <w:color w:val="auto"/>
                <w:sz w:val="24"/>
                <w:highlight w:val="none"/>
              </w:rPr>
            </w:pPr>
          </w:p>
        </w:tc>
      </w:tr>
      <w:tr w14:paraId="3A9E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3" w:type="dxa"/>
            <w:noWrap w:val="0"/>
            <w:vAlign w:val="center"/>
          </w:tcPr>
          <w:p w14:paraId="1B5C5EEA">
            <w:pPr>
              <w:pStyle w:val="33"/>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5701" w:type="dxa"/>
            <w:noWrap w:val="0"/>
            <w:vAlign w:val="top"/>
          </w:tcPr>
          <w:p w14:paraId="10FE4B2C">
            <w:pPr>
              <w:pStyle w:val="33"/>
              <w:spacing w:line="4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监理过失事件违约</w:t>
            </w:r>
          </w:p>
        </w:tc>
        <w:tc>
          <w:tcPr>
            <w:tcW w:w="1950" w:type="dxa"/>
            <w:noWrap w:val="0"/>
            <w:vAlign w:val="center"/>
          </w:tcPr>
          <w:p w14:paraId="05DDA7CF">
            <w:pPr>
              <w:pStyle w:val="33"/>
              <w:rPr>
                <w:rFonts w:hint="eastAsia" w:ascii="宋体" w:hAnsi="宋体" w:eastAsia="宋体" w:cs="宋体"/>
                <w:b w:val="0"/>
                <w:bCs/>
                <w:color w:val="auto"/>
                <w:sz w:val="24"/>
                <w:highlight w:val="none"/>
                <w:u w:val="single"/>
              </w:rPr>
            </w:pPr>
          </w:p>
        </w:tc>
        <w:tc>
          <w:tcPr>
            <w:tcW w:w="1155" w:type="dxa"/>
            <w:noWrap w:val="0"/>
            <w:vAlign w:val="top"/>
          </w:tcPr>
          <w:p w14:paraId="1A5F1526">
            <w:pPr>
              <w:pStyle w:val="33"/>
              <w:jc w:val="both"/>
              <w:rPr>
                <w:rFonts w:hint="eastAsia" w:ascii="宋体" w:hAnsi="宋体" w:eastAsia="宋体" w:cs="宋体"/>
                <w:b w:val="0"/>
                <w:bCs/>
                <w:color w:val="auto"/>
                <w:sz w:val="24"/>
                <w:highlight w:val="none"/>
              </w:rPr>
            </w:pPr>
          </w:p>
        </w:tc>
      </w:tr>
      <w:tr w14:paraId="2078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A8354AD">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5701" w:type="dxa"/>
            <w:noWrap w:val="0"/>
            <w:vAlign w:val="top"/>
          </w:tcPr>
          <w:p w14:paraId="2F8319EE">
            <w:pPr>
              <w:pStyle w:val="33"/>
              <w:spacing w:line="400" w:lineRule="exact"/>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①委托人发现施工中存在问题，而监理人未发现的；②监理人发现发现施工中存在的问题，但未督促发现勘察、设计、施工单位整改或整改不到位的（以监理人发出的整改通知和发现勘察、设计、施工单位回复及监理复查意见为准）；③监理人三次及以上发出整改通知发现勘察、设计、施工单位未能给予响应的，但监理人未能采取果断措施的</w:t>
            </w:r>
          </w:p>
        </w:tc>
        <w:tc>
          <w:tcPr>
            <w:tcW w:w="1950" w:type="dxa"/>
            <w:noWrap w:val="0"/>
            <w:vAlign w:val="center"/>
          </w:tcPr>
          <w:p w14:paraId="71E83793">
            <w:pPr>
              <w:pStyle w:val="33"/>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u w:val="single"/>
              </w:rPr>
              <w:t>¥2000元/次</w:t>
            </w:r>
          </w:p>
        </w:tc>
        <w:tc>
          <w:tcPr>
            <w:tcW w:w="1155" w:type="dxa"/>
            <w:noWrap w:val="0"/>
            <w:vAlign w:val="top"/>
          </w:tcPr>
          <w:p w14:paraId="69152CBF">
            <w:pPr>
              <w:pStyle w:val="33"/>
              <w:jc w:val="both"/>
              <w:rPr>
                <w:rFonts w:hint="eastAsia" w:ascii="宋体" w:hAnsi="宋体" w:eastAsia="宋体" w:cs="宋体"/>
                <w:b w:val="0"/>
                <w:bCs/>
                <w:color w:val="auto"/>
                <w:sz w:val="24"/>
                <w:highlight w:val="none"/>
              </w:rPr>
            </w:pPr>
          </w:p>
        </w:tc>
      </w:tr>
      <w:tr w14:paraId="4AD0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 w:type="dxa"/>
            <w:noWrap w:val="0"/>
            <w:vAlign w:val="center"/>
          </w:tcPr>
          <w:p w14:paraId="7C95AF12">
            <w:pPr>
              <w:pStyle w:val="33"/>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5701" w:type="dxa"/>
            <w:noWrap w:val="0"/>
            <w:vAlign w:val="top"/>
          </w:tcPr>
          <w:p w14:paraId="2436956D">
            <w:pPr>
              <w:pStyle w:val="52"/>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监理渎职事件违约</w:t>
            </w:r>
          </w:p>
        </w:tc>
        <w:tc>
          <w:tcPr>
            <w:tcW w:w="1950" w:type="dxa"/>
            <w:noWrap w:val="0"/>
            <w:vAlign w:val="center"/>
          </w:tcPr>
          <w:p w14:paraId="382F0E71">
            <w:pPr>
              <w:pStyle w:val="33"/>
              <w:rPr>
                <w:rFonts w:hint="eastAsia" w:ascii="宋体" w:hAnsi="宋体" w:eastAsia="宋体" w:cs="宋体"/>
                <w:b w:val="0"/>
                <w:bCs/>
                <w:color w:val="auto"/>
                <w:sz w:val="24"/>
                <w:highlight w:val="none"/>
                <w:u w:val="single"/>
              </w:rPr>
            </w:pPr>
          </w:p>
        </w:tc>
        <w:tc>
          <w:tcPr>
            <w:tcW w:w="1155" w:type="dxa"/>
            <w:noWrap w:val="0"/>
            <w:vAlign w:val="top"/>
          </w:tcPr>
          <w:p w14:paraId="1FDE34E6">
            <w:pPr>
              <w:pStyle w:val="33"/>
              <w:jc w:val="both"/>
              <w:rPr>
                <w:rFonts w:hint="eastAsia" w:ascii="宋体" w:hAnsi="宋体" w:eastAsia="宋体" w:cs="宋体"/>
                <w:b w:val="0"/>
                <w:bCs/>
                <w:color w:val="auto"/>
                <w:sz w:val="24"/>
                <w:highlight w:val="none"/>
              </w:rPr>
            </w:pPr>
          </w:p>
        </w:tc>
      </w:tr>
      <w:tr w14:paraId="7144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983" w:type="dxa"/>
            <w:noWrap w:val="0"/>
            <w:vAlign w:val="center"/>
          </w:tcPr>
          <w:p w14:paraId="132F86C6">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5701" w:type="dxa"/>
            <w:noWrap w:val="0"/>
            <w:vAlign w:val="top"/>
          </w:tcPr>
          <w:p w14:paraId="0E04CC08">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人必须加强对监理人员职业操守、廉政建设的培训和教育，本项目监理人员利用职业身份“吃、拿、卡、要”或有其他违反职业操守及廉政建设相关规定的，一经查实，监理人应立即清退该监理人员，并承担1次非常严重违约责任</w:t>
            </w:r>
          </w:p>
        </w:tc>
        <w:tc>
          <w:tcPr>
            <w:tcW w:w="1950" w:type="dxa"/>
            <w:noWrap w:val="0"/>
            <w:vAlign w:val="center"/>
          </w:tcPr>
          <w:p w14:paraId="35815E5C">
            <w:pPr>
              <w:pStyle w:val="33"/>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u w:val="single"/>
              </w:rPr>
              <w:t>¥10000元/次</w:t>
            </w:r>
          </w:p>
        </w:tc>
        <w:tc>
          <w:tcPr>
            <w:tcW w:w="1155" w:type="dxa"/>
            <w:noWrap w:val="0"/>
            <w:vAlign w:val="top"/>
          </w:tcPr>
          <w:p w14:paraId="424966CB">
            <w:pPr>
              <w:pStyle w:val="33"/>
              <w:jc w:val="both"/>
              <w:rPr>
                <w:rFonts w:hint="eastAsia" w:ascii="宋体" w:hAnsi="宋体" w:eastAsia="宋体" w:cs="宋体"/>
                <w:b w:val="0"/>
                <w:bCs/>
                <w:color w:val="auto"/>
                <w:sz w:val="24"/>
                <w:highlight w:val="none"/>
              </w:rPr>
            </w:pPr>
          </w:p>
        </w:tc>
      </w:tr>
      <w:tr w14:paraId="3707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1C64D90">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5701" w:type="dxa"/>
            <w:noWrap w:val="0"/>
            <w:vAlign w:val="top"/>
          </w:tcPr>
          <w:p w14:paraId="0FA6870D">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向委托人及承包人推销材料、设备，或以倾向性、排他性变相推销；②与承包人串通，对不合格材料、产品、工程进行包庇及验收；③与承包人串通，对材料用量、工程量进行虚假签认；④与承包人串通，不合理提高施工难度及增加材料用量，以增大施工费用，获取不正当收益；⑤接受承包人的请吃送礼或变相受礼；⑥向承包人介绍分包或推销材料、设备等；⑦故意刁难承包人以谋取私利，损害委托人的合法利益；⑧其他可鉴定为严重违约行为。</w:t>
            </w:r>
          </w:p>
        </w:tc>
        <w:tc>
          <w:tcPr>
            <w:tcW w:w="1950" w:type="dxa"/>
            <w:noWrap w:val="0"/>
            <w:vAlign w:val="center"/>
          </w:tcPr>
          <w:p w14:paraId="0E9F523A">
            <w:pPr>
              <w:pStyle w:val="33"/>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u w:val="single"/>
              </w:rPr>
              <w:t>¥10000元/次</w:t>
            </w:r>
          </w:p>
        </w:tc>
        <w:tc>
          <w:tcPr>
            <w:tcW w:w="1155" w:type="dxa"/>
            <w:noWrap w:val="0"/>
            <w:vAlign w:val="top"/>
          </w:tcPr>
          <w:p w14:paraId="0AC82655">
            <w:pPr>
              <w:pStyle w:val="33"/>
              <w:jc w:val="both"/>
              <w:rPr>
                <w:rFonts w:hint="eastAsia" w:ascii="宋体" w:hAnsi="宋体" w:eastAsia="宋体" w:cs="宋体"/>
                <w:b w:val="0"/>
                <w:bCs/>
                <w:color w:val="auto"/>
                <w:sz w:val="24"/>
                <w:highlight w:val="none"/>
              </w:rPr>
            </w:pPr>
          </w:p>
        </w:tc>
      </w:tr>
      <w:tr w14:paraId="5D31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83" w:type="dxa"/>
            <w:noWrap w:val="0"/>
            <w:vAlign w:val="center"/>
          </w:tcPr>
          <w:p w14:paraId="3269C303">
            <w:pPr>
              <w:pStyle w:val="33"/>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p>
        </w:tc>
        <w:tc>
          <w:tcPr>
            <w:tcW w:w="5701" w:type="dxa"/>
            <w:noWrap w:val="0"/>
            <w:vAlign w:val="top"/>
          </w:tcPr>
          <w:p w14:paraId="3D033F0C">
            <w:pPr>
              <w:pStyle w:val="52"/>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监理不达标违约</w:t>
            </w:r>
          </w:p>
        </w:tc>
        <w:tc>
          <w:tcPr>
            <w:tcW w:w="1950" w:type="dxa"/>
            <w:noWrap w:val="0"/>
            <w:vAlign w:val="center"/>
          </w:tcPr>
          <w:p w14:paraId="4040787D">
            <w:pPr>
              <w:pStyle w:val="33"/>
              <w:rPr>
                <w:rFonts w:hint="eastAsia" w:ascii="宋体" w:hAnsi="宋体" w:eastAsia="宋体" w:cs="宋体"/>
                <w:b w:val="0"/>
                <w:bCs/>
                <w:color w:val="auto"/>
                <w:sz w:val="24"/>
                <w:highlight w:val="none"/>
                <w:u w:val="single"/>
              </w:rPr>
            </w:pPr>
          </w:p>
        </w:tc>
        <w:tc>
          <w:tcPr>
            <w:tcW w:w="1155" w:type="dxa"/>
            <w:noWrap w:val="0"/>
            <w:vAlign w:val="top"/>
          </w:tcPr>
          <w:p w14:paraId="5AE284E6">
            <w:pPr>
              <w:pStyle w:val="33"/>
              <w:jc w:val="both"/>
              <w:rPr>
                <w:rFonts w:hint="eastAsia" w:ascii="宋体" w:hAnsi="宋体" w:eastAsia="宋体" w:cs="宋体"/>
                <w:b w:val="0"/>
                <w:bCs/>
                <w:color w:val="auto"/>
                <w:sz w:val="24"/>
                <w:highlight w:val="none"/>
              </w:rPr>
            </w:pPr>
          </w:p>
        </w:tc>
      </w:tr>
      <w:tr w14:paraId="391A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03E4D04">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5701" w:type="dxa"/>
            <w:noWrap w:val="0"/>
            <w:vAlign w:val="top"/>
          </w:tcPr>
          <w:p w14:paraId="17C5F898">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工程竣工验收质量未达到施工合同等级要求的</w:t>
            </w:r>
          </w:p>
        </w:tc>
        <w:tc>
          <w:tcPr>
            <w:tcW w:w="1950" w:type="dxa"/>
            <w:noWrap w:val="0"/>
            <w:vAlign w:val="center"/>
          </w:tcPr>
          <w:p w14:paraId="692D3A66">
            <w:pPr>
              <w:pStyle w:val="33"/>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合同价款的</w:t>
            </w:r>
            <w:r>
              <w:rPr>
                <w:rFonts w:hint="eastAsia" w:ascii="宋体" w:hAnsi="宋体" w:eastAsia="宋体" w:cs="宋体"/>
                <w:b w:val="0"/>
                <w:bCs/>
                <w:color w:val="auto"/>
                <w:sz w:val="24"/>
                <w:highlight w:val="none"/>
                <w:u w:val="single"/>
              </w:rPr>
              <w:t>5％</w:t>
            </w:r>
          </w:p>
        </w:tc>
        <w:tc>
          <w:tcPr>
            <w:tcW w:w="1155" w:type="dxa"/>
            <w:noWrap w:val="0"/>
            <w:vAlign w:val="top"/>
          </w:tcPr>
          <w:p w14:paraId="103252E6">
            <w:pPr>
              <w:pStyle w:val="33"/>
              <w:jc w:val="both"/>
              <w:rPr>
                <w:rFonts w:hint="eastAsia" w:ascii="宋体" w:hAnsi="宋体" w:eastAsia="宋体" w:cs="宋体"/>
                <w:b w:val="0"/>
                <w:bCs/>
                <w:color w:val="auto"/>
                <w:sz w:val="24"/>
                <w:highlight w:val="none"/>
              </w:rPr>
            </w:pPr>
          </w:p>
        </w:tc>
      </w:tr>
      <w:tr w14:paraId="49F7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DF5CEE8">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5701" w:type="dxa"/>
            <w:noWrap w:val="0"/>
            <w:vAlign w:val="top"/>
          </w:tcPr>
          <w:p w14:paraId="1EDD5062">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监理人未按要求配备用于监理现场抽检所用的试验设备和仪器的（如不具备条件的须委托有相应资质的单位进行现场检测），无条件在整改期内达到要求为止，未在整改期内配备</w:t>
            </w:r>
          </w:p>
        </w:tc>
        <w:tc>
          <w:tcPr>
            <w:tcW w:w="1950" w:type="dxa"/>
            <w:noWrap w:val="0"/>
            <w:vAlign w:val="center"/>
          </w:tcPr>
          <w:p w14:paraId="12D79C1E">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¥2000元/天</w:t>
            </w:r>
          </w:p>
        </w:tc>
        <w:tc>
          <w:tcPr>
            <w:tcW w:w="1155" w:type="dxa"/>
            <w:noWrap w:val="0"/>
            <w:vAlign w:val="top"/>
          </w:tcPr>
          <w:p w14:paraId="08A748DD">
            <w:pPr>
              <w:pStyle w:val="33"/>
              <w:jc w:val="both"/>
              <w:rPr>
                <w:rFonts w:hint="eastAsia" w:ascii="宋体" w:hAnsi="宋体" w:eastAsia="宋体" w:cs="宋体"/>
                <w:b w:val="0"/>
                <w:bCs/>
                <w:color w:val="auto"/>
                <w:sz w:val="24"/>
                <w:highlight w:val="none"/>
              </w:rPr>
            </w:pPr>
          </w:p>
        </w:tc>
      </w:tr>
      <w:tr w14:paraId="1969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92152E7">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5701" w:type="dxa"/>
            <w:noWrap w:val="0"/>
            <w:vAlign w:val="top"/>
          </w:tcPr>
          <w:p w14:paraId="5B1DB757">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工程未能按期竣工验收通过</w:t>
            </w:r>
          </w:p>
        </w:tc>
        <w:tc>
          <w:tcPr>
            <w:tcW w:w="1950" w:type="dxa"/>
            <w:noWrap w:val="0"/>
            <w:vAlign w:val="center"/>
          </w:tcPr>
          <w:p w14:paraId="36548463">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w:t>
            </w:r>
            <w:r>
              <w:rPr>
                <w:rFonts w:hint="eastAsia" w:ascii="宋体" w:hAnsi="宋体" w:eastAsia="宋体" w:cs="宋体"/>
                <w:b w:val="0"/>
                <w:bCs/>
                <w:color w:val="auto"/>
                <w:sz w:val="24"/>
                <w:highlight w:val="none"/>
                <w:u w:val="single"/>
              </w:rPr>
              <w:t>2％</w:t>
            </w:r>
          </w:p>
        </w:tc>
        <w:tc>
          <w:tcPr>
            <w:tcW w:w="1155" w:type="dxa"/>
            <w:noWrap w:val="0"/>
            <w:vAlign w:val="top"/>
          </w:tcPr>
          <w:p w14:paraId="16D84915">
            <w:pPr>
              <w:pStyle w:val="33"/>
              <w:jc w:val="both"/>
              <w:rPr>
                <w:rFonts w:hint="eastAsia" w:ascii="宋体" w:hAnsi="宋体" w:eastAsia="宋体" w:cs="宋体"/>
                <w:b w:val="0"/>
                <w:bCs/>
                <w:color w:val="auto"/>
                <w:sz w:val="24"/>
                <w:highlight w:val="none"/>
              </w:rPr>
            </w:pPr>
          </w:p>
        </w:tc>
      </w:tr>
      <w:tr w14:paraId="0091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5334A5C">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p>
        </w:tc>
        <w:tc>
          <w:tcPr>
            <w:tcW w:w="5701" w:type="dxa"/>
            <w:noWrap w:val="0"/>
            <w:vAlign w:val="top"/>
          </w:tcPr>
          <w:p w14:paraId="311CFF4C">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因监理单位责任引起变更造成投资规模增加10%以上的</w:t>
            </w:r>
          </w:p>
        </w:tc>
        <w:tc>
          <w:tcPr>
            <w:tcW w:w="1950" w:type="dxa"/>
            <w:noWrap w:val="0"/>
            <w:vAlign w:val="center"/>
          </w:tcPr>
          <w:p w14:paraId="23199C83">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合同价款的20%</w:t>
            </w:r>
          </w:p>
        </w:tc>
        <w:tc>
          <w:tcPr>
            <w:tcW w:w="1155" w:type="dxa"/>
            <w:noWrap w:val="0"/>
            <w:vAlign w:val="top"/>
          </w:tcPr>
          <w:p w14:paraId="66716275">
            <w:pPr>
              <w:pStyle w:val="33"/>
              <w:jc w:val="both"/>
              <w:rPr>
                <w:rFonts w:hint="eastAsia" w:ascii="宋体" w:hAnsi="宋体" w:eastAsia="宋体" w:cs="宋体"/>
                <w:b w:val="0"/>
                <w:bCs/>
                <w:color w:val="auto"/>
                <w:sz w:val="24"/>
                <w:highlight w:val="none"/>
              </w:rPr>
            </w:pPr>
          </w:p>
        </w:tc>
      </w:tr>
      <w:tr w14:paraId="6595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D6A6225">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w:t>
            </w:r>
          </w:p>
        </w:tc>
        <w:tc>
          <w:tcPr>
            <w:tcW w:w="5701" w:type="dxa"/>
            <w:noWrap w:val="0"/>
            <w:vAlign w:val="top"/>
          </w:tcPr>
          <w:p w14:paraId="7E9E7393">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因监理单位责任引起变更造成投资规模增加15%以上的</w:t>
            </w:r>
          </w:p>
        </w:tc>
        <w:tc>
          <w:tcPr>
            <w:tcW w:w="1950" w:type="dxa"/>
            <w:noWrap w:val="0"/>
            <w:vAlign w:val="center"/>
          </w:tcPr>
          <w:p w14:paraId="14782B72">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合同价款的30%</w:t>
            </w:r>
          </w:p>
        </w:tc>
        <w:tc>
          <w:tcPr>
            <w:tcW w:w="1155" w:type="dxa"/>
            <w:noWrap w:val="0"/>
            <w:vAlign w:val="top"/>
          </w:tcPr>
          <w:p w14:paraId="52F8E333">
            <w:pPr>
              <w:pStyle w:val="33"/>
              <w:jc w:val="both"/>
              <w:rPr>
                <w:rFonts w:hint="eastAsia" w:ascii="宋体" w:hAnsi="宋体" w:eastAsia="宋体" w:cs="宋体"/>
                <w:b w:val="0"/>
                <w:bCs/>
                <w:color w:val="auto"/>
                <w:sz w:val="24"/>
                <w:highlight w:val="none"/>
              </w:rPr>
            </w:pPr>
          </w:p>
        </w:tc>
      </w:tr>
      <w:tr w14:paraId="6B11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8DF0D84">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p>
        </w:tc>
        <w:tc>
          <w:tcPr>
            <w:tcW w:w="5701" w:type="dxa"/>
            <w:noWrap w:val="0"/>
            <w:vAlign w:val="top"/>
          </w:tcPr>
          <w:p w14:paraId="6AD98055">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因监理单位责任引起变更造成投资规模增加20%以上的</w:t>
            </w:r>
          </w:p>
        </w:tc>
        <w:tc>
          <w:tcPr>
            <w:tcW w:w="1950" w:type="dxa"/>
            <w:noWrap w:val="0"/>
            <w:vAlign w:val="center"/>
          </w:tcPr>
          <w:p w14:paraId="4DE41AD8">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合同价款的40%</w:t>
            </w:r>
          </w:p>
        </w:tc>
        <w:tc>
          <w:tcPr>
            <w:tcW w:w="1155" w:type="dxa"/>
            <w:noWrap w:val="0"/>
            <w:vAlign w:val="top"/>
          </w:tcPr>
          <w:p w14:paraId="0944BD33">
            <w:pPr>
              <w:pStyle w:val="33"/>
              <w:jc w:val="both"/>
              <w:rPr>
                <w:rFonts w:hint="eastAsia" w:ascii="宋体" w:hAnsi="宋体" w:eastAsia="宋体" w:cs="宋体"/>
                <w:b w:val="0"/>
                <w:bCs/>
                <w:color w:val="auto"/>
                <w:sz w:val="24"/>
                <w:highlight w:val="none"/>
              </w:rPr>
            </w:pPr>
          </w:p>
        </w:tc>
      </w:tr>
      <w:tr w14:paraId="7515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DAED12F">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w:t>
            </w:r>
          </w:p>
        </w:tc>
        <w:tc>
          <w:tcPr>
            <w:tcW w:w="5701" w:type="dxa"/>
            <w:noWrap w:val="0"/>
            <w:vAlign w:val="top"/>
          </w:tcPr>
          <w:p w14:paraId="193C7B44">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被上级主管部门通报批评、被新闻媒体曝光的</w:t>
            </w:r>
          </w:p>
        </w:tc>
        <w:tc>
          <w:tcPr>
            <w:tcW w:w="1950" w:type="dxa"/>
            <w:noWrap w:val="0"/>
            <w:vAlign w:val="center"/>
          </w:tcPr>
          <w:p w14:paraId="68EEAC18">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合同价款的1%</w:t>
            </w:r>
          </w:p>
        </w:tc>
        <w:tc>
          <w:tcPr>
            <w:tcW w:w="1155" w:type="dxa"/>
            <w:noWrap w:val="0"/>
            <w:vAlign w:val="top"/>
          </w:tcPr>
          <w:p w14:paraId="0ACB51B3">
            <w:pPr>
              <w:pStyle w:val="33"/>
              <w:jc w:val="both"/>
              <w:rPr>
                <w:rFonts w:hint="eastAsia" w:ascii="宋体" w:hAnsi="宋体" w:eastAsia="宋体" w:cs="宋体"/>
                <w:b w:val="0"/>
                <w:bCs/>
                <w:color w:val="auto"/>
                <w:sz w:val="24"/>
                <w:highlight w:val="none"/>
              </w:rPr>
            </w:pPr>
          </w:p>
        </w:tc>
      </w:tr>
      <w:tr w14:paraId="0301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DDFFD24">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w:t>
            </w:r>
          </w:p>
        </w:tc>
        <w:tc>
          <w:tcPr>
            <w:tcW w:w="5701" w:type="dxa"/>
            <w:noWrap w:val="0"/>
            <w:vAlign w:val="top"/>
          </w:tcPr>
          <w:p w14:paraId="76309736">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发生安全事故隐瞒不报、谎报或者拖延报告期限的</w:t>
            </w:r>
          </w:p>
        </w:tc>
        <w:tc>
          <w:tcPr>
            <w:tcW w:w="1950" w:type="dxa"/>
            <w:noWrap w:val="0"/>
            <w:vAlign w:val="center"/>
          </w:tcPr>
          <w:p w14:paraId="4606D1CD">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合同价款的2%</w:t>
            </w:r>
          </w:p>
        </w:tc>
        <w:tc>
          <w:tcPr>
            <w:tcW w:w="1155" w:type="dxa"/>
            <w:noWrap w:val="0"/>
            <w:vAlign w:val="top"/>
          </w:tcPr>
          <w:p w14:paraId="7BBE69C1">
            <w:pPr>
              <w:pStyle w:val="33"/>
              <w:jc w:val="both"/>
              <w:rPr>
                <w:rFonts w:hint="eastAsia" w:ascii="宋体" w:hAnsi="宋体" w:eastAsia="宋体" w:cs="宋体"/>
                <w:b w:val="0"/>
                <w:bCs/>
                <w:color w:val="auto"/>
                <w:sz w:val="24"/>
                <w:highlight w:val="none"/>
              </w:rPr>
            </w:pPr>
          </w:p>
        </w:tc>
      </w:tr>
      <w:tr w14:paraId="0D9D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BB3C8A6">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9</w:t>
            </w:r>
          </w:p>
        </w:tc>
        <w:tc>
          <w:tcPr>
            <w:tcW w:w="5701" w:type="dxa"/>
            <w:noWrap w:val="0"/>
            <w:vAlign w:val="top"/>
          </w:tcPr>
          <w:p w14:paraId="17EF3C9C">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发生较大以上安全质量事故（按国家及合同有关规定界定）的</w:t>
            </w:r>
          </w:p>
        </w:tc>
        <w:tc>
          <w:tcPr>
            <w:tcW w:w="1950" w:type="dxa"/>
            <w:noWrap w:val="0"/>
            <w:vAlign w:val="center"/>
          </w:tcPr>
          <w:p w14:paraId="11C01AB7">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合同价款的10%</w:t>
            </w:r>
          </w:p>
        </w:tc>
        <w:tc>
          <w:tcPr>
            <w:tcW w:w="1155" w:type="dxa"/>
            <w:noWrap w:val="0"/>
            <w:vAlign w:val="top"/>
          </w:tcPr>
          <w:p w14:paraId="302C7116">
            <w:pPr>
              <w:pStyle w:val="33"/>
              <w:jc w:val="both"/>
              <w:rPr>
                <w:rFonts w:hint="eastAsia" w:ascii="宋体" w:hAnsi="宋体" w:eastAsia="宋体" w:cs="宋体"/>
                <w:b w:val="0"/>
                <w:bCs/>
                <w:color w:val="auto"/>
                <w:sz w:val="24"/>
                <w:highlight w:val="none"/>
              </w:rPr>
            </w:pPr>
          </w:p>
        </w:tc>
      </w:tr>
      <w:tr w14:paraId="189E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AE82DBD">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w:t>
            </w:r>
          </w:p>
        </w:tc>
        <w:tc>
          <w:tcPr>
            <w:tcW w:w="5701" w:type="dxa"/>
            <w:noWrap w:val="0"/>
            <w:vAlign w:val="top"/>
          </w:tcPr>
          <w:p w14:paraId="0C779AAA">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监理人应保证每期进度计量（价）数据的真实性、准确性，如发生计量（价）误差＞5%（以委托人聘请的第三方造价咨询公司审核计量（价）作为对比），则视为监理人违约一次，</w:t>
            </w:r>
          </w:p>
        </w:tc>
        <w:tc>
          <w:tcPr>
            <w:tcW w:w="1950" w:type="dxa"/>
            <w:noWrap w:val="0"/>
            <w:vAlign w:val="center"/>
          </w:tcPr>
          <w:p w14:paraId="1AC7F726">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¥5000元/次</w:t>
            </w:r>
          </w:p>
        </w:tc>
        <w:tc>
          <w:tcPr>
            <w:tcW w:w="1155" w:type="dxa"/>
            <w:noWrap w:val="0"/>
            <w:vAlign w:val="top"/>
          </w:tcPr>
          <w:p w14:paraId="04E81628">
            <w:pPr>
              <w:pStyle w:val="33"/>
              <w:jc w:val="both"/>
              <w:rPr>
                <w:rFonts w:hint="eastAsia" w:ascii="宋体" w:hAnsi="宋体" w:eastAsia="宋体" w:cs="宋体"/>
                <w:b w:val="0"/>
                <w:bCs/>
                <w:color w:val="auto"/>
                <w:sz w:val="24"/>
                <w:highlight w:val="none"/>
              </w:rPr>
            </w:pPr>
          </w:p>
        </w:tc>
      </w:tr>
      <w:tr w14:paraId="33C2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8BAE3D1">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11</w:t>
            </w:r>
          </w:p>
        </w:tc>
        <w:tc>
          <w:tcPr>
            <w:tcW w:w="5701" w:type="dxa"/>
            <w:noWrap w:val="0"/>
            <w:vAlign w:val="top"/>
          </w:tcPr>
          <w:p w14:paraId="459230A9">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因监理单位责任引起分项工期延误日数占该项总工期的10%时</w:t>
            </w:r>
          </w:p>
        </w:tc>
        <w:tc>
          <w:tcPr>
            <w:tcW w:w="1950" w:type="dxa"/>
            <w:noWrap w:val="0"/>
            <w:vAlign w:val="center"/>
          </w:tcPr>
          <w:p w14:paraId="52812D00">
            <w:pPr>
              <w:pStyle w:val="33"/>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合同价款的20%</w:t>
            </w:r>
          </w:p>
        </w:tc>
        <w:tc>
          <w:tcPr>
            <w:tcW w:w="1155" w:type="dxa"/>
            <w:noWrap w:val="0"/>
            <w:vAlign w:val="top"/>
          </w:tcPr>
          <w:p w14:paraId="1F2E0A9E">
            <w:pPr>
              <w:pStyle w:val="33"/>
              <w:jc w:val="both"/>
              <w:rPr>
                <w:rFonts w:hint="eastAsia" w:ascii="宋体" w:hAnsi="宋体" w:eastAsia="宋体" w:cs="宋体"/>
                <w:b w:val="0"/>
                <w:bCs/>
                <w:color w:val="auto"/>
                <w:sz w:val="24"/>
                <w:highlight w:val="none"/>
              </w:rPr>
            </w:pPr>
          </w:p>
        </w:tc>
      </w:tr>
      <w:tr w14:paraId="0906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B8E0E25">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12</w:t>
            </w:r>
          </w:p>
        </w:tc>
        <w:tc>
          <w:tcPr>
            <w:tcW w:w="5701" w:type="dxa"/>
            <w:noWrap w:val="0"/>
            <w:vAlign w:val="top"/>
          </w:tcPr>
          <w:p w14:paraId="5B4E3338">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因监理单位责任引起分项工期延误日数占该项总工期的20%时</w:t>
            </w:r>
          </w:p>
        </w:tc>
        <w:tc>
          <w:tcPr>
            <w:tcW w:w="1950" w:type="dxa"/>
            <w:noWrap w:val="0"/>
            <w:vAlign w:val="center"/>
          </w:tcPr>
          <w:p w14:paraId="509BF367">
            <w:pPr>
              <w:pStyle w:val="33"/>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合同价款的30%</w:t>
            </w:r>
          </w:p>
        </w:tc>
        <w:tc>
          <w:tcPr>
            <w:tcW w:w="1155" w:type="dxa"/>
            <w:noWrap w:val="0"/>
            <w:vAlign w:val="top"/>
          </w:tcPr>
          <w:p w14:paraId="1B879CAA">
            <w:pPr>
              <w:pStyle w:val="33"/>
              <w:jc w:val="both"/>
              <w:rPr>
                <w:rFonts w:hint="eastAsia" w:ascii="宋体" w:hAnsi="宋体" w:eastAsia="宋体" w:cs="宋体"/>
                <w:b w:val="0"/>
                <w:bCs/>
                <w:color w:val="auto"/>
                <w:sz w:val="24"/>
                <w:highlight w:val="none"/>
              </w:rPr>
            </w:pPr>
          </w:p>
        </w:tc>
      </w:tr>
      <w:tr w14:paraId="7A10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25ADBF7">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13</w:t>
            </w:r>
          </w:p>
        </w:tc>
        <w:tc>
          <w:tcPr>
            <w:tcW w:w="5701" w:type="dxa"/>
            <w:noWrap w:val="0"/>
            <w:vAlign w:val="top"/>
          </w:tcPr>
          <w:p w14:paraId="393C9FE2">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因监理单位责任引起分项工期延误日数占该项总工期的30%时</w:t>
            </w:r>
          </w:p>
        </w:tc>
        <w:tc>
          <w:tcPr>
            <w:tcW w:w="1950" w:type="dxa"/>
            <w:noWrap w:val="0"/>
            <w:vAlign w:val="center"/>
          </w:tcPr>
          <w:p w14:paraId="0A7BCF87">
            <w:pPr>
              <w:pStyle w:val="33"/>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合同价款的40%</w:t>
            </w:r>
          </w:p>
        </w:tc>
        <w:tc>
          <w:tcPr>
            <w:tcW w:w="1155" w:type="dxa"/>
            <w:noWrap w:val="0"/>
            <w:vAlign w:val="top"/>
          </w:tcPr>
          <w:p w14:paraId="54A6E1D1">
            <w:pPr>
              <w:pStyle w:val="33"/>
              <w:jc w:val="both"/>
              <w:rPr>
                <w:rFonts w:hint="eastAsia" w:ascii="宋体" w:hAnsi="宋体" w:eastAsia="宋体" w:cs="宋体"/>
                <w:b w:val="0"/>
                <w:bCs/>
                <w:color w:val="auto"/>
                <w:sz w:val="24"/>
                <w:highlight w:val="none"/>
              </w:rPr>
            </w:pPr>
          </w:p>
        </w:tc>
      </w:tr>
      <w:tr w14:paraId="1B00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B4703F3">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w:t>
            </w:r>
          </w:p>
        </w:tc>
        <w:tc>
          <w:tcPr>
            <w:tcW w:w="5701" w:type="dxa"/>
            <w:noWrap w:val="0"/>
            <w:vAlign w:val="top"/>
          </w:tcPr>
          <w:p w14:paraId="6A415883">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因监理单位责任引起分项工期延误日数占该项总工期的50%时</w:t>
            </w:r>
          </w:p>
        </w:tc>
        <w:tc>
          <w:tcPr>
            <w:tcW w:w="1950" w:type="dxa"/>
            <w:noWrap w:val="0"/>
            <w:vAlign w:val="center"/>
          </w:tcPr>
          <w:p w14:paraId="3B0B1630">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合同价款的1%/天，发包人有权解除合同</w:t>
            </w:r>
          </w:p>
        </w:tc>
        <w:tc>
          <w:tcPr>
            <w:tcW w:w="1155" w:type="dxa"/>
            <w:noWrap w:val="0"/>
            <w:vAlign w:val="top"/>
          </w:tcPr>
          <w:p w14:paraId="68334007">
            <w:pPr>
              <w:pStyle w:val="33"/>
              <w:jc w:val="both"/>
              <w:rPr>
                <w:rFonts w:hint="eastAsia" w:ascii="宋体" w:hAnsi="宋体" w:eastAsia="宋体" w:cs="宋体"/>
                <w:b w:val="0"/>
                <w:bCs/>
                <w:color w:val="auto"/>
                <w:sz w:val="24"/>
                <w:highlight w:val="none"/>
              </w:rPr>
            </w:pPr>
          </w:p>
        </w:tc>
      </w:tr>
      <w:tr w14:paraId="3FCE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20055A9">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15</w:t>
            </w:r>
          </w:p>
        </w:tc>
        <w:tc>
          <w:tcPr>
            <w:tcW w:w="5701" w:type="dxa"/>
            <w:noWrap w:val="0"/>
            <w:vAlign w:val="top"/>
          </w:tcPr>
          <w:p w14:paraId="631BAD57">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因监理人责任导致工程竣工拖延</w:t>
            </w:r>
          </w:p>
        </w:tc>
        <w:tc>
          <w:tcPr>
            <w:tcW w:w="1950" w:type="dxa"/>
            <w:noWrap w:val="0"/>
            <w:vAlign w:val="center"/>
          </w:tcPr>
          <w:p w14:paraId="1E947777">
            <w:pPr>
              <w:pStyle w:val="33"/>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合同价款的1%/天</w:t>
            </w:r>
          </w:p>
        </w:tc>
        <w:tc>
          <w:tcPr>
            <w:tcW w:w="1155" w:type="dxa"/>
            <w:noWrap w:val="0"/>
            <w:vAlign w:val="top"/>
          </w:tcPr>
          <w:p w14:paraId="0BE815D6">
            <w:pPr>
              <w:pStyle w:val="33"/>
              <w:jc w:val="both"/>
              <w:rPr>
                <w:rFonts w:hint="eastAsia" w:ascii="宋体" w:hAnsi="宋体" w:eastAsia="宋体" w:cs="宋体"/>
                <w:b w:val="0"/>
                <w:bCs/>
                <w:color w:val="auto"/>
                <w:sz w:val="24"/>
                <w:highlight w:val="none"/>
              </w:rPr>
            </w:pPr>
          </w:p>
        </w:tc>
      </w:tr>
      <w:tr w14:paraId="4D9E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12AF7A9">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16</w:t>
            </w:r>
          </w:p>
        </w:tc>
        <w:tc>
          <w:tcPr>
            <w:tcW w:w="5701" w:type="dxa"/>
            <w:noWrap w:val="0"/>
            <w:vAlign w:val="top"/>
          </w:tcPr>
          <w:p w14:paraId="1BC941B9">
            <w:pPr>
              <w:pStyle w:val="52"/>
              <w:spacing w:line="400" w:lineRule="exact"/>
              <w:rPr>
                <w:rFonts w:hint="eastAsia" w:ascii="宋体" w:hAnsi="宋体" w:eastAsia="宋体" w:cs="宋体"/>
                <w:bCs/>
                <w:color w:val="auto"/>
                <w:sz w:val="24"/>
                <w:szCs w:val="24"/>
                <w:highlight w:val="none"/>
              </w:rPr>
            </w:pPr>
            <w:r>
              <w:rPr>
                <w:rFonts w:hint="eastAsia" w:ascii="宋体" w:hAnsi="宋体" w:eastAsia="宋体" w:cs="宋体"/>
                <w:bCs/>
                <w:snapToGrid w:val="0"/>
                <w:color w:val="auto"/>
                <w:kern w:val="0"/>
                <w:sz w:val="24"/>
                <w:szCs w:val="24"/>
                <w:highlight w:val="none"/>
              </w:rPr>
              <w:t>监理人应在每月28日前向委托人报审下月的监理人员名单及监理工作计划、月报（含下个月投资计划）。如未按时提交，每推迟一天</w:t>
            </w:r>
          </w:p>
        </w:tc>
        <w:tc>
          <w:tcPr>
            <w:tcW w:w="1950" w:type="dxa"/>
            <w:noWrap w:val="0"/>
            <w:vAlign w:val="center"/>
          </w:tcPr>
          <w:p w14:paraId="6FDB7BBE">
            <w:pPr>
              <w:pStyle w:val="33"/>
              <w:rPr>
                <w:rFonts w:hint="eastAsia" w:ascii="宋体" w:hAnsi="宋体" w:eastAsia="宋体" w:cs="宋体"/>
                <w:b w:val="0"/>
                <w:bCs/>
                <w:color w:val="auto"/>
                <w:sz w:val="24"/>
                <w:highlight w:val="none"/>
              </w:rPr>
            </w:pPr>
            <w:r>
              <w:rPr>
                <w:rFonts w:hint="eastAsia" w:ascii="宋体" w:hAnsi="宋体" w:eastAsia="宋体" w:cs="宋体"/>
                <w:b w:val="0"/>
                <w:bCs/>
                <w:snapToGrid w:val="0"/>
                <w:color w:val="auto"/>
                <w:kern w:val="0"/>
                <w:sz w:val="24"/>
                <w:highlight w:val="none"/>
              </w:rPr>
              <w:t>¥2000元/天</w:t>
            </w:r>
          </w:p>
        </w:tc>
        <w:tc>
          <w:tcPr>
            <w:tcW w:w="1155" w:type="dxa"/>
            <w:noWrap w:val="0"/>
            <w:vAlign w:val="top"/>
          </w:tcPr>
          <w:p w14:paraId="6E122422">
            <w:pPr>
              <w:pStyle w:val="33"/>
              <w:jc w:val="both"/>
              <w:rPr>
                <w:rFonts w:hint="eastAsia" w:ascii="宋体" w:hAnsi="宋体" w:eastAsia="宋体" w:cs="宋体"/>
                <w:b w:val="0"/>
                <w:bCs/>
                <w:color w:val="auto"/>
                <w:sz w:val="24"/>
                <w:highlight w:val="none"/>
              </w:rPr>
            </w:pPr>
          </w:p>
        </w:tc>
      </w:tr>
      <w:tr w14:paraId="1B3C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0CE08E8">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17</w:t>
            </w:r>
          </w:p>
        </w:tc>
        <w:tc>
          <w:tcPr>
            <w:tcW w:w="5701" w:type="dxa"/>
            <w:noWrap w:val="0"/>
            <w:vAlign w:val="top"/>
          </w:tcPr>
          <w:p w14:paraId="2BCF424D">
            <w:pPr>
              <w:pStyle w:val="52"/>
              <w:spacing w:line="400" w:lineRule="exac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监理人根据委托人与施工单位签订的施工合同所约定的工程进度关键节点进行考核，在考核节点后的5天内提交考核报告，报告每逾期一天</w:t>
            </w:r>
          </w:p>
        </w:tc>
        <w:tc>
          <w:tcPr>
            <w:tcW w:w="1950" w:type="dxa"/>
            <w:noWrap w:val="0"/>
            <w:vAlign w:val="center"/>
          </w:tcPr>
          <w:p w14:paraId="32DD635B">
            <w:pPr>
              <w:pStyle w:val="33"/>
              <w:rPr>
                <w:rFonts w:hint="eastAsia" w:ascii="宋体" w:hAnsi="宋体" w:eastAsia="宋体" w:cs="宋体"/>
                <w:b w:val="0"/>
                <w:bCs/>
                <w:snapToGrid w:val="0"/>
                <w:color w:val="auto"/>
                <w:kern w:val="0"/>
                <w:sz w:val="24"/>
                <w:highlight w:val="none"/>
                <w:u w:val="single"/>
              </w:rPr>
            </w:pPr>
            <w:r>
              <w:rPr>
                <w:rFonts w:hint="eastAsia" w:ascii="宋体" w:hAnsi="宋体" w:eastAsia="宋体" w:cs="宋体"/>
                <w:b w:val="0"/>
                <w:bCs/>
                <w:snapToGrid w:val="0"/>
                <w:color w:val="auto"/>
                <w:kern w:val="0"/>
                <w:sz w:val="24"/>
                <w:highlight w:val="none"/>
              </w:rPr>
              <w:t>¥1000元/天</w:t>
            </w:r>
          </w:p>
        </w:tc>
        <w:tc>
          <w:tcPr>
            <w:tcW w:w="1155" w:type="dxa"/>
            <w:noWrap w:val="0"/>
            <w:vAlign w:val="top"/>
          </w:tcPr>
          <w:p w14:paraId="36B186B2">
            <w:pPr>
              <w:pStyle w:val="33"/>
              <w:jc w:val="both"/>
              <w:rPr>
                <w:rFonts w:hint="eastAsia" w:ascii="宋体" w:hAnsi="宋体" w:eastAsia="宋体" w:cs="宋体"/>
                <w:b w:val="0"/>
                <w:bCs/>
                <w:color w:val="auto"/>
                <w:sz w:val="24"/>
                <w:highlight w:val="none"/>
              </w:rPr>
            </w:pPr>
          </w:p>
        </w:tc>
      </w:tr>
      <w:tr w14:paraId="03D1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5FD3F6A">
            <w:pPr>
              <w:pStyle w:val="33"/>
              <w:spacing w:line="4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18</w:t>
            </w:r>
          </w:p>
        </w:tc>
        <w:tc>
          <w:tcPr>
            <w:tcW w:w="5701" w:type="dxa"/>
            <w:noWrap w:val="0"/>
            <w:vAlign w:val="top"/>
          </w:tcPr>
          <w:p w14:paraId="186397DC">
            <w:pPr>
              <w:pStyle w:val="52"/>
              <w:spacing w:line="400" w:lineRule="exac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监理人应根据招标文件及承包合同对承包单位履约情况（人员到位情况、进度节点控制、质量控制、造价控制、违约情况等）进行考核，对于出现进度、质量等不达标或其他违约的情况及时发出整改通知及相应违约处罚单，并于每月5日前将上月考核相关资料整理提交委托人备案，若监理未按相关要求执行视为监理违约</w:t>
            </w:r>
          </w:p>
        </w:tc>
        <w:tc>
          <w:tcPr>
            <w:tcW w:w="1950" w:type="dxa"/>
            <w:noWrap w:val="0"/>
            <w:vAlign w:val="center"/>
          </w:tcPr>
          <w:p w14:paraId="55773676">
            <w:pPr>
              <w:pStyle w:val="33"/>
              <w:rPr>
                <w:rFonts w:hint="eastAsia" w:ascii="宋体" w:hAnsi="宋体" w:eastAsia="宋体" w:cs="宋体"/>
                <w:b w:val="0"/>
                <w:bCs/>
                <w:snapToGrid w:val="0"/>
                <w:color w:val="auto"/>
                <w:kern w:val="0"/>
                <w:sz w:val="24"/>
                <w:highlight w:val="none"/>
                <w:u w:val="single"/>
              </w:rPr>
            </w:pPr>
            <w:r>
              <w:rPr>
                <w:rFonts w:hint="eastAsia" w:ascii="宋体" w:hAnsi="宋体" w:eastAsia="宋体" w:cs="宋体"/>
                <w:b w:val="0"/>
                <w:bCs/>
                <w:snapToGrid w:val="0"/>
                <w:color w:val="auto"/>
                <w:kern w:val="0"/>
                <w:sz w:val="24"/>
                <w:highlight w:val="none"/>
              </w:rPr>
              <w:t>¥1000元/天</w:t>
            </w:r>
          </w:p>
        </w:tc>
        <w:tc>
          <w:tcPr>
            <w:tcW w:w="1155" w:type="dxa"/>
            <w:noWrap w:val="0"/>
            <w:vAlign w:val="top"/>
          </w:tcPr>
          <w:p w14:paraId="6F343419">
            <w:pPr>
              <w:pStyle w:val="33"/>
              <w:jc w:val="both"/>
              <w:rPr>
                <w:rFonts w:hint="eastAsia" w:ascii="宋体" w:hAnsi="宋体" w:eastAsia="宋体" w:cs="宋体"/>
                <w:b w:val="0"/>
                <w:bCs/>
                <w:color w:val="auto"/>
                <w:sz w:val="24"/>
                <w:highlight w:val="none"/>
              </w:rPr>
            </w:pPr>
          </w:p>
        </w:tc>
      </w:tr>
    </w:tbl>
    <w:p w14:paraId="78B043EA">
      <w:pPr>
        <w:shd w:val="clear"/>
        <w:wordWrap w:val="0"/>
        <w:adjustRightInd w:val="0"/>
        <w:snapToGrid w:val="0"/>
        <w:spacing w:line="440" w:lineRule="exact"/>
        <w:ind w:firstLine="241" w:firstLineChars="1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 xml:space="preserve"> 监理违约的处理程序</w:t>
      </w:r>
    </w:p>
    <w:p w14:paraId="04EBDA27">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8.1</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 xml:space="preserve">.1 </w:t>
      </w:r>
      <w:r>
        <w:rPr>
          <w:rFonts w:hint="eastAsia" w:ascii="宋体" w:hAnsi="宋体" w:eastAsia="宋体" w:cs="宋体"/>
          <w:b w:val="0"/>
          <w:bCs w:val="0"/>
          <w:snapToGrid w:val="0"/>
          <w:color w:val="auto"/>
          <w:kern w:val="0"/>
          <w:sz w:val="24"/>
          <w:szCs w:val="24"/>
          <w:highlight w:val="none"/>
        </w:rPr>
        <w:t>由委托人管理人员在“监理行为记录档案”中将监理人的具体违约情况记录，并将记录内容书面告知监理人。</w:t>
      </w:r>
    </w:p>
    <w:p w14:paraId="4404A1DF">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委托人不定期将有关监理人的违约情况以记录、通知、会议纪要等书面形式通知监理人，指明其未能履约的内容和委托人要求其承担违约责任的等级。</w:t>
      </w:r>
    </w:p>
    <w:p w14:paraId="39FAF613">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监理人收到书面处理通知后，如有足够证据证明不应由其承担违约责任的，应在收到违约处理决定后3个工作日内以书面形式向委托人提出异议并附上有关证据，委托人在收到监理人的异议后15个工作日内审核完毕且作出书面决定并通知监理人。否则书面通知则作为处理决定。</w:t>
      </w:r>
    </w:p>
    <w:p w14:paraId="3318866D">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委托人将进一步将监理人执行国家强制性规范、标准和履行合同、招投标文件义务的情况（包括但不限于由委托人组织的考核、考评通报、违约责任处理决定等）再报当地建设行政主管部门并在媒体上公开披露。</w:t>
      </w:r>
    </w:p>
    <w:p w14:paraId="2C46830B">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部分解除合同：委托人向监理人发出部分解除合同的通知后，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6E205A98">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完全解除合同：委托人向监理人发出解除合同的通知后，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5BA0E750">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 工程质量、造价、进度控制及安全生产管理</w:t>
      </w:r>
    </w:p>
    <w:p w14:paraId="7DEC0CCD">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8.2.1 工程质量控制：</w:t>
      </w:r>
    </w:p>
    <w:p w14:paraId="2A09C115">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 </w:t>
      </w:r>
      <w:r>
        <w:rPr>
          <w:rFonts w:hint="eastAsia" w:ascii="宋体" w:hAnsi="宋体" w:eastAsia="宋体" w:cs="宋体"/>
          <w:snapToGrid w:val="0"/>
          <w:color w:val="auto"/>
          <w:kern w:val="0"/>
          <w:sz w:val="24"/>
          <w:szCs w:val="24"/>
          <w:highlight w:val="none"/>
        </w:rPr>
        <w:t>工程开工前，项目监理机构应审查施工单位现场的质量管理组织机构、管理制度及专职管理人员和特种作业人员的资格。</w:t>
      </w:r>
    </w:p>
    <w:p w14:paraId="26B29FEB">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8.2.1.2 </w:t>
      </w:r>
      <w:r>
        <w:rPr>
          <w:rFonts w:hint="eastAsia" w:ascii="宋体" w:hAnsi="宋体" w:eastAsia="宋体" w:cs="宋体"/>
          <w:snapToGrid w:val="0"/>
          <w:color w:val="auto"/>
          <w:kern w:val="0"/>
          <w:sz w:val="24"/>
          <w:szCs w:val="24"/>
          <w:highlight w:val="none"/>
        </w:rPr>
        <w:t>总监理工程师应组织专业监理工程师审查施工单位报审的施工方案，符合要求后应予以签认。施工方案审查应包括下列基本内容：</w:t>
      </w:r>
    </w:p>
    <w:p w14:paraId="7086491F">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（1）编审程序应符合相关规定。</w:t>
      </w:r>
    </w:p>
    <w:p w14:paraId="7ABBA84B">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（2）工程质量保证措施应符合有关标准。</w:t>
      </w:r>
    </w:p>
    <w:p w14:paraId="3F7E8C53">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8.2.1.3 </w:t>
      </w:r>
      <w:r>
        <w:rPr>
          <w:rFonts w:hint="eastAsia" w:ascii="宋体" w:hAnsi="宋体" w:eastAsia="宋体" w:cs="宋体"/>
          <w:snapToGrid w:val="0"/>
          <w:color w:val="auto"/>
          <w:kern w:val="0"/>
          <w:sz w:val="24"/>
          <w:szCs w:val="24"/>
          <w:highlight w:val="none"/>
        </w:rPr>
        <w:t>施工方案报审表应按相应规范的要求填写。</w:t>
      </w:r>
    </w:p>
    <w:p w14:paraId="3CE05385">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8.2.1.4 </w:t>
      </w:r>
      <w:r>
        <w:rPr>
          <w:rFonts w:hint="eastAsia" w:ascii="宋体" w:hAnsi="宋体" w:eastAsia="宋体" w:cs="宋体"/>
          <w:snapToGrid w:val="0"/>
          <w:color w:val="auto"/>
          <w:kern w:val="0"/>
          <w:sz w:val="24"/>
          <w:szCs w:val="24"/>
          <w:highlight w:val="none"/>
        </w:rPr>
        <w:t>专业监理工程师应审查施工单位报送的新材料、新工艺、新技术、新设备的质量认证材料和相关验收标准的适用性，必要时，应要求施工单位组织专题论证，审查合格后报总监理工程师签认。</w:t>
      </w:r>
    </w:p>
    <w:p w14:paraId="5F11E021">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8.2.1.5 </w:t>
      </w:r>
      <w:r>
        <w:rPr>
          <w:rFonts w:hint="eastAsia" w:ascii="宋体" w:hAnsi="宋体" w:eastAsia="宋体" w:cs="宋体"/>
          <w:snapToGrid w:val="0"/>
          <w:color w:val="auto"/>
          <w:kern w:val="0"/>
          <w:sz w:val="24"/>
          <w:szCs w:val="24"/>
          <w:highlight w:val="none"/>
        </w:rPr>
        <w:t>专业监理工程师应检查、复核施工单位报送的施工控制测量成果及保护措施，签署意见。专业监理工程师应对施工单位在施工过程中报送的施工测量放线成果进行查验。施工控制测量成果及保护措施的检查、复核，应包括下列内容：</w:t>
      </w:r>
    </w:p>
    <w:p w14:paraId="478BF6D9">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（1）施工单位测量人员的资格证书及测量设备检定证书。</w:t>
      </w:r>
    </w:p>
    <w:p w14:paraId="1E5E3190">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（2）施工平面控制网、高程控制网和临时水准点的测量成果及控制桩的保护措施。</w:t>
      </w:r>
    </w:p>
    <w:p w14:paraId="0EC05256">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8.2.1.6 </w:t>
      </w:r>
      <w:r>
        <w:rPr>
          <w:rFonts w:hint="eastAsia" w:ascii="宋体" w:hAnsi="宋体" w:eastAsia="宋体" w:cs="宋体"/>
          <w:snapToGrid w:val="0"/>
          <w:color w:val="auto"/>
          <w:kern w:val="0"/>
          <w:sz w:val="24"/>
          <w:szCs w:val="24"/>
          <w:highlight w:val="none"/>
        </w:rPr>
        <w:t>施工控制测量成果报验表应按相应规范的要求填写。</w:t>
      </w:r>
    </w:p>
    <w:p w14:paraId="04C178FA">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8.2.1.7 </w:t>
      </w:r>
      <w:r>
        <w:rPr>
          <w:rFonts w:hint="eastAsia" w:ascii="宋体" w:hAnsi="宋体" w:eastAsia="宋体" w:cs="宋体"/>
          <w:snapToGrid w:val="0"/>
          <w:color w:val="auto"/>
          <w:kern w:val="0"/>
          <w:sz w:val="24"/>
          <w:szCs w:val="24"/>
          <w:highlight w:val="none"/>
        </w:rPr>
        <w:t>专业监理工程师应检查施工单位为工程提供服务的试验室。</w:t>
      </w:r>
    </w:p>
    <w:p w14:paraId="013CAF37">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试验室的检查应包括下列内容：</w:t>
      </w:r>
    </w:p>
    <w:p w14:paraId="1399BCC3">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（1）试验室的资质等级及试验范围。</w:t>
      </w:r>
    </w:p>
    <w:p w14:paraId="3B20A1E7">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（2）法定计量部门对试验设备出具的计量检定证明。</w:t>
      </w:r>
    </w:p>
    <w:p w14:paraId="0C22BBB7">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（3）试验室管理制度。</w:t>
      </w:r>
    </w:p>
    <w:p w14:paraId="074A874D">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（4）试验人员资格证书。</w:t>
      </w:r>
    </w:p>
    <w:p w14:paraId="21332E4A">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8.2.1.8 </w:t>
      </w:r>
      <w:r>
        <w:rPr>
          <w:rFonts w:hint="eastAsia" w:ascii="宋体" w:hAnsi="宋体" w:eastAsia="宋体" w:cs="宋体"/>
          <w:snapToGrid w:val="0"/>
          <w:color w:val="auto"/>
          <w:kern w:val="0"/>
          <w:sz w:val="24"/>
          <w:szCs w:val="24"/>
          <w:highlight w:val="none"/>
        </w:rPr>
        <w:t>施工单位的试验室报审表应按相应规范的要求填写。</w:t>
      </w:r>
    </w:p>
    <w:p w14:paraId="60FEE649">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8.2.1.9 </w:t>
      </w:r>
      <w:r>
        <w:rPr>
          <w:rFonts w:hint="eastAsia" w:ascii="宋体" w:hAnsi="宋体" w:eastAsia="宋体" w:cs="宋体"/>
          <w:snapToGrid w:val="0"/>
          <w:color w:val="auto"/>
          <w:kern w:val="0"/>
          <w:sz w:val="24"/>
          <w:szCs w:val="24"/>
          <w:highlight w:val="none"/>
        </w:rPr>
        <w:t>项目监理机构应审查施工单位</w:t>
      </w:r>
      <w:r>
        <w:rPr>
          <w:rFonts w:hint="eastAsia" w:ascii="宋体" w:hAnsi="宋体" w:eastAsia="宋体" w:cs="宋体"/>
          <w:snapToGrid w:val="0"/>
          <w:color w:val="auto"/>
          <w:kern w:val="0"/>
          <w:sz w:val="24"/>
          <w:szCs w:val="24"/>
          <w:highlight w:val="none"/>
          <w:lang w:eastAsia="zh-CN"/>
        </w:rPr>
        <w:t>及发包人委托的第三方检测机构</w:t>
      </w:r>
      <w:r>
        <w:rPr>
          <w:rFonts w:hint="eastAsia" w:ascii="宋体" w:hAnsi="宋体" w:eastAsia="宋体" w:cs="宋体"/>
          <w:snapToGrid w:val="0"/>
          <w:color w:val="auto"/>
          <w:kern w:val="0"/>
          <w:sz w:val="24"/>
          <w:szCs w:val="24"/>
          <w:highlight w:val="none"/>
        </w:rPr>
        <w:t>报送的用于工程的材料、构配件、设备的质量证明文件，并应按有关规定、建设工程监理合同约定，对用于工程的材料进行见证取样、平行检验。项目监理机构对已进场经检验不合格的工程材料、构配件、设备，应要求施工单位限期将其撤出施工现场。工程材料、构配件、设备报审表应按相应规范的要求填写。</w:t>
      </w:r>
    </w:p>
    <w:p w14:paraId="314ABC37">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8.2.1.10 </w:t>
      </w:r>
      <w:r>
        <w:rPr>
          <w:rFonts w:hint="eastAsia" w:ascii="宋体" w:hAnsi="宋体" w:eastAsia="宋体" w:cs="宋体"/>
          <w:snapToGrid w:val="0"/>
          <w:color w:val="auto"/>
          <w:kern w:val="0"/>
          <w:sz w:val="24"/>
          <w:szCs w:val="24"/>
          <w:highlight w:val="none"/>
        </w:rPr>
        <w:t>专业监理工程师应审查施工单位定期提交影响工程质量的计量设备的检查和检定报告。</w:t>
      </w:r>
    </w:p>
    <w:p w14:paraId="34D45BEA">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8.2.1.11 </w:t>
      </w:r>
      <w:r>
        <w:rPr>
          <w:rFonts w:hint="eastAsia" w:ascii="宋体" w:hAnsi="宋体" w:eastAsia="宋体" w:cs="宋体"/>
          <w:snapToGrid w:val="0"/>
          <w:color w:val="auto"/>
          <w:kern w:val="0"/>
          <w:sz w:val="24"/>
          <w:szCs w:val="24"/>
          <w:highlight w:val="none"/>
        </w:rPr>
        <w:t>项目监理机构应根据工程特点和施工单位报送的施工组织设计，确定旁站的关键部位、关键工序，安排监理人员进行旁站，并应及时记录旁站情况。旁站记录应按相应规范的要求填写。</w:t>
      </w:r>
    </w:p>
    <w:p w14:paraId="71D29A1A">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8.2.1.12 </w:t>
      </w:r>
      <w:r>
        <w:rPr>
          <w:rFonts w:hint="eastAsia" w:ascii="宋体" w:hAnsi="宋体" w:eastAsia="宋体" w:cs="宋体"/>
          <w:snapToGrid w:val="0"/>
          <w:color w:val="auto"/>
          <w:kern w:val="0"/>
          <w:sz w:val="24"/>
          <w:szCs w:val="24"/>
          <w:highlight w:val="none"/>
        </w:rPr>
        <w:t>项目监理机构应安排监理人员对工程施工质量进行巡视。巡视应包括下列主要内容：</w:t>
      </w:r>
    </w:p>
    <w:p w14:paraId="745A554E">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（1）施工单位是否按工程设计文件、工程建设标准和批准的施工组织设计、(专项)施工方案施工。</w:t>
      </w:r>
    </w:p>
    <w:p w14:paraId="14D18A58">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（2）使用的工程材料、构配件和设备是否合格。</w:t>
      </w:r>
    </w:p>
    <w:p w14:paraId="74273F27">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（3）施工现场管理人员，特别是施工质量管理人员是否到位。</w:t>
      </w:r>
    </w:p>
    <w:p w14:paraId="7FCEE313">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（4）特种作业人员是否持证上岗。</w:t>
      </w:r>
    </w:p>
    <w:p w14:paraId="05253D4D">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8.2.1.13 </w:t>
      </w:r>
      <w:r>
        <w:rPr>
          <w:rFonts w:hint="eastAsia" w:ascii="宋体" w:hAnsi="宋体" w:eastAsia="宋体" w:cs="宋体"/>
          <w:snapToGrid w:val="0"/>
          <w:color w:val="auto"/>
          <w:kern w:val="0"/>
          <w:sz w:val="24"/>
          <w:szCs w:val="24"/>
          <w:highlight w:val="none"/>
        </w:rPr>
        <w:t>项目监理机构应根据工程特点、专业要求，以及建设工程监理合同约定，对施工质量进行平行检验。</w:t>
      </w:r>
    </w:p>
    <w:p w14:paraId="751E202F">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8.2.1.14 </w:t>
      </w:r>
      <w:r>
        <w:rPr>
          <w:rFonts w:hint="eastAsia" w:ascii="宋体" w:hAnsi="宋体" w:eastAsia="宋体" w:cs="宋体"/>
          <w:snapToGrid w:val="0"/>
          <w:color w:val="auto"/>
          <w:kern w:val="0"/>
          <w:sz w:val="24"/>
          <w:szCs w:val="24"/>
          <w:highlight w:val="none"/>
        </w:rPr>
        <w:t>项目监理机构应对施工单位报验的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项目监理机构应要求施工单位对该隐蔽部位进行钻孔探测、剥离或其他方法进行重新检验。隐蔽工程、检验批、分项工程报验表及分部工程报验表应按相应规范的要求填写。</w:t>
      </w:r>
    </w:p>
    <w:p w14:paraId="26C1EAD7">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8.2.1.15 </w:t>
      </w:r>
      <w:r>
        <w:rPr>
          <w:rFonts w:hint="eastAsia" w:ascii="宋体" w:hAnsi="宋体" w:eastAsia="宋体" w:cs="宋体"/>
          <w:snapToGrid w:val="0"/>
          <w:color w:val="auto"/>
          <w:kern w:val="0"/>
          <w:sz w:val="24"/>
          <w:szCs w:val="24"/>
          <w:highlight w:val="none"/>
        </w:rPr>
        <w:t>项目监理机构发现施工存在质量问题的，或施工单位采用不适当的施工工艺，或施工不当，造成工程质量不合格的，应及时签发监理通知单，要求施工单位整改。整改完毕后，项目监理机构应根据施工单位报送的监理通知回复单对整改情况进行复查，提出复查意见。监理通知单及监理通知回复单应按相应规范的要求填写。</w:t>
      </w:r>
    </w:p>
    <w:p w14:paraId="77428756">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8.2.1.16 </w:t>
      </w:r>
      <w:r>
        <w:rPr>
          <w:rFonts w:hint="eastAsia" w:ascii="宋体" w:hAnsi="宋体" w:eastAsia="宋体" w:cs="宋体"/>
          <w:snapToGrid w:val="0"/>
          <w:color w:val="auto"/>
          <w:kern w:val="0"/>
          <w:sz w:val="24"/>
          <w:szCs w:val="24"/>
          <w:highlight w:val="none"/>
        </w:rPr>
        <w:t>对需要返工处理或加固补强的质量缺陷，项目监理机构应要求施工单位报送经设计等相关单位认可的处理方案，并应对质量缺陷的处理过程进行跟踪检查，同时应对处理结果进行验收。</w:t>
      </w:r>
    </w:p>
    <w:p w14:paraId="5441F591">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8.2.1.17 </w:t>
      </w:r>
      <w:r>
        <w:rPr>
          <w:rFonts w:hint="eastAsia" w:ascii="宋体" w:hAnsi="宋体" w:eastAsia="宋体" w:cs="宋体"/>
          <w:snapToGrid w:val="0"/>
          <w:color w:val="auto"/>
          <w:kern w:val="0"/>
          <w:sz w:val="24"/>
          <w:szCs w:val="24"/>
          <w:highlight w:val="none"/>
        </w:rPr>
        <w:t>对需要返工处理或加固补强的质量事故，项目监理机构应要求施工单位报送质量事故调查报告和经设计等相关单位认可的处理方案，并应对质量事故的处理过程进行跟踪检查，同时应对处理结果进行验收。项目监理机构应及时向建设单位提交质量事故书面报告，并应将完整的质量事故处理记录整理归档。</w:t>
      </w:r>
    </w:p>
    <w:p w14:paraId="1DEDDBE3">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8.2.1.18 </w:t>
      </w:r>
      <w:r>
        <w:rPr>
          <w:rFonts w:hint="eastAsia" w:ascii="宋体" w:hAnsi="宋体" w:eastAsia="宋体" w:cs="宋体"/>
          <w:snapToGrid w:val="0"/>
          <w:color w:val="auto"/>
          <w:kern w:val="0"/>
          <w:sz w:val="24"/>
          <w:szCs w:val="24"/>
          <w:highlight w:val="none"/>
        </w:rPr>
        <w:t>项目监理机构应审查施工单位提交的单位工程竣工验收报审表及竣工资料，组织工程竣工预验收。存在问题的，应要求施工单位及时整改；合格的，总监理工程师应签认单位工程竣工验收报审表。单位工程竣工验收报审表应按相应规范的要求填写。</w:t>
      </w:r>
    </w:p>
    <w:p w14:paraId="5BA5D23A">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8.2.1.19 </w:t>
      </w:r>
      <w:r>
        <w:rPr>
          <w:rFonts w:hint="eastAsia" w:ascii="宋体" w:hAnsi="宋体" w:eastAsia="宋体" w:cs="宋体"/>
          <w:snapToGrid w:val="0"/>
          <w:color w:val="auto"/>
          <w:kern w:val="0"/>
          <w:sz w:val="24"/>
          <w:szCs w:val="24"/>
          <w:highlight w:val="none"/>
        </w:rPr>
        <w:t>工程竣工预验收合格后，项目监理机构应编写工程质量评估报告，并应经总监理工程师和工程监理单位技术负责人审核签字后报建设单位。</w:t>
      </w:r>
    </w:p>
    <w:p w14:paraId="7942591F">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8.2.1.20 </w:t>
      </w:r>
      <w:r>
        <w:rPr>
          <w:rFonts w:hint="eastAsia" w:ascii="宋体" w:hAnsi="宋体" w:eastAsia="宋体" w:cs="宋体"/>
          <w:snapToGrid w:val="0"/>
          <w:color w:val="auto"/>
          <w:kern w:val="0"/>
          <w:sz w:val="24"/>
          <w:szCs w:val="24"/>
          <w:highlight w:val="none"/>
        </w:rPr>
        <w:t>项目监理机构应参加由建设单位组织的竣工验收，对验收中提出的整改问题，应督促施工单位及时整改。工程质量符合要求的，总监理工程师应在工程竣工验收报告中签署意见。</w:t>
      </w:r>
    </w:p>
    <w:p w14:paraId="03A6B063">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rPr>
        <w:t xml:space="preserve">8.2.1.21 </w:t>
      </w:r>
      <w:r>
        <w:rPr>
          <w:rFonts w:hint="eastAsia" w:ascii="宋体" w:hAnsi="宋体" w:eastAsia="宋体" w:cs="宋体"/>
          <w:snapToGrid w:val="0"/>
          <w:color w:val="auto"/>
          <w:kern w:val="0"/>
          <w:sz w:val="24"/>
          <w:szCs w:val="24"/>
          <w:highlight w:val="none"/>
        </w:rPr>
        <w:t>保修期满后，项目监理机构应参与保修期满质量复检，对复检中发现的问题提出整改意见并督促施工单位整改；整改合格后，总监理工程师在复检报告中签署意见。</w:t>
      </w:r>
    </w:p>
    <w:p w14:paraId="75127310">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8.2.2 工程造价控制：</w:t>
      </w:r>
    </w:p>
    <w:p w14:paraId="057E3FF0">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8.2.2.1 </w:t>
      </w:r>
      <w:r>
        <w:rPr>
          <w:rFonts w:hint="eastAsia" w:ascii="宋体" w:hAnsi="宋体" w:eastAsia="宋体" w:cs="宋体"/>
          <w:snapToGrid w:val="0"/>
          <w:color w:val="auto"/>
          <w:kern w:val="0"/>
          <w:sz w:val="24"/>
          <w:szCs w:val="24"/>
          <w:highlight w:val="none"/>
        </w:rPr>
        <w:t>项目监理机构应按下列程序进行工程计量和付款签证：</w:t>
      </w:r>
    </w:p>
    <w:p w14:paraId="00CBE0EE">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（1）专业监理工程师对施工单位在工程款支付报审表中提交的工程量和支付金额进行复核，确定实际完成的工程量，提出到期应支付给施工单位的金额，并提出相应的支持性材料。</w:t>
      </w:r>
    </w:p>
    <w:p w14:paraId="261F77F7">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（2）总监理工程师对专业监理工程师的审查意见进行审核，签认后报建设单位审批。</w:t>
      </w:r>
    </w:p>
    <w:p w14:paraId="19A6A210">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（3）总监理工程师根据建设单位的审批意见，向施工单位签发工程款支付证书。</w:t>
      </w:r>
    </w:p>
    <w:p w14:paraId="1943D7B6">
      <w:pPr>
        <w:shd w:val="clear"/>
        <w:wordWrap w:val="0"/>
        <w:adjustRightInd w:val="0"/>
        <w:snapToGrid w:val="0"/>
        <w:spacing w:line="44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工程款支付报审表及工程款支付证书应按相应规范的要求填写。</w:t>
      </w:r>
    </w:p>
    <w:p w14:paraId="12D91D0E">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8.2.2.2 </w:t>
      </w:r>
      <w:r>
        <w:rPr>
          <w:rFonts w:hint="eastAsia" w:ascii="宋体" w:hAnsi="宋体" w:eastAsia="宋体" w:cs="宋体"/>
          <w:snapToGrid w:val="0"/>
          <w:color w:val="auto"/>
          <w:kern w:val="0"/>
          <w:sz w:val="24"/>
          <w:szCs w:val="24"/>
          <w:highlight w:val="none"/>
        </w:rPr>
        <w:t>项目监理机构应编制月完成工程量统计表，对实际完成量与计划完成量进行比较分析，发现偏差的，应提出调整建议，并应在监理月报中向建设单位报告。</w:t>
      </w:r>
    </w:p>
    <w:p w14:paraId="5A647437">
      <w:pPr>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8.2.2.3</w:t>
      </w:r>
      <w:r>
        <w:rPr>
          <w:rFonts w:hint="eastAsia" w:ascii="宋体" w:hAnsi="宋体" w:eastAsia="宋体" w:cs="宋体"/>
          <w:b w:val="0"/>
          <w:bCs w:val="0"/>
          <w:snapToGrid w:val="0"/>
          <w:color w:val="auto"/>
          <w:kern w:val="0"/>
          <w:sz w:val="24"/>
          <w:szCs w:val="24"/>
          <w:highlight w:val="none"/>
        </w:rPr>
        <w:t>项目监理机构应按下列程序进行竣工结算款审核：</w:t>
      </w:r>
    </w:p>
    <w:p w14:paraId="28FFA98E">
      <w:pPr>
        <w:keepNext w:val="0"/>
        <w:keepLines w:val="0"/>
        <w:pageBreakBefore w:val="0"/>
        <w:widowControl w:val="0"/>
        <w:shd w:val="clear"/>
        <w:kinsoku/>
        <w:overflowPunct/>
        <w:topLinePunct w:val="0"/>
        <w:autoSpaceDE/>
        <w:autoSpaceDN/>
        <w:bidi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（1）专业监理工程师审查施工单位提交的竣工结算款支付申请，提出审查意见。</w:t>
      </w:r>
    </w:p>
    <w:p w14:paraId="670CA86A">
      <w:pPr>
        <w:keepNext w:val="0"/>
        <w:keepLines w:val="0"/>
        <w:pageBreakBefore w:val="0"/>
        <w:widowControl w:val="0"/>
        <w:shd w:val="clear"/>
        <w:kinsoku/>
        <w:overflowPunct/>
        <w:topLinePunct w:val="0"/>
        <w:autoSpaceDE/>
        <w:autoSpaceDN/>
        <w:bidi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14:paraId="0E813403">
      <w:pPr>
        <w:keepNext w:val="0"/>
        <w:keepLines w:val="0"/>
        <w:pageBreakBefore w:val="0"/>
        <w:widowControl w:val="0"/>
        <w:shd w:val="clear"/>
        <w:kinsoku/>
        <w:overflowPunct/>
        <w:topLinePunct w:val="0"/>
        <w:autoSpaceDE/>
        <w:autoSpaceDN/>
        <w:bidi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工程竣工结算款支付报审表及竣工结算款支付证书应按相应规范的要求填写。</w:t>
      </w:r>
    </w:p>
    <w:p w14:paraId="55EBDB91">
      <w:pPr>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8.2.3 工程进度控制：</w:t>
      </w:r>
    </w:p>
    <w:p w14:paraId="2C770D12">
      <w:pPr>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8.2.3.1 </w:t>
      </w:r>
      <w:r>
        <w:rPr>
          <w:rFonts w:hint="eastAsia" w:ascii="宋体" w:hAnsi="宋体" w:eastAsia="宋体" w:cs="宋体"/>
          <w:snapToGrid w:val="0"/>
          <w:color w:val="auto"/>
          <w:kern w:val="0"/>
          <w:sz w:val="24"/>
          <w:szCs w:val="24"/>
          <w:highlight w:val="none"/>
        </w:rPr>
        <w:t>项目监理机构应审查施工单位报审的施工总进度计划和阶段性施工进度计划，提出审查意见，并应由总监理工程师审核后报建设单位。</w:t>
      </w:r>
    </w:p>
    <w:p w14:paraId="2D8E9B0A">
      <w:pPr>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施工进度计划审查应包括下列基本内容：</w:t>
      </w:r>
    </w:p>
    <w:p w14:paraId="35CC0347">
      <w:pPr>
        <w:keepNext w:val="0"/>
        <w:keepLines w:val="0"/>
        <w:pageBreakBefore w:val="0"/>
        <w:widowControl w:val="0"/>
        <w:shd w:val="clear"/>
        <w:kinsoku/>
        <w:wordWrap w:val="0"/>
        <w:overflowPunct/>
        <w:topLinePunct w:val="0"/>
        <w:autoSpaceDE/>
        <w:autoSpaceDN/>
        <w:bidi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（1）施工进度计划应符合施工合同中工期的约定。</w:t>
      </w:r>
    </w:p>
    <w:p w14:paraId="4040141A">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（2）施工进度计划中主要工程项目无遗漏，应满足分批投入试运、分批动用的需要，阶段性施工进度计划应满足总进度控制目标的要求。</w:t>
      </w:r>
    </w:p>
    <w:p w14:paraId="044CCFC8">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（3）施工顺序的安排应符合施工工艺要求。</w:t>
      </w:r>
    </w:p>
    <w:p w14:paraId="4F92239B">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（4）施工人员、工程材料、施工机械等资源供应计划应满足施工进度计划的需要。</w:t>
      </w:r>
    </w:p>
    <w:p w14:paraId="095B44D6">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（5）施工进度计划应符合建设单位提供的资金、施工图纸、施工场地、物资等施工条件。</w:t>
      </w:r>
    </w:p>
    <w:p w14:paraId="4C51C524">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施工进度计划报审表应按相应规范的要求填写。</w:t>
      </w:r>
    </w:p>
    <w:p w14:paraId="1B3B2866">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8.2.3.2 </w:t>
      </w:r>
      <w:r>
        <w:rPr>
          <w:rFonts w:hint="eastAsia" w:ascii="宋体" w:hAnsi="宋体" w:eastAsia="宋体" w:cs="宋体"/>
          <w:snapToGrid w:val="0"/>
          <w:color w:val="auto"/>
          <w:kern w:val="0"/>
          <w:sz w:val="24"/>
          <w:szCs w:val="24"/>
          <w:highlight w:val="none"/>
        </w:rPr>
        <w:t>项目监理机构应检查施工进度计划的实施情况，发现实际进度严重滞后于计划进度且影响合同工期时，应签发监理通知单，要求施工单位采取调整措施加快施工进度。总监理工程师应向建设单位报告工期延误风险。</w:t>
      </w:r>
    </w:p>
    <w:p w14:paraId="43B80649">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8.2.3.3 </w:t>
      </w:r>
      <w:r>
        <w:rPr>
          <w:rFonts w:hint="eastAsia" w:ascii="宋体" w:hAnsi="宋体" w:eastAsia="宋体" w:cs="宋体"/>
          <w:snapToGrid w:val="0"/>
          <w:color w:val="auto"/>
          <w:kern w:val="0"/>
          <w:sz w:val="24"/>
          <w:szCs w:val="24"/>
          <w:highlight w:val="none"/>
        </w:rPr>
        <w:t>项目监理机构应比较分析工程施工实际进度与计划进度，预测实际进度对工程总工期的影响，并应在监理月报中向建设单位报告工程实际进展情况。</w:t>
      </w:r>
    </w:p>
    <w:p w14:paraId="6B6F4C1F">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 工程安全生产管理：</w:t>
      </w:r>
    </w:p>
    <w:p w14:paraId="398719A0">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8.2.4.1 </w:t>
      </w:r>
      <w:r>
        <w:rPr>
          <w:rFonts w:hint="eastAsia" w:ascii="宋体" w:hAnsi="宋体" w:eastAsia="宋体" w:cs="宋体"/>
          <w:snapToGrid w:val="0"/>
          <w:color w:val="auto"/>
          <w:kern w:val="0"/>
          <w:sz w:val="24"/>
          <w:szCs w:val="24"/>
          <w:highlight w:val="none"/>
        </w:rPr>
        <w:t>项目监理机构应根据法律法规、工程建设强制性标准，履行建设工程安全生产管理的监理职责，并应将安全生产管理的监理工作内容、方法和措施纳入监理规划及监理实施细则。</w:t>
      </w:r>
    </w:p>
    <w:p w14:paraId="699E1B28">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8.2.4.2</w:t>
      </w:r>
      <w:r>
        <w:rPr>
          <w:rFonts w:hint="eastAsia" w:ascii="宋体" w:hAnsi="宋体" w:eastAsia="宋体" w:cs="宋体"/>
          <w:snapToGrid w:val="0"/>
          <w:color w:val="auto"/>
          <w:kern w:val="0"/>
          <w:sz w:val="24"/>
          <w:szCs w:val="24"/>
          <w:highlight w:val="none"/>
        </w:rPr>
        <w:t xml:space="preserve"> 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14:paraId="29450E6F">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8.2.4.3</w:t>
      </w:r>
      <w:r>
        <w:rPr>
          <w:rFonts w:hint="eastAsia" w:ascii="宋体" w:hAnsi="宋体" w:eastAsia="宋体" w:cs="宋体"/>
          <w:snapToGrid w:val="0"/>
          <w:color w:val="auto"/>
          <w:kern w:val="0"/>
          <w:sz w:val="24"/>
          <w:szCs w:val="24"/>
          <w:highlight w:val="none"/>
        </w:rPr>
        <w:t xml:space="preserve"> 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14:paraId="58DB4C1E">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专项施工方案审查应包括下列基本内容：</w:t>
      </w:r>
    </w:p>
    <w:p w14:paraId="6EFF18E9">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（1）编审程序应符合相关规定。</w:t>
      </w:r>
    </w:p>
    <w:p w14:paraId="7CFDE522">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（2）安全技术措施应符合工程建设强制性标准。</w:t>
      </w:r>
    </w:p>
    <w:p w14:paraId="69F9D87D">
      <w:pPr>
        <w:shd w:val="clea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专项施工方案报审表应按相应规范的要求填写。</w:t>
      </w:r>
    </w:p>
    <w:p w14:paraId="377A27BC">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8.2.4.4</w:t>
      </w:r>
      <w:r>
        <w:rPr>
          <w:rFonts w:hint="eastAsia" w:ascii="宋体" w:hAnsi="宋体" w:eastAsia="宋体" w:cs="宋体"/>
          <w:snapToGrid w:val="0"/>
          <w:color w:val="auto"/>
          <w:kern w:val="0"/>
          <w:sz w:val="24"/>
          <w:szCs w:val="24"/>
          <w:highlight w:val="none"/>
        </w:rPr>
        <w:t xml:space="preserve"> 项目监理机构应巡视检查危险性较大的分部分项工程专项施工方案实施情况。发现未按专项施工方案实施时，应签发监理通知单，要求施工单位按专项施工方案实施。</w:t>
      </w:r>
    </w:p>
    <w:p w14:paraId="255C969C">
      <w:pPr>
        <w:shd w:val="clea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8.2.4.5</w:t>
      </w:r>
      <w:r>
        <w:rPr>
          <w:rFonts w:hint="eastAsia" w:ascii="宋体" w:hAnsi="宋体" w:eastAsia="宋体" w:cs="宋体"/>
          <w:snapToGrid w:val="0"/>
          <w:color w:val="auto"/>
          <w:kern w:val="0"/>
          <w:sz w:val="24"/>
          <w:szCs w:val="24"/>
          <w:highlight w:val="none"/>
        </w:rPr>
        <w:t xml:space="preserve"> 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监理报告应按相应规范的要求填写。</w:t>
      </w:r>
    </w:p>
    <w:p w14:paraId="3D46C02A">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rPr>
        <w:t>8.2.4.</w:t>
      </w:r>
      <w:r>
        <w:rPr>
          <w:rFonts w:hint="eastAsia" w:ascii="宋体" w:hAnsi="宋体" w:eastAsia="宋体" w:cs="宋体"/>
          <w:b/>
          <w:bCs/>
          <w:snapToGrid w:val="0"/>
          <w:color w:val="auto"/>
          <w:kern w:val="0"/>
          <w:sz w:val="24"/>
          <w:szCs w:val="24"/>
          <w:highlight w:val="none"/>
          <w:lang w:val="en-US" w:eastAsia="zh-CN"/>
        </w:rPr>
        <w:t xml:space="preserve">6 </w:t>
      </w:r>
      <w:r>
        <w:rPr>
          <w:rFonts w:hint="eastAsia" w:ascii="宋体" w:hAnsi="宋体" w:eastAsia="宋体" w:cs="宋体"/>
          <w:b w:val="0"/>
          <w:bCs w:val="0"/>
          <w:snapToGrid w:val="0"/>
          <w:color w:val="auto"/>
          <w:kern w:val="0"/>
          <w:sz w:val="24"/>
          <w:szCs w:val="24"/>
          <w:highlight w:val="none"/>
          <w:lang w:val="en-US" w:eastAsia="zh-CN" w:bidi="ar-SA"/>
        </w:rPr>
        <w:t>监理人应按安全文明施工相关规定进行监管。</w:t>
      </w:r>
    </w:p>
    <w:p w14:paraId="22BBB396">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8.3缺陷责任保修期服务工作</w:t>
      </w:r>
    </w:p>
    <w:p w14:paraId="273E4DB4">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在保修期内，监理人应每三个月对工程进行一次巡视、检查，向委托人提交书面报告。检查和记录工程质量缺陷，对缺陷原因进行调查分析并确定责任归属，发现有质量缺陷的，监理人应及时按工程质量缺陷保修书的条款鉴定责任，会同委托人组织施工单位及时维修，负责审核修复方案，监督修复过程并验收，审核修复费用。</w:t>
      </w:r>
    </w:p>
    <w:p w14:paraId="288928D5">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8.4</w:t>
      </w:r>
      <w:r>
        <w:rPr>
          <w:rFonts w:hint="eastAsia" w:ascii="宋体" w:hAnsi="宋体" w:eastAsia="宋体" w:cs="宋体"/>
          <w:b/>
          <w:bCs/>
          <w:snapToGrid w:val="0"/>
          <w:color w:val="auto"/>
          <w:kern w:val="0"/>
          <w:sz w:val="24"/>
          <w:szCs w:val="24"/>
          <w:highlight w:val="none"/>
        </w:rPr>
        <w:t>监理人的责任</w:t>
      </w:r>
    </w:p>
    <w:p w14:paraId="75B7EF8F">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8.4.1</w:t>
      </w:r>
      <w:r>
        <w:rPr>
          <w:rFonts w:hint="eastAsia" w:ascii="宋体" w:hAnsi="宋体" w:eastAsia="宋体" w:cs="宋体"/>
          <w:snapToGrid w:val="0"/>
          <w:color w:val="auto"/>
          <w:kern w:val="0"/>
          <w:sz w:val="24"/>
          <w:szCs w:val="24"/>
          <w:highlight w:val="none"/>
        </w:rPr>
        <w:t>监理人对承包人违反合同约定的质量、安全要求和建筑节能要求，以及竣工（交图、交货）时限，监理人应当采取措施予以制止，不能有效制止的，应当及时通知委托人，并报告建设行政主管部门或有关行政主管部门；因承包人违反国家法律、法规、强制性标准规范和建设程序、建筑节能规定的行为，监理人应当采取措施予以制止，不能有效制止的，应当及时报告建设行政主管部门或有关行政主管部门。因不可抗力导致委托监理合同不能全部或部分履行，监理人不承担责任。</w:t>
      </w:r>
    </w:p>
    <w:p w14:paraId="3D61995E">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8.4.2</w:t>
      </w:r>
      <w:r>
        <w:rPr>
          <w:rFonts w:hint="eastAsia" w:ascii="宋体" w:hAnsi="宋体" w:eastAsia="宋体" w:cs="宋体"/>
          <w:snapToGrid w:val="0"/>
          <w:color w:val="auto"/>
          <w:kern w:val="0"/>
          <w:sz w:val="24"/>
          <w:szCs w:val="24"/>
          <w:highlight w:val="none"/>
        </w:rPr>
        <w:t>监理人应当按照法律、法规，工程建设强制性标准及监理委托合同实施监理，对所监理工程的施工质量、安全生产、造价控制、建筑节能进行监督检查，并对施工质量、安全生产、造价控制及建筑节能承担监理责任。</w:t>
      </w:r>
    </w:p>
    <w:p w14:paraId="594ADDA9">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（一）施工阶段质量监理服务责任</w:t>
      </w:r>
    </w:p>
    <w:p w14:paraId="3D03EE5B">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（1）监理人应当依照法律、法规以及有关技术标准、经审查批准的设计文件、建设工程承包合同和监理合同，代表委托人对施工质量实施监理，并对施工质量承担监理责任。</w:t>
      </w:r>
    </w:p>
    <w:p w14:paraId="67C70AB8">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（2）监理人应当组织桩基础、地基基础、主体结构、重要结构部位等分项、分部工程和隐蔽工程的验收，并通知建设、勘察、设计单位和质监机构参加。</w:t>
      </w:r>
    </w:p>
    <w:p w14:paraId="25B8ABB8">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对工程使用的建筑材料、建筑构配件和设备的质量有异议的，有权进行抽查。对建设、施工单位违反规定使用建筑材料、建筑构配件和设备的，应当采取措施予以制止；不能有效制止的，应当及时报告建设行政主管部门或有关行政主管部门。</w:t>
      </w:r>
    </w:p>
    <w:p w14:paraId="309D3691">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（二）施工阶段安全生产监理服务责任</w:t>
      </w:r>
    </w:p>
    <w:p w14:paraId="0A7FD0A7">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（1）监理人应对施工组织设计中的安全技术措施或专项施工方案进行审查，未进行审查的，监理人应承担《建设工程安全生产管理条例》第五十七条规定的法律责任。</w:t>
      </w:r>
    </w:p>
    <w:p w14:paraId="4970DFEE">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施工组织设计中的安全技术措施或专项施工方案未经监理人审查签字认可，承包人擅自施工的，监理人应及时下达工程暂停令，并将情况及时书面报告委托人。监理人未及时制止并报告的，监理人应承担《建设工程安全生产管理条例》第五十七条规定的法律责任。</w:t>
      </w:r>
    </w:p>
    <w:p w14:paraId="21D2681D">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在监理巡视检查过程中，发现存在安全隐患的，应按照有关规定及时下达书面指令要求承包人进行整改或停止施工。监理人没有及时下达书面指令要求承包人进行整改或停止施工的，应承担《建设工程安全生产管理条例》第五十七条规定的法律责任。</w:t>
      </w:r>
    </w:p>
    <w:p w14:paraId="1D03FF21">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承包人拒绝按照监理人的要求进行整改或者停止施工的，监理人应及时将情况向建设行政主管部门或有关行政主管部门报告。监理人没有及时将情况报告的，应承担《建设工程安全生产管理条例》第五十七条规定的法律责任。</w:t>
      </w:r>
    </w:p>
    <w:p w14:paraId="26A1AA78">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（5）监理人未依照法律、法规和工程建设强制性标准实施监理的，应当承担《建设工程安全生产管理条例》第五十七条规定的法律责任。</w:t>
      </w:r>
    </w:p>
    <w:p w14:paraId="0C971050">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（6）监理人履行了上述规定的职责，承包人未执行监理指令继续施工而发生安全事故的，监理人不承担由此造成的责任，应依法追究监理企业以外的其他相关单位和人员的法律责任。</w:t>
      </w:r>
    </w:p>
    <w:p w14:paraId="5E8FE931">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（三）建筑节能监理服务责任</w:t>
      </w:r>
    </w:p>
    <w:p w14:paraId="201B13E4">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（1）严格按照审查合格的设计文件和建筑节能强制性标准和技术规范的要求实施监理，针对工程的特点编制包含节能专篇的监理规划及节能工程监理实施细则。</w:t>
      </w:r>
    </w:p>
    <w:p w14:paraId="2ED642AE">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总监理工程师应当对建筑节能专项施工技术方案审查并签字认可。专业监理工程师应当对工程使用的墙体材料、保温材料、门窗部品、采暖空调系统、照明设备，以及涉及建筑节能功能的重要部位施工质量检查验收并签字认可。</w:t>
      </w:r>
    </w:p>
    <w:p w14:paraId="776836CA">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（3）监理人采取巡视和旁站、平行检验等形式对节能工程实施监理。</w:t>
      </w:r>
    </w:p>
    <w:p w14:paraId="23EF0123">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（4）监理人应当在《工程质量评估报告》中明确建筑节能标准的实施情况。</w:t>
      </w:r>
    </w:p>
    <w:p w14:paraId="44F20DE3">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（5）监理人发现承包人不按节能设计及相关强制性标准施工的，应当及时督促承包人改正；承包人拒不改正的，监理人应当及时报告委托人，由委托人督促承包人整改。</w:t>
      </w:r>
    </w:p>
    <w:p w14:paraId="4FD68A5F">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（6）对采用列入禁止目录的技术、工艺、设备、材料和产品的行为，监理机构应当采取措施予以制止；制止无效的，应当及时向委托人和政府建设行政主管部门报告或有关行政主管部门。</w:t>
      </w:r>
    </w:p>
    <w:p w14:paraId="0568CB96">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（四）法律法规、规章、监理规范等规定的其他责任。</w:t>
      </w:r>
    </w:p>
    <w:p w14:paraId="56A89025">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现场管理</w:t>
      </w:r>
    </w:p>
    <w:p w14:paraId="14A2E9BA">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 xml:space="preserve"> 监理人在监理期间应严格遵守国家、广东省、韶关市有关绿色施工、文明施工、噪音扬尘、消防爆破、环境卫生、渣土清运、治安保卫等方面的规定，并建立相应规章制度和保障措施。否则由此造成的经济损失和法律责任，均由监理人承担。</w:t>
      </w:r>
    </w:p>
    <w:p w14:paraId="0C16F016">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 xml:space="preserve">.2 </w:t>
      </w:r>
      <w:r>
        <w:rPr>
          <w:rFonts w:hint="eastAsia" w:ascii="宋体" w:hAnsi="宋体" w:eastAsia="宋体" w:cs="宋体"/>
          <w:snapToGrid w:val="0"/>
          <w:color w:val="auto"/>
          <w:kern w:val="0"/>
          <w:sz w:val="24"/>
          <w:szCs w:val="24"/>
          <w:highlight w:val="none"/>
        </w:rPr>
        <w:t>监理人投标文件中所拟派的总监理工程师、专业监理工程师、其他监理人员全部在施工现场进行监理。</w:t>
      </w:r>
    </w:p>
    <w:p w14:paraId="5A887CFE">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 xml:space="preserve">3 </w:t>
      </w:r>
      <w:r>
        <w:rPr>
          <w:rFonts w:hint="eastAsia" w:ascii="宋体" w:hAnsi="宋体" w:eastAsia="宋体" w:cs="宋体"/>
          <w:snapToGrid w:val="0"/>
          <w:color w:val="auto"/>
          <w:kern w:val="0"/>
          <w:sz w:val="24"/>
          <w:szCs w:val="24"/>
          <w:highlight w:val="none"/>
        </w:rPr>
        <w:t>监理人在施工过程中若发生</w:t>
      </w:r>
      <w:r>
        <w:rPr>
          <w:rFonts w:hint="eastAsia" w:ascii="宋体" w:hAnsi="宋体" w:eastAsia="宋体" w:cs="宋体"/>
          <w:snapToGrid w:val="0"/>
          <w:color w:val="auto"/>
          <w:kern w:val="0"/>
          <w:sz w:val="24"/>
          <w:szCs w:val="24"/>
          <w:highlight w:val="none"/>
          <w:lang w:eastAsia="zh-CN"/>
        </w:rPr>
        <w:t>设计变更、</w:t>
      </w:r>
      <w:r>
        <w:rPr>
          <w:rFonts w:hint="eastAsia" w:ascii="宋体" w:hAnsi="宋体" w:eastAsia="宋体" w:cs="宋体"/>
          <w:snapToGrid w:val="0"/>
          <w:color w:val="auto"/>
          <w:kern w:val="0"/>
          <w:sz w:val="24"/>
          <w:szCs w:val="24"/>
          <w:highlight w:val="none"/>
        </w:rPr>
        <w:t>签证时，必须</w:t>
      </w:r>
      <w:r>
        <w:rPr>
          <w:rFonts w:hint="eastAsia" w:ascii="宋体" w:hAnsi="宋体" w:eastAsia="宋体" w:cs="宋体"/>
          <w:snapToGrid w:val="0"/>
          <w:color w:val="auto"/>
          <w:kern w:val="0"/>
          <w:sz w:val="24"/>
          <w:szCs w:val="24"/>
          <w:highlight w:val="none"/>
          <w:lang w:eastAsia="zh-CN"/>
        </w:rPr>
        <w:t>根据委托人的设计变更、签证有关管理办法执行</w:t>
      </w:r>
      <w:r>
        <w:rPr>
          <w:rFonts w:hint="eastAsia" w:ascii="宋体" w:hAnsi="宋体" w:eastAsia="宋体" w:cs="宋体"/>
          <w:snapToGrid w:val="0"/>
          <w:color w:val="auto"/>
          <w:kern w:val="0"/>
          <w:sz w:val="24"/>
          <w:szCs w:val="24"/>
          <w:highlight w:val="none"/>
        </w:rPr>
        <w:t>。</w:t>
      </w:r>
    </w:p>
    <w:p w14:paraId="057956DF">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其他</w:t>
      </w:r>
    </w:p>
    <w:p w14:paraId="62B01034">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项目监理机构和人员</w:t>
      </w:r>
    </w:p>
    <w:p w14:paraId="39A21732">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监理人须在本工程派驻满足工作需要的项目监理机构，拟派驻监理机构组成人员数量须符合广东省建设厅转发建设部关于印发《房屋建筑工程施工旁站监理管理办法（试行）》的通知（粤建管字[2002]97号）</w:t>
      </w:r>
      <w:r>
        <w:rPr>
          <w:rFonts w:hint="eastAsia" w:ascii="宋体" w:hAnsi="宋体" w:eastAsia="宋体" w:cs="宋体"/>
          <w:b w:val="0"/>
          <w:bCs w:val="0"/>
          <w:snapToGrid w:val="0"/>
          <w:color w:val="auto"/>
          <w:kern w:val="0"/>
          <w:sz w:val="24"/>
          <w:szCs w:val="24"/>
          <w:highlight w:val="none"/>
          <w:lang w:val="en-US" w:eastAsia="zh-CN" w:bidi="ar-SA"/>
        </w:rPr>
        <w:t>及相关最新</w:t>
      </w:r>
      <w:r>
        <w:rPr>
          <w:rFonts w:hint="eastAsia" w:ascii="宋体" w:hAnsi="宋体" w:eastAsia="宋体" w:cs="宋体"/>
          <w:snapToGrid w:val="0"/>
          <w:color w:val="auto"/>
          <w:kern w:val="0"/>
          <w:sz w:val="24"/>
          <w:szCs w:val="24"/>
          <w:highlight w:val="none"/>
        </w:rPr>
        <w:t>关于工程项目监理人数配置要求，现场总监理工程师及重要岗位监理人员必须保持相对稳定，以保证监理工作正常进行。</w:t>
      </w:r>
    </w:p>
    <w:p w14:paraId="701B30DA">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现场监理人员必须常驻现场，并进行全程监督管理，所派驻现场监理人员应提交在监理人单位购买社保不低于两年的有关缴费凭证。未经委托人同意不得任意更换驻场总监理工程师及监理人员，否则按违约处理，造成损失的，监理人还应当依法予以赔偿并承担相关的法律责任。</w:t>
      </w:r>
    </w:p>
    <w:p w14:paraId="622E6604">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需在施工现场设置总监办公室组织机构场地，监理人设置的机构场地、设备等需满足整个监理实施过程中的正常运作。本工程监理人现场办公场所、试验室、生活住所、办公设备及生活家具等由监理人自行解决，委托人不另外提供。</w:t>
      </w:r>
    </w:p>
    <w:p w14:paraId="53C8B6AF">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监理人应提交报告的种类(包括监理规划、监理月报及约定的专项报告)、时间和份数：</w:t>
      </w:r>
      <w:r>
        <w:rPr>
          <w:rFonts w:hint="eastAsia" w:ascii="宋体" w:hAnsi="宋体" w:eastAsia="宋体" w:cs="宋体"/>
          <w:snapToGrid w:val="0"/>
          <w:color w:val="auto"/>
          <w:kern w:val="0"/>
          <w:sz w:val="24"/>
          <w:szCs w:val="24"/>
          <w:highlight w:val="none"/>
          <w:u w:val="single"/>
        </w:rPr>
        <w:t>监理规划</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6份、监理月报每月</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4份、监理</w:t>
      </w:r>
      <w:r>
        <w:rPr>
          <w:rFonts w:hint="eastAsia" w:ascii="宋体" w:hAnsi="宋体" w:eastAsia="宋体" w:cs="宋体"/>
          <w:snapToGrid w:val="0"/>
          <w:color w:val="auto"/>
          <w:kern w:val="0"/>
          <w:sz w:val="24"/>
          <w:szCs w:val="24"/>
          <w:highlight w:val="none"/>
          <w:u w:val="single"/>
          <w:lang w:eastAsia="zh-CN"/>
        </w:rPr>
        <w:t>周报</w:t>
      </w:r>
      <w:r>
        <w:rPr>
          <w:rFonts w:hint="eastAsia" w:ascii="宋体" w:hAnsi="宋体" w:eastAsia="宋体" w:cs="宋体"/>
          <w:snapToGrid w:val="0"/>
          <w:color w:val="auto"/>
          <w:kern w:val="0"/>
          <w:sz w:val="24"/>
          <w:szCs w:val="24"/>
          <w:highlight w:val="none"/>
          <w:u w:val="single"/>
        </w:rPr>
        <w:t>每周</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2份、专项报告</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10份以及本项目报监报建</w:t>
      </w:r>
      <w:r>
        <w:rPr>
          <w:rFonts w:hint="eastAsia" w:ascii="宋体" w:hAnsi="宋体" w:eastAsia="宋体" w:cs="宋体"/>
          <w:snapToGrid w:val="0"/>
          <w:color w:val="auto"/>
          <w:kern w:val="0"/>
          <w:sz w:val="24"/>
          <w:szCs w:val="24"/>
          <w:highlight w:val="none"/>
          <w:u w:val="single"/>
          <w:lang w:eastAsia="zh-CN"/>
        </w:rPr>
        <w:t>所</w:t>
      </w:r>
      <w:r>
        <w:rPr>
          <w:rFonts w:hint="eastAsia" w:ascii="宋体" w:hAnsi="宋体" w:eastAsia="宋体" w:cs="宋体"/>
          <w:snapToGrid w:val="0"/>
          <w:color w:val="auto"/>
          <w:kern w:val="0"/>
          <w:sz w:val="24"/>
          <w:szCs w:val="24"/>
          <w:highlight w:val="none"/>
          <w:u w:val="single"/>
        </w:rPr>
        <w:t>需的相关资料、本合同约定的资料等。</w:t>
      </w:r>
    </w:p>
    <w:p w14:paraId="442CE13A">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委托人发现监理人出具任何虚假证明材料的，委托人将扣除违约金3万元/次，并上报建设行政主管部门作不良行为记录，同时，委托人有权拒绝监理人2年内参加委托人任何项目的投标。情节严重的，委托人有权单方面解除监理合同。</w:t>
      </w:r>
    </w:p>
    <w:p w14:paraId="055E797C">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监理人应自行解决吃饭问题。</w:t>
      </w:r>
    </w:p>
    <w:p w14:paraId="6888CEA7">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.5</w:t>
      </w:r>
      <w:r>
        <w:rPr>
          <w:rFonts w:hint="eastAsia" w:ascii="宋体" w:hAnsi="宋体" w:eastAsia="宋体" w:cs="宋体"/>
          <w:snapToGrid w:val="0"/>
          <w:color w:val="auto"/>
          <w:kern w:val="0"/>
          <w:sz w:val="24"/>
          <w:szCs w:val="24"/>
          <w:highlight w:val="none"/>
        </w:rPr>
        <w:t>现场涉及到工程相关问题需要组织相关专家、人员以会议形式协商确定的，原则上监理负责组织实施，并根据会议结论提出不同的解决方案，报委托人参考，会议的专家费、会务费已包含在合同价中。</w:t>
      </w:r>
    </w:p>
    <w:p w14:paraId="5639C67E">
      <w:pPr>
        <w:pStyle w:val="6"/>
        <w:keepNext w:val="0"/>
        <w:keepLines w:val="0"/>
        <w:pageBreakBefore w:val="0"/>
        <w:widowControl w:val="0"/>
        <w:shd w:val="clear"/>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.6</w:t>
      </w:r>
      <w:r>
        <w:rPr>
          <w:rFonts w:hint="eastAsia" w:ascii="宋体" w:hAnsi="宋体" w:eastAsia="宋体" w:cs="宋体"/>
          <w:snapToGrid w:val="0"/>
          <w:color w:val="auto"/>
          <w:kern w:val="0"/>
          <w:sz w:val="24"/>
          <w:szCs w:val="24"/>
          <w:highlight w:val="none"/>
        </w:rPr>
        <w:t>监理服务期限必须根据施工工期进行调整，监理服务费不因监理服务期限的调整而调整。</w:t>
      </w:r>
    </w:p>
    <w:p w14:paraId="32B0C581">
      <w:pPr>
        <w:pStyle w:val="6"/>
        <w:keepNext w:val="0"/>
        <w:keepLines w:val="0"/>
        <w:pageBreakBefore w:val="0"/>
        <w:widowControl w:val="0"/>
        <w:shd w:val="clear"/>
        <w:kinsoku/>
        <w:wordWrap/>
        <w:overflowPunct/>
        <w:topLinePunct w:val="0"/>
        <w:autoSpaceDE/>
        <w:autoSpaceDN/>
        <w:bidi w:val="0"/>
        <w:adjustRightInd w:val="0"/>
        <w:snapToGrid w:val="0"/>
        <w:spacing w:line="440" w:lineRule="exac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.7</w:t>
      </w:r>
      <w:r>
        <w:rPr>
          <w:rFonts w:hint="eastAsia" w:ascii="宋体" w:hAnsi="宋体" w:eastAsia="宋体" w:cs="宋体"/>
          <w:snapToGrid w:val="0"/>
          <w:color w:val="auto"/>
          <w:kern w:val="0"/>
          <w:sz w:val="24"/>
          <w:szCs w:val="24"/>
          <w:highlight w:val="none"/>
        </w:rPr>
        <w:t>若项目未开工，因政府相关部门投资决策或规划更改等原因项目终止，则终止本监理合同，委托人和监理人双方不承担相关责任。</w:t>
      </w:r>
    </w:p>
    <w:p w14:paraId="0D3B7702">
      <w:pPr>
        <w:shd w:val="clear"/>
        <w:wordWrap w:val="0"/>
        <w:adjustRightInd w:val="0"/>
        <w:snapToGrid w:val="0"/>
        <w:spacing w:line="440" w:lineRule="exact"/>
        <w:ind w:firstLine="482" w:firstLineChars="200"/>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.8</w:t>
      </w:r>
      <w:r>
        <w:rPr>
          <w:rFonts w:hint="eastAsia" w:ascii="宋体" w:hAnsi="宋体" w:eastAsia="宋体" w:cs="宋体"/>
          <w:snapToGrid w:val="0"/>
          <w:color w:val="auto"/>
          <w:kern w:val="0"/>
          <w:sz w:val="24"/>
          <w:szCs w:val="24"/>
          <w:highlight w:val="none"/>
        </w:rPr>
        <w:t>若项目已开工，监理人已投入人力物力的前提下，因政府相关部门投资决策或规划更改等原因项目终止，应委托人要求，监理人全部或部分暂停执行监理业务或终止监理合同，委托人按照本合同相关条款支付已完成服务内容的监理费，监理人不再以任何理由提出任何其他索赔。</w:t>
      </w:r>
    </w:p>
    <w:bookmarkEnd w:id="355"/>
    <w:bookmarkEnd w:id="356"/>
    <w:p w14:paraId="56BD0B42">
      <w:pPr>
        <w:pStyle w:val="3"/>
        <w:numPr>
          <w:ilvl w:val="0"/>
          <w:numId w:val="4"/>
        </w:numPr>
        <w:shd w:val="clear"/>
        <w:tabs>
          <w:tab w:val="left" w:pos="885"/>
        </w:tabs>
        <w:wordWrap w:val="0"/>
        <w:autoSpaceDE/>
        <w:autoSpaceDN/>
        <w:snapToGrid w:val="0"/>
        <w:spacing w:line="440" w:lineRule="exact"/>
        <w:ind w:left="885" w:hanging="885"/>
        <w:jc w:val="center"/>
        <w:rPr>
          <w:rFonts w:hint="eastAsia" w:ascii="宋体" w:hAnsi="宋体" w:eastAsia="宋体" w:cs="宋体"/>
          <w:b/>
          <w:snapToGrid w:val="0"/>
          <w:color w:val="auto"/>
          <w:sz w:val="24"/>
          <w:highlight w:val="none"/>
        </w:rPr>
      </w:pPr>
      <w:bookmarkStart w:id="363" w:name="_Toc30791"/>
      <w:bookmarkStart w:id="364" w:name="_Toc13571"/>
      <w:bookmarkStart w:id="365" w:name="_Toc21669"/>
      <w:bookmarkStart w:id="366" w:name="_Toc28619"/>
      <w:bookmarkStart w:id="367" w:name="_Toc26371"/>
      <w:bookmarkStart w:id="368" w:name="_Toc28779"/>
      <w:bookmarkStart w:id="369" w:name="_Toc11418"/>
      <w:bookmarkStart w:id="370" w:name="_Toc11922"/>
      <w:bookmarkStart w:id="371" w:name="_Toc1440"/>
      <w:bookmarkStart w:id="372" w:name="_Toc15113"/>
      <w:bookmarkStart w:id="373" w:name="_Toc16835"/>
      <w:bookmarkStart w:id="374" w:name="_Hlt69698796"/>
      <w:r>
        <w:rPr>
          <w:rFonts w:hint="eastAsia" w:ascii="宋体" w:hAnsi="宋体" w:eastAsia="宋体" w:cs="宋体"/>
          <w:b/>
          <w:snapToGrid w:val="0"/>
          <w:color w:val="auto"/>
          <w:sz w:val="24"/>
          <w:highlight w:val="none"/>
        </w:rPr>
        <w:br w:type="page"/>
      </w:r>
      <w:bookmarkStart w:id="375" w:name="_Toc17045"/>
      <w:r>
        <w:rPr>
          <w:rFonts w:hint="eastAsia" w:ascii="宋体" w:hAnsi="宋体" w:eastAsia="宋体" w:cs="宋体"/>
          <w:b/>
          <w:snapToGrid w:val="0"/>
          <w:color w:val="auto"/>
          <w:sz w:val="24"/>
          <w:highlight w:val="none"/>
        </w:rPr>
        <w:t>技术要求</w:t>
      </w:r>
      <w:bookmarkEnd w:id="363"/>
      <w:bookmarkEnd w:id="364"/>
      <w:bookmarkEnd w:id="365"/>
      <w:bookmarkEnd w:id="366"/>
      <w:bookmarkEnd w:id="367"/>
      <w:bookmarkEnd w:id="368"/>
      <w:bookmarkEnd w:id="369"/>
      <w:bookmarkEnd w:id="370"/>
      <w:bookmarkEnd w:id="371"/>
      <w:bookmarkEnd w:id="372"/>
      <w:bookmarkEnd w:id="373"/>
      <w:bookmarkEnd w:id="375"/>
    </w:p>
    <w:p w14:paraId="28759CFA">
      <w:pPr>
        <w:numPr>
          <w:ilvl w:val="0"/>
          <w:numId w:val="0"/>
        </w:numPr>
        <w:shd w:val="clear"/>
        <w:rPr>
          <w:rFonts w:hint="eastAsia" w:ascii="宋体" w:hAnsi="宋体" w:eastAsia="宋体" w:cs="宋体"/>
          <w:color w:val="auto"/>
          <w:highlight w:val="none"/>
        </w:rPr>
      </w:pPr>
    </w:p>
    <w:bookmarkEnd w:id="374"/>
    <w:p w14:paraId="7BB0B45C">
      <w:pPr>
        <w:shd w:val="clear"/>
        <w:wordWrap w:val="0"/>
        <w:adjustRightInd w:val="0"/>
        <w:snapToGrid w:val="0"/>
        <w:spacing w:line="440" w:lineRule="exact"/>
        <w:ind w:firstLine="482" w:firstLineChars="200"/>
        <w:rPr>
          <w:rFonts w:hint="eastAsia" w:ascii="宋体" w:hAnsi="宋体" w:eastAsia="宋体" w:cs="宋体"/>
          <w:b/>
          <w:snapToGrid w:val="0"/>
          <w:color w:val="auto"/>
          <w:kern w:val="0"/>
          <w:highlight w:val="none"/>
        </w:rPr>
      </w:pPr>
      <w:bookmarkStart w:id="376" w:name="_Hlt69265216"/>
      <w:bookmarkEnd w:id="376"/>
      <w:bookmarkStart w:id="377" w:name="_Hlt75685840"/>
      <w:bookmarkEnd w:id="377"/>
      <w:bookmarkStart w:id="378" w:name="_Hlt69116854"/>
      <w:bookmarkEnd w:id="378"/>
      <w:bookmarkStart w:id="379" w:name="_Hlt69358207"/>
      <w:bookmarkEnd w:id="379"/>
      <w:bookmarkStart w:id="380" w:name="_Hlt69359335"/>
      <w:bookmarkEnd w:id="380"/>
      <w:bookmarkStart w:id="381" w:name="_Hlt80411122"/>
      <w:bookmarkEnd w:id="381"/>
      <w:bookmarkStart w:id="382" w:name="_Hlt87793370"/>
      <w:bookmarkEnd w:id="382"/>
      <w:bookmarkStart w:id="383" w:name="_Hlt66104926"/>
      <w:bookmarkEnd w:id="383"/>
      <w:bookmarkStart w:id="384" w:name="_Hlt68774758"/>
      <w:bookmarkEnd w:id="384"/>
      <w:bookmarkStart w:id="385" w:name="_Hlt87793346"/>
      <w:bookmarkEnd w:id="385"/>
      <w:bookmarkStart w:id="386" w:name="_Hlt69357851"/>
      <w:bookmarkEnd w:id="386"/>
      <w:bookmarkStart w:id="387" w:name="_Toc25252"/>
      <w:bookmarkStart w:id="388" w:name="_Toc16340"/>
      <w:bookmarkStart w:id="389" w:name="_Toc7384"/>
      <w:bookmarkStart w:id="390" w:name="_Toc14418"/>
      <w:bookmarkStart w:id="391" w:name="_Toc8636"/>
      <w:bookmarkStart w:id="392" w:name="_Toc728"/>
      <w:bookmarkStart w:id="393" w:name="_Toc1932"/>
      <w:bookmarkStart w:id="394" w:name="_Toc6220"/>
      <w:bookmarkStart w:id="395" w:name="_Toc26968"/>
      <w:bookmarkStart w:id="396" w:name="_Toc19073"/>
      <w:bookmarkStart w:id="397" w:name="_Hlt69698785"/>
      <w:r>
        <w:rPr>
          <w:rFonts w:hint="eastAsia" w:ascii="宋体" w:hAnsi="宋体" w:eastAsia="宋体" w:cs="宋体"/>
          <w:b/>
          <w:snapToGrid w:val="0"/>
          <w:color w:val="auto"/>
          <w:kern w:val="0"/>
          <w:highlight w:val="none"/>
        </w:rPr>
        <w:t>1．房屋建筑工程建设项目</w:t>
      </w:r>
    </w:p>
    <w:p w14:paraId="1C796AA3">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bookmarkStart w:id="398" w:name="_Hlt69359245"/>
      <w:bookmarkEnd w:id="398"/>
      <w:bookmarkStart w:id="399" w:name="_Hlt69635252"/>
      <w:bookmarkEnd w:id="399"/>
      <w:bookmarkStart w:id="400" w:name="_Hlt69116858"/>
      <w:bookmarkEnd w:id="400"/>
      <w:bookmarkStart w:id="401" w:name="_Hlt78709799"/>
      <w:bookmarkEnd w:id="401"/>
      <w:bookmarkStart w:id="402" w:name="_Hlt69359086"/>
      <w:bookmarkEnd w:id="402"/>
      <w:bookmarkStart w:id="403" w:name="_Hlt69358458"/>
      <w:bookmarkEnd w:id="403"/>
      <w:bookmarkStart w:id="404" w:name="_Hlt69359243"/>
      <w:bookmarkEnd w:id="404"/>
      <w:r>
        <w:rPr>
          <w:rFonts w:hint="eastAsia" w:ascii="宋体" w:hAnsi="宋体" w:eastAsia="宋体" w:cs="宋体"/>
          <w:bCs/>
          <w:snapToGrid w:val="0"/>
          <w:color w:val="auto"/>
          <w:kern w:val="0"/>
          <w:highlight w:val="none"/>
        </w:rPr>
        <w:t>房屋建筑工程建设项目必须执行的现行技术规范，包括且不限于：</w:t>
      </w:r>
    </w:p>
    <w:p w14:paraId="08E50E67">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（1）《建筑工程施工质量验收统一标准》；</w:t>
      </w:r>
    </w:p>
    <w:p w14:paraId="4F6D8E42">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（2）《建筑地基基础工程施工质量验收规范》；</w:t>
      </w:r>
    </w:p>
    <w:p w14:paraId="1BCC6F2D">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（3）《砌体工程施工质量验收规范》；</w:t>
      </w:r>
    </w:p>
    <w:p w14:paraId="5DC84CD5">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（4）《混凝土结构工程施工质量验收规范》；</w:t>
      </w:r>
    </w:p>
    <w:p w14:paraId="042607FA">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（5）《屋面工程质量验收规范》；</w:t>
      </w:r>
    </w:p>
    <w:p w14:paraId="787B15B8">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（6）《地下防水工程质量验收规范》；</w:t>
      </w:r>
    </w:p>
    <w:p w14:paraId="74C90E3F">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（7）</w:t>
      </w:r>
      <w:bookmarkStart w:id="405" w:name="_Hlt78795211"/>
      <w:bookmarkEnd w:id="405"/>
      <w:r>
        <w:rPr>
          <w:rFonts w:hint="eastAsia" w:ascii="宋体" w:hAnsi="宋体" w:eastAsia="宋体" w:cs="宋体"/>
          <w:bCs/>
          <w:snapToGrid w:val="0"/>
          <w:color w:val="auto"/>
          <w:kern w:val="0"/>
          <w:highlight w:val="none"/>
        </w:rPr>
        <w:t>《建筑地面工程施工质量验收规范》；</w:t>
      </w:r>
    </w:p>
    <w:p w14:paraId="586EFA51">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（8）《建筑装饰装修工程施工质量验收规范》；</w:t>
      </w:r>
    </w:p>
    <w:p w14:paraId="0B3B7EC6">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（9）《建筑给排水及采暖工程施工质量验收规范》；</w:t>
      </w:r>
    </w:p>
    <w:p w14:paraId="32C90DD3">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（10）《建筑电气工程施工质量验收规范》；</w:t>
      </w:r>
    </w:p>
    <w:p w14:paraId="48ABE472">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（11）《住建部绿色建筑评价标准》；</w:t>
      </w:r>
    </w:p>
    <w:p w14:paraId="40B2D4CC">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（12）《建筑节能与可再生能源利用通用规范》；</w:t>
      </w:r>
    </w:p>
    <w:p w14:paraId="741AEA3C">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（13）《建筑环境通用规范》；</w:t>
      </w:r>
    </w:p>
    <w:p w14:paraId="3A7632A9">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（14）《广东省住房和城乡建设厅绿色施工导则》；</w:t>
      </w:r>
    </w:p>
    <w:p w14:paraId="35CA0C60">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（15）《广东省建筑工程绿色施工评价标准》；</w:t>
      </w:r>
    </w:p>
    <w:p w14:paraId="1AA0E5A2">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（16）《广东省建筑节能与绿色建筑工程施工质量验收规范》；</w:t>
      </w:r>
    </w:p>
    <w:p w14:paraId="347A1770">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（17）其他现行国家、广东省关于房建工程的施工及验收规范、规程、标准。</w:t>
      </w:r>
    </w:p>
    <w:p w14:paraId="0816BB0B">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rPr>
      </w:pPr>
    </w:p>
    <w:p w14:paraId="22294F69">
      <w:pPr>
        <w:shd w:val="clear"/>
        <w:wordWrap w:val="0"/>
        <w:adjustRightInd w:val="0"/>
        <w:snapToGrid w:val="0"/>
        <w:spacing w:line="440" w:lineRule="exact"/>
        <w:ind w:firstLine="482" w:firstLineChars="200"/>
        <w:rPr>
          <w:rFonts w:hint="eastAsia" w:ascii="宋体" w:hAnsi="宋体" w:eastAsia="宋体" w:cs="宋体"/>
          <w:bCs/>
          <w:snapToGrid w:val="0"/>
          <w:color w:val="auto"/>
          <w:kern w:val="0"/>
          <w:highlight w:val="none"/>
        </w:rPr>
      </w:pPr>
      <w:r>
        <w:rPr>
          <w:rFonts w:hint="eastAsia" w:ascii="宋体" w:hAnsi="宋体" w:eastAsia="宋体" w:cs="宋体"/>
          <w:b/>
          <w:snapToGrid w:val="0"/>
          <w:color w:val="auto"/>
          <w:kern w:val="0"/>
          <w:highlight w:val="none"/>
        </w:rPr>
        <w:t>2．市政基础设施工程建设项目</w:t>
      </w:r>
    </w:p>
    <w:p w14:paraId="5F470473">
      <w:pPr>
        <w:shd w:val="clear"/>
        <w:wordWrap w:val="0"/>
        <w:adjustRightInd w:val="0"/>
        <w:snapToGrid w:val="0"/>
        <w:spacing w:line="440" w:lineRule="exact"/>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市政基础设施工程建设项目必须执行的现行技术规范，包括且不限于：</w:t>
      </w:r>
    </w:p>
    <w:p w14:paraId="5C6A0F7A">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（1）《公路路基施工技术规范》；</w:t>
      </w:r>
    </w:p>
    <w:p w14:paraId="3AF380B6">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（2）《市政道路工程质量检验评定标准》；</w:t>
      </w:r>
    </w:p>
    <w:p w14:paraId="4D47B7EA">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（3）《市政排水管渠工程质量检验评定标准》；</w:t>
      </w:r>
    </w:p>
    <w:p w14:paraId="5A21408F">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（4）《给水排水管道工程施工及验收规范》；</w:t>
      </w:r>
    </w:p>
    <w:p w14:paraId="0AAD668A">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（5）《城市道路路基工程施工及验收规范》；</w:t>
      </w:r>
    </w:p>
    <w:p w14:paraId="706DE933">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（6）《水泥砼路面施工及验收规范》；</w:t>
      </w:r>
    </w:p>
    <w:p w14:paraId="2DE6E6C4">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（7）《公路水泥砼路面施工技术规范》；</w:t>
      </w:r>
    </w:p>
    <w:p w14:paraId="4666EF38">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（8）《埋地硬聚氯乙烯排水管道工程技术规程》；</w:t>
      </w:r>
    </w:p>
    <w:p w14:paraId="0EA8D136">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（9）《沥青路面施工及验收规范》；</w:t>
      </w:r>
    </w:p>
    <w:p w14:paraId="0131DA77">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（10）《广东省市政工程施工质量技术资料统一用表》；</w:t>
      </w:r>
    </w:p>
    <w:p w14:paraId="462CFF79">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（11）《城市道路照明设计标准》（CJJ45-2015）；</w:t>
      </w:r>
    </w:p>
    <w:p w14:paraId="18110EEC">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（12）《低压配电设计规范》（GB50054-2011）；</w:t>
      </w:r>
    </w:p>
    <w:p w14:paraId="1FAED13E">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（13）《城市道路照明工程施工及验收规程》（CJJ89-2012）；</w:t>
      </w:r>
    </w:p>
    <w:p w14:paraId="22AB0BBE">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（14）《LED道路照明工程技术规范》（DB44/T 1898-2016）；</w:t>
      </w:r>
    </w:p>
    <w:p w14:paraId="3B23316D">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（15）《灯具第1部分：一般要求与试验》（GB7000.1-2015）；</w:t>
      </w:r>
    </w:p>
    <w:p w14:paraId="5CC0EC19">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（16）《电缆工程电缆设计标准》（GB50217-2018）；</w:t>
      </w:r>
    </w:p>
    <w:p w14:paraId="7952D606">
      <w:pPr>
        <w:shd w:val="clear"/>
        <w:wordWrap w:val="0"/>
        <w:adjustRightInd w:val="0"/>
        <w:snapToGrid w:val="0"/>
        <w:spacing w:line="440" w:lineRule="exact"/>
        <w:ind w:firstLine="480" w:firstLineChars="200"/>
        <w:rPr>
          <w:rFonts w:hint="eastAsia" w:ascii="宋体" w:hAnsi="宋体" w:eastAsia="宋体" w:cs="宋体"/>
          <w:bCs/>
          <w:snapToGrid w:val="0"/>
          <w:color w:val="auto"/>
          <w:kern w:val="0"/>
          <w:highlight w:val="none"/>
          <w:lang w:val="en-US" w:eastAsia="zh-CN"/>
        </w:rPr>
      </w:pPr>
      <w:r>
        <w:rPr>
          <w:rFonts w:hint="eastAsia" w:ascii="宋体" w:hAnsi="宋体" w:eastAsia="宋体" w:cs="宋体"/>
          <w:bCs/>
          <w:snapToGrid w:val="0"/>
          <w:color w:val="auto"/>
          <w:kern w:val="0"/>
          <w:highlight w:val="none"/>
          <w:lang w:val="en-US" w:eastAsia="zh-CN"/>
        </w:rPr>
        <w:t>（17）其他现行国家、广东省关于市政工程的技术及验收规范、规程、标准。</w:t>
      </w:r>
    </w:p>
    <w:p w14:paraId="0DF9F911">
      <w:pPr>
        <w:shd w:val="clear"/>
        <w:wordWrap w:val="0"/>
        <w:adjustRightInd w:val="0"/>
        <w:snapToGrid w:val="0"/>
        <w:spacing w:line="440" w:lineRule="exact"/>
        <w:rPr>
          <w:rFonts w:hint="eastAsia" w:ascii="宋体" w:hAnsi="宋体" w:eastAsia="宋体" w:cs="宋体"/>
          <w:bCs/>
          <w:snapToGrid w:val="0"/>
          <w:color w:val="auto"/>
          <w:kern w:val="0"/>
          <w:highlight w:val="none"/>
          <w:lang w:val="en-US" w:eastAsia="zh-CN"/>
        </w:rPr>
      </w:pPr>
    </w:p>
    <w:p w14:paraId="04646E34">
      <w:pPr>
        <w:shd w:val="clear"/>
        <w:wordWrap w:val="0"/>
        <w:adjustRightInd w:val="0"/>
        <w:snapToGrid w:val="0"/>
        <w:spacing w:line="440" w:lineRule="exact"/>
        <w:ind w:firstLine="482" w:firstLineChars="200"/>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lang w:val="en-US" w:eastAsia="zh-CN"/>
        </w:rPr>
        <w:t xml:space="preserve">3. </w:t>
      </w:r>
      <w:r>
        <w:rPr>
          <w:rFonts w:hint="eastAsia" w:ascii="宋体" w:hAnsi="宋体" w:eastAsia="宋体" w:cs="宋体"/>
          <w:b/>
          <w:snapToGrid w:val="0"/>
          <w:color w:val="auto"/>
          <w:kern w:val="0"/>
          <w:highlight w:val="none"/>
        </w:rPr>
        <w:t>备查要求</w:t>
      </w:r>
    </w:p>
    <w:p w14:paraId="5C29BA6C">
      <w:pPr>
        <w:shd w:val="clear"/>
        <w:wordWrap w:val="0"/>
        <w:adjustRightInd w:val="0"/>
        <w:snapToGrid w:val="0"/>
        <w:spacing w:line="440" w:lineRule="exact"/>
        <w:ind w:firstLine="560"/>
        <w:rPr>
          <w:rFonts w:hint="eastAsia" w:ascii="宋体" w:hAnsi="宋体" w:eastAsia="宋体" w:cs="宋体"/>
          <w:strike/>
          <w:snapToGrid w:val="0"/>
          <w:color w:val="auto"/>
          <w:kern w:val="0"/>
          <w:highlight w:val="none"/>
        </w:rPr>
        <w:sectPr>
          <w:endnotePr>
            <w:numFmt w:val="decimal"/>
          </w:endnotePr>
          <w:pgSz w:w="11906" w:h="16838"/>
          <w:pgMar w:top="1440" w:right="1080" w:bottom="1440" w:left="1080" w:header="850" w:footer="992" w:gutter="0"/>
          <w:cols w:space="720" w:num="1"/>
          <w:rtlGutter w:val="0"/>
          <w:docGrid w:linePitch="327" w:charSpace="0"/>
        </w:sectPr>
      </w:pPr>
      <w:r>
        <w:rPr>
          <w:rFonts w:hint="eastAsia" w:ascii="宋体" w:hAnsi="宋体" w:eastAsia="宋体" w:cs="宋体"/>
          <w:snapToGrid w:val="0"/>
          <w:color w:val="auto"/>
          <w:kern w:val="0"/>
          <w:highlight w:val="none"/>
        </w:rPr>
        <w:t>监理人</w:t>
      </w:r>
      <w:r>
        <w:rPr>
          <w:rFonts w:hint="eastAsia" w:ascii="宋体" w:hAnsi="宋体" w:eastAsia="宋体" w:cs="宋体"/>
          <w:bCs/>
          <w:snapToGrid w:val="0"/>
          <w:color w:val="auto"/>
          <w:kern w:val="0"/>
          <w:highlight w:val="none"/>
        </w:rPr>
        <w:t>必须在施工现场准备至少一套上述规范，委托人可随时检查监理人的上述规范，并监督监理人按规范要求执行。</w:t>
      </w:r>
      <w:bookmarkStart w:id="406" w:name="_Hlt69670335"/>
      <w:bookmarkEnd w:id="406"/>
    </w:p>
    <w:p w14:paraId="156FC954">
      <w:pPr>
        <w:pStyle w:val="3"/>
        <w:shd w:val="clear"/>
        <w:wordWrap w:val="0"/>
        <w:autoSpaceDE/>
        <w:autoSpaceDN/>
        <w:snapToGrid w:val="0"/>
        <w:spacing w:line="440" w:lineRule="exact"/>
        <w:jc w:val="center"/>
        <w:rPr>
          <w:rFonts w:hint="eastAsia" w:ascii="宋体" w:hAnsi="宋体" w:eastAsia="宋体" w:cs="宋体"/>
          <w:b/>
          <w:snapToGrid w:val="0"/>
          <w:color w:val="auto"/>
          <w:sz w:val="24"/>
          <w:highlight w:val="none"/>
        </w:rPr>
      </w:pPr>
      <w:bookmarkStart w:id="407" w:name="_Toc10032"/>
      <w:bookmarkStart w:id="408" w:name="_Toc20812"/>
      <w:r>
        <w:rPr>
          <w:rFonts w:hint="eastAsia" w:ascii="宋体" w:hAnsi="宋体" w:eastAsia="宋体" w:cs="宋体"/>
          <w:b/>
          <w:snapToGrid w:val="0"/>
          <w:color w:val="auto"/>
          <w:sz w:val="24"/>
          <w:highlight w:val="none"/>
        </w:rPr>
        <w:t xml:space="preserve">第五章 </w:t>
      </w:r>
      <w:bookmarkEnd w:id="387"/>
      <w:bookmarkStart w:id="409" w:name="_Hlt75747044"/>
      <w:bookmarkEnd w:id="409"/>
      <w:r>
        <w:rPr>
          <w:rFonts w:hint="eastAsia" w:ascii="宋体" w:hAnsi="宋体" w:eastAsia="宋体" w:cs="宋体"/>
          <w:b/>
          <w:snapToGrid w:val="0"/>
          <w:color w:val="auto"/>
          <w:sz w:val="24"/>
          <w:highlight w:val="none"/>
        </w:rPr>
        <w:t>投标文件格式</w:t>
      </w:r>
      <w:bookmarkEnd w:id="388"/>
      <w:bookmarkEnd w:id="389"/>
      <w:bookmarkEnd w:id="390"/>
      <w:bookmarkEnd w:id="391"/>
      <w:bookmarkEnd w:id="392"/>
      <w:bookmarkEnd w:id="393"/>
      <w:bookmarkEnd w:id="394"/>
      <w:bookmarkEnd w:id="395"/>
      <w:bookmarkEnd w:id="396"/>
      <w:bookmarkEnd w:id="407"/>
      <w:bookmarkEnd w:id="408"/>
    </w:p>
    <w:bookmarkEnd w:id="397"/>
    <w:p w14:paraId="7937ED92">
      <w:pPr>
        <w:pStyle w:val="48"/>
        <w:keepNext w:val="0"/>
        <w:keepLines w:val="0"/>
        <w:widowControl w:val="0"/>
        <w:shd w:val="clear"/>
        <w:wordWrap w:val="0"/>
        <w:adjustRightInd w:val="0"/>
        <w:snapToGrid w:val="0"/>
        <w:spacing w:before="0" w:after="0" w:line="240" w:lineRule="auto"/>
        <w:ind w:left="3640" w:leftChars="15" w:hanging="3604" w:hangingChars="1496"/>
        <w:jc w:val="both"/>
        <w:outlineLvl w:val="9"/>
        <w:rPr>
          <w:rFonts w:hint="eastAsia" w:ascii="宋体" w:hAnsi="宋体" w:eastAsia="宋体" w:cs="宋体"/>
          <w:b/>
          <w:snapToGrid w:val="0"/>
          <w:color w:val="auto"/>
          <w:highlight w:val="none"/>
        </w:rPr>
      </w:pPr>
      <w:bookmarkStart w:id="410" w:name="_附件五：综合评审合理低价法"/>
      <w:bookmarkEnd w:id="410"/>
      <w:bookmarkStart w:id="411" w:name="_附件二：近三年度主要施工项目（竣工及在建）一览表"/>
      <w:bookmarkEnd w:id="411"/>
      <w:bookmarkStart w:id="412" w:name="_附件二：工期承诺书"/>
      <w:bookmarkEnd w:id="412"/>
      <w:bookmarkStart w:id="413" w:name="_附件一：对招标文件条款自愿接受承诺书"/>
      <w:bookmarkEnd w:id="413"/>
      <w:bookmarkStart w:id="414" w:name="_附件四：工期承诺书"/>
      <w:bookmarkEnd w:id="414"/>
      <w:bookmarkStart w:id="415" w:name="_附件一：投标函"/>
      <w:bookmarkEnd w:id="415"/>
      <w:bookmarkStart w:id="416" w:name="_Toc137621693"/>
      <w:bookmarkStart w:id="417" w:name="_Toc200338097"/>
      <w:bookmarkStart w:id="418" w:name="_Hlt66847557"/>
      <w:bookmarkStart w:id="419" w:name="_Toc66849200"/>
    </w:p>
    <w:p w14:paraId="1439935E">
      <w:pPr>
        <w:pStyle w:val="48"/>
        <w:keepNext w:val="0"/>
        <w:keepLines w:val="0"/>
        <w:widowControl w:val="0"/>
        <w:shd w:val="clear"/>
        <w:wordWrap w:val="0"/>
        <w:adjustRightInd w:val="0"/>
        <w:snapToGrid w:val="0"/>
        <w:spacing w:before="0" w:after="0" w:line="240" w:lineRule="auto"/>
        <w:ind w:left="3640" w:leftChars="15" w:hanging="3604" w:hangingChars="1496"/>
        <w:jc w:val="both"/>
        <w:rPr>
          <w:rFonts w:hint="eastAsia" w:ascii="宋体" w:hAnsi="宋体" w:eastAsia="宋体" w:cs="宋体"/>
          <w:b/>
          <w:snapToGrid w:val="0"/>
          <w:color w:val="auto"/>
          <w:highlight w:val="none"/>
        </w:rPr>
      </w:pPr>
      <w:bookmarkStart w:id="420" w:name="_Toc32261"/>
      <w:bookmarkStart w:id="421" w:name="_Toc8451"/>
      <w:bookmarkStart w:id="422" w:name="_Toc13127"/>
      <w:bookmarkStart w:id="423" w:name="_Toc27308"/>
      <w:bookmarkStart w:id="424" w:name="_Toc12824"/>
      <w:bookmarkStart w:id="425" w:name="_Toc16019"/>
      <w:bookmarkStart w:id="426" w:name="_Toc9475"/>
      <w:bookmarkStart w:id="427" w:name="_Toc12888"/>
      <w:bookmarkStart w:id="428" w:name="_Toc13147"/>
      <w:bookmarkStart w:id="429" w:name="_Toc2371"/>
      <w:bookmarkStart w:id="430" w:name="_Toc9716"/>
      <w:r>
        <w:rPr>
          <w:rFonts w:hint="eastAsia" w:ascii="宋体" w:hAnsi="宋体" w:eastAsia="宋体" w:cs="宋体"/>
          <w:b/>
          <w:snapToGrid w:val="0"/>
          <w:color w:val="auto"/>
          <w:highlight w:val="none"/>
        </w:rPr>
        <w:t>格式一 封面</w:t>
      </w:r>
      <w:bookmarkEnd w:id="420"/>
      <w:bookmarkEnd w:id="421"/>
      <w:bookmarkEnd w:id="422"/>
      <w:bookmarkEnd w:id="423"/>
      <w:bookmarkEnd w:id="424"/>
      <w:bookmarkEnd w:id="425"/>
      <w:bookmarkEnd w:id="426"/>
      <w:bookmarkEnd w:id="427"/>
      <w:bookmarkEnd w:id="428"/>
      <w:bookmarkEnd w:id="429"/>
      <w:bookmarkEnd w:id="430"/>
    </w:p>
    <w:p w14:paraId="51689F2E">
      <w:pPr>
        <w:pStyle w:val="49"/>
        <w:widowControl w:val="0"/>
        <w:shd w:val="clear"/>
        <w:wordWrap w:val="0"/>
        <w:adjustRightInd w:val="0"/>
        <w:snapToGrid w:val="0"/>
        <w:spacing w:line="240" w:lineRule="auto"/>
        <w:rPr>
          <w:rFonts w:hint="eastAsia" w:ascii="宋体" w:hAnsi="宋体" w:eastAsia="宋体" w:cs="宋体"/>
          <w:b/>
          <w:snapToGrid w:val="0"/>
          <w:color w:val="auto"/>
          <w:sz w:val="24"/>
          <w:highlight w:val="none"/>
        </w:rPr>
      </w:pPr>
    </w:p>
    <w:p w14:paraId="199888FB">
      <w:pPr>
        <w:pStyle w:val="49"/>
        <w:widowControl w:val="0"/>
        <w:shd w:val="clear"/>
        <w:wordWrap w:val="0"/>
        <w:adjustRightInd w:val="0"/>
        <w:snapToGrid w:val="0"/>
        <w:spacing w:line="240" w:lineRule="auto"/>
        <w:jc w:val="right"/>
        <w:rPr>
          <w:rFonts w:hint="eastAsia" w:ascii="宋体" w:hAnsi="宋体" w:eastAsia="宋体" w:cs="宋体"/>
          <w:b/>
          <w:snapToGrid w:val="0"/>
          <w:color w:val="auto"/>
          <w:sz w:val="24"/>
          <w:highlight w:val="none"/>
        </w:rPr>
      </w:pPr>
    </w:p>
    <w:p w14:paraId="37FBF5AD">
      <w:pPr>
        <w:pStyle w:val="49"/>
        <w:widowControl w:val="0"/>
        <w:shd w:val="clear"/>
        <w:wordWrap w:val="0"/>
        <w:adjustRightInd w:val="0"/>
        <w:snapToGrid w:val="0"/>
        <w:spacing w:line="240" w:lineRule="auto"/>
        <w:rPr>
          <w:rFonts w:hint="eastAsia" w:ascii="宋体" w:hAnsi="宋体" w:eastAsia="宋体" w:cs="宋体"/>
          <w:b/>
          <w:snapToGrid w:val="0"/>
          <w:color w:val="auto"/>
          <w:sz w:val="24"/>
          <w:highlight w:val="none"/>
        </w:rPr>
      </w:pPr>
    </w:p>
    <w:p w14:paraId="2576E0AF">
      <w:pPr>
        <w:pStyle w:val="49"/>
        <w:widowControl w:val="0"/>
        <w:shd w:val="clear"/>
        <w:wordWrap w:val="0"/>
        <w:adjustRightInd w:val="0"/>
        <w:snapToGrid w:val="0"/>
        <w:spacing w:line="240" w:lineRule="auto"/>
        <w:rPr>
          <w:rFonts w:hint="eastAsia" w:ascii="宋体" w:hAnsi="宋体" w:eastAsia="宋体" w:cs="宋体"/>
          <w:b/>
          <w:snapToGrid w:val="0"/>
          <w:color w:val="auto"/>
          <w:sz w:val="24"/>
          <w:highlight w:val="none"/>
        </w:rPr>
      </w:pPr>
    </w:p>
    <w:p w14:paraId="287B9F41">
      <w:pPr>
        <w:pStyle w:val="49"/>
        <w:widowControl w:val="0"/>
        <w:shd w:val="clear"/>
        <w:wordWrap w:val="0"/>
        <w:adjustRightInd w:val="0"/>
        <w:snapToGrid w:val="0"/>
        <w:spacing w:line="240" w:lineRule="auto"/>
        <w:ind w:left="0" w:leftChars="0" w:firstLine="0" w:firstLineChars="0"/>
        <w:rPr>
          <w:rFonts w:hint="eastAsia" w:ascii="宋体" w:hAnsi="宋体" w:eastAsia="宋体" w:cs="宋体"/>
          <w:b/>
          <w:snapToGrid w:val="0"/>
          <w:color w:val="auto"/>
          <w:sz w:val="24"/>
          <w:highlight w:val="none"/>
        </w:rPr>
      </w:pPr>
    </w:p>
    <w:p w14:paraId="1DAC3138">
      <w:pPr>
        <w:pStyle w:val="49"/>
        <w:widowControl w:val="0"/>
        <w:shd w:val="clear"/>
        <w:wordWrap w:val="0"/>
        <w:adjustRightInd w:val="0"/>
        <w:snapToGrid w:val="0"/>
        <w:spacing w:line="240" w:lineRule="auto"/>
        <w:rPr>
          <w:rFonts w:hint="eastAsia" w:ascii="宋体" w:hAnsi="宋体" w:eastAsia="宋体" w:cs="宋体"/>
          <w:b/>
          <w:snapToGrid w:val="0"/>
          <w:color w:val="auto"/>
          <w:sz w:val="24"/>
          <w:highlight w:val="none"/>
        </w:rPr>
      </w:pPr>
    </w:p>
    <w:p w14:paraId="73871D09">
      <w:pPr>
        <w:pStyle w:val="49"/>
        <w:widowControl w:val="0"/>
        <w:shd w:val="clear"/>
        <w:wordWrap w:val="0"/>
        <w:adjustRightInd w:val="0"/>
        <w:snapToGrid w:val="0"/>
        <w:spacing w:line="240" w:lineRule="auto"/>
        <w:rPr>
          <w:rFonts w:hint="eastAsia" w:ascii="宋体" w:hAnsi="宋体" w:eastAsia="宋体" w:cs="宋体"/>
          <w:b/>
          <w:snapToGrid w:val="0"/>
          <w:color w:val="auto"/>
          <w:sz w:val="24"/>
          <w:highlight w:val="none"/>
        </w:rPr>
      </w:pPr>
    </w:p>
    <w:p w14:paraId="24B11A49">
      <w:pPr>
        <w:pStyle w:val="49"/>
        <w:widowControl w:val="0"/>
        <w:shd w:val="clear"/>
        <w:wordWrap w:val="0"/>
        <w:adjustRightInd w:val="0"/>
        <w:snapToGrid w:val="0"/>
        <w:spacing w:line="240" w:lineRule="auto"/>
        <w:rPr>
          <w:rFonts w:hint="eastAsia" w:ascii="宋体" w:hAnsi="宋体" w:eastAsia="宋体" w:cs="宋体"/>
          <w:b/>
          <w:snapToGrid w:val="0"/>
          <w:color w:val="auto"/>
          <w:sz w:val="24"/>
          <w:highlight w:val="none"/>
        </w:rPr>
      </w:pPr>
    </w:p>
    <w:p w14:paraId="19F4A660">
      <w:pPr>
        <w:pStyle w:val="49"/>
        <w:widowControl w:val="0"/>
        <w:shd w:val="clear"/>
        <w:wordWrap w:val="0"/>
        <w:adjustRightInd w:val="0"/>
        <w:snapToGrid w:val="0"/>
        <w:spacing w:line="240" w:lineRule="auto"/>
        <w:rPr>
          <w:rFonts w:hint="eastAsia" w:ascii="宋体" w:hAnsi="宋体" w:eastAsia="宋体" w:cs="宋体"/>
          <w:b/>
          <w:snapToGrid w:val="0"/>
          <w:color w:val="auto"/>
          <w:sz w:val="24"/>
          <w:highlight w:val="none"/>
        </w:rPr>
      </w:pPr>
    </w:p>
    <w:p w14:paraId="0F25CA0E">
      <w:pPr>
        <w:pStyle w:val="49"/>
        <w:widowControl w:val="0"/>
        <w:shd w:val="clear"/>
        <w:wordWrap w:val="0"/>
        <w:adjustRightInd w:val="0"/>
        <w:snapToGrid w:val="0"/>
        <w:ind w:firstLine="0"/>
        <w:jc w:val="center"/>
        <w:rPr>
          <w:rFonts w:hint="eastAsia" w:ascii="宋体" w:hAnsi="宋体" w:eastAsia="宋体" w:cs="宋体"/>
          <w:b/>
          <w:snapToGrid w:val="0"/>
          <w:color w:val="auto"/>
          <w:sz w:val="44"/>
          <w:szCs w:val="44"/>
          <w:highlight w:val="none"/>
        </w:rPr>
      </w:pPr>
      <w:r>
        <w:rPr>
          <w:rFonts w:hint="eastAsia" w:ascii="宋体" w:hAnsi="宋体" w:eastAsia="宋体" w:cs="宋体"/>
          <w:bCs/>
          <w:snapToGrid w:val="0"/>
          <w:color w:val="auto"/>
          <w:sz w:val="44"/>
          <w:szCs w:val="44"/>
          <w:highlight w:val="none"/>
          <w:u w:val="single"/>
          <w:lang w:val="en-US" w:eastAsia="zh-CN"/>
        </w:rPr>
        <w:t xml:space="preserve">    （项目名称）  </w:t>
      </w:r>
      <w:r>
        <w:rPr>
          <w:rFonts w:hint="eastAsia" w:ascii="宋体" w:hAnsi="宋体" w:eastAsia="宋体" w:cs="宋体"/>
          <w:b/>
          <w:snapToGrid w:val="0"/>
          <w:color w:val="auto"/>
          <w:sz w:val="44"/>
          <w:szCs w:val="44"/>
          <w:highlight w:val="none"/>
        </w:rPr>
        <w:t>招标</w:t>
      </w:r>
    </w:p>
    <w:p w14:paraId="6249C81C">
      <w:pPr>
        <w:pStyle w:val="49"/>
        <w:widowControl w:val="0"/>
        <w:shd w:val="clear"/>
        <w:wordWrap w:val="0"/>
        <w:adjustRightInd w:val="0"/>
        <w:snapToGrid w:val="0"/>
        <w:spacing w:line="240" w:lineRule="auto"/>
        <w:ind w:firstLine="0"/>
        <w:jc w:val="center"/>
        <w:rPr>
          <w:rFonts w:hint="eastAsia" w:ascii="宋体" w:hAnsi="宋体" w:eastAsia="宋体" w:cs="宋体"/>
          <w:b/>
          <w:snapToGrid w:val="0"/>
          <w:color w:val="auto"/>
          <w:sz w:val="32"/>
          <w:highlight w:val="none"/>
        </w:rPr>
      </w:pPr>
    </w:p>
    <w:p w14:paraId="1F5580FA">
      <w:pPr>
        <w:pStyle w:val="49"/>
        <w:widowControl w:val="0"/>
        <w:shd w:val="clear"/>
        <w:wordWrap w:val="0"/>
        <w:adjustRightInd w:val="0"/>
        <w:snapToGrid w:val="0"/>
        <w:spacing w:line="240" w:lineRule="auto"/>
        <w:ind w:firstLine="0"/>
        <w:jc w:val="center"/>
        <w:rPr>
          <w:rFonts w:hint="eastAsia" w:ascii="宋体" w:hAnsi="宋体" w:eastAsia="宋体" w:cs="宋体"/>
          <w:b/>
          <w:snapToGrid w:val="0"/>
          <w:color w:val="auto"/>
          <w:sz w:val="72"/>
          <w:highlight w:val="none"/>
        </w:rPr>
      </w:pPr>
      <w:r>
        <w:rPr>
          <w:rFonts w:hint="eastAsia" w:ascii="宋体" w:hAnsi="宋体" w:eastAsia="宋体" w:cs="宋体"/>
          <w:b/>
          <w:snapToGrid w:val="0"/>
          <w:color w:val="auto"/>
          <w:sz w:val="72"/>
          <w:highlight w:val="none"/>
        </w:rPr>
        <w:t>投  标  文  件</w:t>
      </w:r>
    </w:p>
    <w:p w14:paraId="47B48292">
      <w:pPr>
        <w:pStyle w:val="49"/>
        <w:widowControl w:val="0"/>
        <w:shd w:val="clear"/>
        <w:wordWrap w:val="0"/>
        <w:adjustRightInd w:val="0"/>
        <w:snapToGrid w:val="0"/>
        <w:spacing w:line="240" w:lineRule="auto"/>
        <w:ind w:firstLine="0"/>
        <w:jc w:val="center"/>
        <w:rPr>
          <w:rFonts w:hint="eastAsia" w:ascii="宋体" w:hAnsi="宋体" w:eastAsia="宋体" w:cs="宋体"/>
          <w:b/>
          <w:snapToGrid w:val="0"/>
          <w:color w:val="auto"/>
          <w:sz w:val="32"/>
          <w:highlight w:val="none"/>
        </w:rPr>
      </w:pPr>
    </w:p>
    <w:p w14:paraId="67BB67BF">
      <w:pPr>
        <w:pStyle w:val="49"/>
        <w:widowControl w:val="0"/>
        <w:shd w:val="clear"/>
        <w:wordWrap w:val="0"/>
        <w:adjustRightInd w:val="0"/>
        <w:snapToGrid w:val="0"/>
        <w:spacing w:line="240" w:lineRule="auto"/>
        <w:ind w:firstLine="0"/>
        <w:jc w:val="center"/>
        <w:rPr>
          <w:rFonts w:hint="eastAsia" w:ascii="宋体" w:hAnsi="宋体" w:eastAsia="宋体" w:cs="宋体"/>
          <w:b/>
          <w:snapToGrid w:val="0"/>
          <w:color w:val="auto"/>
          <w:sz w:val="32"/>
          <w:highlight w:val="none"/>
        </w:rPr>
      </w:pPr>
      <w:r>
        <w:rPr>
          <w:rFonts w:hint="eastAsia" w:ascii="宋体" w:hAnsi="宋体" w:eastAsia="宋体" w:cs="宋体"/>
          <w:b/>
          <w:snapToGrid w:val="0"/>
          <w:color w:val="auto"/>
          <w:sz w:val="48"/>
          <w:szCs w:val="48"/>
          <w:highlight w:val="none"/>
        </w:rPr>
        <w:t>（商务标书／监理大纲）</w:t>
      </w:r>
    </w:p>
    <w:p w14:paraId="49113E87">
      <w:pPr>
        <w:pStyle w:val="49"/>
        <w:widowControl w:val="0"/>
        <w:shd w:val="clear"/>
        <w:wordWrap w:val="0"/>
        <w:adjustRightInd w:val="0"/>
        <w:snapToGrid w:val="0"/>
        <w:spacing w:line="240" w:lineRule="auto"/>
        <w:rPr>
          <w:rFonts w:hint="eastAsia" w:ascii="宋体" w:hAnsi="宋体" w:eastAsia="宋体" w:cs="宋体"/>
          <w:b/>
          <w:snapToGrid w:val="0"/>
          <w:color w:val="auto"/>
          <w:sz w:val="32"/>
          <w:highlight w:val="none"/>
        </w:rPr>
      </w:pPr>
    </w:p>
    <w:p w14:paraId="10502CDA">
      <w:pPr>
        <w:pStyle w:val="49"/>
        <w:widowControl w:val="0"/>
        <w:shd w:val="clear"/>
        <w:wordWrap w:val="0"/>
        <w:adjustRightInd w:val="0"/>
        <w:snapToGrid w:val="0"/>
        <w:spacing w:line="240" w:lineRule="auto"/>
        <w:rPr>
          <w:rFonts w:hint="eastAsia" w:ascii="宋体" w:hAnsi="宋体" w:eastAsia="宋体" w:cs="宋体"/>
          <w:b/>
          <w:snapToGrid w:val="0"/>
          <w:color w:val="auto"/>
          <w:sz w:val="32"/>
          <w:highlight w:val="none"/>
        </w:rPr>
      </w:pPr>
    </w:p>
    <w:p w14:paraId="29A41EE5">
      <w:pPr>
        <w:pStyle w:val="49"/>
        <w:widowControl w:val="0"/>
        <w:shd w:val="clear"/>
        <w:wordWrap w:val="0"/>
        <w:adjustRightInd w:val="0"/>
        <w:snapToGrid w:val="0"/>
        <w:spacing w:line="240" w:lineRule="auto"/>
        <w:rPr>
          <w:rFonts w:hint="eastAsia" w:ascii="宋体" w:hAnsi="宋体" w:eastAsia="宋体" w:cs="宋体"/>
          <w:b/>
          <w:snapToGrid w:val="0"/>
          <w:color w:val="auto"/>
          <w:sz w:val="32"/>
          <w:highlight w:val="none"/>
        </w:rPr>
      </w:pPr>
    </w:p>
    <w:p w14:paraId="0C73ACF7">
      <w:pPr>
        <w:pStyle w:val="49"/>
        <w:widowControl w:val="0"/>
        <w:shd w:val="clear"/>
        <w:wordWrap w:val="0"/>
        <w:adjustRightInd w:val="0"/>
        <w:snapToGrid w:val="0"/>
        <w:spacing w:line="240" w:lineRule="auto"/>
        <w:rPr>
          <w:rFonts w:hint="eastAsia" w:ascii="宋体" w:hAnsi="宋体" w:eastAsia="宋体" w:cs="宋体"/>
          <w:b/>
          <w:snapToGrid w:val="0"/>
          <w:color w:val="auto"/>
          <w:sz w:val="32"/>
          <w:highlight w:val="none"/>
        </w:rPr>
      </w:pPr>
    </w:p>
    <w:p w14:paraId="0C148828">
      <w:pPr>
        <w:pStyle w:val="49"/>
        <w:widowControl w:val="0"/>
        <w:shd w:val="clear"/>
        <w:wordWrap w:val="0"/>
        <w:adjustRightInd w:val="0"/>
        <w:snapToGrid w:val="0"/>
        <w:spacing w:line="24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p>
    <w:p w14:paraId="117B6BFB">
      <w:pPr>
        <w:pStyle w:val="49"/>
        <w:widowControl w:val="0"/>
        <w:shd w:val="clear"/>
        <w:wordWrap w:val="0"/>
        <w:adjustRightInd w:val="0"/>
        <w:snapToGrid w:val="0"/>
        <w:spacing w:line="240" w:lineRule="auto"/>
        <w:ind w:firstLine="0"/>
        <w:jc w:val="center"/>
        <w:rPr>
          <w:rFonts w:hint="eastAsia" w:ascii="宋体" w:hAnsi="宋体" w:eastAsia="宋体" w:cs="宋体"/>
          <w:bCs/>
          <w:snapToGrid w:val="0"/>
          <w:color w:val="auto"/>
          <w:sz w:val="32"/>
          <w:highlight w:val="none"/>
        </w:rPr>
      </w:pPr>
    </w:p>
    <w:p w14:paraId="7677D932">
      <w:pPr>
        <w:pStyle w:val="49"/>
        <w:widowControl w:val="0"/>
        <w:shd w:val="clear"/>
        <w:wordWrap w:val="0"/>
        <w:adjustRightInd w:val="0"/>
        <w:snapToGrid w:val="0"/>
        <w:spacing w:line="240" w:lineRule="auto"/>
        <w:ind w:firstLine="0"/>
        <w:jc w:val="center"/>
        <w:rPr>
          <w:rFonts w:hint="eastAsia" w:ascii="宋体" w:hAnsi="宋体" w:eastAsia="宋体" w:cs="宋体"/>
          <w:bCs/>
          <w:snapToGrid w:val="0"/>
          <w:color w:val="auto"/>
          <w:sz w:val="32"/>
          <w:highlight w:val="none"/>
        </w:rPr>
      </w:pPr>
    </w:p>
    <w:p w14:paraId="657ACB7F">
      <w:pPr>
        <w:pStyle w:val="49"/>
        <w:widowControl w:val="0"/>
        <w:shd w:val="clear"/>
        <w:wordWrap w:val="0"/>
        <w:adjustRightInd w:val="0"/>
        <w:snapToGrid w:val="0"/>
        <w:spacing w:line="240" w:lineRule="auto"/>
        <w:ind w:firstLine="0"/>
        <w:jc w:val="center"/>
        <w:rPr>
          <w:rFonts w:hint="eastAsia" w:ascii="宋体" w:hAnsi="宋体" w:eastAsia="宋体" w:cs="宋体"/>
          <w:bCs/>
          <w:snapToGrid w:val="0"/>
          <w:color w:val="auto"/>
          <w:sz w:val="32"/>
          <w:highlight w:val="none"/>
        </w:rPr>
      </w:pPr>
    </w:p>
    <w:p w14:paraId="7228A19C">
      <w:pPr>
        <w:pStyle w:val="49"/>
        <w:widowControl w:val="0"/>
        <w:shd w:val="clear"/>
        <w:wordWrap w:val="0"/>
        <w:adjustRightInd w:val="0"/>
        <w:snapToGrid w:val="0"/>
        <w:spacing w:line="24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p>
    <w:p w14:paraId="04668539">
      <w:pPr>
        <w:pStyle w:val="49"/>
        <w:widowControl w:val="0"/>
        <w:shd w:val="clear"/>
        <w:wordWrap w:val="0"/>
        <w:adjustRightInd w:val="0"/>
        <w:snapToGrid w:val="0"/>
        <w:spacing w:line="240" w:lineRule="auto"/>
        <w:ind w:firstLine="0"/>
        <w:jc w:val="center"/>
        <w:rPr>
          <w:rFonts w:hint="eastAsia" w:ascii="宋体" w:hAnsi="宋体" w:eastAsia="宋体" w:cs="宋体"/>
          <w:bCs/>
          <w:snapToGrid w:val="0"/>
          <w:color w:val="auto"/>
          <w:sz w:val="32"/>
          <w:highlight w:val="none"/>
        </w:rPr>
      </w:pPr>
    </w:p>
    <w:p w14:paraId="4CEC15B6">
      <w:pPr>
        <w:pStyle w:val="49"/>
        <w:widowControl w:val="0"/>
        <w:shd w:val="clear"/>
        <w:wordWrap w:val="0"/>
        <w:adjustRightInd w:val="0"/>
        <w:snapToGrid w:val="0"/>
        <w:spacing w:line="240" w:lineRule="auto"/>
        <w:ind w:firstLine="0"/>
        <w:jc w:val="center"/>
        <w:rPr>
          <w:rFonts w:hint="eastAsia" w:ascii="宋体" w:hAnsi="宋体" w:eastAsia="宋体" w:cs="宋体"/>
          <w:bCs/>
          <w:snapToGrid w:val="0"/>
          <w:color w:val="auto"/>
          <w:sz w:val="32"/>
          <w:highlight w:val="none"/>
          <w:u w:val="single"/>
        </w:rPr>
      </w:pPr>
    </w:p>
    <w:p w14:paraId="77444824">
      <w:pPr>
        <w:pStyle w:val="49"/>
        <w:widowControl w:val="0"/>
        <w:shd w:val="clear"/>
        <w:wordWrap w:val="0"/>
        <w:adjustRightInd w:val="0"/>
        <w:snapToGrid w:val="0"/>
        <w:spacing w:line="240" w:lineRule="auto"/>
        <w:ind w:firstLine="0"/>
        <w:jc w:val="center"/>
        <w:rPr>
          <w:rFonts w:hint="eastAsia" w:ascii="宋体" w:hAnsi="宋体" w:eastAsia="宋体" w:cs="宋体"/>
          <w:b/>
          <w:snapToGrid w:val="0"/>
          <w:color w:val="auto"/>
          <w:highlight w:val="none"/>
        </w:rPr>
      </w:pP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p>
    <w:p w14:paraId="7AF7B9EB">
      <w:pPr>
        <w:pStyle w:val="49"/>
        <w:widowControl w:val="0"/>
        <w:shd w:val="clear"/>
        <w:wordWrap w:val="0"/>
        <w:adjustRightInd w:val="0"/>
        <w:snapToGrid w:val="0"/>
        <w:rPr>
          <w:rFonts w:hint="eastAsia" w:ascii="宋体" w:hAnsi="宋体" w:eastAsia="宋体" w:cs="宋体"/>
          <w:b/>
          <w:snapToGrid w:val="0"/>
          <w:color w:val="auto"/>
          <w:highlight w:val="none"/>
        </w:rPr>
      </w:pPr>
    </w:p>
    <w:p w14:paraId="4F2D3C20">
      <w:pPr>
        <w:pStyle w:val="5"/>
        <w:keepNext w:val="0"/>
        <w:keepLines w:val="0"/>
        <w:widowControl w:val="0"/>
        <w:shd w:val="clear"/>
        <w:wordWrap w:val="0"/>
        <w:adjustRightInd w:val="0"/>
        <w:snapToGrid w:val="0"/>
        <w:spacing w:before="0" w:after="0" w:line="440" w:lineRule="exact"/>
        <w:ind w:firstLine="0"/>
        <w:jc w:val="left"/>
        <w:rPr>
          <w:rFonts w:hint="eastAsia" w:ascii="宋体" w:hAnsi="宋体" w:eastAsia="宋体" w:cs="宋体"/>
          <w:b/>
          <w:snapToGrid w:val="0"/>
          <w:color w:val="auto"/>
          <w:highlight w:val="none"/>
        </w:rPr>
      </w:pPr>
      <w:bookmarkStart w:id="431" w:name="_Toc27987"/>
      <w:bookmarkStart w:id="432" w:name="_Toc9465"/>
      <w:bookmarkStart w:id="433" w:name="_Toc31778"/>
      <w:bookmarkStart w:id="434" w:name="_Toc9043"/>
      <w:bookmarkStart w:id="435" w:name="_Toc4418"/>
      <w:bookmarkStart w:id="436" w:name="_Toc28241"/>
      <w:bookmarkStart w:id="437" w:name="_Toc29607"/>
      <w:bookmarkStart w:id="438" w:name="_Toc490"/>
      <w:bookmarkStart w:id="439" w:name="_Toc23815"/>
      <w:bookmarkStart w:id="440" w:name="_Toc106418843"/>
      <w:bookmarkStart w:id="441" w:name="_Toc104711098"/>
      <w:bookmarkStart w:id="442" w:name="_Toc28280"/>
      <w:r>
        <w:rPr>
          <w:rFonts w:hint="eastAsia" w:ascii="宋体" w:hAnsi="宋体" w:eastAsia="宋体" w:cs="宋体"/>
          <w:b/>
          <w:snapToGrid w:val="0"/>
          <w:color w:val="auto"/>
          <w:highlight w:val="none"/>
        </w:rPr>
        <w:br w:type="page"/>
      </w:r>
      <w:bookmarkStart w:id="443" w:name="_Toc23147"/>
      <w:bookmarkStart w:id="444" w:name="_Toc6488"/>
      <w:r>
        <w:rPr>
          <w:rFonts w:hint="eastAsia" w:ascii="宋体" w:hAnsi="宋体" w:eastAsia="宋体" w:cs="宋体"/>
          <w:b/>
          <w:snapToGrid w:val="0"/>
          <w:color w:val="auto"/>
          <w:highlight w:val="none"/>
        </w:rPr>
        <w:t>格式</w:t>
      </w:r>
      <w:bookmarkStart w:id="445" w:name="_Hlt97526007"/>
      <w:bookmarkEnd w:id="445"/>
      <w:r>
        <w:rPr>
          <w:rFonts w:hint="eastAsia" w:ascii="宋体" w:hAnsi="宋体" w:eastAsia="宋体" w:cs="宋体"/>
          <w:b/>
          <w:snapToGrid w:val="0"/>
          <w:color w:val="auto"/>
          <w:highlight w:val="none"/>
        </w:rPr>
        <w:t>二 投标函</w:t>
      </w:r>
      <w:bookmarkEnd w:id="431"/>
      <w:bookmarkEnd w:id="432"/>
      <w:bookmarkEnd w:id="433"/>
      <w:bookmarkEnd w:id="434"/>
      <w:bookmarkEnd w:id="435"/>
      <w:bookmarkEnd w:id="436"/>
      <w:bookmarkEnd w:id="437"/>
      <w:bookmarkEnd w:id="438"/>
      <w:bookmarkEnd w:id="439"/>
      <w:bookmarkEnd w:id="443"/>
      <w:bookmarkEnd w:id="444"/>
    </w:p>
    <w:p w14:paraId="06255921">
      <w:pPr>
        <w:shd w:val="clear"/>
        <w:wordWrap w:val="0"/>
        <w:adjustRightInd w:val="0"/>
        <w:snapToGrid w:val="0"/>
        <w:spacing w:before="260" w:after="260" w:line="440" w:lineRule="exact"/>
        <w:jc w:val="center"/>
        <w:rPr>
          <w:rFonts w:hint="eastAsia" w:ascii="宋体" w:hAnsi="宋体" w:eastAsia="宋体" w:cs="宋体"/>
          <w:b/>
          <w:snapToGrid w:val="0"/>
          <w:color w:val="auto"/>
          <w:kern w:val="0"/>
          <w:highlight w:val="none"/>
        </w:rPr>
      </w:pPr>
      <w:bookmarkStart w:id="446" w:name="_Toc5605"/>
      <w:r>
        <w:rPr>
          <w:rFonts w:hint="eastAsia" w:ascii="宋体" w:hAnsi="宋体" w:eastAsia="宋体" w:cs="宋体"/>
          <w:b/>
          <w:snapToGrid w:val="0"/>
          <w:color w:val="auto"/>
          <w:kern w:val="0"/>
          <w:sz w:val="30"/>
          <w:highlight w:val="none"/>
        </w:rPr>
        <w:t>投  标  函</w:t>
      </w:r>
      <w:bookmarkEnd w:id="440"/>
      <w:bookmarkEnd w:id="441"/>
      <w:bookmarkEnd w:id="442"/>
      <w:bookmarkEnd w:id="446"/>
    </w:p>
    <w:p w14:paraId="7856C213">
      <w:pPr>
        <w:shd w:val="clear"/>
        <w:wordWrap w:val="0"/>
        <w:adjustRightInd w:val="0"/>
        <w:snapToGrid w:val="0"/>
        <w:spacing w:line="440" w:lineRule="exact"/>
        <w:jc w:val="center"/>
        <w:rPr>
          <w:rFonts w:hint="eastAsia" w:ascii="宋体" w:hAnsi="宋体" w:eastAsia="宋体" w:cs="宋体"/>
          <w:b/>
          <w:snapToGrid w:val="0"/>
          <w:color w:val="auto"/>
          <w:kern w:val="0"/>
          <w:highlight w:val="none"/>
        </w:rPr>
      </w:pPr>
    </w:p>
    <w:p w14:paraId="2F7AA57C">
      <w:pPr>
        <w:shd w:val="clear"/>
        <w:wordWrap w:val="0"/>
        <w:adjustRightInd w:val="0"/>
        <w:snapToGrid w:val="0"/>
        <w:spacing w:line="44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（招标人名称）</w:t>
      </w:r>
    </w:p>
    <w:p w14:paraId="0F1441D2">
      <w:pPr>
        <w:shd w:val="clear"/>
        <w:wordWrap w:val="0"/>
        <w:adjustRightInd w:val="0"/>
        <w:snapToGrid w:val="0"/>
        <w:spacing w:line="440" w:lineRule="exact"/>
        <w:ind w:firstLine="570"/>
        <w:rPr>
          <w:rFonts w:hint="eastAsia"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rPr>
        <w:t xml:space="preserve">1. </w:t>
      </w:r>
      <w:r>
        <w:rPr>
          <w:rFonts w:hint="eastAsia" w:ascii="宋体" w:hAnsi="宋体" w:eastAsia="宋体" w:cs="宋体"/>
          <w:snapToGrid w:val="0"/>
          <w:color w:val="auto"/>
          <w:kern w:val="0"/>
          <w:szCs w:val="22"/>
          <w:highlight w:val="none"/>
        </w:rPr>
        <w:t>我方在</w:t>
      </w:r>
      <w:r>
        <w:rPr>
          <w:rFonts w:hint="eastAsia" w:ascii="宋体" w:hAnsi="宋体" w:eastAsia="宋体" w:cs="宋体"/>
          <w:snapToGrid w:val="0"/>
          <w:color w:val="auto"/>
          <w:kern w:val="0"/>
          <w:highlight w:val="none"/>
        </w:rPr>
        <w:t>仔细研究</w:t>
      </w:r>
      <w:r>
        <w:rPr>
          <w:rFonts w:hint="eastAsia" w:ascii="宋体" w:hAnsi="宋体" w:eastAsia="宋体" w:cs="宋体"/>
          <w:snapToGrid w:val="0"/>
          <w:color w:val="auto"/>
          <w:kern w:val="0"/>
          <w:highlight w:val="none"/>
          <w:u w:val="single"/>
        </w:rPr>
        <w:t xml:space="preserve">    （项目名称）</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rPr>
        <w:t>（以下简称“本项目”）招标文件的全部内容后，结合自身资质、能力和特点，愿意接受招标文件的全部内容和条件。兹以人民币（大写）：</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szCs w:val="22"/>
          <w:highlight w:val="none"/>
        </w:rPr>
        <w:t>的投标总价（其中，增值税税率为</w:t>
      </w:r>
      <w:r>
        <w:rPr>
          <w:rFonts w:hint="eastAsia" w:ascii="宋体" w:hAnsi="宋体" w:eastAsia="宋体" w:cs="宋体"/>
          <w:snapToGrid w:val="0"/>
          <w:color w:val="auto"/>
          <w:kern w:val="0"/>
          <w:szCs w:val="22"/>
          <w:highlight w:val="none"/>
          <w:u w:val="single"/>
        </w:rPr>
        <w:t xml:space="preserve">    </w:t>
      </w:r>
      <w:r>
        <w:rPr>
          <w:rFonts w:hint="eastAsia" w:ascii="宋体" w:hAnsi="宋体" w:eastAsia="宋体" w:cs="宋体"/>
          <w:snapToGrid w:val="0"/>
          <w:color w:val="auto"/>
          <w:kern w:val="0"/>
          <w:szCs w:val="22"/>
          <w:highlight w:val="none"/>
        </w:rPr>
        <w:t>）</w:t>
      </w:r>
      <w:r>
        <w:rPr>
          <w:rFonts w:hint="eastAsia" w:ascii="宋体" w:hAnsi="宋体" w:eastAsia="宋体" w:cs="宋体"/>
          <w:snapToGrid w:val="0"/>
          <w:color w:val="auto"/>
          <w:kern w:val="0"/>
          <w:highlight w:val="none"/>
        </w:rPr>
        <w:t>竞投本项目</w:t>
      </w:r>
      <w:r>
        <w:rPr>
          <w:rFonts w:hint="eastAsia" w:ascii="宋体" w:hAnsi="宋体" w:eastAsia="宋体" w:cs="宋体"/>
          <w:snapToGrid w:val="0"/>
          <w:color w:val="auto"/>
          <w:kern w:val="0"/>
          <w:highlight w:val="none"/>
          <w:u w:val="single"/>
        </w:rPr>
        <w:t xml:space="preserve">  监理及相关服务 </w:t>
      </w:r>
      <w:r>
        <w:rPr>
          <w:rFonts w:hint="eastAsia" w:ascii="宋体" w:hAnsi="宋体" w:eastAsia="宋体" w:cs="宋体"/>
          <w:snapToGrid w:val="0"/>
          <w:color w:val="auto"/>
          <w:kern w:val="0"/>
          <w:highlight w:val="none"/>
        </w:rPr>
        <w:t>。</w:t>
      </w:r>
    </w:p>
    <w:p w14:paraId="00F357DB">
      <w:pPr>
        <w:shd w:val="clear"/>
        <w:wordWrap w:val="0"/>
        <w:adjustRightInd w:val="0"/>
        <w:snapToGrid w:val="0"/>
        <w:spacing w:line="440" w:lineRule="exact"/>
        <w:ind w:firstLine="57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 如果我方中标，我方保证按照委托人发出的开始监理通知中写明的日期开始本项目的</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 xml:space="preserve">监理及相关服务 </w:t>
      </w:r>
      <w:r>
        <w:rPr>
          <w:rFonts w:hint="eastAsia" w:ascii="宋体" w:hAnsi="宋体" w:eastAsia="宋体" w:cs="宋体"/>
          <w:snapToGrid w:val="0"/>
          <w:color w:val="auto"/>
          <w:kern w:val="0"/>
          <w:highlight w:val="none"/>
        </w:rPr>
        <w:t>，并在合同约定的服务期限内完成合同规定的全部义务。</w:t>
      </w:r>
    </w:p>
    <w:p w14:paraId="3F90C50F">
      <w:pPr>
        <w:shd w:val="clear"/>
        <w:wordWrap w:val="0"/>
        <w:adjustRightInd w:val="0"/>
        <w:snapToGrid w:val="0"/>
        <w:spacing w:line="440" w:lineRule="exact"/>
        <w:ind w:firstLine="57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 本投标函在你方接收我方递交的投标文件之日起、到招标文件规定的投标有效期期满前对我方具有约束力。我方随时准备接受你方发出的中标通知书。</w:t>
      </w:r>
    </w:p>
    <w:p w14:paraId="0D3D370E">
      <w:pPr>
        <w:shd w:val="clear"/>
        <w:wordWrap w:val="0"/>
        <w:adjustRightInd w:val="0"/>
        <w:snapToGrid w:val="0"/>
        <w:spacing w:line="440" w:lineRule="exact"/>
        <w:ind w:firstLine="57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4．我方在此声明，我方不存在本项目招标文件第一章第三节第</w:t>
      </w:r>
      <w:r>
        <w:rPr>
          <w:rFonts w:hint="eastAsia" w:ascii="宋体" w:hAnsi="宋体" w:eastAsia="宋体" w:cs="宋体"/>
          <w:b/>
          <w:bCs/>
          <w:snapToGrid w:val="0"/>
          <w:color w:val="auto"/>
          <w:kern w:val="0"/>
          <w:highlight w:val="none"/>
        </w:rPr>
        <w:t>2.4</w:t>
      </w:r>
      <w:r>
        <w:rPr>
          <w:rFonts w:hint="eastAsia" w:ascii="宋体" w:hAnsi="宋体" w:eastAsia="宋体" w:cs="宋体"/>
          <w:snapToGrid w:val="0"/>
          <w:color w:val="auto"/>
          <w:kern w:val="0"/>
          <w:highlight w:val="none"/>
        </w:rPr>
        <w:t>条“禁止投标条款”所列出的任何一种情形，并愿意承担因我方就此弄虚作假所引起的一切法律后果。</w:t>
      </w:r>
    </w:p>
    <w:p w14:paraId="1358337D">
      <w:pPr>
        <w:shd w:val="clear"/>
        <w:wordWrap w:val="0"/>
        <w:adjustRightInd w:val="0"/>
        <w:snapToGrid w:val="0"/>
        <w:spacing w:line="440" w:lineRule="exact"/>
        <w:ind w:firstLine="57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14:paraId="6736A8DB">
      <w:pPr>
        <w:shd w:val="clear"/>
        <w:wordWrap w:val="0"/>
        <w:adjustRightInd w:val="0"/>
        <w:snapToGrid w:val="0"/>
        <w:spacing w:line="440" w:lineRule="exact"/>
        <w:ind w:firstLine="570"/>
        <w:rPr>
          <w:rFonts w:hint="eastAsia" w:ascii="宋体" w:hAnsi="宋体" w:eastAsia="宋体" w:cs="宋体"/>
          <w:snapToGrid w:val="0"/>
          <w:color w:val="auto"/>
          <w:kern w:val="0"/>
          <w:highlight w:val="none"/>
        </w:rPr>
      </w:pPr>
      <w:bookmarkStart w:id="447" w:name="_Hlt68771070"/>
      <w:bookmarkEnd w:id="447"/>
      <w:r>
        <w:rPr>
          <w:rFonts w:hint="eastAsia" w:ascii="宋体" w:hAnsi="宋体" w:eastAsia="宋体" w:cs="宋体"/>
          <w:snapToGrid w:val="0"/>
          <w:color w:val="auto"/>
          <w:kern w:val="0"/>
          <w:highlight w:val="none"/>
        </w:rPr>
        <w:t>6. 我方理解你方不一定要接纳收到的最低投标总价或任何投标总价的投标人中标，也不要求你方解释我方是否中标的原因。</w:t>
      </w:r>
    </w:p>
    <w:p w14:paraId="265A360C">
      <w:pPr>
        <w:shd w:val="clear"/>
        <w:wordWrap w:val="0"/>
        <w:adjustRightInd w:val="0"/>
        <w:snapToGrid w:val="0"/>
        <w:spacing w:line="440" w:lineRule="exact"/>
        <w:ind w:firstLine="57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p>
    <w:p w14:paraId="267E53C8">
      <w:pPr>
        <w:shd w:val="clear"/>
        <w:wordWrap w:val="0"/>
        <w:adjustRightInd w:val="0"/>
        <w:snapToGrid w:val="0"/>
        <w:spacing w:line="440" w:lineRule="exact"/>
        <w:rPr>
          <w:rFonts w:hint="eastAsia" w:ascii="宋体" w:hAnsi="宋体" w:eastAsia="宋体" w:cs="宋体"/>
          <w:snapToGrid w:val="0"/>
          <w:color w:val="auto"/>
          <w:kern w:val="0"/>
          <w:highlight w:val="none"/>
        </w:rPr>
      </w:pPr>
    </w:p>
    <w:p w14:paraId="615F71FA">
      <w:pPr>
        <w:shd w:val="clear"/>
        <w:wordWrap w:val="0"/>
        <w:adjustRightInd w:val="0"/>
        <w:snapToGrid w:val="0"/>
        <w:spacing w:line="440" w:lineRule="exact"/>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投标人：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（盖单位章）</w:t>
      </w:r>
    </w:p>
    <w:p w14:paraId="584E3098">
      <w:pPr>
        <w:shd w:val="clear"/>
        <w:wordWrap w:val="0"/>
        <w:adjustRightInd w:val="0"/>
        <w:snapToGrid w:val="0"/>
        <w:spacing w:line="440" w:lineRule="exact"/>
        <w:jc w:val="right"/>
        <w:rPr>
          <w:rFonts w:hint="eastAsia" w:ascii="宋体" w:hAnsi="宋体" w:eastAsia="宋体" w:cs="宋体"/>
          <w:snapToGrid w:val="0"/>
          <w:color w:val="auto"/>
          <w:kern w:val="0"/>
          <w:highlight w:val="none"/>
        </w:rPr>
      </w:pPr>
    </w:p>
    <w:p w14:paraId="4F801718">
      <w:pPr>
        <w:shd w:val="clear"/>
        <w:wordWrap w:val="0"/>
        <w:adjustRightInd w:val="0"/>
        <w:snapToGrid w:val="0"/>
        <w:spacing w:line="440" w:lineRule="exact"/>
        <w:jc w:val="right"/>
        <w:rPr>
          <w:rFonts w:hint="eastAsia" w:ascii="宋体" w:hAnsi="宋体" w:eastAsia="宋体" w:cs="宋体"/>
          <w:snapToGrid w:val="0"/>
          <w:color w:val="auto"/>
          <w:kern w:val="0"/>
          <w:highlight w:val="none"/>
        </w:rPr>
      </w:pPr>
    </w:p>
    <w:p w14:paraId="79FFEC4A">
      <w:pPr>
        <w:shd w:val="clear"/>
        <w:wordWrap w:val="0"/>
        <w:adjustRightInd w:val="0"/>
        <w:snapToGrid w:val="0"/>
        <w:spacing w:line="440" w:lineRule="exact"/>
        <w:ind w:firstLine="480" w:firstLineChars="200"/>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法定代表人或其委托代理人：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（签字或盖章）</w:t>
      </w:r>
    </w:p>
    <w:p w14:paraId="543E1ECB">
      <w:pPr>
        <w:shd w:val="clear"/>
        <w:wordWrap w:val="0"/>
        <w:adjustRightInd w:val="0"/>
        <w:snapToGrid w:val="0"/>
        <w:spacing w:line="440" w:lineRule="exact"/>
        <w:ind w:firstLine="480" w:firstLineChars="200"/>
        <w:jc w:val="right"/>
        <w:rPr>
          <w:rFonts w:hint="eastAsia" w:ascii="宋体" w:hAnsi="宋体" w:eastAsia="宋体" w:cs="宋体"/>
          <w:snapToGrid w:val="0"/>
          <w:color w:val="auto"/>
          <w:kern w:val="0"/>
          <w:highlight w:val="none"/>
        </w:rPr>
      </w:pPr>
    </w:p>
    <w:p w14:paraId="2CC77008">
      <w:pPr>
        <w:shd w:val="clear"/>
        <w:wordWrap w:val="0"/>
        <w:adjustRightInd w:val="0"/>
        <w:snapToGrid w:val="0"/>
        <w:spacing w:line="440" w:lineRule="exact"/>
        <w:jc w:val="left"/>
        <w:rPr>
          <w:rFonts w:hint="eastAsia" w:ascii="宋体" w:hAnsi="宋体" w:eastAsia="宋体" w:cs="宋体"/>
          <w:snapToGrid w:val="0"/>
          <w:color w:val="auto"/>
          <w:kern w:val="0"/>
          <w:highlight w:val="none"/>
        </w:rPr>
        <w:sectPr>
          <w:endnotePr>
            <w:numFmt w:val="decimal"/>
          </w:endnotePr>
          <w:pgSz w:w="11906" w:h="16838"/>
          <w:pgMar w:top="1440" w:right="1080" w:bottom="1440" w:left="1080" w:header="850" w:footer="992" w:gutter="0"/>
          <w:cols w:space="720" w:num="1"/>
          <w:rtlGutter w:val="0"/>
          <w:docGrid w:linePitch="327" w:charSpace="0"/>
        </w:sect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14:paraId="65981255">
      <w:pPr>
        <w:pStyle w:val="49"/>
        <w:widowControl w:val="0"/>
        <w:shd w:val="clear"/>
        <w:wordWrap w:val="0"/>
        <w:adjustRightInd w:val="0"/>
        <w:snapToGrid w:val="0"/>
        <w:spacing w:line="400" w:lineRule="exact"/>
        <w:ind w:firstLine="0"/>
        <w:outlineLvl w:val="2"/>
        <w:rPr>
          <w:rFonts w:hint="eastAsia" w:ascii="宋体" w:hAnsi="宋体" w:eastAsia="宋体" w:cs="宋体"/>
          <w:b/>
          <w:snapToGrid w:val="0"/>
          <w:color w:val="auto"/>
          <w:sz w:val="24"/>
          <w:highlight w:val="none"/>
        </w:rPr>
      </w:pPr>
      <w:bookmarkStart w:id="448" w:name="_Toc14232"/>
      <w:bookmarkStart w:id="449" w:name="_Toc3082"/>
      <w:bookmarkStart w:id="450" w:name="_Toc14623"/>
      <w:bookmarkStart w:id="451" w:name="_Toc24246"/>
      <w:bookmarkStart w:id="452" w:name="_Toc23192"/>
      <w:bookmarkStart w:id="453" w:name="_Toc16434"/>
      <w:bookmarkStart w:id="454" w:name="_Toc14902"/>
      <w:bookmarkStart w:id="455" w:name="_Toc14883"/>
      <w:bookmarkStart w:id="456" w:name="_Toc13056"/>
      <w:bookmarkStart w:id="457" w:name="_Toc29984"/>
      <w:r>
        <w:rPr>
          <w:rFonts w:hint="eastAsia" w:ascii="宋体" w:hAnsi="宋体" w:eastAsia="宋体" w:cs="宋体"/>
          <w:b/>
          <w:snapToGrid w:val="0"/>
          <w:color w:val="auto"/>
          <w:sz w:val="24"/>
          <w:highlight w:val="none"/>
        </w:rPr>
        <w:t>格式三 各项承诺一览表</w:t>
      </w:r>
      <w:bookmarkEnd w:id="448"/>
      <w:bookmarkEnd w:id="449"/>
      <w:bookmarkEnd w:id="450"/>
      <w:bookmarkEnd w:id="451"/>
      <w:bookmarkEnd w:id="452"/>
      <w:bookmarkEnd w:id="453"/>
      <w:bookmarkEnd w:id="454"/>
      <w:bookmarkEnd w:id="455"/>
      <w:bookmarkEnd w:id="456"/>
      <w:bookmarkEnd w:id="457"/>
    </w:p>
    <w:p w14:paraId="5E4BE918">
      <w:pPr>
        <w:pStyle w:val="48"/>
        <w:keepNext w:val="0"/>
        <w:keepLines w:val="0"/>
        <w:widowControl w:val="0"/>
        <w:shd w:val="clear"/>
        <w:wordWrap w:val="0"/>
        <w:adjustRightInd w:val="0"/>
        <w:snapToGrid w:val="0"/>
        <w:spacing w:before="260" w:after="260" w:line="440" w:lineRule="exact"/>
        <w:ind w:firstLine="0"/>
        <w:outlineLvl w:val="9"/>
        <w:rPr>
          <w:rFonts w:hint="eastAsia" w:ascii="宋体" w:hAnsi="宋体" w:eastAsia="宋体" w:cs="宋体"/>
          <w:b/>
          <w:snapToGrid w:val="0"/>
          <w:color w:val="auto"/>
          <w:highlight w:val="none"/>
        </w:rPr>
      </w:pPr>
      <w:bookmarkStart w:id="458" w:name="_Toc5037"/>
      <w:bookmarkStart w:id="459" w:name="_Toc14771"/>
      <w:bookmarkStart w:id="460" w:name="_Toc18353"/>
      <w:bookmarkStart w:id="461" w:name="_Toc10086"/>
      <w:bookmarkStart w:id="462" w:name="_Toc17252"/>
      <w:bookmarkStart w:id="463" w:name="_Toc1307"/>
      <w:bookmarkStart w:id="464" w:name="_Toc32020"/>
      <w:bookmarkStart w:id="465" w:name="_Toc29590"/>
      <w:bookmarkStart w:id="466" w:name="_Toc19357"/>
      <w:bookmarkStart w:id="467" w:name="_Toc5107"/>
      <w:bookmarkStart w:id="468" w:name="_Toc26510"/>
      <w:bookmarkStart w:id="469" w:name="_Toc23861"/>
      <w:r>
        <w:rPr>
          <w:rFonts w:hint="eastAsia" w:ascii="宋体" w:hAnsi="宋体" w:eastAsia="宋体" w:cs="宋体"/>
          <w:b/>
          <w:snapToGrid w:val="0"/>
          <w:color w:val="auto"/>
          <w:sz w:val="30"/>
          <w:highlight w:val="none"/>
        </w:rPr>
        <w:t>各项承诺一览表</w:t>
      </w:r>
      <w:bookmarkEnd w:id="458"/>
      <w:bookmarkEnd w:id="459"/>
      <w:bookmarkEnd w:id="460"/>
      <w:bookmarkEnd w:id="461"/>
      <w:bookmarkEnd w:id="462"/>
      <w:bookmarkEnd w:id="463"/>
      <w:bookmarkEnd w:id="464"/>
      <w:bookmarkEnd w:id="465"/>
      <w:bookmarkEnd w:id="466"/>
      <w:bookmarkEnd w:id="467"/>
      <w:bookmarkEnd w:id="468"/>
      <w:bookmarkEnd w:id="469"/>
    </w:p>
    <w:tbl>
      <w:tblPr>
        <w:tblStyle w:val="2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815"/>
        <w:gridCol w:w="4127"/>
      </w:tblGrid>
      <w:tr w14:paraId="08B9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14:paraId="1DF0B888">
            <w:pPr>
              <w:pStyle w:val="45"/>
              <w:wordWrap w:val="0"/>
              <w:adjustRightInd w:val="0"/>
              <w:snapToGrid w:val="0"/>
              <w:spacing w:line="380" w:lineRule="exact"/>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序号</w:t>
            </w:r>
          </w:p>
        </w:tc>
        <w:tc>
          <w:tcPr>
            <w:tcW w:w="1573" w:type="dxa"/>
            <w:noWrap w:val="0"/>
            <w:vAlign w:val="center"/>
          </w:tcPr>
          <w:p w14:paraId="22F85863">
            <w:pPr>
              <w:pStyle w:val="45"/>
              <w:wordWrap w:val="0"/>
              <w:adjustRightInd w:val="0"/>
              <w:snapToGrid w:val="0"/>
              <w:spacing w:line="380" w:lineRule="exact"/>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承诺事项</w:t>
            </w:r>
          </w:p>
        </w:tc>
        <w:tc>
          <w:tcPr>
            <w:tcW w:w="2815" w:type="dxa"/>
            <w:noWrap w:val="0"/>
            <w:vAlign w:val="center"/>
          </w:tcPr>
          <w:p w14:paraId="5451A632">
            <w:pPr>
              <w:pStyle w:val="45"/>
              <w:wordWrap w:val="0"/>
              <w:adjustRightInd w:val="0"/>
              <w:snapToGrid w:val="0"/>
              <w:spacing w:line="380" w:lineRule="exact"/>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承诺内容</w:t>
            </w:r>
          </w:p>
        </w:tc>
        <w:tc>
          <w:tcPr>
            <w:tcW w:w="4127" w:type="dxa"/>
            <w:noWrap w:val="0"/>
            <w:vAlign w:val="center"/>
          </w:tcPr>
          <w:p w14:paraId="76E94733">
            <w:pPr>
              <w:pStyle w:val="45"/>
              <w:wordWrap w:val="0"/>
              <w:adjustRightInd w:val="0"/>
              <w:snapToGrid w:val="0"/>
              <w:spacing w:line="380" w:lineRule="exact"/>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违约承诺</w:t>
            </w:r>
          </w:p>
        </w:tc>
      </w:tr>
      <w:tr w14:paraId="78B2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jc w:val="center"/>
        </w:trPr>
        <w:tc>
          <w:tcPr>
            <w:tcW w:w="716" w:type="dxa"/>
            <w:noWrap w:val="0"/>
            <w:vAlign w:val="center"/>
          </w:tcPr>
          <w:p w14:paraId="74EB4FFA">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573" w:type="dxa"/>
            <w:noWrap w:val="0"/>
            <w:vAlign w:val="center"/>
          </w:tcPr>
          <w:p w14:paraId="34331F92">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自愿接受招标</w:t>
            </w:r>
          </w:p>
          <w:p w14:paraId="292F3C01">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文件条款的承诺</w:t>
            </w:r>
          </w:p>
        </w:tc>
        <w:tc>
          <w:tcPr>
            <w:tcW w:w="2815" w:type="dxa"/>
            <w:noWrap w:val="0"/>
            <w:vAlign w:val="center"/>
          </w:tcPr>
          <w:p w14:paraId="602E959F">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我方自愿接受招标文件的所有条款，所递交的投标文件已经充分响应招标文件的实质性要求。</w:t>
            </w:r>
          </w:p>
        </w:tc>
        <w:tc>
          <w:tcPr>
            <w:tcW w:w="4127" w:type="dxa"/>
            <w:noWrap w:val="0"/>
            <w:vAlign w:val="center"/>
          </w:tcPr>
          <w:p w14:paraId="1F032A83">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14:paraId="57BE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0" w:hRule="atLeast"/>
          <w:jc w:val="center"/>
        </w:trPr>
        <w:tc>
          <w:tcPr>
            <w:tcW w:w="716" w:type="dxa"/>
            <w:noWrap w:val="0"/>
            <w:vAlign w:val="center"/>
          </w:tcPr>
          <w:p w14:paraId="6C8BF14E">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1573" w:type="dxa"/>
            <w:noWrap w:val="0"/>
            <w:vAlign w:val="center"/>
          </w:tcPr>
          <w:p w14:paraId="71EAC05B">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无禁止投标</w:t>
            </w:r>
          </w:p>
          <w:p w14:paraId="065DFA77">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情形的承诺</w:t>
            </w:r>
          </w:p>
        </w:tc>
        <w:tc>
          <w:tcPr>
            <w:tcW w:w="2815" w:type="dxa"/>
            <w:noWrap w:val="0"/>
            <w:vAlign w:val="center"/>
          </w:tcPr>
          <w:p w14:paraId="339AFF44">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我方不存在招标文件第一章第三节第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w:t>
            </w:r>
          </w:p>
        </w:tc>
        <w:tc>
          <w:tcPr>
            <w:tcW w:w="4127" w:type="dxa"/>
            <w:noWrap w:val="0"/>
            <w:vAlign w:val="center"/>
          </w:tcPr>
          <w:p w14:paraId="643D849E">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如果我方有招标文件第一章第三节第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6EF0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716" w:type="dxa"/>
            <w:noWrap w:val="0"/>
            <w:vAlign w:val="center"/>
          </w:tcPr>
          <w:p w14:paraId="3B9CDBC6">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1573" w:type="dxa"/>
            <w:noWrap w:val="0"/>
            <w:vAlign w:val="center"/>
          </w:tcPr>
          <w:p w14:paraId="0B7E9237">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自觉抵制围标</w:t>
            </w:r>
          </w:p>
          <w:p w14:paraId="5DB0E059">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串标和弄虚</w:t>
            </w:r>
          </w:p>
          <w:p w14:paraId="41581567">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作假行为的承诺</w:t>
            </w:r>
          </w:p>
        </w:tc>
        <w:tc>
          <w:tcPr>
            <w:tcW w:w="2815" w:type="dxa"/>
            <w:noWrap w:val="0"/>
            <w:vAlign w:val="center"/>
          </w:tcPr>
          <w:p w14:paraId="5D3E0331">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我方合法正当、诚实守信地参与投标，不组织、不参加围标串标违法行为，不通过弄虚作假行为骗取中标。</w:t>
            </w:r>
          </w:p>
        </w:tc>
        <w:tc>
          <w:tcPr>
            <w:tcW w:w="4127" w:type="dxa"/>
            <w:noWrap w:val="0"/>
            <w:vAlign w:val="center"/>
          </w:tcPr>
          <w:p w14:paraId="795F9A99">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0217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noWrap w:val="0"/>
            <w:vAlign w:val="center"/>
          </w:tcPr>
          <w:p w14:paraId="0393909B">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1573" w:type="dxa"/>
            <w:noWrap w:val="0"/>
            <w:vAlign w:val="center"/>
          </w:tcPr>
          <w:p w14:paraId="215C2322">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总监理工程师</w:t>
            </w:r>
          </w:p>
          <w:p w14:paraId="0E050E48">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任职承诺</w:t>
            </w:r>
          </w:p>
        </w:tc>
        <w:tc>
          <w:tcPr>
            <w:tcW w:w="2815" w:type="dxa"/>
            <w:noWrap w:val="0"/>
            <w:vAlign w:val="center"/>
          </w:tcPr>
          <w:p w14:paraId="2F83CDD0">
            <w:pPr>
              <w:pStyle w:val="44"/>
              <w:wordWrap w:val="0"/>
              <w:adjustRightInd w:val="0"/>
              <w:snapToGrid w:val="0"/>
              <w:spacing w:line="380" w:lineRule="exact"/>
              <w:ind w:firstLine="0" w:firstLineChars="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我方拟委派的总监理工程师现阶段未担任总监理工程师的在施（包括已中标未开工、已开工未竣工）建设工程项目不超过2个，经任职项目的建设单位同意，参加本项目投标。</w:t>
            </w:r>
          </w:p>
        </w:tc>
        <w:tc>
          <w:tcPr>
            <w:tcW w:w="4127" w:type="dxa"/>
            <w:noWrap w:val="0"/>
            <w:vAlign w:val="center"/>
          </w:tcPr>
          <w:p w14:paraId="0ADF2AC1">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拟委派的总监理工程师在本工程招标投标活动期间担任总监理工程师的在施（包括已中标未开工、已开工未竣工）建设工程项目超过2个，或其参加本项目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14:paraId="309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16" w:type="dxa"/>
            <w:noWrap w:val="0"/>
            <w:vAlign w:val="center"/>
          </w:tcPr>
          <w:p w14:paraId="56A6560A">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1573" w:type="dxa"/>
            <w:noWrap w:val="0"/>
            <w:vAlign w:val="center"/>
          </w:tcPr>
          <w:p w14:paraId="19F92272">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投标文件</w:t>
            </w:r>
          </w:p>
          <w:p w14:paraId="366EDED1">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真实性承诺</w:t>
            </w:r>
          </w:p>
        </w:tc>
        <w:tc>
          <w:tcPr>
            <w:tcW w:w="2815" w:type="dxa"/>
            <w:noWrap w:val="0"/>
            <w:vAlign w:val="center"/>
          </w:tcPr>
          <w:p w14:paraId="5F0A7932">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我方所递交投标文件的全部内容均为真实、有效、准确的。</w:t>
            </w:r>
          </w:p>
        </w:tc>
        <w:tc>
          <w:tcPr>
            <w:tcW w:w="4127" w:type="dxa"/>
            <w:noWrap w:val="0"/>
            <w:vAlign w:val="center"/>
          </w:tcPr>
          <w:p w14:paraId="3364CE5D">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14:paraId="1904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74CB4578">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w:t>
            </w:r>
          </w:p>
        </w:tc>
        <w:tc>
          <w:tcPr>
            <w:tcW w:w="1573" w:type="dxa"/>
            <w:noWrap w:val="0"/>
            <w:vAlign w:val="center"/>
          </w:tcPr>
          <w:p w14:paraId="7603EC4E">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投标文件</w:t>
            </w:r>
          </w:p>
          <w:p w14:paraId="6177E06D">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信息公开承诺</w:t>
            </w:r>
          </w:p>
        </w:tc>
        <w:tc>
          <w:tcPr>
            <w:tcW w:w="2815" w:type="dxa"/>
            <w:noWrap w:val="0"/>
            <w:vAlign w:val="center"/>
          </w:tcPr>
          <w:p w14:paraId="48E1F7E4">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我方提供完整的电子文件。如果我方成为本工程中标候选人，我方同意并授权招标人在评标结果公示期内公开我方商务标书的全部内容。</w:t>
            </w:r>
          </w:p>
        </w:tc>
        <w:tc>
          <w:tcPr>
            <w:tcW w:w="4127" w:type="dxa"/>
            <w:noWrap w:val="0"/>
            <w:vAlign w:val="center"/>
          </w:tcPr>
          <w:p w14:paraId="25300CE3">
            <w:pPr>
              <w:pStyle w:val="44"/>
              <w:wordWrap w:val="0"/>
              <w:adjustRightInd w:val="0"/>
              <w:snapToGrid w:val="0"/>
              <w:spacing w:line="380" w:lineRule="exact"/>
              <w:ind w:firstLine="0" w:firstLineChars="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如果我方提供的电子文件不完整，我方接受招标人依据招标文件作出的相应处理。</w:t>
            </w:r>
          </w:p>
        </w:tc>
      </w:tr>
      <w:tr w14:paraId="42CB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07077D82">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w:t>
            </w:r>
          </w:p>
        </w:tc>
        <w:tc>
          <w:tcPr>
            <w:tcW w:w="1573" w:type="dxa"/>
            <w:noWrap w:val="0"/>
            <w:vAlign w:val="center"/>
          </w:tcPr>
          <w:p w14:paraId="03C0C1EE">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按时提交履约</w:t>
            </w:r>
          </w:p>
          <w:p w14:paraId="5BDD1990">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保证的承诺</w:t>
            </w:r>
          </w:p>
        </w:tc>
        <w:tc>
          <w:tcPr>
            <w:tcW w:w="2815" w:type="dxa"/>
            <w:noWrap w:val="0"/>
            <w:vAlign w:val="center"/>
          </w:tcPr>
          <w:p w14:paraId="737BEBA8">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如果我方中标，我方保证在招标文件规定的时限内全额提交履约保证。</w:t>
            </w:r>
          </w:p>
        </w:tc>
        <w:tc>
          <w:tcPr>
            <w:tcW w:w="4127" w:type="dxa"/>
            <w:noWrap w:val="0"/>
            <w:vAlign w:val="center"/>
          </w:tcPr>
          <w:p w14:paraId="096DD60F">
            <w:pPr>
              <w:pStyle w:val="44"/>
              <w:wordWrap w:val="0"/>
              <w:adjustRightInd w:val="0"/>
              <w:snapToGrid w:val="0"/>
              <w:spacing w:line="380" w:lineRule="exact"/>
              <w:ind w:firstLine="0" w:firstLineChars="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00CE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31689498">
            <w:pPr>
              <w:pStyle w:val="45"/>
              <w:wordWrap w:val="0"/>
              <w:adjustRightInd w:val="0"/>
              <w:snapToGrid w:val="0"/>
              <w:spacing w:line="3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w:t>
            </w:r>
          </w:p>
        </w:tc>
        <w:tc>
          <w:tcPr>
            <w:tcW w:w="1573" w:type="dxa"/>
            <w:noWrap w:val="0"/>
            <w:vAlign w:val="center"/>
          </w:tcPr>
          <w:p w14:paraId="2C7A7638">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按时签订合同</w:t>
            </w:r>
          </w:p>
          <w:p w14:paraId="11D80610">
            <w:pPr>
              <w:pStyle w:val="44"/>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的承诺</w:t>
            </w:r>
          </w:p>
        </w:tc>
        <w:tc>
          <w:tcPr>
            <w:tcW w:w="2815" w:type="dxa"/>
            <w:noWrap w:val="0"/>
            <w:vAlign w:val="center"/>
          </w:tcPr>
          <w:p w14:paraId="7E752B97">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如果我方中标，我方保证在招标文件规定的时限内与招标人签订合同，不提出违背或超出招标文件、中标文件的要求。</w:t>
            </w:r>
          </w:p>
        </w:tc>
        <w:tc>
          <w:tcPr>
            <w:tcW w:w="4127" w:type="dxa"/>
            <w:noWrap w:val="0"/>
            <w:vAlign w:val="center"/>
          </w:tcPr>
          <w:p w14:paraId="33EE8A07">
            <w:pPr>
              <w:pStyle w:val="44"/>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57528BAA">
      <w:pPr>
        <w:pStyle w:val="45"/>
        <w:shd w:val="clear"/>
        <w:wordWrap w:val="0"/>
        <w:adjustRightInd w:val="0"/>
        <w:snapToGrid w:val="0"/>
        <w:spacing w:line="420" w:lineRule="exact"/>
        <w:jc w:val="left"/>
        <w:rPr>
          <w:rFonts w:hint="eastAsia" w:ascii="宋体" w:hAnsi="宋体" w:eastAsia="宋体" w:cs="宋体"/>
          <w:snapToGrid w:val="0"/>
          <w:color w:val="auto"/>
          <w:kern w:val="0"/>
          <w:highlight w:val="none"/>
        </w:rPr>
      </w:pPr>
    </w:p>
    <w:p w14:paraId="63846509">
      <w:pPr>
        <w:pStyle w:val="45"/>
        <w:shd w:val="clear"/>
        <w:wordWrap w:val="0"/>
        <w:adjustRightInd w:val="0"/>
        <w:snapToGrid w:val="0"/>
        <w:spacing w:line="420" w:lineRule="exact"/>
        <w:jc w:val="left"/>
        <w:rPr>
          <w:rFonts w:hint="eastAsia" w:ascii="宋体" w:hAnsi="宋体" w:eastAsia="宋体" w:cs="宋体"/>
          <w:snapToGrid w:val="0"/>
          <w:color w:val="auto"/>
          <w:kern w:val="0"/>
          <w:highlight w:val="none"/>
        </w:rPr>
      </w:pPr>
    </w:p>
    <w:p w14:paraId="72697936">
      <w:pPr>
        <w:pStyle w:val="13"/>
        <w:shd w:val="clear"/>
        <w:wordWrap w:val="0"/>
        <w:adjustRightInd w:val="0"/>
        <w:snapToGrid w:val="0"/>
        <w:spacing w:line="420" w:lineRule="exact"/>
        <w:ind w:firstLine="480" w:firstLineChars="200"/>
        <w:jc w:val="righ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投标人：</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（盖单位章）</w:t>
      </w:r>
    </w:p>
    <w:p w14:paraId="605751AE">
      <w:pPr>
        <w:pStyle w:val="13"/>
        <w:shd w:val="clear"/>
        <w:wordWrap w:val="0"/>
        <w:adjustRightInd w:val="0"/>
        <w:snapToGrid w:val="0"/>
        <w:spacing w:line="420" w:lineRule="exact"/>
        <w:ind w:firstLine="480" w:firstLineChars="200"/>
        <w:jc w:val="right"/>
        <w:rPr>
          <w:rFonts w:hint="eastAsia" w:ascii="宋体" w:hAnsi="宋体" w:eastAsia="宋体" w:cs="宋体"/>
          <w:snapToGrid w:val="0"/>
          <w:color w:val="auto"/>
          <w:kern w:val="0"/>
          <w:szCs w:val="24"/>
          <w:highlight w:val="none"/>
        </w:rPr>
      </w:pPr>
    </w:p>
    <w:p w14:paraId="3A10DF21">
      <w:pPr>
        <w:pStyle w:val="13"/>
        <w:shd w:val="clear"/>
        <w:wordWrap w:val="0"/>
        <w:adjustRightInd w:val="0"/>
        <w:snapToGrid w:val="0"/>
        <w:spacing w:line="420" w:lineRule="exact"/>
        <w:ind w:firstLine="480" w:firstLineChars="200"/>
        <w:jc w:val="right"/>
        <w:rPr>
          <w:rFonts w:hint="eastAsia" w:ascii="宋体" w:hAnsi="宋体" w:eastAsia="宋体" w:cs="宋体"/>
          <w:snapToGrid w:val="0"/>
          <w:color w:val="auto"/>
          <w:kern w:val="0"/>
          <w:szCs w:val="24"/>
          <w:highlight w:val="none"/>
        </w:rPr>
      </w:pPr>
    </w:p>
    <w:p w14:paraId="71DD96A7">
      <w:pPr>
        <w:pStyle w:val="13"/>
        <w:shd w:val="clear"/>
        <w:wordWrap w:val="0"/>
        <w:adjustRightInd w:val="0"/>
        <w:snapToGrid w:val="0"/>
        <w:spacing w:line="420" w:lineRule="exact"/>
        <w:ind w:firstLine="480" w:firstLineChars="200"/>
        <w:jc w:val="righ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法定代表人或其委托代理人：</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（签字或盖章）</w:t>
      </w:r>
    </w:p>
    <w:p w14:paraId="0E96A7F9">
      <w:pPr>
        <w:pStyle w:val="13"/>
        <w:shd w:val="clear"/>
        <w:wordWrap w:val="0"/>
        <w:adjustRightInd w:val="0"/>
        <w:snapToGrid w:val="0"/>
        <w:spacing w:line="420" w:lineRule="exact"/>
        <w:ind w:firstLine="480" w:firstLineChars="200"/>
        <w:rPr>
          <w:rFonts w:hint="eastAsia" w:ascii="宋体" w:hAnsi="宋体" w:eastAsia="宋体" w:cs="宋体"/>
          <w:snapToGrid w:val="0"/>
          <w:color w:val="auto"/>
          <w:kern w:val="0"/>
          <w:szCs w:val="24"/>
          <w:highlight w:val="none"/>
        </w:rPr>
      </w:pPr>
    </w:p>
    <w:p w14:paraId="0BA08F20">
      <w:pPr>
        <w:pStyle w:val="13"/>
        <w:shd w:val="clear"/>
        <w:wordWrap w:val="0"/>
        <w:adjustRightInd w:val="0"/>
        <w:snapToGrid w:val="0"/>
        <w:spacing w:line="420" w:lineRule="exact"/>
        <w:ind w:firstLine="480" w:firstLineChars="200"/>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                      </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年</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日</w:t>
      </w:r>
    </w:p>
    <w:p w14:paraId="614DCA0E">
      <w:pPr>
        <w:shd w:val="clear"/>
        <w:wordWrap w:val="0"/>
        <w:adjustRightInd w:val="0"/>
        <w:snapToGrid w:val="0"/>
        <w:spacing w:line="420" w:lineRule="exact"/>
        <w:jc w:val="left"/>
        <w:rPr>
          <w:rFonts w:hint="eastAsia" w:ascii="宋体" w:hAnsi="宋体" w:eastAsia="宋体" w:cs="宋体"/>
          <w:b/>
          <w:snapToGrid w:val="0"/>
          <w:color w:val="auto"/>
          <w:kern w:val="0"/>
          <w:highlight w:val="none"/>
        </w:rPr>
        <w:sectPr>
          <w:endnotePr>
            <w:numFmt w:val="decimal"/>
          </w:endnotePr>
          <w:pgSz w:w="11906" w:h="16838"/>
          <w:pgMar w:top="1440" w:right="1080" w:bottom="1440" w:left="1080" w:header="850" w:footer="992" w:gutter="0"/>
          <w:cols w:space="720" w:num="1"/>
          <w:rtlGutter w:val="0"/>
          <w:docGrid w:linePitch="327" w:charSpace="0"/>
        </w:sectPr>
      </w:pPr>
    </w:p>
    <w:p w14:paraId="03C00468">
      <w:pPr>
        <w:shd w:val="clear"/>
        <w:wordWrap w:val="0"/>
        <w:adjustRightInd w:val="0"/>
        <w:snapToGrid w:val="0"/>
        <w:spacing w:line="440" w:lineRule="exact"/>
        <w:outlineLvl w:val="2"/>
        <w:rPr>
          <w:rFonts w:hint="eastAsia" w:ascii="宋体" w:hAnsi="宋体" w:eastAsia="宋体" w:cs="宋体"/>
          <w:b/>
          <w:bCs/>
          <w:snapToGrid w:val="0"/>
          <w:color w:val="auto"/>
          <w:kern w:val="0"/>
          <w:szCs w:val="24"/>
          <w:highlight w:val="none"/>
        </w:rPr>
      </w:pPr>
      <w:bookmarkStart w:id="470" w:name="_Toc26511"/>
      <w:bookmarkStart w:id="471" w:name="_Toc5737"/>
      <w:bookmarkStart w:id="472" w:name="_Toc25795"/>
      <w:bookmarkStart w:id="473" w:name="_Toc19386"/>
      <w:bookmarkStart w:id="474" w:name="_Toc22067"/>
      <w:bookmarkStart w:id="475" w:name="_Toc27498"/>
      <w:bookmarkStart w:id="476" w:name="_Toc1983"/>
      <w:bookmarkStart w:id="477" w:name="_Toc20101"/>
      <w:bookmarkStart w:id="478" w:name="_Toc5934"/>
      <w:bookmarkStart w:id="479" w:name="_Toc25885"/>
      <w:r>
        <w:rPr>
          <w:rFonts w:hint="eastAsia" w:ascii="宋体" w:hAnsi="宋体" w:eastAsia="宋体" w:cs="宋体"/>
          <w:b/>
          <w:bCs/>
          <w:snapToGrid w:val="0"/>
          <w:color w:val="auto"/>
          <w:kern w:val="0"/>
          <w:szCs w:val="24"/>
          <w:highlight w:val="none"/>
        </w:rPr>
        <w:t>格式四 法定代表人授权委托书</w:t>
      </w:r>
      <w:bookmarkEnd w:id="470"/>
      <w:bookmarkEnd w:id="471"/>
      <w:bookmarkEnd w:id="472"/>
      <w:bookmarkEnd w:id="473"/>
      <w:bookmarkEnd w:id="474"/>
      <w:bookmarkEnd w:id="475"/>
      <w:bookmarkEnd w:id="476"/>
      <w:bookmarkEnd w:id="477"/>
      <w:bookmarkEnd w:id="478"/>
      <w:bookmarkEnd w:id="479"/>
    </w:p>
    <w:p w14:paraId="27D95C14">
      <w:pPr>
        <w:shd w:val="clear"/>
        <w:wordWrap w:val="0"/>
        <w:adjustRightInd w:val="0"/>
        <w:snapToGrid w:val="0"/>
        <w:spacing w:line="440" w:lineRule="exact"/>
        <w:rPr>
          <w:rFonts w:hint="eastAsia" w:ascii="宋体" w:hAnsi="宋体" w:eastAsia="宋体" w:cs="宋体"/>
          <w:b/>
          <w:bCs/>
          <w:snapToGrid w:val="0"/>
          <w:color w:val="auto"/>
          <w:kern w:val="0"/>
          <w:szCs w:val="24"/>
          <w:highlight w:val="none"/>
        </w:rPr>
      </w:pPr>
    </w:p>
    <w:p w14:paraId="69F6018F">
      <w:pPr>
        <w:shd w:val="clear"/>
        <w:wordWrap w:val="0"/>
        <w:adjustRightInd w:val="0"/>
        <w:snapToGrid w:val="0"/>
        <w:spacing w:before="260" w:after="260" w:line="440" w:lineRule="exact"/>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30"/>
          <w:highlight w:val="none"/>
        </w:rPr>
        <w:t>法定代表人授权委托书</w:t>
      </w:r>
    </w:p>
    <w:p w14:paraId="58BCCFE8">
      <w:pPr>
        <w:shd w:val="clear"/>
        <w:wordWrap w:val="0"/>
        <w:adjustRightInd w:val="0"/>
        <w:snapToGrid w:val="0"/>
        <w:spacing w:line="440" w:lineRule="exact"/>
        <w:rPr>
          <w:rFonts w:hint="eastAsia" w:ascii="宋体" w:hAnsi="宋体" w:eastAsia="宋体" w:cs="宋体"/>
          <w:snapToGrid w:val="0"/>
          <w:color w:val="auto"/>
          <w:kern w:val="0"/>
          <w:szCs w:val="28"/>
          <w:highlight w:val="none"/>
        </w:rPr>
      </w:pPr>
    </w:p>
    <w:p w14:paraId="5186A469">
      <w:pPr>
        <w:shd w:val="clear"/>
        <w:wordWrap w:val="0"/>
        <w:adjustRightInd w:val="0"/>
        <w:snapToGrid w:val="0"/>
        <w:spacing w:line="44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本人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（姓名）系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（投标人名称）的法定代表人，现委托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（姓名）为我方代理人。代理人根据授权，以我方名义签署、澄清、说明、补正、递交、撤回、修改</w:t>
      </w:r>
      <w:r>
        <w:rPr>
          <w:rFonts w:hint="eastAsia" w:ascii="宋体" w:hAnsi="宋体" w:eastAsia="宋体" w:cs="宋体"/>
          <w:snapToGrid w:val="0"/>
          <w:color w:val="auto"/>
          <w:kern w:val="0"/>
          <w:szCs w:val="21"/>
          <w:highlight w:val="none"/>
          <w:u w:val="single"/>
          <w:lang w:val="en-US" w:eastAsia="zh-CN"/>
        </w:rPr>
        <w:t xml:space="preserve">       （项目名称）   </w:t>
      </w:r>
      <w:r>
        <w:rPr>
          <w:rFonts w:hint="eastAsia" w:ascii="宋体" w:hAnsi="宋体" w:eastAsia="宋体" w:cs="宋体"/>
          <w:snapToGrid w:val="0"/>
          <w:color w:val="auto"/>
          <w:kern w:val="0"/>
          <w:szCs w:val="21"/>
          <w:highlight w:val="none"/>
        </w:rPr>
        <w:t>投标文件、签订合同和处理有关事宜，其法律后果由我方承担。</w:t>
      </w:r>
    </w:p>
    <w:p w14:paraId="5724180D">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委托期限：至</w:t>
      </w:r>
      <w:r>
        <w:rPr>
          <w:rFonts w:hint="eastAsia" w:ascii="宋体" w:hAnsi="宋体" w:eastAsia="宋体" w:cs="宋体"/>
          <w:snapToGrid w:val="0"/>
          <w:color w:val="auto"/>
          <w:kern w:val="0"/>
          <w:szCs w:val="21"/>
          <w:highlight w:val="none"/>
          <w:u w:val="single"/>
        </w:rPr>
        <w:t xml:space="preserve">     年   月   日</w:t>
      </w:r>
      <w:r>
        <w:rPr>
          <w:rFonts w:hint="eastAsia" w:ascii="宋体" w:hAnsi="宋体" w:eastAsia="宋体" w:cs="宋体"/>
          <w:snapToGrid w:val="0"/>
          <w:color w:val="auto"/>
          <w:kern w:val="0"/>
          <w:szCs w:val="21"/>
          <w:highlight w:val="none"/>
        </w:rPr>
        <w:t>。</w:t>
      </w:r>
    </w:p>
    <w:p w14:paraId="6FC81317">
      <w:pPr>
        <w:shd w:val="clear"/>
        <w:wordWrap w:val="0"/>
        <w:adjustRightInd w:val="0"/>
        <w:snapToGrid w:val="0"/>
        <w:spacing w:line="44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代理人无转委托权。</w:t>
      </w:r>
    </w:p>
    <w:p w14:paraId="1CE33EF7">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p>
    <w:p w14:paraId="660ED293">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p>
    <w:p w14:paraId="2D5CD35C">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（盖单位章）</w:t>
      </w:r>
    </w:p>
    <w:p w14:paraId="5672D410">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w:t>
      </w:r>
    </w:p>
    <w:p w14:paraId="4CDE6BCC">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p>
    <w:p w14:paraId="53C1F596">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法定代表人：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（签字或盖章）</w:t>
      </w:r>
    </w:p>
    <w:p w14:paraId="7ABE1D5F">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p>
    <w:p w14:paraId="215EF017">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（签字或盖章）</w:t>
      </w:r>
    </w:p>
    <w:p w14:paraId="7D527145">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w:t>
      </w:r>
    </w:p>
    <w:p w14:paraId="4E864287">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EC38C85">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p>
    <w:p w14:paraId="2943A9C0">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1"/>
          <w:highlight w:val="none"/>
        </w:rPr>
      </w:pPr>
    </w:p>
    <w:p w14:paraId="4E2C772F">
      <w:pPr>
        <w:shd w:val="clear"/>
        <w:wordWrap w:val="0"/>
        <w:adjustRightInd w:val="0"/>
        <w:snapToGrid w:val="0"/>
        <w:ind w:firstLine="6440" w:firstLineChars="2300"/>
        <w:rPr>
          <w:rFonts w:hint="eastAsia" w:ascii="宋体" w:hAnsi="宋体" w:eastAsia="宋体" w:cs="宋体"/>
          <w:snapToGrid w:val="0"/>
          <w:color w:val="auto"/>
          <w:highlight w:val="none"/>
        </w:rPr>
      </w:pPr>
      <w:r>
        <w:rPr>
          <w:rFonts w:hint="eastAsia" w:ascii="宋体" w:hAnsi="宋体" w:eastAsia="宋体" w:cs="宋体"/>
          <w:snapToGrid w:val="0"/>
          <w:color w:val="auto"/>
          <w:kern w:val="0"/>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67E3DB6">
                            <w:pPr>
                              <w:pStyle w:val="2"/>
                              <w:rPr>
                                <w:rFonts w:hint="eastAsia"/>
                              </w:rPr>
                            </w:pPr>
                          </w:p>
                          <w:p w14:paraId="3133CC07">
                            <w:pPr>
                              <w:jc w:val="center"/>
                              <w:rPr>
                                <w:szCs w:val="21"/>
                              </w:rPr>
                            </w:pPr>
                            <w:r>
                              <w:rPr>
                                <w:rFonts w:hint="eastAsia"/>
                                <w:szCs w:val="21"/>
                              </w:rPr>
                              <w:t>委托代理人</w:t>
                            </w:r>
                            <w:r>
                              <w:rPr>
                                <w:rFonts w:hint="eastAsia"/>
                                <w:color w:val="auto"/>
                                <w:szCs w:val="21"/>
                              </w:rPr>
                              <w:t>身份证</w:t>
                            </w:r>
                            <w:r>
                              <w:rPr>
                                <w:rFonts w:hint="eastAsia"/>
                                <w:color w:val="auto"/>
                                <w:szCs w:val="21"/>
                                <w:lang w:val="en-US" w:eastAsia="zh-CN"/>
                              </w:rPr>
                              <w:t>彩色扫描</w:t>
                            </w:r>
                            <w:r>
                              <w:rPr>
                                <w:rFonts w:hint="eastAsia"/>
                                <w:szCs w:val="21"/>
                                <w:lang w:val="en-US" w:eastAsia="zh-CN"/>
                              </w:rPr>
                              <w:t>件</w:t>
                            </w:r>
                            <w:r>
                              <w:rPr>
                                <w:rFonts w:hint="eastAsia"/>
                                <w:szCs w:val="21"/>
                              </w:rPr>
                              <w:t>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n06zYAAAACQEAAA8AAAAAAAAAAQAgAAAAIgAAAGRycy9kb3du&#10;cmV2LnhtbFBLAQIUABQAAAAIAIdO4kDWqCeKOAIAAGwEAAAOAAAAAAAAAAEAIAAAACcBAABkcnMv&#10;ZTJvRG9jLnhtbFBLBQYAAAAABgAGAFkBAADRBQAAAAA=&#10;">
                <v:fill on="t" focussize="0,0"/>
                <v:stroke color="#000000" joinstyle="miter"/>
                <v:imagedata o:title=""/>
                <o:lock v:ext="edit" aspectratio="f"/>
                <v:textbox>
                  <w:txbxContent>
                    <w:p w14:paraId="367E3DB6">
                      <w:pPr>
                        <w:pStyle w:val="2"/>
                        <w:rPr>
                          <w:rFonts w:hint="eastAsia"/>
                        </w:rPr>
                      </w:pPr>
                    </w:p>
                    <w:p w14:paraId="3133CC07">
                      <w:pPr>
                        <w:jc w:val="center"/>
                        <w:rPr>
                          <w:szCs w:val="21"/>
                        </w:rPr>
                      </w:pPr>
                      <w:r>
                        <w:rPr>
                          <w:rFonts w:hint="eastAsia"/>
                          <w:szCs w:val="21"/>
                        </w:rPr>
                        <w:t>委托代理人</w:t>
                      </w:r>
                      <w:r>
                        <w:rPr>
                          <w:rFonts w:hint="eastAsia"/>
                          <w:color w:val="auto"/>
                          <w:szCs w:val="21"/>
                        </w:rPr>
                        <w:t>身份证</w:t>
                      </w:r>
                      <w:r>
                        <w:rPr>
                          <w:rFonts w:hint="eastAsia"/>
                          <w:color w:val="auto"/>
                          <w:szCs w:val="21"/>
                          <w:lang w:val="en-US" w:eastAsia="zh-CN"/>
                        </w:rPr>
                        <w:t>彩色扫描</w:t>
                      </w:r>
                      <w:r>
                        <w:rPr>
                          <w:rFonts w:hint="eastAsia"/>
                          <w:szCs w:val="21"/>
                          <w:lang w:val="en-US" w:eastAsia="zh-CN"/>
                        </w:rPr>
                        <w:t>件</w:t>
                      </w:r>
                      <w:r>
                        <w:rPr>
                          <w:rFonts w:hint="eastAsia"/>
                          <w:szCs w:val="21"/>
                        </w:rPr>
                        <w:t>正、反面</w:t>
                      </w:r>
                    </w:p>
                  </w:txbxContent>
                </v:textbox>
              </v:shape>
            </w:pict>
          </mc:Fallback>
        </mc:AlternateContent>
      </w:r>
    </w:p>
    <w:p w14:paraId="783FFBD2">
      <w:pPr>
        <w:widowControl w:val="0"/>
        <w:shd w:val="clear"/>
        <w:wordWrap w:val="0"/>
        <w:adjustRightInd w:val="0"/>
        <w:snapToGrid w:val="0"/>
        <w:rPr>
          <w:rFonts w:hint="eastAsia" w:ascii="宋体" w:hAnsi="宋体" w:eastAsia="宋体" w:cs="宋体"/>
          <w:snapToGrid w:val="0"/>
          <w:color w:val="auto"/>
          <w:highlight w:val="none"/>
        </w:rPr>
        <w:sectPr>
          <w:endnotePr>
            <w:numFmt w:val="decimal"/>
          </w:endnotePr>
          <w:pgSz w:w="11906" w:h="16838"/>
          <w:pgMar w:top="1440" w:right="1080" w:bottom="1440" w:left="1080" w:header="850" w:footer="992" w:gutter="0"/>
          <w:cols w:space="720" w:num="1"/>
          <w:rtlGutter w:val="0"/>
          <w:docGrid w:linePitch="327" w:charSpace="0"/>
        </w:sectPr>
      </w:pPr>
    </w:p>
    <w:p w14:paraId="4FCC11CE">
      <w:pPr>
        <w:shd w:val="clear"/>
        <w:wordWrap w:val="0"/>
        <w:adjustRightInd w:val="0"/>
        <w:snapToGrid w:val="0"/>
        <w:spacing w:line="440" w:lineRule="exact"/>
        <w:outlineLvl w:val="2"/>
        <w:rPr>
          <w:rFonts w:hint="eastAsia" w:ascii="宋体" w:hAnsi="宋体" w:eastAsia="宋体" w:cs="宋体"/>
          <w:b/>
          <w:snapToGrid w:val="0"/>
          <w:color w:val="auto"/>
          <w:kern w:val="0"/>
          <w:highlight w:val="none"/>
        </w:rPr>
      </w:pPr>
      <w:bookmarkStart w:id="480" w:name="_Toc20383"/>
      <w:bookmarkStart w:id="481" w:name="_Toc10825"/>
      <w:bookmarkStart w:id="482" w:name="_Toc4361"/>
      <w:bookmarkStart w:id="483" w:name="_Toc11496"/>
      <w:bookmarkStart w:id="484" w:name="_Toc18620"/>
      <w:bookmarkStart w:id="485" w:name="_Toc9833"/>
      <w:bookmarkStart w:id="486" w:name="_Toc30014"/>
      <w:bookmarkStart w:id="487" w:name="_Toc15003"/>
      <w:bookmarkStart w:id="488" w:name="_Toc11316"/>
      <w:bookmarkStart w:id="489" w:name="_Toc18287"/>
      <w:r>
        <w:rPr>
          <w:rFonts w:hint="eastAsia" w:ascii="宋体" w:hAnsi="宋体" w:eastAsia="宋体" w:cs="宋体"/>
          <w:b/>
          <w:snapToGrid w:val="0"/>
          <w:color w:val="auto"/>
          <w:kern w:val="0"/>
          <w:highlight w:val="none"/>
        </w:rPr>
        <w:t>格式五 法定代表人身份证明</w:t>
      </w:r>
      <w:bookmarkEnd w:id="480"/>
      <w:bookmarkEnd w:id="481"/>
      <w:bookmarkEnd w:id="482"/>
      <w:bookmarkEnd w:id="483"/>
      <w:bookmarkEnd w:id="484"/>
      <w:bookmarkEnd w:id="485"/>
      <w:bookmarkEnd w:id="486"/>
      <w:bookmarkEnd w:id="487"/>
      <w:bookmarkEnd w:id="488"/>
      <w:bookmarkEnd w:id="489"/>
    </w:p>
    <w:p w14:paraId="4B06D4E9">
      <w:pPr>
        <w:shd w:val="clear"/>
        <w:wordWrap w:val="0"/>
        <w:adjustRightInd w:val="0"/>
        <w:snapToGrid w:val="0"/>
        <w:spacing w:line="440" w:lineRule="exact"/>
        <w:rPr>
          <w:rFonts w:hint="eastAsia" w:ascii="宋体" w:hAnsi="宋体" w:eastAsia="宋体" w:cs="宋体"/>
          <w:b/>
          <w:snapToGrid w:val="0"/>
          <w:color w:val="auto"/>
          <w:kern w:val="0"/>
          <w:highlight w:val="none"/>
        </w:rPr>
      </w:pPr>
    </w:p>
    <w:p w14:paraId="4F293B35">
      <w:pPr>
        <w:shd w:val="clear"/>
        <w:wordWrap w:val="0"/>
        <w:adjustRightInd w:val="0"/>
        <w:snapToGrid w:val="0"/>
        <w:spacing w:before="260" w:after="260" w:line="440" w:lineRule="exact"/>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30"/>
          <w:highlight w:val="none"/>
        </w:rPr>
        <w:t>法定代表人身份证明</w:t>
      </w:r>
    </w:p>
    <w:p w14:paraId="4EE1E915">
      <w:pPr>
        <w:shd w:val="clear"/>
        <w:wordWrap w:val="0"/>
        <w:adjustRightInd w:val="0"/>
        <w:snapToGrid w:val="0"/>
        <w:spacing w:line="440" w:lineRule="exact"/>
        <w:rPr>
          <w:rFonts w:hint="eastAsia" w:ascii="宋体" w:hAnsi="宋体" w:eastAsia="宋体" w:cs="宋体"/>
          <w:snapToGrid w:val="0"/>
          <w:color w:val="auto"/>
          <w:kern w:val="0"/>
          <w:szCs w:val="21"/>
          <w:highlight w:val="none"/>
        </w:rPr>
      </w:pPr>
    </w:p>
    <w:p w14:paraId="40C54A58">
      <w:pPr>
        <w:shd w:val="clear"/>
        <w:wordWrap w:val="0"/>
        <w:adjustRightInd w:val="0"/>
        <w:snapToGrid w:val="0"/>
        <w:spacing w:line="440" w:lineRule="exac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投标人名称：</w:t>
      </w:r>
      <w:r>
        <w:rPr>
          <w:rFonts w:hint="eastAsia" w:ascii="宋体" w:hAnsi="宋体" w:eastAsia="宋体" w:cs="宋体"/>
          <w:snapToGrid w:val="0"/>
          <w:color w:val="auto"/>
          <w:kern w:val="0"/>
          <w:szCs w:val="21"/>
          <w:highlight w:val="none"/>
          <w:u w:val="single"/>
        </w:rPr>
        <w:t xml:space="preserve">                  </w:t>
      </w:r>
    </w:p>
    <w:p w14:paraId="380301C0">
      <w:pPr>
        <w:shd w:val="clear"/>
        <w:wordWrap w:val="0"/>
        <w:adjustRightInd w:val="0"/>
        <w:snapToGrid w:val="0"/>
        <w:spacing w:line="440" w:lineRule="exac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姓名：</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性别：</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年龄：</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职务：</w:t>
      </w:r>
      <w:r>
        <w:rPr>
          <w:rFonts w:hint="eastAsia" w:ascii="宋体" w:hAnsi="宋体" w:eastAsia="宋体" w:cs="宋体"/>
          <w:snapToGrid w:val="0"/>
          <w:color w:val="auto"/>
          <w:kern w:val="0"/>
          <w:szCs w:val="21"/>
          <w:highlight w:val="none"/>
          <w:u w:val="single"/>
        </w:rPr>
        <w:t xml:space="preserve">           </w:t>
      </w:r>
    </w:p>
    <w:p w14:paraId="6B7E2BC0">
      <w:pPr>
        <w:shd w:val="clear"/>
        <w:wordWrap w:val="0"/>
        <w:adjustRightInd w:val="0"/>
        <w:snapToGrid w:val="0"/>
        <w:spacing w:line="44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（投标人名称）的法定代表人。</w:t>
      </w:r>
    </w:p>
    <w:p w14:paraId="00B0719D">
      <w:pPr>
        <w:shd w:val="clear"/>
        <w:wordWrap w:val="0"/>
        <w:adjustRightInd w:val="0"/>
        <w:snapToGrid w:val="0"/>
        <w:spacing w:line="44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特此证明。</w:t>
      </w:r>
    </w:p>
    <w:p w14:paraId="613CE1F0">
      <w:pPr>
        <w:shd w:val="clear"/>
        <w:wordWrap w:val="0"/>
        <w:adjustRightInd w:val="0"/>
        <w:snapToGrid w:val="0"/>
        <w:spacing w:line="440" w:lineRule="exact"/>
        <w:rPr>
          <w:rFonts w:hint="eastAsia" w:ascii="宋体" w:hAnsi="宋体" w:eastAsia="宋体" w:cs="宋体"/>
          <w:snapToGrid w:val="0"/>
          <w:color w:val="auto"/>
          <w:kern w:val="0"/>
          <w:szCs w:val="21"/>
          <w:highlight w:val="none"/>
        </w:rPr>
      </w:pPr>
    </w:p>
    <w:p w14:paraId="0F343763">
      <w:pPr>
        <w:shd w:val="clear"/>
        <w:wordWrap w:val="0"/>
        <w:adjustRightInd w:val="0"/>
        <w:snapToGrid w:val="0"/>
        <w:spacing w:line="440" w:lineRule="exact"/>
        <w:rPr>
          <w:rFonts w:hint="eastAsia" w:ascii="宋体" w:hAnsi="宋体" w:eastAsia="宋体" w:cs="宋体"/>
          <w:snapToGrid w:val="0"/>
          <w:color w:val="auto"/>
          <w:kern w:val="0"/>
          <w:szCs w:val="21"/>
          <w:highlight w:val="none"/>
        </w:rPr>
      </w:pPr>
    </w:p>
    <w:p w14:paraId="0B15DA0B">
      <w:pPr>
        <w:shd w:val="clear"/>
        <w:wordWrap w:val="0"/>
        <w:adjustRightInd w:val="0"/>
        <w:snapToGrid w:val="0"/>
        <w:spacing w:line="440" w:lineRule="exact"/>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（盖单位章）</w:t>
      </w:r>
    </w:p>
    <w:p w14:paraId="12CAE398">
      <w:pPr>
        <w:shd w:val="clear"/>
        <w:wordWrap w:val="0"/>
        <w:adjustRightInd w:val="0"/>
        <w:snapToGrid w:val="0"/>
        <w:spacing w:line="440" w:lineRule="exact"/>
        <w:jc w:val="right"/>
        <w:rPr>
          <w:rFonts w:hint="eastAsia" w:ascii="宋体" w:hAnsi="宋体" w:eastAsia="宋体" w:cs="宋体"/>
          <w:snapToGrid w:val="0"/>
          <w:color w:val="auto"/>
          <w:kern w:val="0"/>
          <w:szCs w:val="21"/>
          <w:highlight w:val="none"/>
        </w:rPr>
      </w:pPr>
    </w:p>
    <w:p w14:paraId="777A6609">
      <w:pPr>
        <w:shd w:val="clear"/>
        <w:wordWrap w:val="0"/>
        <w:adjustRightInd w:val="0"/>
        <w:snapToGrid w:val="0"/>
        <w:spacing w:line="440" w:lineRule="exact"/>
        <w:jc w:val="right"/>
        <w:rPr>
          <w:rFonts w:hint="eastAsia" w:ascii="宋体" w:hAnsi="宋体" w:eastAsia="宋体" w:cs="宋体"/>
          <w:snapToGrid w:val="0"/>
          <w:color w:val="auto"/>
          <w:kern w:val="0"/>
          <w:szCs w:val="21"/>
          <w:highlight w:val="none"/>
        </w:rPr>
      </w:pPr>
    </w:p>
    <w:p w14:paraId="4BADC8F7">
      <w:pPr>
        <w:shd w:val="clear"/>
        <w:wordWrap w:val="0"/>
        <w:adjustRightInd w:val="0"/>
        <w:snapToGrid w:val="0"/>
        <w:spacing w:line="440" w:lineRule="exact"/>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法定代表人：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（签字或盖章）</w:t>
      </w:r>
    </w:p>
    <w:p w14:paraId="4DBBF493">
      <w:pPr>
        <w:shd w:val="clear"/>
        <w:wordWrap w:val="0"/>
        <w:adjustRightInd w:val="0"/>
        <w:snapToGrid w:val="0"/>
        <w:spacing w:line="44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14:paraId="4EB117FE">
      <w:pPr>
        <w:shd w:val="clear"/>
        <w:wordWrap w:val="0"/>
        <w:adjustRightInd w:val="0"/>
        <w:snapToGrid w:val="0"/>
        <w:spacing w:line="44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14:paraId="13351408">
      <w:pPr>
        <w:shd w:val="clear"/>
        <w:wordWrap w:val="0"/>
        <w:adjustRightInd w:val="0"/>
        <w:snapToGrid w:val="0"/>
        <w:spacing w:line="440" w:lineRule="exact"/>
        <w:ind w:firstLine="240" w:firstLineChars="1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14:paraId="6CB07552">
      <w:pPr>
        <w:shd w:val="clear"/>
        <w:wordWrap w:val="0"/>
        <w:adjustRightInd w:val="0"/>
        <w:snapToGrid w:val="0"/>
        <w:spacing w:line="440" w:lineRule="exact"/>
        <w:ind w:firstLine="240" w:firstLineChars="100"/>
        <w:rPr>
          <w:rFonts w:hint="eastAsia" w:ascii="宋体" w:hAnsi="宋体" w:eastAsia="宋体" w:cs="宋体"/>
          <w:snapToGrid w:val="0"/>
          <w:color w:val="auto"/>
          <w:kern w:val="0"/>
          <w:szCs w:val="21"/>
          <w:highlight w:val="none"/>
        </w:rPr>
      </w:pPr>
    </w:p>
    <w:p w14:paraId="4761BD8C">
      <w:pPr>
        <w:shd w:val="clear"/>
        <w:wordWrap w:val="0"/>
        <w:adjustRightInd w:val="0"/>
        <w:snapToGrid w:val="0"/>
        <w:spacing w:line="440" w:lineRule="exact"/>
        <w:ind w:firstLine="240" w:firstLineChars="100"/>
        <w:rPr>
          <w:rFonts w:hint="eastAsia" w:ascii="宋体" w:hAnsi="宋体" w:eastAsia="宋体" w:cs="宋体"/>
          <w:snapToGrid w:val="0"/>
          <w:color w:val="auto"/>
          <w:kern w:val="0"/>
          <w:szCs w:val="21"/>
          <w:highlight w:val="none"/>
        </w:rPr>
      </w:pPr>
    </w:p>
    <w:p w14:paraId="12CEA19C">
      <w:pPr>
        <w:shd w:val="clear"/>
        <w:wordWrap w:val="0"/>
        <w:adjustRightInd w:val="0"/>
        <w:snapToGrid w:val="0"/>
        <w:spacing w:line="440" w:lineRule="exact"/>
        <w:ind w:firstLine="720" w:firstLineChars="3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i/>
          <w:iCs/>
          <w:snapToGrid w:val="0"/>
          <w:color w:val="auto"/>
          <w:kern w:val="0"/>
          <w:szCs w:val="21"/>
          <w:highlight w:val="none"/>
        </w:rPr>
        <w:t xml:space="preserve"> </w:t>
      </w:r>
    </w:p>
    <w:p w14:paraId="48441BC8">
      <w:pPr>
        <w:shd w:val="clear"/>
        <w:wordWrap w:val="0"/>
        <w:adjustRightInd w:val="0"/>
        <w:snapToGrid w:val="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3006090" cy="1631315"/>
                <wp:effectExtent l="4445" t="4445" r="18415" b="21590"/>
                <wp:wrapNone/>
                <wp:docPr id="4" name="流程图: 可选过程 4"/>
                <wp:cNvGraphicFramePr/>
                <a:graphic xmlns:a="http://schemas.openxmlformats.org/drawingml/2006/main">
                  <a:graphicData uri="http://schemas.microsoft.com/office/word/2010/wordprocessingShape">
                    <wps:wsp>
                      <wps:cNvSpPr/>
                      <wps:spPr>
                        <a:xfrm>
                          <a:off x="0" y="0"/>
                          <a:ext cx="3006090" cy="16313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4998F90">
                            <w:pPr>
                              <w:jc w:val="both"/>
                              <w:rPr>
                                <w:rFonts w:hint="eastAsia"/>
                                <w:szCs w:val="21"/>
                              </w:rPr>
                            </w:pPr>
                          </w:p>
                          <w:p w14:paraId="0AF56337">
                            <w:pPr>
                              <w:jc w:val="center"/>
                              <w:rPr>
                                <w:rFonts w:hint="eastAsia"/>
                                <w:szCs w:val="21"/>
                              </w:rPr>
                            </w:pPr>
                          </w:p>
                          <w:p w14:paraId="2A5FF8A3">
                            <w:pPr>
                              <w:jc w:val="center"/>
                              <w:rPr>
                                <w:szCs w:val="21"/>
                              </w:rPr>
                            </w:pPr>
                            <w:r>
                              <w:rPr>
                                <w:rFonts w:hint="eastAsia"/>
                                <w:szCs w:val="21"/>
                              </w:rPr>
                              <w:t>法定代表人身份</w:t>
                            </w:r>
                            <w:r>
                              <w:rPr>
                                <w:rFonts w:hint="eastAsia"/>
                                <w:color w:val="auto"/>
                                <w:szCs w:val="21"/>
                              </w:rPr>
                              <w:t>证</w:t>
                            </w:r>
                            <w:r>
                              <w:rPr>
                                <w:rFonts w:hint="eastAsia"/>
                                <w:color w:val="auto"/>
                                <w:szCs w:val="21"/>
                                <w:lang w:val="en-US" w:eastAsia="zh-CN"/>
                              </w:rPr>
                              <w:t>彩色扫</w:t>
                            </w:r>
                            <w:r>
                              <w:rPr>
                                <w:rFonts w:hint="eastAsia"/>
                                <w:szCs w:val="21"/>
                                <w:lang w:val="en-US" w:eastAsia="zh-CN"/>
                              </w:rPr>
                              <w:t>描件</w:t>
                            </w:r>
                            <w:r>
                              <w:rPr>
                                <w:rFonts w:hint="eastAsia"/>
                                <w:szCs w:val="21"/>
                              </w:rPr>
                              <w:t>正、反面</w:t>
                            </w:r>
                          </w:p>
                        </w:txbxContent>
                      </wps:txbx>
                      <wps:bodyPr wrap="square" upright="1"/>
                    </wps:wsp>
                  </a:graphicData>
                </a:graphic>
              </wp:anchor>
            </w:drawing>
          </mc:Choice>
          <mc:Fallback>
            <w:pict>
              <v:shape id="_x0000_s1026" o:spid="_x0000_s1026" o:spt="176" type="#_x0000_t176" style="position:absolute;left:0pt;margin-left:127.5pt;margin-top:1.6pt;height:128.45pt;width:236.7pt;z-index:251659264;mso-width-relative:page;mso-height-relative:page;" fillcolor="#FFFFFF" filled="t" stroked="t" coordsize="21600,21600" o:gfxdata="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wEikdcAAAAJAQAADwAAAAAAAAABACAAAAAiAAAAZHJzL2Rvd25y&#10;ZXYueG1sUEsBAhQAFAAAAAgAh07iQAoAkEY4AgAAbAQAAA4AAAAAAAAAAQAgAAAAJgEAAGRycy9l&#10;Mm9Eb2MueG1sUEsFBgAAAAAGAAYAWQEAANAFAAAAAA==&#10;">
                <v:fill on="t" focussize="0,0"/>
                <v:stroke color="#000000" joinstyle="miter"/>
                <v:imagedata o:title=""/>
                <o:lock v:ext="edit" aspectratio="f"/>
                <v:textbox>
                  <w:txbxContent>
                    <w:p w14:paraId="54998F90">
                      <w:pPr>
                        <w:jc w:val="both"/>
                        <w:rPr>
                          <w:rFonts w:hint="eastAsia"/>
                          <w:szCs w:val="21"/>
                        </w:rPr>
                      </w:pPr>
                    </w:p>
                    <w:p w14:paraId="0AF56337">
                      <w:pPr>
                        <w:jc w:val="center"/>
                        <w:rPr>
                          <w:rFonts w:hint="eastAsia"/>
                          <w:szCs w:val="21"/>
                        </w:rPr>
                      </w:pPr>
                    </w:p>
                    <w:p w14:paraId="2A5FF8A3">
                      <w:pPr>
                        <w:jc w:val="center"/>
                        <w:rPr>
                          <w:szCs w:val="21"/>
                        </w:rPr>
                      </w:pPr>
                      <w:r>
                        <w:rPr>
                          <w:rFonts w:hint="eastAsia"/>
                          <w:szCs w:val="21"/>
                        </w:rPr>
                        <w:t>法定代表人身份</w:t>
                      </w:r>
                      <w:r>
                        <w:rPr>
                          <w:rFonts w:hint="eastAsia"/>
                          <w:color w:val="auto"/>
                          <w:szCs w:val="21"/>
                        </w:rPr>
                        <w:t>证</w:t>
                      </w:r>
                      <w:r>
                        <w:rPr>
                          <w:rFonts w:hint="eastAsia"/>
                          <w:color w:val="auto"/>
                          <w:szCs w:val="21"/>
                          <w:lang w:val="en-US" w:eastAsia="zh-CN"/>
                        </w:rPr>
                        <w:t>彩色扫</w:t>
                      </w:r>
                      <w:r>
                        <w:rPr>
                          <w:rFonts w:hint="eastAsia"/>
                          <w:szCs w:val="21"/>
                          <w:lang w:val="en-US" w:eastAsia="zh-CN"/>
                        </w:rPr>
                        <w:t>描件</w:t>
                      </w:r>
                      <w:r>
                        <w:rPr>
                          <w:rFonts w:hint="eastAsia"/>
                          <w:szCs w:val="21"/>
                        </w:rPr>
                        <w:t>正、反面</w:t>
                      </w:r>
                    </w:p>
                  </w:txbxContent>
                </v:textbox>
              </v:shape>
            </w:pict>
          </mc:Fallback>
        </mc:AlternateContent>
      </w:r>
    </w:p>
    <w:p w14:paraId="3607F299">
      <w:pPr>
        <w:shd w:val="clea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宋体" w:hAnsi="宋体" w:eastAsia="宋体" w:cs="宋体"/>
          <w:snapToGrid w:val="0"/>
          <w:color w:val="auto"/>
          <w:kern w:val="0"/>
          <w:sz w:val="28"/>
          <w:szCs w:val="28"/>
          <w:highlight w:val="none"/>
        </w:rPr>
      </w:pPr>
    </w:p>
    <w:p w14:paraId="65F48184">
      <w:pPr>
        <w:shd w:val="clear"/>
        <w:wordWrap w:val="0"/>
        <w:adjustRightInd w:val="0"/>
        <w:snapToGrid w:val="0"/>
        <w:spacing w:line="480" w:lineRule="exact"/>
        <w:jc w:val="center"/>
        <w:rPr>
          <w:rFonts w:hint="eastAsia" w:ascii="宋体" w:hAnsi="宋体" w:eastAsia="宋体" w:cs="宋体"/>
          <w:b/>
          <w:snapToGrid w:val="0"/>
          <w:color w:val="auto"/>
          <w:kern w:val="0"/>
          <w:sz w:val="28"/>
          <w:szCs w:val="28"/>
          <w:highlight w:val="none"/>
        </w:rPr>
      </w:pPr>
    </w:p>
    <w:p w14:paraId="62AAA6C5">
      <w:pPr>
        <w:shd w:val="clear"/>
        <w:wordWrap w:val="0"/>
        <w:adjustRightInd w:val="0"/>
        <w:snapToGrid w:val="0"/>
        <w:spacing w:line="480" w:lineRule="exact"/>
        <w:jc w:val="center"/>
        <w:rPr>
          <w:rFonts w:hint="eastAsia" w:ascii="宋体" w:hAnsi="宋体" w:eastAsia="宋体" w:cs="宋体"/>
          <w:b/>
          <w:snapToGrid w:val="0"/>
          <w:color w:val="auto"/>
          <w:kern w:val="0"/>
          <w:sz w:val="28"/>
          <w:szCs w:val="28"/>
          <w:highlight w:val="none"/>
        </w:rPr>
      </w:pPr>
    </w:p>
    <w:p w14:paraId="25E119D5">
      <w:pPr>
        <w:shd w:val="clear"/>
        <w:wordWrap w:val="0"/>
        <w:adjustRightInd w:val="0"/>
        <w:snapToGrid w:val="0"/>
        <w:spacing w:line="480" w:lineRule="exact"/>
        <w:jc w:val="center"/>
        <w:rPr>
          <w:rFonts w:hint="eastAsia" w:ascii="宋体" w:hAnsi="宋体" w:eastAsia="宋体" w:cs="宋体"/>
          <w:b/>
          <w:snapToGrid w:val="0"/>
          <w:color w:val="auto"/>
          <w:kern w:val="0"/>
          <w:sz w:val="28"/>
          <w:szCs w:val="28"/>
          <w:highlight w:val="none"/>
        </w:rPr>
        <w:sectPr>
          <w:endnotePr>
            <w:numFmt w:val="decimal"/>
          </w:endnotePr>
          <w:pgSz w:w="11906" w:h="16838"/>
          <w:pgMar w:top="1440" w:right="1080" w:bottom="1440" w:left="1080" w:header="850" w:footer="992" w:gutter="0"/>
          <w:cols w:space="720" w:num="1"/>
          <w:rtlGutter w:val="0"/>
          <w:docGrid w:linePitch="327" w:charSpace="0"/>
        </w:sectPr>
      </w:pPr>
    </w:p>
    <w:p w14:paraId="07B3A0B7">
      <w:pPr>
        <w:shd w:val="clear"/>
        <w:wordWrap w:val="0"/>
        <w:adjustRightInd w:val="0"/>
        <w:snapToGrid w:val="0"/>
        <w:spacing w:line="440" w:lineRule="exact"/>
        <w:outlineLvl w:val="2"/>
        <w:rPr>
          <w:rFonts w:hint="eastAsia" w:ascii="宋体" w:hAnsi="宋体" w:eastAsia="宋体" w:cs="宋体"/>
          <w:b/>
          <w:bCs/>
          <w:snapToGrid w:val="0"/>
          <w:color w:val="auto"/>
          <w:kern w:val="0"/>
          <w:szCs w:val="24"/>
          <w:highlight w:val="none"/>
        </w:rPr>
      </w:pPr>
      <w:bookmarkStart w:id="490" w:name="_Toc9374"/>
      <w:bookmarkStart w:id="491" w:name="_Toc18567"/>
      <w:bookmarkStart w:id="492" w:name="_Toc24168"/>
      <w:bookmarkStart w:id="493" w:name="_Toc47"/>
      <w:bookmarkStart w:id="494" w:name="_Toc30029"/>
      <w:bookmarkStart w:id="495" w:name="_Toc18123"/>
      <w:bookmarkStart w:id="496" w:name="_Toc27793"/>
      <w:bookmarkStart w:id="497" w:name="_Toc24439"/>
      <w:bookmarkStart w:id="498" w:name="_Toc9774"/>
      <w:bookmarkStart w:id="499" w:name="_Toc3769"/>
      <w:r>
        <w:rPr>
          <w:rFonts w:hint="eastAsia" w:ascii="宋体" w:hAnsi="宋体" w:eastAsia="宋体" w:cs="宋体"/>
          <w:b/>
          <w:bCs/>
          <w:snapToGrid w:val="0"/>
          <w:color w:val="auto"/>
          <w:kern w:val="0"/>
          <w:szCs w:val="24"/>
          <w:highlight w:val="none"/>
        </w:rPr>
        <w:t>格式六 投标人基本情况表</w:t>
      </w:r>
      <w:bookmarkEnd w:id="490"/>
      <w:bookmarkEnd w:id="491"/>
      <w:bookmarkEnd w:id="492"/>
      <w:bookmarkEnd w:id="493"/>
      <w:bookmarkEnd w:id="494"/>
      <w:bookmarkEnd w:id="495"/>
      <w:bookmarkEnd w:id="496"/>
      <w:bookmarkEnd w:id="497"/>
      <w:bookmarkEnd w:id="498"/>
      <w:bookmarkEnd w:id="499"/>
    </w:p>
    <w:p w14:paraId="35EFEF69">
      <w:pPr>
        <w:pStyle w:val="49"/>
        <w:widowControl w:val="0"/>
        <w:shd w:val="clear"/>
        <w:wordWrap w:val="0"/>
        <w:adjustRightInd w:val="0"/>
        <w:snapToGrid w:val="0"/>
        <w:spacing w:before="260" w:after="260" w:line="400" w:lineRule="exact"/>
        <w:ind w:firstLine="0"/>
        <w:jc w:val="center"/>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30"/>
          <w:highlight w:val="none"/>
        </w:rPr>
        <w:t>投标人基本情况表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7299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0BA61DB8">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投标人名称</w:t>
            </w:r>
          </w:p>
        </w:tc>
        <w:tc>
          <w:tcPr>
            <w:tcW w:w="7020" w:type="dxa"/>
            <w:gridSpan w:val="8"/>
            <w:noWrap w:val="0"/>
            <w:vAlign w:val="center"/>
          </w:tcPr>
          <w:p w14:paraId="5BEA20B3">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0276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56EF6D1E">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注册地址</w:t>
            </w:r>
          </w:p>
        </w:tc>
        <w:tc>
          <w:tcPr>
            <w:tcW w:w="3389" w:type="dxa"/>
            <w:gridSpan w:val="3"/>
            <w:noWrap w:val="0"/>
            <w:vAlign w:val="center"/>
          </w:tcPr>
          <w:p w14:paraId="6524110D">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246" w:type="dxa"/>
            <w:gridSpan w:val="2"/>
            <w:noWrap w:val="0"/>
            <w:vAlign w:val="center"/>
          </w:tcPr>
          <w:p w14:paraId="58BEF032">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p>
        </w:tc>
        <w:tc>
          <w:tcPr>
            <w:tcW w:w="2385" w:type="dxa"/>
            <w:gridSpan w:val="3"/>
            <w:noWrap w:val="0"/>
            <w:vAlign w:val="center"/>
          </w:tcPr>
          <w:p w14:paraId="67C03520">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3B34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14:paraId="0351DF99">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联系方式</w:t>
            </w:r>
          </w:p>
        </w:tc>
        <w:tc>
          <w:tcPr>
            <w:tcW w:w="897" w:type="dxa"/>
            <w:noWrap w:val="0"/>
            <w:vAlign w:val="center"/>
          </w:tcPr>
          <w:p w14:paraId="187F7D92">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联系人</w:t>
            </w:r>
          </w:p>
        </w:tc>
        <w:tc>
          <w:tcPr>
            <w:tcW w:w="2492" w:type="dxa"/>
            <w:gridSpan w:val="2"/>
            <w:noWrap w:val="0"/>
            <w:vAlign w:val="center"/>
          </w:tcPr>
          <w:p w14:paraId="62FB2CD9">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246" w:type="dxa"/>
            <w:gridSpan w:val="2"/>
            <w:noWrap w:val="0"/>
            <w:vAlign w:val="center"/>
          </w:tcPr>
          <w:p w14:paraId="5ACF9D7E">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p>
        </w:tc>
        <w:tc>
          <w:tcPr>
            <w:tcW w:w="2385" w:type="dxa"/>
            <w:gridSpan w:val="3"/>
            <w:noWrap w:val="0"/>
            <w:vAlign w:val="center"/>
          </w:tcPr>
          <w:p w14:paraId="532E3F1A">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256E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14:paraId="72F165ED">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897" w:type="dxa"/>
            <w:noWrap w:val="0"/>
            <w:vAlign w:val="center"/>
          </w:tcPr>
          <w:p w14:paraId="3262B8E3">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p>
        </w:tc>
        <w:tc>
          <w:tcPr>
            <w:tcW w:w="2492" w:type="dxa"/>
            <w:gridSpan w:val="2"/>
            <w:noWrap w:val="0"/>
            <w:vAlign w:val="center"/>
          </w:tcPr>
          <w:p w14:paraId="7600BF44">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246" w:type="dxa"/>
            <w:gridSpan w:val="2"/>
            <w:noWrap w:val="0"/>
            <w:vAlign w:val="center"/>
          </w:tcPr>
          <w:p w14:paraId="13409B4D">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电子邮箱</w:t>
            </w:r>
          </w:p>
        </w:tc>
        <w:tc>
          <w:tcPr>
            <w:tcW w:w="2385" w:type="dxa"/>
            <w:gridSpan w:val="3"/>
            <w:noWrap w:val="0"/>
            <w:vAlign w:val="center"/>
          </w:tcPr>
          <w:p w14:paraId="2A5946D5">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3516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600F5E33">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p>
        </w:tc>
        <w:tc>
          <w:tcPr>
            <w:tcW w:w="897" w:type="dxa"/>
            <w:noWrap w:val="0"/>
            <w:vAlign w:val="center"/>
          </w:tcPr>
          <w:p w14:paraId="3E6D29A9">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689" w:type="dxa"/>
            <w:noWrap w:val="0"/>
            <w:vAlign w:val="center"/>
          </w:tcPr>
          <w:p w14:paraId="7444CCA8">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089" w:type="dxa"/>
            <w:gridSpan w:val="2"/>
            <w:noWrap w:val="0"/>
            <w:vAlign w:val="center"/>
          </w:tcPr>
          <w:p w14:paraId="3ABE5209">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20" w:type="dxa"/>
            <w:gridSpan w:val="2"/>
            <w:noWrap w:val="0"/>
            <w:vAlign w:val="center"/>
          </w:tcPr>
          <w:p w14:paraId="79FB6577">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709" w:type="dxa"/>
            <w:noWrap w:val="0"/>
            <w:vAlign w:val="center"/>
          </w:tcPr>
          <w:p w14:paraId="31A0A236">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16" w:type="dxa"/>
            <w:noWrap w:val="0"/>
            <w:vAlign w:val="center"/>
          </w:tcPr>
          <w:p w14:paraId="11B48A9E">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2111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136411CF">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技术负责人</w:t>
            </w:r>
          </w:p>
        </w:tc>
        <w:tc>
          <w:tcPr>
            <w:tcW w:w="897" w:type="dxa"/>
            <w:noWrap w:val="0"/>
            <w:vAlign w:val="center"/>
          </w:tcPr>
          <w:p w14:paraId="77CC68B4">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689" w:type="dxa"/>
            <w:noWrap w:val="0"/>
            <w:vAlign w:val="center"/>
          </w:tcPr>
          <w:p w14:paraId="206797AD">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089" w:type="dxa"/>
            <w:gridSpan w:val="2"/>
            <w:noWrap w:val="0"/>
            <w:vAlign w:val="center"/>
          </w:tcPr>
          <w:p w14:paraId="1E695E65">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20" w:type="dxa"/>
            <w:gridSpan w:val="2"/>
            <w:noWrap w:val="0"/>
            <w:vAlign w:val="center"/>
          </w:tcPr>
          <w:p w14:paraId="6A9D2540">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709" w:type="dxa"/>
            <w:noWrap w:val="0"/>
            <w:vAlign w:val="center"/>
          </w:tcPr>
          <w:p w14:paraId="111EF111">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16" w:type="dxa"/>
            <w:noWrap w:val="0"/>
            <w:vAlign w:val="center"/>
          </w:tcPr>
          <w:p w14:paraId="4CA14122">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70E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7317022E">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成立日期</w:t>
            </w:r>
          </w:p>
        </w:tc>
        <w:tc>
          <w:tcPr>
            <w:tcW w:w="2586" w:type="dxa"/>
            <w:gridSpan w:val="2"/>
            <w:noWrap w:val="0"/>
            <w:vAlign w:val="center"/>
          </w:tcPr>
          <w:p w14:paraId="30F52D6A">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4434" w:type="dxa"/>
            <w:gridSpan w:val="6"/>
            <w:noWrap w:val="0"/>
            <w:vAlign w:val="center"/>
          </w:tcPr>
          <w:p w14:paraId="0229C8BD">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员工总人数（个）：</w:t>
            </w:r>
          </w:p>
        </w:tc>
      </w:tr>
      <w:tr w14:paraId="7E25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0366E1EA">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企业资质</w:t>
            </w:r>
          </w:p>
          <w:p w14:paraId="1FED7F8D">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类型和等级</w:t>
            </w:r>
          </w:p>
        </w:tc>
        <w:tc>
          <w:tcPr>
            <w:tcW w:w="2586" w:type="dxa"/>
            <w:gridSpan w:val="2"/>
            <w:noWrap w:val="0"/>
            <w:vAlign w:val="center"/>
          </w:tcPr>
          <w:p w14:paraId="592E414D">
            <w:pPr>
              <w:pStyle w:val="37"/>
              <w:shd w:val="clear"/>
              <w:wordWrap w:val="0"/>
              <w:adjustRightInd w:val="0"/>
              <w:snapToGrid w:val="0"/>
              <w:jc w:val="left"/>
              <w:rPr>
                <w:rFonts w:hint="eastAsia" w:ascii="宋体" w:hAnsi="宋体" w:eastAsia="宋体" w:cs="宋体"/>
                <w:snapToGrid w:val="0"/>
                <w:color w:val="auto"/>
                <w:kern w:val="0"/>
                <w:szCs w:val="21"/>
                <w:highlight w:val="none"/>
              </w:rPr>
            </w:pPr>
          </w:p>
        </w:tc>
        <w:tc>
          <w:tcPr>
            <w:tcW w:w="1089" w:type="dxa"/>
            <w:gridSpan w:val="2"/>
            <w:vMerge w:val="restart"/>
            <w:noWrap w:val="0"/>
            <w:vAlign w:val="center"/>
          </w:tcPr>
          <w:p w14:paraId="29AFC46D">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其中</w:t>
            </w:r>
          </w:p>
        </w:tc>
        <w:tc>
          <w:tcPr>
            <w:tcW w:w="1929" w:type="dxa"/>
            <w:gridSpan w:val="3"/>
            <w:noWrap w:val="0"/>
            <w:vAlign w:val="center"/>
          </w:tcPr>
          <w:p w14:paraId="5A548242">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各类注册人员</w:t>
            </w:r>
          </w:p>
        </w:tc>
        <w:tc>
          <w:tcPr>
            <w:tcW w:w="1416" w:type="dxa"/>
            <w:noWrap w:val="0"/>
            <w:vAlign w:val="center"/>
          </w:tcPr>
          <w:p w14:paraId="7D2A0008">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26F2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5BE491E2">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营业执照号</w:t>
            </w:r>
          </w:p>
        </w:tc>
        <w:tc>
          <w:tcPr>
            <w:tcW w:w="2586" w:type="dxa"/>
            <w:gridSpan w:val="2"/>
            <w:noWrap w:val="0"/>
            <w:vAlign w:val="center"/>
          </w:tcPr>
          <w:p w14:paraId="46CC57F6">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089" w:type="dxa"/>
            <w:gridSpan w:val="2"/>
            <w:vMerge w:val="continue"/>
            <w:noWrap w:val="0"/>
            <w:vAlign w:val="center"/>
          </w:tcPr>
          <w:p w14:paraId="19D9F00A">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929" w:type="dxa"/>
            <w:gridSpan w:val="3"/>
            <w:noWrap w:val="0"/>
            <w:vAlign w:val="center"/>
          </w:tcPr>
          <w:p w14:paraId="46D04B1B">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高级职称人员</w:t>
            </w:r>
          </w:p>
        </w:tc>
        <w:tc>
          <w:tcPr>
            <w:tcW w:w="1416" w:type="dxa"/>
            <w:noWrap w:val="0"/>
            <w:vAlign w:val="center"/>
          </w:tcPr>
          <w:p w14:paraId="43A9A664">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274A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35A0C2FF">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注册资金</w:t>
            </w:r>
          </w:p>
        </w:tc>
        <w:tc>
          <w:tcPr>
            <w:tcW w:w="2586" w:type="dxa"/>
            <w:gridSpan w:val="2"/>
            <w:noWrap w:val="0"/>
            <w:vAlign w:val="center"/>
          </w:tcPr>
          <w:p w14:paraId="1B543957">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089" w:type="dxa"/>
            <w:gridSpan w:val="2"/>
            <w:vMerge w:val="continue"/>
            <w:noWrap w:val="0"/>
            <w:vAlign w:val="center"/>
          </w:tcPr>
          <w:p w14:paraId="7F4F80EF">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929" w:type="dxa"/>
            <w:gridSpan w:val="3"/>
            <w:noWrap w:val="0"/>
            <w:vAlign w:val="center"/>
          </w:tcPr>
          <w:p w14:paraId="50E5E236">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中级职称人员</w:t>
            </w:r>
          </w:p>
        </w:tc>
        <w:tc>
          <w:tcPr>
            <w:tcW w:w="1416" w:type="dxa"/>
            <w:noWrap w:val="0"/>
            <w:vAlign w:val="center"/>
          </w:tcPr>
          <w:p w14:paraId="64C08E02">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451A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73B4AB75">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基本账户</w:t>
            </w:r>
          </w:p>
          <w:p w14:paraId="294FD2A4">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p>
        </w:tc>
        <w:tc>
          <w:tcPr>
            <w:tcW w:w="2586" w:type="dxa"/>
            <w:gridSpan w:val="2"/>
            <w:noWrap w:val="0"/>
            <w:vAlign w:val="center"/>
          </w:tcPr>
          <w:p w14:paraId="52905E9A">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089" w:type="dxa"/>
            <w:gridSpan w:val="2"/>
            <w:vMerge w:val="continue"/>
            <w:noWrap w:val="0"/>
            <w:vAlign w:val="center"/>
          </w:tcPr>
          <w:p w14:paraId="0ECA23EB">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929" w:type="dxa"/>
            <w:gridSpan w:val="3"/>
            <w:noWrap w:val="0"/>
            <w:vAlign w:val="center"/>
          </w:tcPr>
          <w:p w14:paraId="0DCBBA4F">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初级职称人员</w:t>
            </w:r>
          </w:p>
        </w:tc>
        <w:tc>
          <w:tcPr>
            <w:tcW w:w="1416" w:type="dxa"/>
            <w:noWrap w:val="0"/>
            <w:vAlign w:val="center"/>
          </w:tcPr>
          <w:p w14:paraId="10D6F68F">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2351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3334424A">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基本账户</w:t>
            </w:r>
          </w:p>
          <w:p w14:paraId="09994BF0">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银行账号</w:t>
            </w:r>
          </w:p>
        </w:tc>
        <w:tc>
          <w:tcPr>
            <w:tcW w:w="2586" w:type="dxa"/>
            <w:gridSpan w:val="2"/>
            <w:noWrap w:val="0"/>
            <w:vAlign w:val="center"/>
          </w:tcPr>
          <w:p w14:paraId="7B4C7C67">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089" w:type="dxa"/>
            <w:gridSpan w:val="2"/>
            <w:vMerge w:val="continue"/>
            <w:noWrap w:val="0"/>
            <w:vAlign w:val="center"/>
          </w:tcPr>
          <w:p w14:paraId="79A70B77">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929" w:type="dxa"/>
            <w:gridSpan w:val="3"/>
            <w:noWrap w:val="0"/>
            <w:vAlign w:val="center"/>
          </w:tcPr>
          <w:p w14:paraId="726BEC11">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技术员</w:t>
            </w:r>
          </w:p>
        </w:tc>
        <w:tc>
          <w:tcPr>
            <w:tcW w:w="1416" w:type="dxa"/>
            <w:noWrap w:val="0"/>
            <w:vAlign w:val="center"/>
          </w:tcPr>
          <w:p w14:paraId="502B4FF2">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0AB0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1485" w:type="dxa"/>
            <w:noWrap w:val="0"/>
            <w:vAlign w:val="center"/>
          </w:tcPr>
          <w:p w14:paraId="51E09E92">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经营范围</w:t>
            </w:r>
          </w:p>
        </w:tc>
        <w:tc>
          <w:tcPr>
            <w:tcW w:w="7020" w:type="dxa"/>
            <w:gridSpan w:val="8"/>
            <w:noWrap w:val="0"/>
            <w:vAlign w:val="center"/>
          </w:tcPr>
          <w:p w14:paraId="3DE7E474">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7CE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1485" w:type="dxa"/>
            <w:noWrap w:val="0"/>
            <w:vAlign w:val="center"/>
          </w:tcPr>
          <w:p w14:paraId="6D377C24">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关联企业情况</w:t>
            </w:r>
          </w:p>
        </w:tc>
        <w:tc>
          <w:tcPr>
            <w:tcW w:w="7020" w:type="dxa"/>
            <w:gridSpan w:val="8"/>
            <w:noWrap w:val="0"/>
            <w:vAlign w:val="center"/>
          </w:tcPr>
          <w:p w14:paraId="3F980241">
            <w:pPr>
              <w:pStyle w:val="37"/>
              <w:shd w:val="clea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包括但不限于与投标人存在以下关系的不同单位：</w:t>
            </w:r>
          </w:p>
          <w:p w14:paraId="4F927695">
            <w:pPr>
              <w:pStyle w:val="37"/>
              <w:shd w:val="clea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1．法定代表人为同一人的。</w:t>
            </w:r>
          </w:p>
          <w:p w14:paraId="18B6B5C8">
            <w:pPr>
              <w:pStyle w:val="37"/>
              <w:shd w:val="clea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2．存在控股、管理关系的。</w:t>
            </w:r>
          </w:p>
          <w:p w14:paraId="0FEEDAE9">
            <w:pPr>
              <w:pStyle w:val="37"/>
              <w:shd w:val="clear"/>
              <w:wordWrap w:val="0"/>
              <w:adjustRightInd w:val="0"/>
              <w:snapToGrid w:val="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3．主要人员相互任职的。</w:t>
            </w:r>
          </w:p>
        </w:tc>
      </w:tr>
      <w:tr w14:paraId="69C9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485" w:type="dxa"/>
            <w:noWrap w:val="0"/>
            <w:vAlign w:val="center"/>
          </w:tcPr>
          <w:p w14:paraId="2B53226C">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7020" w:type="dxa"/>
            <w:gridSpan w:val="8"/>
            <w:noWrap w:val="0"/>
            <w:vAlign w:val="center"/>
          </w:tcPr>
          <w:p w14:paraId="75353F92">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bl>
    <w:p w14:paraId="41753153">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14:paraId="002BE794">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1．《投标人基本情况表》后应附以下资料：</w:t>
      </w:r>
    </w:p>
    <w:p w14:paraId="367C64B0">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（1）企业营业执照、资质证书的</w:t>
      </w:r>
      <w:r>
        <w:rPr>
          <w:rFonts w:hint="eastAsia" w:ascii="宋体" w:hAnsi="宋体" w:eastAsia="宋体" w:cs="宋体"/>
          <w:snapToGrid w:val="0"/>
          <w:color w:val="auto"/>
          <w:kern w:val="0"/>
          <w:szCs w:val="21"/>
          <w:highlight w:val="none"/>
          <w:lang w:val="en-US" w:eastAsia="zh-CN"/>
        </w:rPr>
        <w:t>彩色扫描件（因推行电子证照，企业的营业执照、资质证书等可以提供电子证照）</w:t>
      </w:r>
      <w:r>
        <w:rPr>
          <w:rFonts w:hint="eastAsia" w:ascii="宋体" w:hAnsi="宋体" w:eastAsia="宋体" w:cs="宋体"/>
          <w:snapToGrid w:val="0"/>
          <w:color w:val="auto"/>
          <w:kern w:val="0"/>
          <w:szCs w:val="21"/>
          <w:highlight w:val="none"/>
        </w:rPr>
        <w:t>；</w:t>
      </w:r>
    </w:p>
    <w:p w14:paraId="32105227">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highlight w:val="none"/>
        </w:rPr>
        <w:t>“进粤企业和人员诚信信息登记平台”企业信息情况</w:t>
      </w:r>
      <w:r>
        <w:rPr>
          <w:rFonts w:hint="eastAsia" w:ascii="宋体" w:hAnsi="宋体" w:eastAsia="宋体" w:cs="宋体"/>
          <w:snapToGrid w:val="0"/>
          <w:color w:val="auto"/>
          <w:kern w:val="0"/>
          <w:highlight w:val="none"/>
          <w:lang w:val="en-US" w:eastAsia="zh-CN"/>
        </w:rPr>
        <w:t>彩色扫描件</w:t>
      </w:r>
      <w:r>
        <w:rPr>
          <w:rFonts w:hint="eastAsia" w:ascii="宋体" w:hAnsi="宋体" w:eastAsia="宋体" w:cs="宋体"/>
          <w:snapToGrid w:val="0"/>
          <w:color w:val="auto"/>
          <w:kern w:val="0"/>
          <w:highlight w:val="none"/>
        </w:rPr>
        <w:t>。（适用于省外企业）</w:t>
      </w:r>
      <w:r>
        <w:rPr>
          <w:rFonts w:hint="eastAsia" w:ascii="宋体" w:hAnsi="宋体" w:eastAsia="宋体" w:cs="宋体"/>
          <w:snapToGrid w:val="0"/>
          <w:color w:val="auto"/>
          <w:kern w:val="0"/>
          <w:szCs w:val="21"/>
          <w:highlight w:val="none"/>
        </w:rPr>
        <w:t>；</w:t>
      </w:r>
    </w:p>
    <w:p w14:paraId="0EDC66ED">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法人和非法人组织公共信用信息报告</w:t>
      </w:r>
      <w:r>
        <w:rPr>
          <w:rFonts w:hint="eastAsia" w:ascii="宋体" w:hAnsi="宋体" w:eastAsia="宋体" w:cs="宋体"/>
          <w:snapToGrid w:val="0"/>
          <w:color w:val="auto"/>
          <w:kern w:val="0"/>
          <w:szCs w:val="21"/>
          <w:highlight w:val="none"/>
        </w:rPr>
        <w:t>》(在“信用中国”网站企业查询界面中下载)。</w:t>
      </w:r>
    </w:p>
    <w:p w14:paraId="5FCDEFD0">
      <w:pPr>
        <w:pStyle w:val="5"/>
        <w:keepNext w:val="0"/>
        <w:keepLines w:val="0"/>
        <w:widowControl w:val="0"/>
        <w:shd w:val="clear"/>
        <w:wordWrap w:val="0"/>
        <w:adjustRightInd w:val="0"/>
        <w:snapToGrid w:val="0"/>
        <w:spacing w:before="0" w:after="0" w:line="440" w:lineRule="exact"/>
        <w:ind w:firstLine="0"/>
        <w:jc w:val="left"/>
        <w:rPr>
          <w:rFonts w:hint="eastAsia" w:ascii="宋体" w:hAnsi="宋体" w:eastAsia="宋体" w:cs="宋体"/>
          <w:b/>
          <w:snapToGrid w:val="0"/>
          <w:color w:val="auto"/>
          <w:highlight w:val="none"/>
        </w:rPr>
      </w:pPr>
      <w:bookmarkStart w:id="500" w:name="_Toc35334265"/>
      <w:r>
        <w:rPr>
          <w:rFonts w:hint="eastAsia" w:ascii="宋体" w:hAnsi="宋体" w:eastAsia="宋体" w:cs="宋体"/>
          <w:b/>
          <w:snapToGrid w:val="0"/>
          <w:color w:val="auto"/>
          <w:highlight w:val="none"/>
        </w:rPr>
        <w:br w:type="page"/>
      </w:r>
      <w:bookmarkStart w:id="501" w:name="_Toc6825"/>
      <w:r>
        <w:rPr>
          <w:rFonts w:hint="eastAsia" w:ascii="宋体" w:hAnsi="宋体" w:eastAsia="宋体" w:cs="宋体"/>
          <w:b/>
          <w:snapToGrid w:val="0"/>
          <w:color w:val="auto"/>
          <w:highlight w:val="none"/>
        </w:rPr>
        <w:t>格式七 总监理工程师任职声明（适用于无任职项目）</w:t>
      </w:r>
      <w:bookmarkEnd w:id="500"/>
      <w:bookmarkEnd w:id="501"/>
    </w:p>
    <w:p w14:paraId="42FC2D0D">
      <w:pPr>
        <w:shd w:val="clear"/>
        <w:rPr>
          <w:rFonts w:hint="eastAsia" w:ascii="宋体" w:hAnsi="宋体" w:eastAsia="宋体" w:cs="宋体"/>
          <w:color w:val="auto"/>
          <w:highlight w:val="none"/>
        </w:rPr>
      </w:pPr>
    </w:p>
    <w:p w14:paraId="6DA9B88D">
      <w:pPr>
        <w:shd w:val="clear"/>
        <w:wordWrap w:val="0"/>
        <w:adjustRightInd w:val="0"/>
        <w:snapToGrid w:val="0"/>
        <w:spacing w:before="260" w:after="260" w:line="440" w:lineRule="exact"/>
        <w:jc w:val="center"/>
        <w:rPr>
          <w:rFonts w:hint="eastAsia" w:ascii="宋体" w:hAnsi="宋体" w:eastAsia="宋体" w:cs="宋体"/>
          <w:snapToGrid w:val="0"/>
          <w:color w:val="auto"/>
          <w:kern w:val="0"/>
          <w:szCs w:val="28"/>
          <w:highlight w:val="none"/>
        </w:rPr>
      </w:pPr>
      <w:r>
        <w:rPr>
          <w:rFonts w:hint="eastAsia" w:ascii="宋体" w:hAnsi="宋体" w:eastAsia="宋体" w:cs="宋体"/>
          <w:b/>
          <w:snapToGrid w:val="0"/>
          <w:color w:val="auto"/>
          <w:kern w:val="0"/>
          <w:sz w:val="30"/>
          <w:highlight w:val="none"/>
        </w:rPr>
        <w:t>总监理工程师任职声明</w:t>
      </w:r>
    </w:p>
    <w:p w14:paraId="09D332C9">
      <w:pPr>
        <w:shd w:val="clear"/>
        <w:wordWrap w:val="0"/>
        <w:adjustRightInd w:val="0"/>
        <w:snapToGrid w:val="0"/>
        <w:spacing w:line="440" w:lineRule="exact"/>
        <w:jc w:val="center"/>
        <w:rPr>
          <w:rFonts w:hint="eastAsia" w:ascii="宋体" w:hAnsi="宋体" w:eastAsia="宋体" w:cs="宋体"/>
          <w:snapToGrid w:val="0"/>
          <w:color w:val="auto"/>
          <w:kern w:val="0"/>
          <w:szCs w:val="28"/>
          <w:highlight w:val="none"/>
        </w:rPr>
      </w:pPr>
    </w:p>
    <w:p w14:paraId="40C595FA">
      <w:pPr>
        <w:shd w:val="clear"/>
        <w:wordWrap w:val="0"/>
        <w:adjustRightInd w:val="0"/>
        <w:snapToGrid w:val="0"/>
        <w:spacing w:line="44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（招标人名称）：</w:t>
      </w:r>
    </w:p>
    <w:p w14:paraId="45F427F8">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我方在此声明，我方拟派往</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szCs w:val="24"/>
          <w:highlight w:val="none"/>
          <w:u w:val="single"/>
        </w:rPr>
        <w:t xml:space="preserve">     （项目名称）</w:t>
      </w:r>
      <w:r>
        <w:rPr>
          <w:rFonts w:hint="eastAsia" w:ascii="宋体" w:hAnsi="宋体" w:eastAsia="宋体" w:cs="宋体"/>
          <w:snapToGrid w:val="0"/>
          <w:color w:val="auto"/>
          <w:szCs w:val="24"/>
          <w:highlight w:val="none"/>
          <w:u w:val="single"/>
          <w:lang w:val="en-US" w:eastAsia="zh-CN"/>
        </w:rPr>
        <w:t xml:space="preserve">     </w:t>
      </w:r>
      <w:r>
        <w:rPr>
          <w:rFonts w:hint="eastAsia" w:ascii="宋体" w:hAnsi="宋体" w:eastAsia="宋体" w:cs="宋体"/>
          <w:snapToGrid w:val="0"/>
          <w:color w:val="auto"/>
          <w:kern w:val="0"/>
          <w:szCs w:val="28"/>
          <w:highlight w:val="none"/>
        </w:rPr>
        <w:t>（以下简称“本工程”）的总监理工程师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（总监理工程师姓名）现阶段未担任任何在施（包括已中标未开工、已开工未竣工）建设工程项目的总监理工程师。</w:t>
      </w:r>
    </w:p>
    <w:p w14:paraId="14473853">
      <w:pPr>
        <w:shd w:val="clear"/>
        <w:wordWrap w:val="0"/>
        <w:adjustRightInd w:val="0"/>
        <w:snapToGrid w:val="0"/>
        <w:spacing w:line="440" w:lineRule="exact"/>
        <w:ind w:firstLine="48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我方保证上述信息的真实和准确，并愿意承担因我方就此弄虚作假所引起的一切法律后果。</w:t>
      </w:r>
    </w:p>
    <w:p w14:paraId="40D9C043">
      <w:pPr>
        <w:shd w:val="clear"/>
        <w:wordWrap w:val="0"/>
        <w:adjustRightInd w:val="0"/>
        <w:snapToGrid w:val="0"/>
        <w:spacing w:line="440" w:lineRule="exact"/>
        <w:ind w:firstLine="48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14:paraId="055C51FA">
      <w:pPr>
        <w:shd w:val="clear"/>
        <w:wordWrap w:val="0"/>
        <w:adjustRightInd w:val="0"/>
        <w:snapToGrid w:val="0"/>
        <w:spacing w:line="44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特此承诺　　</w:t>
      </w:r>
    </w:p>
    <w:p w14:paraId="310C4A4E">
      <w:pPr>
        <w:shd w:val="clear"/>
        <w:wordWrap w:val="0"/>
        <w:adjustRightInd w:val="0"/>
        <w:snapToGrid w:val="0"/>
        <w:spacing w:line="44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14:paraId="456001F0">
      <w:pPr>
        <w:shd w:val="clear"/>
        <w:wordWrap w:val="0"/>
        <w:adjustRightInd w:val="0"/>
        <w:snapToGrid w:val="0"/>
        <w:spacing w:line="44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14:paraId="62263D04">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投标人：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p>
    <w:p w14:paraId="1B4BE387">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p>
    <w:p w14:paraId="79876A66">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p>
    <w:p w14:paraId="7E7B766C">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法定代表人或其委托代理人：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（签字或盖章）</w:t>
      </w:r>
    </w:p>
    <w:p w14:paraId="002408EE">
      <w:pPr>
        <w:pStyle w:val="33"/>
        <w:shd w:val="clear"/>
        <w:rPr>
          <w:rFonts w:hint="eastAsia" w:ascii="宋体" w:hAnsi="宋体" w:eastAsia="宋体" w:cs="宋体"/>
          <w:color w:val="auto"/>
          <w:highlight w:val="none"/>
        </w:rPr>
      </w:pPr>
    </w:p>
    <w:p w14:paraId="0F97939A">
      <w:pPr>
        <w:pStyle w:val="33"/>
        <w:shd w:val="clear"/>
        <w:rPr>
          <w:rFonts w:hint="eastAsia" w:ascii="宋体" w:hAnsi="宋体" w:eastAsia="宋体" w:cs="宋体"/>
          <w:color w:val="auto"/>
          <w:highlight w:val="none"/>
        </w:rPr>
      </w:pPr>
      <w:r>
        <w:rPr>
          <w:rFonts w:hint="eastAsia" w:ascii="宋体" w:hAnsi="宋体" w:eastAsia="宋体" w:cs="宋体"/>
          <w:b w:val="0"/>
          <w:snapToGrid w:val="0"/>
          <w:color w:val="auto"/>
          <w:kern w:val="0"/>
          <w:szCs w:val="28"/>
          <w:highlight w:val="none"/>
        </w:rPr>
        <w:t xml:space="preserve">        </w:t>
      </w:r>
    </w:p>
    <w:p w14:paraId="1A88CF51">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p>
    <w:p w14:paraId="589731D3">
      <w:pPr>
        <w:shd w:val="clear"/>
        <w:wordWrap w:val="0"/>
        <w:adjustRightInd w:val="0"/>
        <w:snapToGrid w:val="0"/>
        <w:spacing w:line="440" w:lineRule="exact"/>
        <w:jc w:val="center"/>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日</w:t>
      </w:r>
    </w:p>
    <w:p w14:paraId="4109FB09">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sectPr>
          <w:endnotePr>
            <w:numFmt w:val="decimal"/>
          </w:endnotePr>
          <w:pgSz w:w="11906" w:h="16838"/>
          <w:pgMar w:top="1440" w:right="1080" w:bottom="1440" w:left="1080" w:header="850" w:footer="992" w:gutter="0"/>
          <w:cols w:space="720" w:num="1"/>
          <w:docGrid w:linePitch="327" w:charSpace="0"/>
        </w:sectPr>
      </w:pPr>
    </w:p>
    <w:p w14:paraId="1CBC0DFC">
      <w:pPr>
        <w:pStyle w:val="5"/>
        <w:keepNext w:val="0"/>
        <w:keepLines w:val="0"/>
        <w:widowControl w:val="0"/>
        <w:shd w:val="clear"/>
        <w:wordWrap w:val="0"/>
        <w:adjustRightInd w:val="0"/>
        <w:snapToGrid w:val="0"/>
        <w:spacing w:before="0" w:after="0" w:line="440" w:lineRule="exact"/>
        <w:ind w:firstLine="0"/>
        <w:jc w:val="left"/>
        <w:rPr>
          <w:rFonts w:hint="eastAsia" w:ascii="宋体" w:hAnsi="宋体" w:eastAsia="宋体" w:cs="宋体"/>
          <w:b/>
          <w:snapToGrid w:val="0"/>
          <w:color w:val="auto"/>
          <w:highlight w:val="none"/>
        </w:rPr>
      </w:pPr>
      <w:bookmarkStart w:id="502" w:name="_Toc35334266"/>
      <w:bookmarkStart w:id="503" w:name="_Toc14937"/>
      <w:r>
        <w:rPr>
          <w:rFonts w:hint="eastAsia" w:ascii="宋体" w:hAnsi="宋体" w:eastAsia="宋体" w:cs="宋体"/>
          <w:b/>
          <w:snapToGrid w:val="0"/>
          <w:color w:val="auto"/>
          <w:highlight w:val="none"/>
        </w:rPr>
        <w:t>格式八 总监理工程师任职声明（适用于有任职项目）</w:t>
      </w:r>
      <w:bookmarkEnd w:id="502"/>
      <w:bookmarkEnd w:id="503"/>
    </w:p>
    <w:p w14:paraId="0536F1C1">
      <w:pPr>
        <w:shd w:val="clear"/>
        <w:rPr>
          <w:rFonts w:hint="eastAsia" w:ascii="宋体" w:hAnsi="宋体" w:eastAsia="宋体" w:cs="宋体"/>
          <w:color w:val="auto"/>
          <w:highlight w:val="none"/>
        </w:rPr>
      </w:pPr>
    </w:p>
    <w:p w14:paraId="28B7C07F">
      <w:pPr>
        <w:shd w:val="clear"/>
        <w:wordWrap w:val="0"/>
        <w:adjustRightInd w:val="0"/>
        <w:snapToGrid w:val="0"/>
        <w:spacing w:before="260" w:after="260" w:line="440" w:lineRule="exact"/>
        <w:jc w:val="center"/>
        <w:rPr>
          <w:rFonts w:hint="eastAsia" w:ascii="宋体" w:hAnsi="宋体" w:eastAsia="宋体" w:cs="宋体"/>
          <w:snapToGrid w:val="0"/>
          <w:color w:val="auto"/>
          <w:kern w:val="0"/>
          <w:szCs w:val="28"/>
          <w:highlight w:val="none"/>
        </w:rPr>
      </w:pPr>
      <w:r>
        <w:rPr>
          <w:rFonts w:hint="eastAsia" w:ascii="宋体" w:hAnsi="宋体" w:eastAsia="宋体" w:cs="宋体"/>
          <w:b/>
          <w:snapToGrid w:val="0"/>
          <w:color w:val="auto"/>
          <w:kern w:val="0"/>
          <w:sz w:val="30"/>
          <w:highlight w:val="none"/>
        </w:rPr>
        <w:t>总监理工程师任职声明</w:t>
      </w:r>
    </w:p>
    <w:p w14:paraId="421CB9C7">
      <w:pPr>
        <w:shd w:val="clear"/>
        <w:wordWrap w:val="0"/>
        <w:adjustRightInd w:val="0"/>
        <w:snapToGrid w:val="0"/>
        <w:spacing w:line="440" w:lineRule="exact"/>
        <w:jc w:val="center"/>
        <w:rPr>
          <w:rFonts w:hint="eastAsia" w:ascii="宋体" w:hAnsi="宋体" w:eastAsia="宋体" w:cs="宋体"/>
          <w:snapToGrid w:val="0"/>
          <w:color w:val="auto"/>
          <w:kern w:val="0"/>
          <w:szCs w:val="28"/>
          <w:highlight w:val="none"/>
        </w:rPr>
      </w:pPr>
    </w:p>
    <w:p w14:paraId="484C3E06">
      <w:pPr>
        <w:shd w:val="clear"/>
        <w:wordWrap w:val="0"/>
        <w:adjustRightInd w:val="0"/>
        <w:snapToGrid w:val="0"/>
        <w:spacing w:line="44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（招标人名称）：</w:t>
      </w:r>
    </w:p>
    <w:p w14:paraId="21002E84">
      <w:pPr>
        <w:shd w:val="clear"/>
        <w:wordWrap w:val="0"/>
        <w:adjustRightInd w:val="0"/>
        <w:snapToGrid w:val="0"/>
        <w:spacing w:line="440" w:lineRule="exact"/>
        <w:ind w:firstLine="48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我方在此声明，我方拟派往</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szCs w:val="24"/>
          <w:highlight w:val="none"/>
          <w:u w:val="single"/>
        </w:rPr>
        <w:t xml:space="preserve">     </w:t>
      </w:r>
      <w:r>
        <w:rPr>
          <w:rFonts w:hint="eastAsia" w:ascii="宋体" w:hAnsi="宋体" w:eastAsia="宋体" w:cs="宋体"/>
          <w:snapToGrid w:val="0"/>
          <w:color w:val="auto"/>
          <w:szCs w:val="24"/>
          <w:highlight w:val="none"/>
        </w:rPr>
        <w:t>（项目名称）</w:t>
      </w:r>
      <w:r>
        <w:rPr>
          <w:rFonts w:hint="eastAsia" w:ascii="宋体" w:hAnsi="宋体" w:eastAsia="宋体" w:cs="宋体"/>
          <w:snapToGrid w:val="0"/>
          <w:color w:val="auto"/>
          <w:kern w:val="0"/>
          <w:szCs w:val="28"/>
          <w:highlight w:val="none"/>
        </w:rPr>
        <w:t>的总监理工程师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（总监理工程师姓名）现阶段正在担任</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个在施（包括已中标未开工、已开工未竣工）建设工程项目的总监理工程师，具体情况详见《总监理工程师任职项目情况表》。</w:t>
      </w:r>
    </w:p>
    <w:p w14:paraId="698A8270">
      <w:pPr>
        <w:shd w:val="clear"/>
        <w:wordWrap w:val="0"/>
        <w:adjustRightInd w:val="0"/>
        <w:snapToGrid w:val="0"/>
        <w:spacing w:line="440" w:lineRule="exact"/>
        <w:ind w:firstLine="48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我方保证上述信息的真实和准确，并愿意承担因我方就此弄虚作假所引起的一切法律后果。</w:t>
      </w:r>
    </w:p>
    <w:p w14:paraId="4D6BF978">
      <w:pPr>
        <w:shd w:val="clear"/>
        <w:wordWrap w:val="0"/>
        <w:adjustRightInd w:val="0"/>
        <w:snapToGrid w:val="0"/>
        <w:spacing w:line="440" w:lineRule="exact"/>
        <w:ind w:firstLine="48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14:paraId="40C7D652">
      <w:pPr>
        <w:shd w:val="clear"/>
        <w:wordWrap w:val="0"/>
        <w:adjustRightInd w:val="0"/>
        <w:snapToGrid w:val="0"/>
        <w:spacing w:line="440" w:lineRule="exact"/>
        <w:ind w:firstLine="48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特此承诺</w:t>
      </w:r>
    </w:p>
    <w:p w14:paraId="31107107">
      <w:pPr>
        <w:shd w:val="clear"/>
        <w:wordWrap w:val="0"/>
        <w:adjustRightInd w:val="0"/>
        <w:snapToGrid w:val="0"/>
        <w:spacing w:line="440" w:lineRule="exact"/>
        <w:ind w:firstLine="480"/>
        <w:rPr>
          <w:rFonts w:hint="eastAsia" w:ascii="宋体" w:hAnsi="宋体" w:eastAsia="宋体" w:cs="宋体"/>
          <w:snapToGrid w:val="0"/>
          <w:color w:val="auto"/>
          <w:kern w:val="0"/>
          <w:szCs w:val="28"/>
          <w:highlight w:val="none"/>
        </w:rPr>
      </w:pPr>
    </w:p>
    <w:p w14:paraId="28FD2C16">
      <w:pPr>
        <w:shd w:val="clear"/>
        <w:wordWrap w:val="0"/>
        <w:adjustRightInd w:val="0"/>
        <w:snapToGrid w:val="0"/>
        <w:spacing w:line="44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w:t>
      </w:r>
    </w:p>
    <w:p w14:paraId="5FD73CFF">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投标人：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p>
    <w:p w14:paraId="634CA83D">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p>
    <w:p w14:paraId="346D3642">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p>
    <w:p w14:paraId="6362FE15">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法定代表人或其委托代理人：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（签字或盖章）</w:t>
      </w:r>
    </w:p>
    <w:p w14:paraId="6A963C3B">
      <w:pPr>
        <w:pStyle w:val="33"/>
        <w:shd w:val="clear"/>
        <w:rPr>
          <w:rFonts w:hint="eastAsia" w:ascii="宋体" w:hAnsi="宋体" w:eastAsia="宋体" w:cs="宋体"/>
          <w:b w:val="0"/>
          <w:color w:val="auto"/>
          <w:highlight w:val="none"/>
        </w:rPr>
      </w:pPr>
    </w:p>
    <w:p w14:paraId="44C7BD07">
      <w:pPr>
        <w:pStyle w:val="33"/>
        <w:shd w:val="clear"/>
        <w:rPr>
          <w:rFonts w:hint="eastAsia" w:ascii="宋体" w:hAnsi="宋体" w:eastAsia="宋体" w:cs="宋体"/>
          <w:b w:val="0"/>
          <w:color w:val="auto"/>
          <w:highlight w:val="none"/>
        </w:rPr>
      </w:pPr>
      <w:r>
        <w:rPr>
          <w:rFonts w:hint="eastAsia" w:ascii="宋体" w:hAnsi="宋体" w:eastAsia="宋体" w:cs="宋体"/>
          <w:b w:val="0"/>
          <w:snapToGrid w:val="0"/>
          <w:color w:val="auto"/>
          <w:kern w:val="0"/>
          <w:szCs w:val="28"/>
          <w:highlight w:val="none"/>
        </w:rPr>
        <w:t xml:space="preserve">                       </w:t>
      </w:r>
    </w:p>
    <w:p w14:paraId="29D18838">
      <w:pPr>
        <w:shd w:val="clear"/>
        <w:wordWrap w:val="0"/>
        <w:adjustRightInd w:val="0"/>
        <w:snapToGrid w:val="0"/>
        <w:spacing w:line="440" w:lineRule="exact"/>
        <w:jc w:val="right"/>
        <w:rPr>
          <w:rFonts w:hint="eastAsia" w:ascii="宋体" w:hAnsi="宋体" w:eastAsia="宋体" w:cs="宋体"/>
          <w:snapToGrid w:val="0"/>
          <w:color w:val="auto"/>
          <w:kern w:val="0"/>
          <w:szCs w:val="28"/>
          <w:highlight w:val="none"/>
        </w:rPr>
      </w:pPr>
    </w:p>
    <w:p w14:paraId="2686D162">
      <w:pPr>
        <w:shd w:val="clear"/>
        <w:wordWrap w:val="0"/>
        <w:adjustRightInd w:val="0"/>
        <w:snapToGrid w:val="0"/>
        <w:spacing w:line="440" w:lineRule="exact"/>
        <w:jc w:val="center"/>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月</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日</w:t>
      </w:r>
    </w:p>
    <w:p w14:paraId="31C66293">
      <w:pPr>
        <w:shd w:val="clear"/>
        <w:wordWrap w:val="0"/>
        <w:adjustRightInd w:val="0"/>
        <w:snapToGrid w:val="0"/>
        <w:spacing w:line="440" w:lineRule="exact"/>
        <w:jc w:val="center"/>
        <w:rPr>
          <w:rFonts w:hint="eastAsia" w:ascii="宋体" w:hAnsi="宋体" w:eastAsia="宋体" w:cs="宋体"/>
          <w:snapToGrid w:val="0"/>
          <w:color w:val="auto"/>
          <w:kern w:val="0"/>
          <w:szCs w:val="28"/>
          <w:highlight w:val="none"/>
        </w:rPr>
      </w:pPr>
    </w:p>
    <w:p w14:paraId="3DC161C4">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sectPr>
          <w:endnotePr>
            <w:numFmt w:val="decimal"/>
          </w:endnotePr>
          <w:pgSz w:w="11906" w:h="16838"/>
          <w:pgMar w:top="1440" w:right="1080" w:bottom="1440" w:left="1080" w:header="850" w:footer="992" w:gutter="0"/>
          <w:cols w:space="720" w:num="1"/>
          <w:docGrid w:linePitch="327" w:charSpace="0"/>
        </w:sectPr>
      </w:pPr>
    </w:p>
    <w:p w14:paraId="43505798">
      <w:pPr>
        <w:pStyle w:val="5"/>
        <w:keepNext w:val="0"/>
        <w:keepLines w:val="0"/>
        <w:widowControl w:val="0"/>
        <w:shd w:val="clear"/>
        <w:wordWrap w:val="0"/>
        <w:adjustRightInd w:val="0"/>
        <w:snapToGrid w:val="0"/>
        <w:spacing w:before="0" w:after="0" w:line="440" w:lineRule="exact"/>
        <w:ind w:firstLine="0"/>
        <w:jc w:val="left"/>
        <w:rPr>
          <w:rFonts w:hint="eastAsia" w:ascii="宋体" w:hAnsi="宋体" w:eastAsia="宋体" w:cs="宋体"/>
          <w:b/>
          <w:snapToGrid w:val="0"/>
          <w:color w:val="auto"/>
          <w:highlight w:val="none"/>
        </w:rPr>
      </w:pPr>
      <w:bookmarkStart w:id="504" w:name="_Toc35334267"/>
      <w:bookmarkStart w:id="505" w:name="_Toc5652"/>
      <w:r>
        <w:rPr>
          <w:rFonts w:hint="eastAsia" w:ascii="宋体" w:hAnsi="宋体" w:eastAsia="宋体" w:cs="宋体"/>
          <w:b/>
          <w:snapToGrid w:val="0"/>
          <w:color w:val="auto"/>
          <w:highlight w:val="none"/>
        </w:rPr>
        <w:t>格式九 总监理工程师任职项目情况表</w:t>
      </w:r>
      <w:bookmarkEnd w:id="504"/>
      <w:bookmarkEnd w:id="505"/>
    </w:p>
    <w:p w14:paraId="6AF3BAAA">
      <w:pPr>
        <w:shd w:val="clear"/>
        <w:rPr>
          <w:rFonts w:hint="eastAsia" w:ascii="宋体" w:hAnsi="宋体" w:eastAsia="宋体" w:cs="宋体"/>
          <w:color w:val="auto"/>
          <w:highlight w:val="none"/>
        </w:rPr>
      </w:pPr>
    </w:p>
    <w:p w14:paraId="0AAC4BDC">
      <w:pPr>
        <w:pStyle w:val="49"/>
        <w:widowControl w:val="0"/>
        <w:shd w:val="clear"/>
        <w:wordWrap w:val="0"/>
        <w:adjustRightInd w:val="0"/>
        <w:snapToGrid w:val="0"/>
        <w:spacing w:before="260" w:after="260" w:line="400" w:lineRule="exact"/>
        <w:ind w:firstLine="0"/>
        <w:jc w:val="center"/>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30"/>
          <w:highlight w:val="none"/>
        </w:rPr>
        <w:t xml:space="preserve"> 总监理工程师任职项目情况表（）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14:paraId="45C4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064E2F54">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项目名称</w:t>
            </w:r>
          </w:p>
        </w:tc>
        <w:tc>
          <w:tcPr>
            <w:tcW w:w="2771" w:type="dxa"/>
            <w:noWrap w:val="0"/>
            <w:vAlign w:val="center"/>
          </w:tcPr>
          <w:p w14:paraId="6E928E0C">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635" w:type="dxa"/>
            <w:noWrap w:val="0"/>
            <w:vAlign w:val="center"/>
          </w:tcPr>
          <w:p w14:paraId="3C2A015D">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项目所在地</w:t>
            </w:r>
          </w:p>
        </w:tc>
        <w:tc>
          <w:tcPr>
            <w:tcW w:w="2594" w:type="dxa"/>
            <w:noWrap w:val="0"/>
            <w:vAlign w:val="center"/>
          </w:tcPr>
          <w:p w14:paraId="32B3B150">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529D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0D6826A5">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委托人名称</w:t>
            </w:r>
          </w:p>
        </w:tc>
        <w:tc>
          <w:tcPr>
            <w:tcW w:w="2771" w:type="dxa"/>
            <w:noWrap w:val="0"/>
            <w:vAlign w:val="center"/>
          </w:tcPr>
          <w:p w14:paraId="45A7F3D6">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635" w:type="dxa"/>
            <w:noWrap w:val="0"/>
            <w:vAlign w:val="center"/>
          </w:tcPr>
          <w:p w14:paraId="163755AD">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委托人地址</w:t>
            </w:r>
          </w:p>
        </w:tc>
        <w:tc>
          <w:tcPr>
            <w:tcW w:w="2594" w:type="dxa"/>
            <w:noWrap w:val="0"/>
            <w:vAlign w:val="center"/>
          </w:tcPr>
          <w:p w14:paraId="281236CC">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24EC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37D95D11">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委托人电话</w:t>
            </w:r>
          </w:p>
        </w:tc>
        <w:tc>
          <w:tcPr>
            <w:tcW w:w="2771" w:type="dxa"/>
            <w:noWrap w:val="0"/>
            <w:vAlign w:val="center"/>
          </w:tcPr>
          <w:p w14:paraId="1F9E2966">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635" w:type="dxa"/>
            <w:noWrap w:val="0"/>
            <w:vAlign w:val="center"/>
          </w:tcPr>
          <w:p w14:paraId="68F29A50">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总监理工程师</w:t>
            </w:r>
          </w:p>
        </w:tc>
        <w:tc>
          <w:tcPr>
            <w:tcW w:w="2594" w:type="dxa"/>
            <w:noWrap w:val="0"/>
            <w:vAlign w:val="center"/>
          </w:tcPr>
          <w:p w14:paraId="6B173CCA">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5B5D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65237715">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监理服务期限</w:t>
            </w:r>
          </w:p>
        </w:tc>
        <w:tc>
          <w:tcPr>
            <w:tcW w:w="2771" w:type="dxa"/>
            <w:noWrap w:val="0"/>
            <w:vAlign w:val="center"/>
          </w:tcPr>
          <w:p w14:paraId="030AB09D">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c>
          <w:tcPr>
            <w:tcW w:w="1635" w:type="dxa"/>
            <w:noWrap w:val="0"/>
            <w:vAlign w:val="center"/>
          </w:tcPr>
          <w:p w14:paraId="6DBB3819">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监理内容</w:t>
            </w:r>
          </w:p>
        </w:tc>
        <w:tc>
          <w:tcPr>
            <w:tcW w:w="2594" w:type="dxa"/>
            <w:noWrap w:val="0"/>
            <w:vAlign w:val="center"/>
          </w:tcPr>
          <w:p w14:paraId="2E6A82F9">
            <w:pPr>
              <w:pStyle w:val="37"/>
              <w:shd w:val="clear"/>
              <w:wordWrap w:val="0"/>
              <w:adjustRightInd w:val="0"/>
              <w:snapToGrid w:val="0"/>
              <w:jc w:val="center"/>
              <w:rPr>
                <w:rFonts w:hint="eastAsia" w:ascii="宋体" w:hAnsi="宋体" w:eastAsia="宋体" w:cs="宋体"/>
                <w:snapToGrid w:val="0"/>
                <w:color w:val="auto"/>
                <w:kern w:val="0"/>
                <w:szCs w:val="21"/>
                <w:highlight w:val="none"/>
              </w:rPr>
            </w:pPr>
          </w:p>
        </w:tc>
      </w:tr>
      <w:tr w14:paraId="5BF3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noWrap w:val="0"/>
            <w:vAlign w:val="center"/>
          </w:tcPr>
          <w:p w14:paraId="35E56317">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项目描述</w:t>
            </w:r>
          </w:p>
        </w:tc>
        <w:tc>
          <w:tcPr>
            <w:tcW w:w="7000" w:type="dxa"/>
            <w:gridSpan w:val="3"/>
            <w:noWrap w:val="0"/>
            <w:vAlign w:val="center"/>
          </w:tcPr>
          <w:p w14:paraId="6E97CB5C">
            <w:pPr>
              <w:pStyle w:val="37"/>
              <w:shd w:val="clear"/>
              <w:wordWrap w:val="0"/>
              <w:adjustRightInd w:val="0"/>
              <w:snapToGrid w:val="0"/>
              <w:jc w:val="left"/>
              <w:rPr>
                <w:rFonts w:hint="eastAsia" w:ascii="宋体" w:hAnsi="宋体" w:eastAsia="宋体" w:cs="宋体"/>
                <w:snapToGrid w:val="0"/>
                <w:color w:val="auto"/>
                <w:kern w:val="0"/>
                <w:szCs w:val="21"/>
                <w:highlight w:val="none"/>
              </w:rPr>
            </w:pPr>
          </w:p>
        </w:tc>
      </w:tr>
      <w:tr w14:paraId="3330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center"/>
          </w:tcPr>
          <w:p w14:paraId="66023CB5">
            <w:pPr>
              <w:pStyle w:val="37"/>
              <w:shd w:val="clear"/>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委托人声明</w:t>
            </w:r>
          </w:p>
        </w:tc>
        <w:tc>
          <w:tcPr>
            <w:tcW w:w="7000" w:type="dxa"/>
            <w:gridSpan w:val="3"/>
            <w:noWrap w:val="0"/>
            <w:vAlign w:val="center"/>
          </w:tcPr>
          <w:p w14:paraId="6CD58D84">
            <w:pPr>
              <w:pStyle w:val="37"/>
              <w:shd w:val="clear"/>
              <w:adjustRightInd w:val="0"/>
              <w:snapToGrid w:val="0"/>
              <w:spacing w:line="360" w:lineRule="auto"/>
              <w:rPr>
                <w:rFonts w:hint="eastAsia" w:ascii="宋体" w:hAnsi="宋体" w:eastAsia="宋体" w:cs="宋体"/>
                <w:snapToGrid w:val="0"/>
                <w:color w:val="auto"/>
                <w:kern w:val="0"/>
                <w:szCs w:val="21"/>
                <w:highlight w:val="none"/>
              </w:rPr>
            </w:pPr>
          </w:p>
          <w:p w14:paraId="4C379DFA">
            <w:pPr>
              <w:pStyle w:val="37"/>
              <w:shd w:val="clear"/>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（本招标项目招标人名称）</w:t>
            </w:r>
          </w:p>
          <w:p w14:paraId="0FE8E49F">
            <w:pPr>
              <w:pStyle w:val="37"/>
              <w:shd w:val="clear"/>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我方在此声明：</w:t>
            </w:r>
          </w:p>
          <w:p w14:paraId="5450B6CB">
            <w:pPr>
              <w:pStyle w:val="37"/>
              <w:shd w:val="clear"/>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一、在</w:t>
            </w:r>
            <w:r>
              <w:rPr>
                <w:rFonts w:hint="eastAsia" w:ascii="宋体" w:hAnsi="宋体" w:eastAsia="宋体" w:cs="宋体"/>
                <w:snapToGrid w:val="0"/>
                <w:color w:val="auto"/>
                <w:kern w:val="0"/>
                <w:szCs w:val="21"/>
                <w:highlight w:val="none"/>
                <w:u w:val="single"/>
              </w:rPr>
              <w:t xml:space="preserve"> （拟派总监姓名） </w:t>
            </w:r>
            <w:r>
              <w:rPr>
                <w:rFonts w:hint="eastAsia" w:ascii="宋体" w:hAnsi="宋体" w:eastAsia="宋体" w:cs="宋体"/>
                <w:snapToGrid w:val="0"/>
                <w:color w:val="auto"/>
                <w:kern w:val="0"/>
                <w:szCs w:val="21"/>
                <w:highlight w:val="none"/>
              </w:rPr>
              <w:t>同志任我方在施项目总监理工程师期间，如果</w:t>
            </w:r>
            <w:r>
              <w:rPr>
                <w:rFonts w:hint="eastAsia" w:ascii="宋体" w:hAnsi="宋体" w:eastAsia="宋体" w:cs="宋体"/>
                <w:snapToGrid w:val="0"/>
                <w:color w:val="auto"/>
                <w:kern w:val="0"/>
                <w:szCs w:val="21"/>
                <w:highlight w:val="none"/>
                <w:u w:val="single"/>
              </w:rPr>
              <w:t xml:space="preserve"> （投标人名称） </w:t>
            </w:r>
            <w:r>
              <w:rPr>
                <w:rFonts w:hint="eastAsia" w:ascii="宋体" w:hAnsi="宋体" w:eastAsia="宋体" w:cs="宋体"/>
                <w:snapToGrid w:val="0"/>
                <w:color w:val="auto"/>
                <w:kern w:val="0"/>
                <w:szCs w:val="21"/>
                <w:highlight w:val="none"/>
              </w:rPr>
              <w:t>中标你方招标项目监理业务，在</w:t>
            </w:r>
            <w:r>
              <w:rPr>
                <w:rFonts w:hint="eastAsia" w:ascii="宋体" w:hAnsi="宋体" w:eastAsia="宋体" w:cs="宋体"/>
                <w:snapToGrid w:val="0"/>
                <w:color w:val="auto"/>
                <w:kern w:val="0"/>
                <w:szCs w:val="21"/>
                <w:highlight w:val="none"/>
                <w:u w:val="single"/>
              </w:rPr>
              <w:t xml:space="preserve"> （拟派总监姓名） </w:t>
            </w:r>
            <w:r>
              <w:rPr>
                <w:rFonts w:hint="eastAsia" w:ascii="宋体" w:hAnsi="宋体" w:eastAsia="宋体" w:cs="宋体"/>
                <w:snapToGrid w:val="0"/>
                <w:color w:val="auto"/>
                <w:kern w:val="0"/>
                <w:szCs w:val="21"/>
                <w:highlight w:val="none"/>
              </w:rPr>
              <w:t>同志目前担任总监理工程师职务的项目总数不超过两个（含我方在施项目）的前提下，我方同意其同时担任你方招标项目的总监理工程师；如果未中标，以上声明自动失效。</w:t>
            </w:r>
          </w:p>
          <w:p w14:paraId="57EE8864">
            <w:pPr>
              <w:pStyle w:val="37"/>
              <w:shd w:val="clear"/>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二、无论</w:t>
            </w:r>
            <w:r>
              <w:rPr>
                <w:rFonts w:hint="eastAsia" w:ascii="宋体" w:hAnsi="宋体" w:eastAsia="宋体" w:cs="宋体"/>
                <w:snapToGrid w:val="0"/>
                <w:color w:val="auto"/>
                <w:kern w:val="0"/>
                <w:szCs w:val="21"/>
                <w:highlight w:val="none"/>
                <w:u w:val="single"/>
              </w:rPr>
              <w:t xml:space="preserve"> （拟派总监姓名） </w:t>
            </w:r>
            <w:r>
              <w:rPr>
                <w:rFonts w:hint="eastAsia" w:ascii="宋体" w:hAnsi="宋体" w:eastAsia="宋体" w:cs="宋体"/>
                <w:snapToGrid w:val="0"/>
                <w:color w:val="auto"/>
                <w:kern w:val="0"/>
                <w:szCs w:val="21"/>
                <w:highlight w:val="none"/>
              </w:rPr>
              <w:t>同志是否担任其他建设项目的总监理工程师，</w:t>
            </w:r>
            <w:r>
              <w:rPr>
                <w:rFonts w:hint="eastAsia" w:ascii="宋体" w:hAnsi="宋体" w:eastAsia="宋体" w:cs="宋体"/>
                <w:snapToGrid w:val="0"/>
                <w:color w:val="auto"/>
                <w:kern w:val="0"/>
                <w:szCs w:val="21"/>
                <w:highlight w:val="none"/>
                <w:u w:val="single"/>
              </w:rPr>
              <w:t xml:space="preserve"> （投标人名称） </w:t>
            </w:r>
            <w:r>
              <w:rPr>
                <w:rFonts w:hint="eastAsia" w:ascii="宋体" w:hAnsi="宋体" w:eastAsia="宋体" w:cs="宋体"/>
                <w:snapToGrid w:val="0"/>
                <w:color w:val="auto"/>
                <w:kern w:val="0"/>
                <w:szCs w:val="21"/>
                <w:highlight w:val="none"/>
              </w:rPr>
              <w:t>都必须完全、严格履行我方在施项目监理合同中约定的所有义务，并确保服务内容、服务质量不得有任何减少或降低。</w:t>
            </w:r>
          </w:p>
          <w:p w14:paraId="30DF57B6">
            <w:pPr>
              <w:pStyle w:val="37"/>
              <w:shd w:val="clear"/>
              <w:adjustRightInd w:val="0"/>
              <w:snapToGrid w:val="0"/>
              <w:spacing w:line="360" w:lineRule="auto"/>
              <w:rPr>
                <w:rFonts w:hint="eastAsia" w:ascii="宋体" w:hAnsi="宋体" w:eastAsia="宋体" w:cs="宋体"/>
                <w:snapToGrid w:val="0"/>
                <w:color w:val="auto"/>
                <w:kern w:val="0"/>
                <w:szCs w:val="21"/>
                <w:highlight w:val="none"/>
              </w:rPr>
            </w:pPr>
          </w:p>
          <w:p w14:paraId="51A9BCD2">
            <w:pPr>
              <w:pStyle w:val="37"/>
              <w:shd w:val="clear"/>
              <w:adjustRightInd w:val="0"/>
              <w:snapToGrid w:val="0"/>
              <w:spacing w:line="360" w:lineRule="auto"/>
              <w:rPr>
                <w:rFonts w:hint="eastAsia" w:ascii="宋体" w:hAnsi="宋体" w:eastAsia="宋体" w:cs="宋体"/>
                <w:snapToGrid w:val="0"/>
                <w:color w:val="auto"/>
                <w:kern w:val="0"/>
                <w:szCs w:val="21"/>
                <w:highlight w:val="none"/>
              </w:rPr>
            </w:pPr>
          </w:p>
          <w:p w14:paraId="507EF4E6">
            <w:pPr>
              <w:pStyle w:val="37"/>
              <w:shd w:val="clear"/>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建设单位名称：</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（盖单位章）</w:t>
            </w:r>
          </w:p>
          <w:p w14:paraId="2B0C8455">
            <w:pPr>
              <w:pStyle w:val="37"/>
              <w:shd w:val="clear"/>
              <w:adjustRightInd w:val="0"/>
              <w:snapToGrid w:val="0"/>
              <w:spacing w:line="360" w:lineRule="auto"/>
              <w:jc w:val="right"/>
              <w:rPr>
                <w:rFonts w:hint="eastAsia" w:ascii="宋体" w:hAnsi="宋体" w:eastAsia="宋体" w:cs="宋体"/>
                <w:snapToGrid w:val="0"/>
                <w:color w:val="auto"/>
                <w:kern w:val="0"/>
                <w:szCs w:val="21"/>
                <w:highlight w:val="none"/>
              </w:rPr>
            </w:pPr>
          </w:p>
          <w:p w14:paraId="0637A755">
            <w:pPr>
              <w:pStyle w:val="37"/>
              <w:shd w:val="clea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年    月    日</w:t>
            </w:r>
          </w:p>
        </w:tc>
      </w:tr>
    </w:tbl>
    <w:p w14:paraId="4540C401">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14:paraId="04D42961">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highlight w:val="none"/>
        </w:rPr>
        <w:t>“任职项目”指拟派总监理工程师正在担任总监理工程师职务的在施（包括已中标未开工、已开工未竣工）建设工程项目。任职项目多于一宗的，一项目一表，并标明序号。</w:t>
      </w:r>
    </w:p>
    <w:p w14:paraId="56BD84DB">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highlight w:val="none"/>
        </w:rPr>
        <w:t>每份情况表后应附该项目的合同协议书</w:t>
      </w:r>
      <w:r>
        <w:rPr>
          <w:rFonts w:hint="eastAsia" w:ascii="宋体" w:hAnsi="宋体" w:eastAsia="宋体" w:cs="宋体"/>
          <w:snapToGrid w:val="0"/>
          <w:color w:val="auto"/>
          <w:kern w:val="0"/>
          <w:szCs w:val="21"/>
          <w:highlight w:val="none"/>
          <w:lang w:val="en-US" w:eastAsia="zh-CN"/>
        </w:rPr>
        <w:t>彩色扫描件</w:t>
      </w:r>
      <w:r>
        <w:rPr>
          <w:rFonts w:hint="eastAsia" w:ascii="宋体" w:hAnsi="宋体" w:eastAsia="宋体" w:cs="宋体"/>
          <w:snapToGrid w:val="0"/>
          <w:color w:val="auto"/>
          <w:kern w:val="0"/>
          <w:szCs w:val="21"/>
          <w:highlight w:val="none"/>
        </w:rPr>
        <w:t>。</w:t>
      </w:r>
    </w:p>
    <w:p w14:paraId="088D8B56">
      <w:pPr>
        <w:pStyle w:val="37"/>
        <w:shd w:val="clear"/>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8"/>
          <w:highlight w:val="none"/>
        </w:rPr>
        <w:t>．投标人填写本</w:t>
      </w:r>
      <w:r>
        <w:rPr>
          <w:rFonts w:hint="eastAsia" w:ascii="宋体" w:hAnsi="宋体" w:eastAsia="宋体" w:cs="宋体"/>
          <w:snapToGrid w:val="0"/>
          <w:color w:val="auto"/>
          <w:kern w:val="0"/>
          <w:szCs w:val="21"/>
          <w:highlight w:val="none"/>
        </w:rPr>
        <w:t>表后交任职项目建设单位审核同意后盖章。任职项目建设单位另行出具书面同意意见的，投标人应将该书面意见附在本表后，同时在“委托人声明”栏目注明“另附”即可。</w:t>
      </w:r>
    </w:p>
    <w:p w14:paraId="70C2609A">
      <w:pPr>
        <w:pStyle w:val="49"/>
        <w:widowControl w:val="0"/>
        <w:shd w:val="clear"/>
        <w:wordWrap w:val="0"/>
        <w:adjustRightInd w:val="0"/>
        <w:snapToGrid w:val="0"/>
        <w:spacing w:line="400" w:lineRule="exact"/>
        <w:jc w:val="center"/>
        <w:rPr>
          <w:rFonts w:hint="eastAsia" w:ascii="宋体" w:hAnsi="宋体" w:eastAsia="宋体" w:cs="宋体"/>
          <w:snapToGrid w:val="0"/>
          <w:color w:val="auto"/>
          <w:sz w:val="21"/>
          <w:szCs w:val="21"/>
          <w:highlight w:val="none"/>
        </w:rPr>
        <w:sectPr>
          <w:endnotePr>
            <w:numFmt w:val="decimal"/>
          </w:endnotePr>
          <w:pgSz w:w="11906" w:h="16838"/>
          <w:pgMar w:top="1440" w:right="1080" w:bottom="1440" w:left="1080" w:header="850" w:footer="992" w:gutter="0"/>
          <w:cols w:space="720" w:num="1"/>
          <w:rtlGutter w:val="0"/>
          <w:docGrid w:linePitch="327" w:charSpace="0"/>
        </w:sectPr>
      </w:pPr>
    </w:p>
    <w:p w14:paraId="3C1AB78D">
      <w:pPr>
        <w:pStyle w:val="5"/>
        <w:keepNext w:val="0"/>
        <w:keepLines w:val="0"/>
        <w:widowControl w:val="0"/>
        <w:shd w:val="clear"/>
        <w:wordWrap w:val="0"/>
        <w:adjustRightInd w:val="0"/>
        <w:snapToGrid w:val="0"/>
        <w:spacing w:before="0" w:after="0" w:line="440" w:lineRule="exact"/>
        <w:ind w:firstLine="0"/>
        <w:jc w:val="left"/>
        <w:rPr>
          <w:rFonts w:hint="eastAsia" w:ascii="宋体" w:hAnsi="宋体" w:eastAsia="宋体" w:cs="宋体"/>
          <w:b/>
          <w:snapToGrid w:val="0"/>
          <w:color w:val="auto"/>
          <w:highlight w:val="none"/>
        </w:rPr>
      </w:pPr>
      <w:bookmarkStart w:id="506" w:name="_Toc17537"/>
      <w:bookmarkStart w:id="507" w:name="_Toc28680"/>
      <w:bookmarkStart w:id="508" w:name="_Toc20541"/>
      <w:bookmarkStart w:id="509" w:name="_Toc3412"/>
      <w:bookmarkStart w:id="510" w:name="_Toc30576"/>
      <w:bookmarkStart w:id="511" w:name="_Toc21483"/>
      <w:bookmarkStart w:id="512" w:name="_Toc15065"/>
      <w:bookmarkStart w:id="513" w:name="_Toc17917"/>
      <w:bookmarkStart w:id="514" w:name="_Toc18734"/>
      <w:bookmarkStart w:id="515" w:name="_Toc26732"/>
      <w:bookmarkStart w:id="516" w:name="_Toc200338098"/>
      <w:bookmarkStart w:id="517" w:name="_Toc8264"/>
      <w:r>
        <w:rPr>
          <w:rFonts w:hint="eastAsia" w:ascii="宋体" w:hAnsi="宋体" w:eastAsia="宋体" w:cs="宋体"/>
          <w:b/>
          <w:snapToGrid w:val="0"/>
          <w:color w:val="auto"/>
          <w:highlight w:val="none"/>
        </w:rPr>
        <w:t>格式</w:t>
      </w:r>
      <w:bookmarkStart w:id="518" w:name="_Hlt287950384"/>
      <w:bookmarkEnd w:id="518"/>
      <w:r>
        <w:rPr>
          <w:rFonts w:hint="eastAsia" w:ascii="宋体" w:hAnsi="宋体" w:eastAsia="宋体" w:cs="宋体"/>
          <w:b/>
          <w:snapToGrid w:val="0"/>
          <w:color w:val="auto"/>
          <w:highlight w:val="none"/>
          <w:lang w:val="en-US" w:eastAsia="zh-CN"/>
        </w:rPr>
        <w:t>十</w:t>
      </w:r>
      <w:r>
        <w:rPr>
          <w:rFonts w:hint="eastAsia" w:ascii="宋体" w:hAnsi="宋体" w:eastAsia="宋体" w:cs="宋体"/>
          <w:b/>
          <w:snapToGrid w:val="0"/>
          <w:color w:val="auto"/>
          <w:highlight w:val="none"/>
        </w:rPr>
        <w:t xml:space="preserve"> 项目监理机构组成人员汇总表</w:t>
      </w:r>
      <w:bookmarkEnd w:id="506"/>
      <w:bookmarkEnd w:id="507"/>
      <w:bookmarkEnd w:id="508"/>
      <w:bookmarkEnd w:id="509"/>
      <w:bookmarkEnd w:id="510"/>
      <w:bookmarkEnd w:id="511"/>
      <w:bookmarkEnd w:id="512"/>
      <w:bookmarkEnd w:id="513"/>
      <w:bookmarkEnd w:id="514"/>
      <w:bookmarkEnd w:id="515"/>
    </w:p>
    <w:p w14:paraId="6C151A88">
      <w:pPr>
        <w:shd w:val="clear"/>
        <w:wordWrap w:val="0"/>
        <w:adjustRightInd w:val="0"/>
        <w:snapToGrid w:val="0"/>
        <w:spacing w:before="260" w:after="260" w:line="440" w:lineRule="exact"/>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30"/>
          <w:highlight w:val="none"/>
        </w:rPr>
        <w:t xml:space="preserve"> 项目监理机构组成人员汇总表</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14:paraId="7BBD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noWrap w:val="0"/>
            <w:vAlign w:val="center"/>
          </w:tcPr>
          <w:p w14:paraId="53F7D3C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1425" w:type="dxa"/>
            <w:vMerge w:val="restart"/>
            <w:tcBorders>
              <w:top w:val="single" w:color="auto" w:sz="6" w:space="0"/>
              <w:left w:val="single" w:color="auto" w:sz="6" w:space="0"/>
              <w:right w:val="single" w:color="auto" w:sz="6" w:space="0"/>
            </w:tcBorders>
            <w:noWrap w:val="0"/>
            <w:vAlign w:val="center"/>
          </w:tcPr>
          <w:p w14:paraId="24D28E1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拟担任职务</w:t>
            </w:r>
          </w:p>
        </w:tc>
        <w:tc>
          <w:tcPr>
            <w:tcW w:w="840" w:type="dxa"/>
            <w:vMerge w:val="restart"/>
            <w:tcBorders>
              <w:top w:val="single" w:color="auto" w:sz="6" w:space="0"/>
              <w:left w:val="single" w:color="auto" w:sz="6" w:space="0"/>
              <w:right w:val="single" w:color="auto" w:sz="4" w:space="0"/>
            </w:tcBorders>
            <w:noWrap w:val="0"/>
            <w:vAlign w:val="center"/>
          </w:tcPr>
          <w:p w14:paraId="1C97406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  名</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1E1A3CA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职称证书</w:t>
            </w:r>
          </w:p>
        </w:tc>
        <w:tc>
          <w:tcPr>
            <w:tcW w:w="3780" w:type="dxa"/>
            <w:gridSpan w:val="3"/>
            <w:tcBorders>
              <w:top w:val="single" w:color="auto" w:sz="6" w:space="0"/>
              <w:left w:val="single" w:color="auto" w:sz="4" w:space="0"/>
              <w:bottom w:val="single" w:color="auto" w:sz="6" w:space="0"/>
              <w:right w:val="single" w:color="auto" w:sz="6" w:space="0"/>
            </w:tcBorders>
            <w:noWrap w:val="0"/>
            <w:vAlign w:val="center"/>
          </w:tcPr>
          <w:p w14:paraId="6FB6D73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注册证书</w:t>
            </w:r>
          </w:p>
        </w:tc>
        <w:tc>
          <w:tcPr>
            <w:tcW w:w="3780" w:type="dxa"/>
            <w:gridSpan w:val="3"/>
            <w:tcBorders>
              <w:top w:val="single" w:color="auto" w:sz="6" w:space="0"/>
              <w:left w:val="single" w:color="auto" w:sz="6" w:space="0"/>
              <w:bottom w:val="single" w:color="auto" w:sz="6" w:space="0"/>
              <w:right w:val="single" w:color="auto" w:sz="6" w:space="0"/>
            </w:tcBorders>
            <w:noWrap w:val="0"/>
            <w:vAlign w:val="center"/>
          </w:tcPr>
          <w:p w14:paraId="08652EB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岗位证书</w:t>
            </w:r>
          </w:p>
        </w:tc>
      </w:tr>
      <w:tr w14:paraId="156F3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noWrap w:val="0"/>
            <w:vAlign w:val="center"/>
          </w:tcPr>
          <w:p w14:paraId="7042273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vMerge w:val="continue"/>
            <w:tcBorders>
              <w:left w:val="single" w:color="auto" w:sz="6" w:space="0"/>
              <w:bottom w:val="single" w:color="auto" w:sz="6" w:space="0"/>
              <w:right w:val="single" w:color="auto" w:sz="6" w:space="0"/>
            </w:tcBorders>
            <w:noWrap w:val="0"/>
            <w:vAlign w:val="center"/>
          </w:tcPr>
          <w:p w14:paraId="4A95841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vMerge w:val="continue"/>
            <w:tcBorders>
              <w:left w:val="single" w:color="auto" w:sz="6" w:space="0"/>
              <w:bottom w:val="single" w:color="auto" w:sz="6" w:space="0"/>
              <w:right w:val="single" w:color="auto" w:sz="4" w:space="0"/>
            </w:tcBorders>
            <w:noWrap w:val="0"/>
            <w:vAlign w:val="center"/>
          </w:tcPr>
          <w:p w14:paraId="2E921A6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50BD6A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专业名称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A88775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级别</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CFA450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证号</w:t>
            </w:r>
          </w:p>
        </w:tc>
        <w:tc>
          <w:tcPr>
            <w:tcW w:w="1425" w:type="dxa"/>
            <w:tcBorders>
              <w:top w:val="single" w:color="auto" w:sz="6" w:space="0"/>
              <w:left w:val="single" w:color="auto" w:sz="4" w:space="0"/>
              <w:bottom w:val="single" w:color="auto" w:sz="6" w:space="0"/>
              <w:right w:val="single" w:color="auto" w:sz="6" w:space="0"/>
            </w:tcBorders>
            <w:noWrap w:val="0"/>
            <w:vAlign w:val="center"/>
          </w:tcPr>
          <w:p w14:paraId="6510A90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资格名称</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67B503B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级别</w:t>
            </w:r>
          </w:p>
        </w:tc>
        <w:tc>
          <w:tcPr>
            <w:tcW w:w="1695" w:type="dxa"/>
            <w:tcBorders>
              <w:top w:val="single" w:color="auto" w:sz="6" w:space="0"/>
              <w:left w:val="single" w:color="auto" w:sz="6" w:space="0"/>
              <w:bottom w:val="single" w:color="auto" w:sz="6" w:space="0"/>
              <w:right w:val="single" w:color="auto" w:sz="6" w:space="0"/>
            </w:tcBorders>
            <w:noWrap w:val="0"/>
            <w:vAlign w:val="center"/>
          </w:tcPr>
          <w:p w14:paraId="1837E9A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证号</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C60DEB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岗位名称</w:t>
            </w:r>
          </w:p>
        </w:tc>
        <w:tc>
          <w:tcPr>
            <w:tcW w:w="645" w:type="dxa"/>
            <w:tcBorders>
              <w:top w:val="single" w:color="auto" w:sz="6" w:space="0"/>
              <w:left w:val="single" w:color="auto" w:sz="6" w:space="0"/>
              <w:bottom w:val="single" w:color="auto" w:sz="6" w:space="0"/>
              <w:right w:val="single" w:color="auto" w:sz="6" w:space="0"/>
            </w:tcBorders>
            <w:noWrap w:val="0"/>
            <w:vAlign w:val="center"/>
          </w:tcPr>
          <w:p w14:paraId="284D208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级别</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A03AC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证号</w:t>
            </w:r>
          </w:p>
        </w:tc>
      </w:tr>
      <w:tr w14:paraId="0318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A2BE0E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0E685D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2A9EE36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4" w:space="0"/>
              <w:left w:val="single" w:color="auto" w:sz="6" w:space="0"/>
              <w:bottom w:val="single" w:color="auto" w:sz="6" w:space="0"/>
              <w:right w:val="single" w:color="auto" w:sz="6" w:space="0"/>
            </w:tcBorders>
            <w:noWrap w:val="0"/>
            <w:vAlign w:val="center"/>
          </w:tcPr>
          <w:p w14:paraId="095B3ED4">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4" w:space="0"/>
              <w:left w:val="single" w:color="auto" w:sz="6" w:space="0"/>
              <w:bottom w:val="single" w:color="auto" w:sz="6" w:space="0"/>
              <w:right w:val="single" w:color="auto" w:sz="6" w:space="0"/>
            </w:tcBorders>
            <w:noWrap w:val="0"/>
            <w:vAlign w:val="center"/>
          </w:tcPr>
          <w:p w14:paraId="495D8EA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4" w:space="0"/>
              <w:left w:val="single" w:color="auto" w:sz="6" w:space="0"/>
              <w:bottom w:val="single" w:color="auto" w:sz="6" w:space="0"/>
              <w:right w:val="single" w:color="auto" w:sz="6" w:space="0"/>
            </w:tcBorders>
            <w:noWrap w:val="0"/>
            <w:vAlign w:val="center"/>
          </w:tcPr>
          <w:p w14:paraId="31FD84D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68509A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768036C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515319D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F0D816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223E31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578A35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2946D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6A724B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4108A7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A19890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3410667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10CD973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71C9D8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08F069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66930F7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3B8994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A2E188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2153855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90213A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02FC4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5769AD3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E08BA0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2F0451E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89140B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333BAB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0B0D27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7CC23C7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65E6034">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549D8F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F77EA4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7111181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112088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630FC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0C0C896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6C1CE0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D97286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01B1386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10C296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CBF169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E54B57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01ABF32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33BAFED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E60070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7DB49F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E3799E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1B96C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0DA5E6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4E59BA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3CD801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63A6794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F61B1D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02B096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DFA6B7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2982496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36823E8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0DC26D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FF7AD2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E2B6A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06816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088EC06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4992B6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DE4F69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A25A77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07BE286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24ED46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C040BA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7C52829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2A7EA4F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A3F561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197014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E38800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746D1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B6DBFE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813C05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72E248D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277486D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358D469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4169FE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339950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1C5EE5F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121ED33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AD0E87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5693DA4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5850C4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3908F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D62FBE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6D6172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52A73F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4C2D079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8BA6C4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0487D54">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2016FC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07BB545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01F46DD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043C09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426CAB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563104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61127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FFCE15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67DF71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705EB9D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6B985C5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4E8F20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A9C2D8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A25C05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AB15D2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5750744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E9078E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DBE5B9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6E4DB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bookmarkStart w:id="519" w:name="_附件二十四：技术标提问单"/>
        <w:bookmarkStart w:id="520" w:name="_附件十：单项工程费汇总表"/>
        <w:bookmarkStart w:id="521" w:name="_附件二十五：综合评审合理低价法"/>
        <w:bookmarkStart w:id="522" w:name="_Hlt68774664"/>
        <w:bookmarkStart w:id="523" w:name="_Hlt69116778"/>
      </w:tr>
      <w:bookmarkEnd w:id="516"/>
      <w:bookmarkEnd w:id="517"/>
      <w:bookmarkEnd w:id="519"/>
      <w:bookmarkEnd w:id="520"/>
      <w:bookmarkEnd w:id="521"/>
      <w:bookmarkEnd w:id="522"/>
      <w:bookmarkEnd w:id="523"/>
      <w:tr w14:paraId="0C70B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9F4537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B542CC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2E1DE0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1F49298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6094EF0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F16EB3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9B9FD5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022DC4C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0FCFF61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80E32F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0A33B93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2F6E7C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bl>
    <w:p w14:paraId="1CD27E3E">
      <w:pPr>
        <w:pStyle w:val="49"/>
        <w:widowControl w:val="0"/>
        <w:shd w:val="clear"/>
        <w:wordWrap w:val="0"/>
        <w:adjustRightInd w:val="0"/>
        <w:snapToGrid w:val="0"/>
        <w:spacing w:line="400" w:lineRule="exact"/>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说明：</w:t>
      </w:r>
    </w:p>
    <w:p w14:paraId="7FD6BC7C">
      <w:pPr>
        <w:pStyle w:val="49"/>
        <w:widowControl w:val="0"/>
        <w:shd w:val="clear"/>
        <w:wordWrap w:val="0"/>
        <w:adjustRightInd w:val="0"/>
        <w:snapToGrid w:val="0"/>
        <w:spacing w:line="400" w:lineRule="exact"/>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1</w:t>
      </w:r>
      <w:r>
        <w:rPr>
          <w:rFonts w:hint="eastAsia" w:ascii="宋体" w:hAnsi="宋体" w:eastAsia="宋体" w:cs="宋体"/>
          <w:snapToGrid w:val="0"/>
          <w:color w:val="auto"/>
          <w:sz w:val="21"/>
          <w:szCs w:val="28"/>
          <w:highlight w:val="none"/>
        </w:rPr>
        <w:t>．表中没有或无法填写的栏目，用</w:t>
      </w:r>
      <w:r>
        <w:rPr>
          <w:rFonts w:hint="eastAsia" w:ascii="宋体" w:hAnsi="宋体" w:eastAsia="宋体" w:cs="宋体"/>
          <w:snapToGrid w:val="0"/>
          <w:color w:val="auto"/>
          <w:sz w:val="21"/>
          <w:highlight w:val="none"/>
        </w:rPr>
        <w:t>“/”示意。</w:t>
      </w:r>
    </w:p>
    <w:p w14:paraId="5C858AB4">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sectPr>
          <w:endnotePr>
            <w:numFmt w:val="decimal"/>
          </w:endnotePr>
          <w:pgSz w:w="16838" w:h="11906" w:orient="landscape"/>
          <w:pgMar w:top="1440" w:right="1080" w:bottom="1440" w:left="1080" w:header="850" w:footer="992" w:gutter="0"/>
          <w:cols w:space="720" w:num="1"/>
          <w:rtlGutter w:val="0"/>
          <w:docGrid w:linePitch="327" w:charSpace="0"/>
        </w:sectPr>
      </w:pPr>
    </w:p>
    <w:p w14:paraId="28C120C5">
      <w:pPr>
        <w:pStyle w:val="5"/>
        <w:keepNext w:val="0"/>
        <w:keepLines w:val="0"/>
        <w:widowControl w:val="0"/>
        <w:shd w:val="clear"/>
        <w:wordWrap w:val="0"/>
        <w:adjustRightInd w:val="0"/>
        <w:snapToGrid w:val="0"/>
        <w:spacing w:before="0" w:after="0" w:line="440" w:lineRule="exact"/>
        <w:ind w:firstLine="0"/>
        <w:jc w:val="left"/>
        <w:rPr>
          <w:rFonts w:hint="eastAsia" w:ascii="宋体" w:hAnsi="宋体" w:eastAsia="宋体" w:cs="宋体"/>
          <w:b/>
          <w:snapToGrid w:val="0"/>
          <w:color w:val="auto"/>
          <w:highlight w:val="none"/>
        </w:rPr>
      </w:pPr>
      <w:bookmarkStart w:id="524" w:name="_Toc32518"/>
      <w:bookmarkStart w:id="525" w:name="_Toc15987"/>
      <w:bookmarkStart w:id="526" w:name="_Toc20819"/>
      <w:bookmarkStart w:id="527" w:name="_Toc3545"/>
      <w:bookmarkStart w:id="528" w:name="_Toc13501"/>
      <w:bookmarkStart w:id="529" w:name="_Toc16120"/>
      <w:bookmarkStart w:id="530" w:name="_Toc10343"/>
      <w:bookmarkStart w:id="531" w:name="_Toc15824"/>
      <w:bookmarkStart w:id="532" w:name="_Toc28573"/>
      <w:bookmarkStart w:id="533" w:name="_Toc20233"/>
      <w:r>
        <w:rPr>
          <w:rFonts w:hint="eastAsia" w:ascii="宋体" w:hAnsi="宋体" w:eastAsia="宋体" w:cs="宋体"/>
          <w:b/>
          <w:snapToGrid w:val="0"/>
          <w:color w:val="auto"/>
          <w:highlight w:val="none"/>
        </w:rPr>
        <w:t>格式</w:t>
      </w:r>
      <w:r>
        <w:rPr>
          <w:rFonts w:hint="eastAsia" w:ascii="宋体" w:hAnsi="宋体" w:eastAsia="宋体" w:cs="宋体"/>
          <w:b/>
          <w:snapToGrid w:val="0"/>
          <w:color w:val="auto"/>
          <w:highlight w:val="none"/>
          <w:lang w:val="en-US" w:eastAsia="zh-CN"/>
        </w:rPr>
        <w:t>十一</w:t>
      </w:r>
      <w:r>
        <w:rPr>
          <w:rFonts w:hint="eastAsia" w:ascii="宋体" w:hAnsi="宋体" w:eastAsia="宋体" w:cs="宋体"/>
          <w:b/>
          <w:snapToGrid w:val="0"/>
          <w:color w:val="auto"/>
          <w:highlight w:val="none"/>
        </w:rPr>
        <w:t xml:space="preserve"> 总监理工程师简历表</w:t>
      </w:r>
      <w:bookmarkEnd w:id="524"/>
      <w:bookmarkEnd w:id="525"/>
      <w:bookmarkEnd w:id="526"/>
      <w:bookmarkEnd w:id="527"/>
      <w:bookmarkEnd w:id="528"/>
      <w:bookmarkEnd w:id="529"/>
      <w:bookmarkEnd w:id="530"/>
      <w:bookmarkEnd w:id="531"/>
      <w:bookmarkEnd w:id="532"/>
      <w:bookmarkEnd w:id="533"/>
    </w:p>
    <w:p w14:paraId="7EB6FF5A">
      <w:pPr>
        <w:shd w:val="clear"/>
        <w:wordWrap w:val="0"/>
        <w:adjustRightInd w:val="0"/>
        <w:snapToGrid w:val="0"/>
        <w:spacing w:line="440" w:lineRule="exact"/>
        <w:jc w:val="left"/>
        <w:rPr>
          <w:rFonts w:hint="eastAsia" w:ascii="宋体" w:hAnsi="宋体" w:eastAsia="宋体" w:cs="宋体"/>
          <w:b/>
          <w:bCs/>
          <w:snapToGrid w:val="0"/>
          <w:color w:val="auto"/>
          <w:kern w:val="0"/>
          <w:szCs w:val="24"/>
          <w:highlight w:val="none"/>
        </w:rPr>
      </w:pPr>
    </w:p>
    <w:tbl>
      <w:tblPr>
        <w:tblStyle w:val="23"/>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14:paraId="7709F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7AC13BF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  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311320E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1CC2075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性  别</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EA5C0B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02C9D8D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0C3F275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73406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62921B2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2FD39CC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3F63F32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学  历</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518AD9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35EEDA4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6E23638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18374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5269A62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4B77BA7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3AF8C58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2F0BA91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6B2F4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4CF8B5A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注册证书</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5DEC240C">
            <w:pPr>
              <w:shd w:val="clear"/>
              <w:wordWrap w:val="0"/>
              <w:adjustRightInd w:val="0"/>
              <w:snapToGrid w:val="0"/>
              <w:spacing w:line="240" w:lineRule="auto"/>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名称：                               证书号：</w:t>
            </w:r>
          </w:p>
        </w:tc>
      </w:tr>
      <w:tr w14:paraId="41002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3071C10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主要工作经历</w:t>
            </w:r>
          </w:p>
        </w:tc>
      </w:tr>
      <w:tr w14:paraId="11000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1EAFD1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A6492C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4D3B152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2C1BAF1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268831E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起止时间</w:t>
            </w:r>
          </w:p>
        </w:tc>
      </w:tr>
      <w:tr w14:paraId="64006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702E4F8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73BA649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33105C7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12D9149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042C2C2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108F9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6992C66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5E653B1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4A38D9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682FD1F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29516B0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1356C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97C081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5BD827C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53482EC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128B90AA">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74352B64">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20860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3F06862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A150D5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475D560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59E51E8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637DDA74">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bl>
    <w:p w14:paraId="3DE3B7C2">
      <w:pPr>
        <w:shd w:val="clear"/>
        <w:wordWrap w:val="0"/>
        <w:adjustRightInd w:val="0"/>
        <w:snapToGrid w:val="0"/>
        <w:spacing w:line="440" w:lineRule="exact"/>
        <w:jc w:val="center"/>
        <w:rPr>
          <w:rFonts w:hint="eastAsia" w:ascii="宋体" w:hAnsi="宋体" w:eastAsia="宋体" w:cs="宋体"/>
          <w:b/>
          <w:bCs/>
          <w:snapToGrid w:val="0"/>
          <w:color w:val="auto"/>
          <w:kern w:val="0"/>
          <w:szCs w:val="24"/>
          <w:highlight w:val="none"/>
        </w:rPr>
      </w:pPr>
      <w:r>
        <w:rPr>
          <w:rFonts w:hint="eastAsia" w:ascii="宋体" w:hAnsi="宋体" w:eastAsia="宋体" w:cs="宋体"/>
          <w:b/>
          <w:snapToGrid w:val="0"/>
          <w:color w:val="auto"/>
          <w:kern w:val="0"/>
          <w:sz w:val="30"/>
          <w:highlight w:val="none"/>
        </w:rPr>
        <w:t>总监理工程师简历表</w:t>
      </w:r>
    </w:p>
    <w:p w14:paraId="435E3E8A">
      <w:pPr>
        <w:shd w:val="clear"/>
        <w:wordWrap w:val="0"/>
        <w:adjustRightInd w:val="0"/>
        <w:snapToGrid w:val="0"/>
        <w:spacing w:line="440" w:lineRule="exact"/>
        <w:ind w:firstLine="570"/>
        <w:rPr>
          <w:rFonts w:hint="eastAsia" w:ascii="宋体" w:hAnsi="宋体" w:eastAsia="宋体" w:cs="宋体"/>
          <w:snapToGrid w:val="0"/>
          <w:color w:val="auto"/>
          <w:kern w:val="0"/>
          <w:szCs w:val="28"/>
          <w:highlight w:val="none"/>
        </w:rPr>
      </w:pPr>
    </w:p>
    <w:p w14:paraId="7F0EFCC9">
      <w:pPr>
        <w:pStyle w:val="45"/>
        <w:shd w:val="clear"/>
        <w:wordWrap w:val="0"/>
        <w:adjustRightInd w:val="0"/>
        <w:snapToGrid w:val="0"/>
        <w:spacing w:line="440" w:lineRule="exact"/>
        <w:jc w:val="right"/>
        <w:rPr>
          <w:rFonts w:hint="eastAsia" w:ascii="宋体" w:hAnsi="宋体" w:eastAsia="宋体" w:cs="宋体"/>
          <w:snapToGrid w:val="0"/>
          <w:color w:val="auto"/>
          <w:kern w:val="0"/>
          <w:highlight w:val="none"/>
        </w:rPr>
      </w:pPr>
    </w:p>
    <w:p w14:paraId="78C024D4">
      <w:pPr>
        <w:pStyle w:val="45"/>
        <w:shd w:val="clear"/>
        <w:wordWrap w:val="0"/>
        <w:adjustRightInd w:val="0"/>
        <w:snapToGrid w:val="0"/>
        <w:spacing w:line="440" w:lineRule="exact"/>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总监理工程师：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w:t>
      </w:r>
    </w:p>
    <w:p w14:paraId="1522A51A">
      <w:pPr>
        <w:pStyle w:val="45"/>
        <w:shd w:val="clear"/>
        <w:wordWrap w:val="0"/>
        <w:adjustRightInd w:val="0"/>
        <w:snapToGrid w:val="0"/>
        <w:spacing w:line="440" w:lineRule="exact"/>
        <w:jc w:val="right"/>
        <w:rPr>
          <w:rFonts w:hint="eastAsia" w:ascii="宋体" w:hAnsi="宋体" w:eastAsia="宋体" w:cs="宋体"/>
          <w:snapToGrid w:val="0"/>
          <w:color w:val="auto"/>
          <w:kern w:val="0"/>
          <w:highlight w:val="none"/>
        </w:rPr>
      </w:pPr>
    </w:p>
    <w:p w14:paraId="601FB75E">
      <w:pPr>
        <w:pStyle w:val="45"/>
        <w:shd w:val="clear"/>
        <w:wordWrap w:val="0"/>
        <w:adjustRightInd w:val="0"/>
        <w:snapToGrid w:val="0"/>
        <w:spacing w:line="44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14:paraId="2AC55119">
      <w:pPr>
        <w:shd w:val="clear"/>
        <w:wordWrap w:val="0"/>
        <w:adjustRightInd w:val="0"/>
        <w:snapToGrid w:val="0"/>
        <w:spacing w:line="400" w:lineRule="exact"/>
        <w:ind w:firstLine="570"/>
        <w:rPr>
          <w:rFonts w:hint="eastAsia" w:ascii="宋体" w:hAnsi="宋体" w:eastAsia="宋体" w:cs="宋体"/>
          <w:snapToGrid w:val="0"/>
          <w:color w:val="auto"/>
          <w:kern w:val="0"/>
          <w:szCs w:val="28"/>
          <w:highlight w:val="none"/>
        </w:rPr>
      </w:pPr>
    </w:p>
    <w:p w14:paraId="2AB91810">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说明：《总监理工程师简历表》后应附拟委派的总监理工程师以下资料：</w:t>
      </w:r>
    </w:p>
    <w:p w14:paraId="24AC93D8">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1．身份证</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rPr>
        <w:t>；</w:t>
      </w:r>
    </w:p>
    <w:p w14:paraId="7F614E5F">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2．监理工程师注册证书</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rPr>
        <w:t>（须</w:t>
      </w:r>
      <w:r>
        <w:rPr>
          <w:rFonts w:hint="eastAsia" w:ascii="宋体" w:hAnsi="宋体" w:eastAsia="宋体" w:cs="宋体"/>
          <w:snapToGrid w:val="0"/>
          <w:color w:val="auto"/>
          <w:kern w:val="0"/>
          <w:sz w:val="21"/>
          <w:szCs w:val="28"/>
          <w:highlight w:val="none"/>
          <w:lang w:val="en-US" w:eastAsia="zh-CN"/>
        </w:rPr>
        <w:t>扫描</w:t>
      </w:r>
      <w:r>
        <w:rPr>
          <w:rFonts w:hint="eastAsia" w:ascii="宋体" w:hAnsi="宋体" w:eastAsia="宋体" w:cs="宋体"/>
          <w:snapToGrid w:val="0"/>
          <w:color w:val="auto"/>
          <w:kern w:val="0"/>
          <w:sz w:val="21"/>
          <w:szCs w:val="28"/>
          <w:highlight w:val="none"/>
        </w:rPr>
        <w:t>至变更注册栏）</w:t>
      </w:r>
      <w:r>
        <w:rPr>
          <w:rFonts w:hint="eastAsia" w:ascii="宋体" w:hAnsi="宋体" w:eastAsia="宋体" w:cs="宋体"/>
          <w:snapToGrid w:val="0"/>
          <w:color w:val="auto"/>
          <w:kern w:val="0"/>
          <w:sz w:val="21"/>
          <w:szCs w:val="28"/>
          <w:highlight w:val="none"/>
          <w:lang w:val="en-US" w:eastAsia="zh-CN"/>
        </w:rPr>
        <w:t>或</w:t>
      </w:r>
      <w:r>
        <w:rPr>
          <w:rFonts w:hint="eastAsia" w:ascii="宋体" w:hAnsi="宋体" w:eastAsia="宋体" w:cs="宋体"/>
          <w:snapToGrid w:val="0"/>
          <w:color w:val="auto"/>
          <w:kern w:val="0"/>
          <w:sz w:val="21"/>
          <w:szCs w:val="28"/>
          <w:highlight w:val="none"/>
        </w:rPr>
        <w:t>在使用有效期内的有效电子证书；</w:t>
      </w:r>
    </w:p>
    <w:p w14:paraId="63347600">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lang w:eastAsia="zh-CN"/>
        </w:rPr>
      </w:pPr>
      <w:r>
        <w:rPr>
          <w:rFonts w:hint="eastAsia" w:ascii="宋体" w:hAnsi="宋体" w:eastAsia="宋体" w:cs="宋体"/>
          <w:snapToGrid w:val="0"/>
          <w:color w:val="auto"/>
          <w:kern w:val="0"/>
          <w:sz w:val="21"/>
          <w:szCs w:val="28"/>
          <w:highlight w:val="none"/>
        </w:rPr>
        <w:t>3．</w:t>
      </w:r>
      <w:r>
        <w:rPr>
          <w:rFonts w:hint="eastAsia" w:ascii="宋体" w:hAnsi="宋体" w:eastAsia="宋体" w:cs="宋体"/>
          <w:b w:val="0"/>
          <w:bCs w:val="0"/>
          <w:snapToGrid w:val="0"/>
          <w:color w:val="auto"/>
          <w:kern w:val="0"/>
          <w:sz w:val="21"/>
          <w:szCs w:val="28"/>
          <w:highlight w:val="none"/>
        </w:rPr>
        <w:t>在本单位</w:t>
      </w:r>
      <w:r>
        <w:rPr>
          <w:rFonts w:hint="eastAsia" w:ascii="宋体" w:hAnsi="宋体" w:eastAsia="宋体" w:cs="宋体"/>
          <w:snapToGrid w:val="0"/>
          <w:color w:val="auto"/>
          <w:kern w:val="0"/>
          <w:sz w:val="21"/>
          <w:szCs w:val="28"/>
          <w:highlight w:val="none"/>
        </w:rPr>
        <w:t>缴纳社保的证明</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rPr>
        <w:t>（至少</w:t>
      </w:r>
      <w:r>
        <w:rPr>
          <w:rFonts w:hint="eastAsia" w:ascii="宋体" w:hAnsi="宋体" w:eastAsia="宋体" w:cs="宋体"/>
          <w:snapToGrid w:val="0"/>
          <w:color w:val="auto"/>
          <w:kern w:val="0"/>
          <w:sz w:val="21"/>
          <w:szCs w:val="28"/>
          <w:highlight w:val="none"/>
          <w:lang w:val="en-US" w:eastAsia="zh-CN"/>
        </w:rPr>
        <w:t>一个</w:t>
      </w:r>
      <w:r>
        <w:rPr>
          <w:rFonts w:hint="eastAsia" w:ascii="宋体" w:hAnsi="宋体" w:eastAsia="宋体" w:cs="宋体"/>
          <w:snapToGrid w:val="0"/>
          <w:color w:val="auto"/>
          <w:kern w:val="0"/>
          <w:sz w:val="21"/>
          <w:szCs w:val="28"/>
          <w:highlight w:val="none"/>
        </w:rPr>
        <w:t>月，其中必须有</w:t>
      </w:r>
      <w:r>
        <w:rPr>
          <w:rFonts w:hint="eastAsia" w:ascii="宋体" w:hAnsi="宋体" w:eastAsia="宋体" w:cs="宋体"/>
          <w:snapToGrid w:val="0"/>
          <w:color w:val="auto"/>
          <w:kern w:val="0"/>
          <w:sz w:val="21"/>
          <w:szCs w:val="28"/>
          <w:highlight w:val="none"/>
          <w:lang w:eastAsia="zh-CN"/>
        </w:rPr>
        <w:t>2025年</w:t>
      </w:r>
      <w:r>
        <w:rPr>
          <w:rFonts w:hint="eastAsia" w:ascii="宋体" w:hAnsi="宋体" w:eastAsia="宋体" w:cs="宋体"/>
          <w:snapToGrid w:val="0"/>
          <w:color w:val="auto"/>
          <w:kern w:val="0"/>
          <w:sz w:val="21"/>
          <w:szCs w:val="28"/>
          <w:highlight w:val="none"/>
          <w:lang w:val="en-US" w:eastAsia="zh-CN"/>
        </w:rPr>
        <w:t>04</w:t>
      </w:r>
      <w:r>
        <w:rPr>
          <w:rFonts w:hint="eastAsia" w:ascii="宋体" w:hAnsi="宋体" w:eastAsia="宋体" w:cs="宋体"/>
          <w:snapToGrid w:val="0"/>
          <w:color w:val="auto"/>
          <w:kern w:val="0"/>
          <w:sz w:val="21"/>
          <w:szCs w:val="28"/>
          <w:highlight w:val="none"/>
          <w:lang w:eastAsia="zh-CN"/>
        </w:rPr>
        <w:t>月</w:t>
      </w:r>
      <w:r>
        <w:rPr>
          <w:rFonts w:hint="eastAsia" w:ascii="宋体" w:hAnsi="宋体" w:eastAsia="宋体" w:cs="宋体"/>
          <w:snapToGrid w:val="0"/>
          <w:color w:val="auto"/>
          <w:kern w:val="0"/>
          <w:sz w:val="21"/>
          <w:szCs w:val="28"/>
          <w:highlight w:val="none"/>
        </w:rPr>
        <w:t>）。拟委派的总监理工程师为退休返聘人员无法提供社保证明的，提供退休证和劳动合同</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lang w:eastAsia="zh-CN"/>
        </w:rPr>
        <w:t>。</w:t>
      </w:r>
    </w:p>
    <w:p w14:paraId="26C6BFB8">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p>
    <w:p w14:paraId="1C0F6A7E">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p>
    <w:p w14:paraId="6B54DE73">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p>
    <w:p w14:paraId="128F3409">
      <w:pPr>
        <w:shd w:val="clear"/>
        <w:wordWrap w:val="0"/>
        <w:adjustRightInd w:val="0"/>
        <w:snapToGrid w:val="0"/>
        <w:spacing w:line="440" w:lineRule="exact"/>
        <w:jc w:val="left"/>
        <w:outlineLvl w:val="2"/>
        <w:rPr>
          <w:rFonts w:hint="eastAsia" w:ascii="宋体" w:hAnsi="宋体" w:eastAsia="宋体" w:cs="宋体"/>
          <w:b/>
          <w:bCs/>
          <w:snapToGrid w:val="0"/>
          <w:color w:val="auto"/>
          <w:kern w:val="0"/>
          <w:szCs w:val="24"/>
          <w:highlight w:val="none"/>
        </w:rPr>
      </w:pPr>
      <w:bookmarkStart w:id="534" w:name="_Toc13930"/>
      <w:bookmarkStart w:id="535" w:name="_Toc26155"/>
      <w:bookmarkStart w:id="536" w:name="_Toc32546"/>
      <w:bookmarkStart w:id="537" w:name="_Toc29390"/>
      <w:bookmarkStart w:id="538" w:name="_Toc4497"/>
      <w:bookmarkStart w:id="539" w:name="_Toc6762"/>
      <w:bookmarkStart w:id="540" w:name="_Toc1875"/>
      <w:bookmarkStart w:id="541" w:name="_Toc26095"/>
      <w:r>
        <w:rPr>
          <w:rFonts w:hint="eastAsia" w:ascii="宋体" w:hAnsi="宋体" w:eastAsia="宋体" w:cs="宋体"/>
          <w:b/>
          <w:snapToGrid w:val="0"/>
          <w:color w:val="auto"/>
          <w:kern w:val="0"/>
          <w:highlight w:val="none"/>
        </w:rPr>
        <w:br w:type="page"/>
      </w:r>
      <w:bookmarkStart w:id="542" w:name="_Toc20134"/>
      <w:bookmarkStart w:id="543" w:name="_Toc6157"/>
      <w:r>
        <w:rPr>
          <w:rStyle w:val="28"/>
          <w:rFonts w:hint="eastAsia" w:ascii="宋体" w:hAnsi="宋体" w:eastAsia="宋体" w:cs="宋体"/>
          <w:b/>
          <w:bCs/>
          <w:color w:val="auto"/>
          <w:highlight w:val="none"/>
          <w:lang w:val="en-US" w:eastAsia="zh-CN"/>
        </w:rPr>
        <w:t>格式十二 其他拟委派的人员简历表</w:t>
      </w:r>
      <w:bookmarkEnd w:id="534"/>
      <w:bookmarkEnd w:id="535"/>
      <w:bookmarkEnd w:id="536"/>
      <w:bookmarkEnd w:id="537"/>
      <w:bookmarkEnd w:id="538"/>
      <w:bookmarkEnd w:id="539"/>
      <w:bookmarkEnd w:id="540"/>
      <w:bookmarkEnd w:id="541"/>
      <w:bookmarkEnd w:id="542"/>
      <w:bookmarkEnd w:id="543"/>
    </w:p>
    <w:p w14:paraId="318B664A">
      <w:pPr>
        <w:shd w:val="clear"/>
        <w:wordWrap w:val="0"/>
        <w:adjustRightInd w:val="0"/>
        <w:snapToGrid w:val="0"/>
        <w:spacing w:line="440" w:lineRule="exact"/>
        <w:jc w:val="left"/>
        <w:rPr>
          <w:rFonts w:hint="eastAsia" w:ascii="宋体" w:hAnsi="宋体" w:eastAsia="宋体" w:cs="宋体"/>
          <w:b/>
          <w:bCs/>
          <w:snapToGrid w:val="0"/>
          <w:color w:val="auto"/>
          <w:kern w:val="0"/>
          <w:szCs w:val="24"/>
          <w:highlight w:val="none"/>
        </w:rPr>
      </w:pPr>
    </w:p>
    <w:tbl>
      <w:tblPr>
        <w:tblStyle w:val="23"/>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14:paraId="58C03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16AA0BF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姓  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0C5079A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13D04484">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性  别</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5D7F0A5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7BE2F66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76D77C1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14E68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0CB109C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037E259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0913191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学  历</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4622888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1E45C96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1E6A176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6DC72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3BC9061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1B50F46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4945F7F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0448EF24">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01CF5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1C9CE3D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持证情况</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08AD7801">
            <w:pPr>
              <w:shd w:val="clear"/>
              <w:wordWrap w:val="0"/>
              <w:adjustRightInd w:val="0"/>
              <w:snapToGrid w:val="0"/>
              <w:spacing w:line="240" w:lineRule="auto"/>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8"/>
                <w:highlight w:val="none"/>
              </w:rPr>
              <w:t>．</w:t>
            </w:r>
            <w:r>
              <w:rPr>
                <w:rFonts w:hint="eastAsia" w:ascii="宋体" w:hAnsi="宋体" w:eastAsia="宋体" w:cs="宋体"/>
                <w:snapToGrid w:val="0"/>
                <w:color w:val="auto"/>
                <w:kern w:val="0"/>
                <w:sz w:val="21"/>
                <w:szCs w:val="21"/>
                <w:highlight w:val="none"/>
              </w:rPr>
              <w:t>名称：                               证书号：</w:t>
            </w:r>
          </w:p>
          <w:p w14:paraId="676847C4">
            <w:pPr>
              <w:shd w:val="clear"/>
              <w:wordWrap w:val="0"/>
              <w:adjustRightInd w:val="0"/>
              <w:snapToGrid w:val="0"/>
              <w:spacing w:line="240" w:lineRule="auto"/>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r>
              <w:rPr>
                <w:rFonts w:hint="eastAsia" w:ascii="宋体" w:hAnsi="宋体" w:eastAsia="宋体" w:cs="宋体"/>
                <w:snapToGrid w:val="0"/>
                <w:color w:val="auto"/>
                <w:kern w:val="0"/>
                <w:sz w:val="21"/>
                <w:szCs w:val="28"/>
                <w:highlight w:val="none"/>
              </w:rPr>
              <w:t>．</w:t>
            </w:r>
            <w:r>
              <w:rPr>
                <w:rFonts w:hint="eastAsia" w:ascii="宋体" w:hAnsi="宋体" w:eastAsia="宋体" w:cs="宋体"/>
                <w:snapToGrid w:val="0"/>
                <w:color w:val="auto"/>
                <w:kern w:val="0"/>
                <w:sz w:val="21"/>
                <w:szCs w:val="21"/>
                <w:highlight w:val="none"/>
              </w:rPr>
              <w:t>名称：                               证书号：</w:t>
            </w:r>
          </w:p>
          <w:p w14:paraId="2D965576">
            <w:pPr>
              <w:shd w:val="clear"/>
              <w:wordWrap w:val="0"/>
              <w:adjustRightInd w:val="0"/>
              <w:snapToGrid w:val="0"/>
              <w:spacing w:line="240" w:lineRule="auto"/>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r>
              <w:rPr>
                <w:rFonts w:hint="eastAsia" w:ascii="宋体" w:hAnsi="宋体" w:eastAsia="宋体" w:cs="宋体"/>
                <w:snapToGrid w:val="0"/>
                <w:color w:val="auto"/>
                <w:kern w:val="0"/>
                <w:sz w:val="21"/>
                <w:szCs w:val="28"/>
                <w:highlight w:val="none"/>
              </w:rPr>
              <w:t>．……</w:t>
            </w:r>
          </w:p>
        </w:tc>
      </w:tr>
      <w:tr w14:paraId="1358A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463B179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主要工作经历</w:t>
            </w:r>
          </w:p>
        </w:tc>
      </w:tr>
      <w:tr w14:paraId="38EA5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296322B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5F16F37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2374DE0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CEBE8F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3B20ADE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起止时间</w:t>
            </w:r>
          </w:p>
        </w:tc>
      </w:tr>
      <w:tr w14:paraId="044D7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28D94D3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63324D16">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05C7743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0B5AFC68">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6132335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74137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FEAAEB2">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D524E85">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585B3D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6B2861E0">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194A12DE">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616DF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9F9FDF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C5B0A8B">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B524AF3">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32AE2929">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28D76E11">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r w14:paraId="795D6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4D8888D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7D737B5D">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7D60747">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44438ECF">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481EA3FC">
            <w:pPr>
              <w:shd w:val="clear"/>
              <w:wordWrap w:val="0"/>
              <w:adjustRightInd w:val="0"/>
              <w:snapToGrid w:val="0"/>
              <w:spacing w:line="240" w:lineRule="auto"/>
              <w:jc w:val="center"/>
              <w:rPr>
                <w:rFonts w:hint="eastAsia" w:ascii="宋体" w:hAnsi="宋体" w:eastAsia="宋体" w:cs="宋体"/>
                <w:snapToGrid w:val="0"/>
                <w:color w:val="auto"/>
                <w:kern w:val="0"/>
                <w:sz w:val="21"/>
                <w:szCs w:val="21"/>
                <w:highlight w:val="none"/>
              </w:rPr>
            </w:pPr>
          </w:p>
        </w:tc>
      </w:tr>
    </w:tbl>
    <w:p w14:paraId="04B0AC48">
      <w:pPr>
        <w:shd w:val="clear"/>
        <w:wordWrap w:val="0"/>
        <w:adjustRightInd w:val="0"/>
        <w:snapToGrid w:val="0"/>
        <w:spacing w:line="440" w:lineRule="exact"/>
        <w:jc w:val="center"/>
        <w:rPr>
          <w:rFonts w:hint="eastAsia" w:ascii="宋体" w:hAnsi="宋体" w:eastAsia="宋体" w:cs="宋体"/>
          <w:b/>
          <w:bCs/>
          <w:snapToGrid w:val="0"/>
          <w:color w:val="auto"/>
          <w:kern w:val="0"/>
          <w:szCs w:val="24"/>
          <w:highlight w:val="none"/>
        </w:rPr>
      </w:pPr>
      <w:r>
        <w:rPr>
          <w:rFonts w:hint="eastAsia" w:ascii="宋体" w:hAnsi="宋体" w:eastAsia="宋体" w:cs="宋体"/>
          <w:b/>
          <w:snapToGrid w:val="0"/>
          <w:color w:val="auto"/>
          <w:kern w:val="0"/>
          <w:sz w:val="30"/>
          <w:highlight w:val="none"/>
        </w:rPr>
        <w:t>其他拟委派的人员简历表（）</w:t>
      </w:r>
    </w:p>
    <w:p w14:paraId="0B32481D">
      <w:pPr>
        <w:pStyle w:val="45"/>
        <w:shd w:val="clear"/>
        <w:wordWrap w:val="0"/>
        <w:adjustRightInd w:val="0"/>
        <w:snapToGrid w:val="0"/>
        <w:spacing w:line="440" w:lineRule="exact"/>
        <w:jc w:val="right"/>
        <w:rPr>
          <w:rFonts w:hint="eastAsia" w:ascii="宋体" w:hAnsi="宋体" w:eastAsia="宋体" w:cs="宋体"/>
          <w:snapToGrid w:val="0"/>
          <w:color w:val="auto"/>
          <w:kern w:val="0"/>
          <w:highlight w:val="none"/>
        </w:rPr>
      </w:pPr>
    </w:p>
    <w:p w14:paraId="19D80FF2">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说明：</w:t>
      </w:r>
    </w:p>
    <w:p w14:paraId="3B75FC47">
      <w:pPr>
        <w:shd w:val="clear"/>
        <w:wordWrap w:val="0"/>
        <w:adjustRightInd w:val="0"/>
        <w:snapToGrid w:val="0"/>
        <w:spacing w:line="40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8"/>
          <w:highlight w:val="none"/>
        </w:rPr>
        <w:t>1．“其他拟委派的人员”指项目监理机构中除总监理工程师以外的拟委派的人员（如专业监理工程师、监理员等），拟委派的人员一人一表，</w:t>
      </w:r>
      <w:r>
        <w:rPr>
          <w:rFonts w:hint="eastAsia" w:ascii="宋体" w:hAnsi="宋体" w:eastAsia="宋体" w:cs="宋体"/>
          <w:snapToGrid w:val="0"/>
          <w:color w:val="auto"/>
          <w:kern w:val="0"/>
          <w:sz w:val="21"/>
          <w:szCs w:val="21"/>
          <w:highlight w:val="none"/>
        </w:rPr>
        <w:t>并标明序号。</w:t>
      </w:r>
    </w:p>
    <w:p w14:paraId="4A16CEAE">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2．每份简历表后应附该拟委派的人员以下资料：</w:t>
      </w:r>
    </w:p>
    <w:p w14:paraId="1FB52C13">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rPr>
      </w:pPr>
      <w:r>
        <w:rPr>
          <w:rFonts w:hint="eastAsia" w:ascii="宋体" w:hAnsi="宋体" w:eastAsia="宋体" w:cs="宋体"/>
          <w:snapToGrid w:val="0"/>
          <w:color w:val="auto"/>
          <w:kern w:val="0"/>
          <w:sz w:val="21"/>
          <w:szCs w:val="28"/>
          <w:highlight w:val="none"/>
        </w:rPr>
        <w:t>（1）身份证</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rPr>
        <w:t>；</w:t>
      </w:r>
    </w:p>
    <w:p w14:paraId="1BEF7F0B">
      <w:pPr>
        <w:shd w:val="clear"/>
        <w:wordWrap w:val="0"/>
        <w:adjustRightInd w:val="0"/>
        <w:snapToGrid w:val="0"/>
        <w:spacing w:line="40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8"/>
          <w:highlight w:val="none"/>
        </w:rPr>
        <w:t>（2）相关证书</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lang w:eastAsia="zh-CN"/>
        </w:rPr>
        <w:t>（</w:t>
      </w:r>
      <w:r>
        <w:rPr>
          <w:rFonts w:hint="eastAsia" w:ascii="宋体" w:hAnsi="宋体" w:eastAsia="宋体" w:cs="宋体"/>
          <w:snapToGrid w:val="0"/>
          <w:color w:val="auto"/>
          <w:kern w:val="0"/>
          <w:sz w:val="21"/>
          <w:szCs w:val="28"/>
          <w:highlight w:val="none"/>
        </w:rPr>
        <w:t>须</w:t>
      </w:r>
      <w:r>
        <w:rPr>
          <w:rFonts w:hint="eastAsia" w:ascii="宋体" w:hAnsi="宋体" w:eastAsia="宋体" w:cs="宋体"/>
          <w:snapToGrid w:val="0"/>
          <w:color w:val="auto"/>
          <w:kern w:val="0"/>
          <w:sz w:val="21"/>
          <w:szCs w:val="28"/>
          <w:highlight w:val="none"/>
          <w:lang w:val="en-US" w:eastAsia="zh-CN"/>
        </w:rPr>
        <w:t>扫描</w:t>
      </w:r>
      <w:r>
        <w:rPr>
          <w:rFonts w:hint="eastAsia" w:ascii="宋体" w:hAnsi="宋体" w:eastAsia="宋体" w:cs="宋体"/>
          <w:snapToGrid w:val="0"/>
          <w:color w:val="auto"/>
          <w:kern w:val="0"/>
          <w:sz w:val="21"/>
          <w:szCs w:val="28"/>
          <w:highlight w:val="none"/>
        </w:rPr>
        <w:t>至变更注册栏</w:t>
      </w:r>
      <w:r>
        <w:rPr>
          <w:rFonts w:hint="eastAsia" w:ascii="宋体" w:hAnsi="宋体" w:eastAsia="宋体" w:cs="宋体"/>
          <w:snapToGrid w:val="0"/>
          <w:color w:val="auto"/>
          <w:kern w:val="0"/>
          <w:sz w:val="21"/>
          <w:szCs w:val="28"/>
          <w:highlight w:val="none"/>
          <w:lang w:eastAsia="zh-CN"/>
        </w:rPr>
        <w:t>）</w:t>
      </w:r>
      <w:r>
        <w:rPr>
          <w:rFonts w:hint="eastAsia" w:ascii="宋体" w:hAnsi="宋体" w:eastAsia="宋体" w:cs="宋体"/>
          <w:snapToGrid w:val="0"/>
          <w:color w:val="auto"/>
          <w:kern w:val="0"/>
          <w:sz w:val="21"/>
          <w:szCs w:val="28"/>
          <w:highlight w:val="none"/>
          <w:lang w:val="en-US" w:eastAsia="zh-CN"/>
        </w:rPr>
        <w:t>或在使用有效期内的有效电子证书</w:t>
      </w:r>
      <w:r>
        <w:rPr>
          <w:rFonts w:hint="eastAsia" w:ascii="宋体" w:hAnsi="宋体" w:eastAsia="宋体" w:cs="宋体"/>
          <w:snapToGrid w:val="0"/>
          <w:color w:val="auto"/>
          <w:kern w:val="0"/>
          <w:sz w:val="21"/>
          <w:szCs w:val="28"/>
          <w:highlight w:val="none"/>
          <w:lang w:eastAsia="zh-CN"/>
        </w:rPr>
        <w:t>，</w:t>
      </w:r>
      <w:r>
        <w:rPr>
          <w:rFonts w:hint="eastAsia" w:ascii="宋体" w:hAnsi="宋体" w:eastAsia="宋体" w:cs="宋体"/>
          <w:snapToGrid w:val="0"/>
          <w:color w:val="auto"/>
          <w:kern w:val="0"/>
          <w:sz w:val="21"/>
          <w:szCs w:val="28"/>
          <w:highlight w:val="none"/>
        </w:rPr>
        <w:t>具体要求详见招标文件第一章第三节第</w:t>
      </w:r>
      <w:r>
        <w:rPr>
          <w:rFonts w:hint="eastAsia" w:ascii="宋体" w:hAnsi="宋体" w:eastAsia="宋体" w:cs="宋体"/>
          <w:b/>
          <w:bCs/>
          <w:snapToGrid w:val="0"/>
          <w:color w:val="auto"/>
          <w:kern w:val="0"/>
          <w:sz w:val="21"/>
          <w:szCs w:val="28"/>
          <w:highlight w:val="none"/>
        </w:rPr>
        <w:t>15.5</w:t>
      </w:r>
      <w:r>
        <w:rPr>
          <w:rFonts w:hint="eastAsia" w:ascii="宋体" w:hAnsi="宋体" w:eastAsia="宋体" w:cs="宋体"/>
          <w:snapToGrid w:val="0"/>
          <w:color w:val="auto"/>
          <w:kern w:val="0"/>
          <w:sz w:val="21"/>
          <w:szCs w:val="28"/>
          <w:highlight w:val="none"/>
        </w:rPr>
        <w:t>条表</w:t>
      </w:r>
      <w:r>
        <w:rPr>
          <w:rFonts w:hint="eastAsia" w:ascii="宋体" w:hAnsi="宋体" w:eastAsia="宋体" w:cs="宋体"/>
          <w:b/>
          <w:bCs/>
          <w:snapToGrid w:val="0"/>
          <w:color w:val="auto"/>
          <w:kern w:val="0"/>
          <w:sz w:val="21"/>
          <w:szCs w:val="28"/>
          <w:highlight w:val="none"/>
        </w:rPr>
        <w:t>2</w:t>
      </w:r>
      <w:r>
        <w:rPr>
          <w:rFonts w:hint="eastAsia" w:ascii="宋体" w:hAnsi="宋体" w:eastAsia="宋体" w:cs="宋体"/>
          <w:snapToGrid w:val="0"/>
          <w:color w:val="auto"/>
          <w:kern w:val="0"/>
          <w:sz w:val="21"/>
          <w:szCs w:val="28"/>
          <w:highlight w:val="none"/>
        </w:rPr>
        <w:t>《项目监理机构其他人员需求表》“持证要求”栏目</w:t>
      </w:r>
      <w:r>
        <w:rPr>
          <w:rFonts w:hint="eastAsia" w:ascii="宋体" w:hAnsi="宋体" w:eastAsia="宋体" w:cs="宋体"/>
          <w:snapToGrid w:val="0"/>
          <w:color w:val="auto"/>
          <w:kern w:val="0"/>
          <w:sz w:val="21"/>
          <w:szCs w:val="21"/>
          <w:highlight w:val="none"/>
        </w:rPr>
        <w:t>；</w:t>
      </w:r>
    </w:p>
    <w:p w14:paraId="109B4F2C">
      <w:pPr>
        <w:shd w:val="clear"/>
        <w:wordWrap w:val="0"/>
        <w:adjustRightInd w:val="0"/>
        <w:snapToGrid w:val="0"/>
        <w:spacing w:line="400" w:lineRule="exact"/>
        <w:ind w:firstLine="420"/>
        <w:rPr>
          <w:rFonts w:hint="eastAsia" w:ascii="宋体" w:hAnsi="宋体" w:eastAsia="宋体" w:cs="宋体"/>
          <w:snapToGrid w:val="0"/>
          <w:color w:val="auto"/>
          <w:kern w:val="0"/>
          <w:sz w:val="21"/>
          <w:szCs w:val="28"/>
          <w:highlight w:val="none"/>
          <w:lang w:eastAsia="zh-CN"/>
        </w:rPr>
      </w:pPr>
      <w:r>
        <w:rPr>
          <w:rFonts w:hint="eastAsia" w:ascii="宋体" w:hAnsi="宋体" w:eastAsia="宋体" w:cs="宋体"/>
          <w:snapToGrid w:val="0"/>
          <w:color w:val="auto"/>
          <w:kern w:val="0"/>
          <w:sz w:val="21"/>
          <w:szCs w:val="28"/>
          <w:highlight w:val="none"/>
        </w:rPr>
        <w:t>（3）</w:t>
      </w:r>
      <w:r>
        <w:rPr>
          <w:rFonts w:hint="eastAsia" w:ascii="宋体" w:hAnsi="宋体" w:eastAsia="宋体" w:cs="宋体"/>
          <w:b w:val="0"/>
          <w:bCs w:val="0"/>
          <w:snapToGrid w:val="0"/>
          <w:color w:val="auto"/>
          <w:kern w:val="0"/>
          <w:sz w:val="21"/>
          <w:szCs w:val="28"/>
          <w:highlight w:val="none"/>
        </w:rPr>
        <w:t>在本单位缴</w:t>
      </w:r>
      <w:r>
        <w:rPr>
          <w:rFonts w:hint="eastAsia" w:ascii="宋体" w:hAnsi="宋体" w:eastAsia="宋体" w:cs="宋体"/>
          <w:snapToGrid w:val="0"/>
          <w:color w:val="auto"/>
          <w:kern w:val="0"/>
          <w:sz w:val="21"/>
          <w:szCs w:val="28"/>
          <w:highlight w:val="none"/>
        </w:rPr>
        <w:t>纳社保的证明</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rPr>
        <w:t>（至少</w:t>
      </w:r>
      <w:r>
        <w:rPr>
          <w:rFonts w:hint="eastAsia" w:ascii="宋体" w:hAnsi="宋体" w:eastAsia="宋体" w:cs="宋体"/>
          <w:snapToGrid w:val="0"/>
          <w:color w:val="auto"/>
          <w:kern w:val="0"/>
          <w:sz w:val="21"/>
          <w:szCs w:val="28"/>
          <w:highlight w:val="none"/>
          <w:lang w:val="en-US" w:eastAsia="zh-CN"/>
        </w:rPr>
        <w:t>一</w:t>
      </w:r>
      <w:r>
        <w:rPr>
          <w:rFonts w:hint="eastAsia" w:ascii="宋体" w:hAnsi="宋体" w:eastAsia="宋体" w:cs="宋体"/>
          <w:snapToGrid w:val="0"/>
          <w:color w:val="auto"/>
          <w:kern w:val="0"/>
          <w:sz w:val="21"/>
          <w:szCs w:val="28"/>
          <w:highlight w:val="none"/>
        </w:rPr>
        <w:t>个月，其中必须有</w:t>
      </w:r>
      <w:r>
        <w:rPr>
          <w:rFonts w:hint="eastAsia" w:ascii="宋体" w:hAnsi="宋体" w:eastAsia="宋体" w:cs="宋体"/>
          <w:snapToGrid w:val="0"/>
          <w:color w:val="auto"/>
          <w:kern w:val="0"/>
          <w:sz w:val="21"/>
          <w:szCs w:val="28"/>
          <w:highlight w:val="none"/>
          <w:lang w:eastAsia="zh-CN"/>
        </w:rPr>
        <w:t>2025年</w:t>
      </w:r>
      <w:r>
        <w:rPr>
          <w:rFonts w:hint="eastAsia" w:ascii="宋体" w:hAnsi="宋体" w:eastAsia="宋体" w:cs="宋体"/>
          <w:snapToGrid w:val="0"/>
          <w:color w:val="auto"/>
          <w:kern w:val="0"/>
          <w:sz w:val="21"/>
          <w:szCs w:val="28"/>
          <w:highlight w:val="none"/>
          <w:lang w:val="en-US" w:eastAsia="zh-CN"/>
        </w:rPr>
        <w:t>04</w:t>
      </w:r>
      <w:r>
        <w:rPr>
          <w:rFonts w:hint="eastAsia" w:ascii="宋体" w:hAnsi="宋体" w:eastAsia="宋体" w:cs="宋体"/>
          <w:snapToGrid w:val="0"/>
          <w:color w:val="auto"/>
          <w:kern w:val="0"/>
          <w:sz w:val="21"/>
          <w:szCs w:val="28"/>
          <w:highlight w:val="none"/>
          <w:lang w:eastAsia="zh-CN"/>
        </w:rPr>
        <w:t>月</w:t>
      </w:r>
      <w:r>
        <w:rPr>
          <w:rFonts w:hint="eastAsia" w:ascii="宋体" w:hAnsi="宋体" w:eastAsia="宋体" w:cs="宋体"/>
          <w:snapToGrid w:val="0"/>
          <w:color w:val="auto"/>
          <w:kern w:val="0"/>
          <w:sz w:val="21"/>
          <w:szCs w:val="28"/>
          <w:highlight w:val="none"/>
        </w:rPr>
        <w:t>）。其他拟委派的人员为退休返聘人员无法提供社保证明的，提供退休证和劳动合同</w:t>
      </w:r>
      <w:r>
        <w:rPr>
          <w:rFonts w:hint="eastAsia" w:ascii="宋体" w:hAnsi="宋体" w:eastAsia="宋体" w:cs="宋体"/>
          <w:snapToGrid w:val="0"/>
          <w:color w:val="auto"/>
          <w:kern w:val="0"/>
          <w:sz w:val="21"/>
          <w:szCs w:val="28"/>
          <w:highlight w:val="none"/>
          <w:lang w:val="en-US" w:eastAsia="zh-CN"/>
        </w:rPr>
        <w:t>彩色扫描件</w:t>
      </w:r>
      <w:r>
        <w:rPr>
          <w:rFonts w:hint="eastAsia" w:ascii="宋体" w:hAnsi="宋体" w:eastAsia="宋体" w:cs="宋体"/>
          <w:snapToGrid w:val="0"/>
          <w:color w:val="auto"/>
          <w:kern w:val="0"/>
          <w:sz w:val="21"/>
          <w:szCs w:val="28"/>
          <w:highlight w:val="none"/>
          <w:lang w:eastAsia="zh-CN"/>
        </w:rPr>
        <w:t>。</w:t>
      </w:r>
    </w:p>
    <w:bookmarkEnd w:id="416"/>
    <w:bookmarkEnd w:id="417"/>
    <w:p w14:paraId="4B9D80B6">
      <w:pPr>
        <w:pStyle w:val="49"/>
        <w:widowControl w:val="0"/>
        <w:shd w:val="clear"/>
        <w:wordWrap w:val="0"/>
        <w:adjustRightInd w:val="0"/>
        <w:snapToGrid w:val="0"/>
        <w:spacing w:line="440" w:lineRule="exact"/>
        <w:ind w:firstLine="0"/>
        <w:outlineLvl w:val="2"/>
        <w:rPr>
          <w:rStyle w:val="28"/>
          <w:rFonts w:hint="eastAsia" w:ascii="宋体" w:hAnsi="宋体" w:eastAsia="宋体" w:cs="宋体"/>
          <w:b/>
          <w:bCs/>
          <w:color w:val="auto"/>
          <w:kern w:val="2"/>
          <w:highlight w:val="none"/>
          <w:lang w:val="en-US" w:eastAsia="zh-CN" w:bidi="ar-SA"/>
        </w:rPr>
      </w:pPr>
      <w:r>
        <w:rPr>
          <w:rFonts w:hint="eastAsia" w:ascii="宋体" w:hAnsi="宋体" w:eastAsia="宋体" w:cs="宋体"/>
          <w:b/>
          <w:bCs/>
          <w:snapToGrid w:val="0"/>
          <w:color w:val="auto"/>
          <w:sz w:val="24"/>
          <w:highlight w:val="none"/>
        </w:rPr>
        <w:br w:type="page"/>
      </w:r>
      <w:bookmarkStart w:id="544" w:name="_Toc31108"/>
      <w:bookmarkStart w:id="545" w:name="_Toc15130"/>
      <w:bookmarkStart w:id="546" w:name="_Toc6615"/>
      <w:bookmarkStart w:id="547" w:name="_Toc26196"/>
      <w:bookmarkStart w:id="548" w:name="_Toc7684"/>
      <w:bookmarkStart w:id="549" w:name="_Toc3417"/>
      <w:bookmarkStart w:id="550" w:name="_Toc20301"/>
      <w:bookmarkStart w:id="551" w:name="_Toc8263"/>
      <w:bookmarkStart w:id="552" w:name="_Toc5484"/>
      <w:bookmarkStart w:id="553" w:name="_Toc19935"/>
      <w:r>
        <w:rPr>
          <w:rStyle w:val="28"/>
          <w:rFonts w:hint="eastAsia" w:ascii="宋体" w:hAnsi="宋体" w:eastAsia="宋体" w:cs="宋体"/>
          <w:b/>
          <w:bCs/>
          <w:color w:val="auto"/>
          <w:kern w:val="2"/>
          <w:highlight w:val="none"/>
          <w:lang w:val="en-US" w:eastAsia="zh-CN" w:bidi="ar-SA"/>
        </w:rPr>
        <w:t>格式十三 监理及相关服务报酬清单</w:t>
      </w:r>
      <w:bookmarkEnd w:id="544"/>
      <w:bookmarkEnd w:id="545"/>
      <w:bookmarkEnd w:id="546"/>
      <w:bookmarkEnd w:id="547"/>
      <w:bookmarkEnd w:id="548"/>
      <w:bookmarkEnd w:id="549"/>
      <w:bookmarkEnd w:id="550"/>
      <w:bookmarkEnd w:id="551"/>
      <w:bookmarkEnd w:id="552"/>
      <w:bookmarkEnd w:id="553"/>
    </w:p>
    <w:p w14:paraId="2402B364">
      <w:pPr>
        <w:pStyle w:val="49"/>
        <w:widowControl w:val="0"/>
        <w:shd w:val="clear"/>
        <w:wordWrap w:val="0"/>
        <w:adjustRightInd w:val="0"/>
        <w:snapToGrid w:val="0"/>
        <w:spacing w:before="260" w:after="260" w:line="440" w:lineRule="exact"/>
        <w:ind w:firstLine="0"/>
        <w:jc w:val="center"/>
        <w:rPr>
          <w:rFonts w:hint="eastAsia" w:ascii="宋体" w:hAnsi="宋体" w:eastAsia="宋体" w:cs="宋体"/>
          <w:b/>
          <w:bCs/>
          <w:snapToGrid w:val="0"/>
          <w:color w:val="auto"/>
          <w:sz w:val="30"/>
          <w:highlight w:val="none"/>
        </w:rPr>
      </w:pPr>
      <w:r>
        <w:rPr>
          <w:rFonts w:hint="eastAsia" w:ascii="宋体" w:hAnsi="宋体" w:eastAsia="宋体" w:cs="宋体"/>
          <w:b/>
          <w:bCs/>
          <w:snapToGrid w:val="0"/>
          <w:color w:val="auto"/>
          <w:sz w:val="30"/>
          <w:highlight w:val="none"/>
        </w:rPr>
        <w:t>监理及相关服务报酬清单</w:t>
      </w:r>
    </w:p>
    <w:p w14:paraId="5D2D9C25">
      <w:pPr>
        <w:pStyle w:val="49"/>
        <w:widowControl w:val="0"/>
        <w:shd w:val="clear"/>
        <w:wordWrap w:val="0"/>
        <w:adjustRightInd w:val="0"/>
        <w:snapToGrid w:val="0"/>
        <w:spacing w:line="440" w:lineRule="exact"/>
        <w:ind w:firstLine="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1．监理及相关服务报酬清单说明</w:t>
      </w:r>
    </w:p>
    <w:p w14:paraId="13786587">
      <w:pPr>
        <w:pStyle w:val="49"/>
        <w:widowControl w:val="0"/>
        <w:shd w:val="clear"/>
        <w:wordWrap w:val="0"/>
        <w:adjustRightInd w:val="0"/>
        <w:snapToGrid w:val="0"/>
        <w:spacing w:line="440" w:lineRule="exact"/>
        <w:ind w:firstLine="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w:t>
      </w:r>
    </w:p>
    <w:p w14:paraId="50B932CB">
      <w:pPr>
        <w:pStyle w:val="49"/>
        <w:widowControl w:val="0"/>
        <w:shd w:val="clear"/>
        <w:wordWrap w:val="0"/>
        <w:adjustRightInd w:val="0"/>
        <w:snapToGrid w:val="0"/>
        <w:spacing w:line="440" w:lineRule="exact"/>
        <w:ind w:firstLine="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2．监理及相关服务报酬清单</w:t>
      </w:r>
    </w:p>
    <w:p w14:paraId="3AD1FC29">
      <w:pPr>
        <w:pStyle w:val="49"/>
        <w:widowControl w:val="0"/>
        <w:shd w:val="clear"/>
        <w:wordWrap w:val="0"/>
        <w:adjustRightInd w:val="0"/>
        <w:snapToGrid w:val="0"/>
        <w:spacing w:line="440" w:lineRule="exact"/>
        <w:ind w:firstLine="0"/>
        <w:jc w:val="righ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单位：元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14:paraId="7A15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7" w:type="dxa"/>
            <w:noWrap w:val="0"/>
            <w:vAlign w:val="center"/>
          </w:tcPr>
          <w:p w14:paraId="64E2F78B">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序号</w:t>
            </w:r>
          </w:p>
        </w:tc>
        <w:tc>
          <w:tcPr>
            <w:tcW w:w="2783" w:type="dxa"/>
            <w:gridSpan w:val="3"/>
            <w:noWrap w:val="0"/>
            <w:vAlign w:val="center"/>
          </w:tcPr>
          <w:p w14:paraId="0BDE529E">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分项名称</w:t>
            </w:r>
          </w:p>
        </w:tc>
        <w:tc>
          <w:tcPr>
            <w:tcW w:w="2340" w:type="dxa"/>
            <w:noWrap w:val="0"/>
            <w:vAlign w:val="center"/>
          </w:tcPr>
          <w:p w14:paraId="486D2FFA">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计算公式</w:t>
            </w:r>
          </w:p>
        </w:tc>
        <w:tc>
          <w:tcPr>
            <w:tcW w:w="1252" w:type="dxa"/>
            <w:noWrap w:val="0"/>
            <w:vAlign w:val="center"/>
          </w:tcPr>
          <w:p w14:paraId="76F93EBA">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金额</w:t>
            </w:r>
          </w:p>
        </w:tc>
        <w:tc>
          <w:tcPr>
            <w:tcW w:w="2328" w:type="dxa"/>
            <w:noWrap w:val="0"/>
            <w:vAlign w:val="center"/>
          </w:tcPr>
          <w:p w14:paraId="0B7E8353">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备注</w:t>
            </w:r>
          </w:p>
        </w:tc>
      </w:tr>
      <w:tr w14:paraId="06D8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72306681">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1</w:t>
            </w:r>
          </w:p>
        </w:tc>
        <w:tc>
          <w:tcPr>
            <w:tcW w:w="480" w:type="dxa"/>
            <w:vMerge w:val="restart"/>
            <w:noWrap w:val="0"/>
            <w:vAlign w:val="center"/>
          </w:tcPr>
          <w:p w14:paraId="58575843">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直接成本</w:t>
            </w:r>
          </w:p>
        </w:tc>
        <w:tc>
          <w:tcPr>
            <w:tcW w:w="503" w:type="dxa"/>
            <w:vMerge w:val="restart"/>
            <w:noWrap w:val="0"/>
            <w:vAlign w:val="center"/>
          </w:tcPr>
          <w:p w14:paraId="0786EA2B">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人员费用</w:t>
            </w:r>
          </w:p>
        </w:tc>
        <w:tc>
          <w:tcPr>
            <w:tcW w:w="1800" w:type="dxa"/>
            <w:noWrap w:val="0"/>
            <w:vAlign w:val="center"/>
          </w:tcPr>
          <w:p w14:paraId="498A3E38">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总监理工程师</w:t>
            </w:r>
          </w:p>
        </w:tc>
        <w:tc>
          <w:tcPr>
            <w:tcW w:w="2340" w:type="dxa"/>
            <w:noWrap w:val="0"/>
            <w:vAlign w:val="center"/>
          </w:tcPr>
          <w:p w14:paraId="3EF6399F">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0D8785BF">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vMerge w:val="restart"/>
            <w:noWrap w:val="0"/>
            <w:vAlign w:val="center"/>
          </w:tcPr>
          <w:p w14:paraId="059BB8CD">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含监理、相关服务人员的工资以及一切津贴、补贴、奖金等。</w:t>
            </w:r>
          </w:p>
        </w:tc>
      </w:tr>
      <w:tr w14:paraId="75E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3FDD3B58">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480" w:type="dxa"/>
            <w:vMerge w:val="continue"/>
            <w:noWrap w:val="0"/>
            <w:vAlign w:val="center"/>
          </w:tcPr>
          <w:p w14:paraId="6E39FC19">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503" w:type="dxa"/>
            <w:vMerge w:val="continue"/>
            <w:noWrap w:val="0"/>
            <w:vAlign w:val="center"/>
          </w:tcPr>
          <w:p w14:paraId="766F1B25">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800" w:type="dxa"/>
            <w:noWrap w:val="0"/>
            <w:vAlign w:val="center"/>
          </w:tcPr>
          <w:p w14:paraId="25F632C6">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专业监理工程师</w:t>
            </w:r>
          </w:p>
        </w:tc>
        <w:tc>
          <w:tcPr>
            <w:tcW w:w="2340" w:type="dxa"/>
            <w:noWrap w:val="0"/>
            <w:vAlign w:val="center"/>
          </w:tcPr>
          <w:p w14:paraId="09B3337F">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5B325B0E">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vMerge w:val="continue"/>
            <w:noWrap w:val="0"/>
            <w:vAlign w:val="center"/>
          </w:tcPr>
          <w:p w14:paraId="07E46D50">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1DFD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3EDBDCAB">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480" w:type="dxa"/>
            <w:vMerge w:val="continue"/>
            <w:noWrap w:val="0"/>
            <w:vAlign w:val="center"/>
          </w:tcPr>
          <w:p w14:paraId="487DCB6C">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503" w:type="dxa"/>
            <w:vMerge w:val="continue"/>
            <w:noWrap w:val="0"/>
            <w:vAlign w:val="center"/>
          </w:tcPr>
          <w:p w14:paraId="4DBB5C45">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800" w:type="dxa"/>
            <w:noWrap w:val="0"/>
            <w:vAlign w:val="center"/>
          </w:tcPr>
          <w:p w14:paraId="08F40F14">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监理员</w:t>
            </w:r>
          </w:p>
        </w:tc>
        <w:tc>
          <w:tcPr>
            <w:tcW w:w="2340" w:type="dxa"/>
            <w:noWrap w:val="0"/>
            <w:vAlign w:val="center"/>
          </w:tcPr>
          <w:p w14:paraId="4860402D">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2A60FD51">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vMerge w:val="continue"/>
            <w:noWrap w:val="0"/>
            <w:vAlign w:val="center"/>
          </w:tcPr>
          <w:p w14:paraId="7375E32E">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731B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2FC55158">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480" w:type="dxa"/>
            <w:vMerge w:val="continue"/>
            <w:noWrap w:val="0"/>
            <w:vAlign w:val="center"/>
          </w:tcPr>
          <w:p w14:paraId="5FD9BCE6">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503" w:type="dxa"/>
            <w:vMerge w:val="continue"/>
            <w:noWrap w:val="0"/>
            <w:vAlign w:val="center"/>
          </w:tcPr>
          <w:p w14:paraId="058C1989">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800" w:type="dxa"/>
            <w:noWrap w:val="0"/>
            <w:vAlign w:val="center"/>
          </w:tcPr>
          <w:p w14:paraId="53D386CD">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w:t>
            </w:r>
          </w:p>
        </w:tc>
        <w:tc>
          <w:tcPr>
            <w:tcW w:w="2340" w:type="dxa"/>
            <w:noWrap w:val="0"/>
            <w:vAlign w:val="center"/>
          </w:tcPr>
          <w:p w14:paraId="276DD949">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71173E8B">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vMerge w:val="continue"/>
            <w:noWrap w:val="0"/>
            <w:vAlign w:val="center"/>
          </w:tcPr>
          <w:p w14:paraId="75467C07">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136F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357" w:type="dxa"/>
            <w:vMerge w:val="continue"/>
            <w:noWrap w:val="0"/>
            <w:vAlign w:val="center"/>
          </w:tcPr>
          <w:p w14:paraId="683B3C58">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480" w:type="dxa"/>
            <w:vMerge w:val="continue"/>
            <w:noWrap w:val="0"/>
            <w:vAlign w:val="center"/>
          </w:tcPr>
          <w:p w14:paraId="35CB89CE">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503" w:type="dxa"/>
            <w:vMerge w:val="restart"/>
            <w:noWrap w:val="0"/>
            <w:vAlign w:val="center"/>
          </w:tcPr>
          <w:p w14:paraId="36A1F89C">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专项费用</w:t>
            </w:r>
          </w:p>
        </w:tc>
        <w:tc>
          <w:tcPr>
            <w:tcW w:w="1800" w:type="dxa"/>
            <w:noWrap w:val="0"/>
            <w:vAlign w:val="center"/>
          </w:tcPr>
          <w:p w14:paraId="2CB0B6EA">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现场办公费</w:t>
            </w:r>
          </w:p>
        </w:tc>
        <w:tc>
          <w:tcPr>
            <w:tcW w:w="2340" w:type="dxa"/>
            <w:noWrap w:val="0"/>
            <w:vAlign w:val="center"/>
          </w:tcPr>
          <w:p w14:paraId="496F9BBE">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47EFF265">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16C8F832">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含现场办公所需各种办公用品摊销折旧费用。</w:t>
            </w:r>
          </w:p>
        </w:tc>
      </w:tr>
      <w:tr w14:paraId="54F7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3A934CEC">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480" w:type="dxa"/>
            <w:vMerge w:val="continue"/>
            <w:noWrap w:val="0"/>
            <w:vAlign w:val="center"/>
          </w:tcPr>
          <w:p w14:paraId="593C9A06">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503" w:type="dxa"/>
            <w:vMerge w:val="continue"/>
            <w:noWrap w:val="0"/>
            <w:vAlign w:val="center"/>
          </w:tcPr>
          <w:p w14:paraId="390E6329">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800" w:type="dxa"/>
            <w:noWrap w:val="0"/>
            <w:vAlign w:val="center"/>
          </w:tcPr>
          <w:p w14:paraId="2A82D320">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交通差旅住宿费</w:t>
            </w:r>
          </w:p>
        </w:tc>
        <w:tc>
          <w:tcPr>
            <w:tcW w:w="2340" w:type="dxa"/>
            <w:noWrap w:val="0"/>
            <w:vAlign w:val="center"/>
          </w:tcPr>
          <w:p w14:paraId="40931E8C">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0B02259A">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62692797">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7BFA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57" w:type="dxa"/>
            <w:vMerge w:val="continue"/>
            <w:noWrap w:val="0"/>
            <w:vAlign w:val="center"/>
          </w:tcPr>
          <w:p w14:paraId="0616428B">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480" w:type="dxa"/>
            <w:vMerge w:val="continue"/>
            <w:noWrap w:val="0"/>
            <w:vAlign w:val="center"/>
          </w:tcPr>
          <w:p w14:paraId="64C0A785">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503" w:type="dxa"/>
            <w:vMerge w:val="continue"/>
            <w:noWrap w:val="0"/>
            <w:vAlign w:val="center"/>
          </w:tcPr>
          <w:p w14:paraId="213624C7">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800" w:type="dxa"/>
            <w:noWrap w:val="0"/>
            <w:vAlign w:val="center"/>
          </w:tcPr>
          <w:p w14:paraId="2509AD57">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其他费用</w:t>
            </w:r>
          </w:p>
        </w:tc>
        <w:tc>
          <w:tcPr>
            <w:tcW w:w="2340" w:type="dxa"/>
            <w:noWrap w:val="0"/>
            <w:vAlign w:val="center"/>
          </w:tcPr>
          <w:p w14:paraId="6E839CB9">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6991226F">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099E1F24">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含加班费等各种可预见和不可预见费用。</w:t>
            </w:r>
          </w:p>
        </w:tc>
      </w:tr>
      <w:tr w14:paraId="2DAE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0981D1B3">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480" w:type="dxa"/>
            <w:vMerge w:val="continue"/>
            <w:noWrap w:val="0"/>
            <w:vAlign w:val="center"/>
          </w:tcPr>
          <w:p w14:paraId="7A76BB2E">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503" w:type="dxa"/>
            <w:vMerge w:val="continue"/>
            <w:noWrap w:val="0"/>
            <w:vAlign w:val="center"/>
          </w:tcPr>
          <w:p w14:paraId="67B826C3">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800" w:type="dxa"/>
            <w:noWrap w:val="0"/>
            <w:vAlign w:val="center"/>
          </w:tcPr>
          <w:p w14:paraId="2E12C902">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w:t>
            </w:r>
          </w:p>
        </w:tc>
        <w:tc>
          <w:tcPr>
            <w:tcW w:w="2340" w:type="dxa"/>
            <w:noWrap w:val="0"/>
            <w:vAlign w:val="center"/>
          </w:tcPr>
          <w:p w14:paraId="5E1A2507">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3F5F8BA5">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6325CD09">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303B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5B47DCC1">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2</w:t>
            </w:r>
          </w:p>
        </w:tc>
        <w:tc>
          <w:tcPr>
            <w:tcW w:w="2783" w:type="dxa"/>
            <w:gridSpan w:val="3"/>
            <w:noWrap w:val="0"/>
            <w:vAlign w:val="center"/>
          </w:tcPr>
          <w:p w14:paraId="66ACB2AB">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企业管理费</w:t>
            </w:r>
          </w:p>
        </w:tc>
        <w:tc>
          <w:tcPr>
            <w:tcW w:w="2340" w:type="dxa"/>
            <w:noWrap w:val="0"/>
            <w:vAlign w:val="center"/>
          </w:tcPr>
          <w:p w14:paraId="4CE92612">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0382589C">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2B1B4770">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387F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7AD33FBC">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3</w:t>
            </w:r>
          </w:p>
        </w:tc>
        <w:tc>
          <w:tcPr>
            <w:tcW w:w="2783" w:type="dxa"/>
            <w:gridSpan w:val="3"/>
            <w:noWrap w:val="0"/>
            <w:vAlign w:val="center"/>
          </w:tcPr>
          <w:p w14:paraId="5BA52D1C">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利润</w:t>
            </w:r>
          </w:p>
        </w:tc>
        <w:tc>
          <w:tcPr>
            <w:tcW w:w="2340" w:type="dxa"/>
            <w:noWrap w:val="0"/>
            <w:vAlign w:val="center"/>
          </w:tcPr>
          <w:p w14:paraId="7E21C4EA">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7C6B862B">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5C3CCAD8">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6316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66966915">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4</w:t>
            </w:r>
          </w:p>
        </w:tc>
        <w:tc>
          <w:tcPr>
            <w:tcW w:w="480" w:type="dxa"/>
            <w:vMerge w:val="restart"/>
            <w:noWrap w:val="0"/>
            <w:vAlign w:val="center"/>
          </w:tcPr>
          <w:p w14:paraId="56902B53">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税金</w:t>
            </w:r>
          </w:p>
        </w:tc>
        <w:tc>
          <w:tcPr>
            <w:tcW w:w="2303" w:type="dxa"/>
            <w:gridSpan w:val="2"/>
            <w:noWrap w:val="0"/>
            <w:vAlign w:val="center"/>
          </w:tcPr>
          <w:p w14:paraId="462DE6A1">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增值税</w:t>
            </w:r>
          </w:p>
        </w:tc>
        <w:tc>
          <w:tcPr>
            <w:tcW w:w="2340" w:type="dxa"/>
            <w:noWrap w:val="0"/>
            <w:vAlign w:val="center"/>
          </w:tcPr>
          <w:p w14:paraId="416F96F7">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3D8186E8">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0CE0B291">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2148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6CD021A0">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480" w:type="dxa"/>
            <w:vMerge w:val="continue"/>
            <w:noWrap w:val="0"/>
            <w:vAlign w:val="center"/>
          </w:tcPr>
          <w:p w14:paraId="31333009">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2303" w:type="dxa"/>
            <w:gridSpan w:val="2"/>
            <w:noWrap w:val="0"/>
            <w:vAlign w:val="center"/>
          </w:tcPr>
          <w:p w14:paraId="450A87DF">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所得税</w:t>
            </w:r>
          </w:p>
        </w:tc>
        <w:tc>
          <w:tcPr>
            <w:tcW w:w="2340" w:type="dxa"/>
            <w:noWrap w:val="0"/>
            <w:vAlign w:val="center"/>
          </w:tcPr>
          <w:p w14:paraId="27603C40">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1252" w:type="dxa"/>
            <w:noWrap w:val="0"/>
            <w:vAlign w:val="center"/>
          </w:tcPr>
          <w:p w14:paraId="5484D9B5">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2328" w:type="dxa"/>
            <w:noWrap w:val="0"/>
            <w:vAlign w:val="center"/>
          </w:tcPr>
          <w:p w14:paraId="301F0608">
            <w:pPr>
              <w:pStyle w:val="49"/>
              <w:widowControl w:val="0"/>
              <w:shd w:val="clear"/>
              <w:wordWrap w:val="0"/>
              <w:adjustRightInd w:val="0"/>
              <w:snapToGrid w:val="0"/>
              <w:spacing w:line="240" w:lineRule="auto"/>
              <w:ind w:firstLine="0"/>
              <w:jc w:val="both"/>
              <w:rPr>
                <w:rFonts w:hint="eastAsia" w:ascii="宋体" w:hAnsi="宋体" w:eastAsia="宋体" w:cs="宋体"/>
                <w:color w:val="auto"/>
                <w:sz w:val="21"/>
                <w:highlight w:val="none"/>
              </w:rPr>
            </w:pPr>
          </w:p>
        </w:tc>
      </w:tr>
      <w:tr w14:paraId="7C18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4DD194E4">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480" w:type="dxa"/>
            <w:vMerge w:val="continue"/>
            <w:noWrap w:val="0"/>
            <w:vAlign w:val="center"/>
          </w:tcPr>
          <w:p w14:paraId="29038901">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2303" w:type="dxa"/>
            <w:gridSpan w:val="2"/>
            <w:noWrap w:val="0"/>
            <w:vAlign w:val="center"/>
          </w:tcPr>
          <w:p w14:paraId="377217E0">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其他附加税</w:t>
            </w:r>
          </w:p>
        </w:tc>
        <w:tc>
          <w:tcPr>
            <w:tcW w:w="2340" w:type="dxa"/>
            <w:noWrap w:val="0"/>
            <w:vAlign w:val="center"/>
          </w:tcPr>
          <w:p w14:paraId="4CFDAB22">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1252" w:type="dxa"/>
            <w:noWrap w:val="0"/>
            <w:vAlign w:val="center"/>
          </w:tcPr>
          <w:p w14:paraId="3CB73436">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2328" w:type="dxa"/>
            <w:noWrap w:val="0"/>
            <w:vAlign w:val="center"/>
          </w:tcPr>
          <w:p w14:paraId="01E73C69">
            <w:pPr>
              <w:pStyle w:val="49"/>
              <w:widowControl w:val="0"/>
              <w:shd w:val="clear"/>
              <w:wordWrap w:val="0"/>
              <w:adjustRightInd w:val="0"/>
              <w:snapToGrid w:val="0"/>
              <w:spacing w:line="240" w:lineRule="auto"/>
              <w:ind w:firstLine="0"/>
              <w:jc w:val="both"/>
              <w:rPr>
                <w:rFonts w:hint="eastAsia" w:ascii="宋体" w:hAnsi="宋体" w:eastAsia="宋体" w:cs="宋体"/>
                <w:color w:val="auto"/>
                <w:sz w:val="21"/>
                <w:highlight w:val="none"/>
              </w:rPr>
            </w:pPr>
          </w:p>
        </w:tc>
      </w:tr>
      <w:tr w14:paraId="6534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53350861">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480" w:type="dxa"/>
            <w:vMerge w:val="continue"/>
            <w:noWrap w:val="0"/>
            <w:vAlign w:val="center"/>
          </w:tcPr>
          <w:p w14:paraId="2167539B">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2303" w:type="dxa"/>
            <w:gridSpan w:val="2"/>
            <w:noWrap w:val="0"/>
            <w:vAlign w:val="center"/>
          </w:tcPr>
          <w:p w14:paraId="7A6711B2">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r>
              <w:rPr>
                <w:rFonts w:hint="eastAsia" w:ascii="宋体" w:hAnsi="宋体" w:eastAsia="宋体" w:cs="宋体"/>
                <w:snapToGrid w:val="0"/>
                <w:color w:val="auto"/>
                <w:sz w:val="21"/>
                <w:highlight w:val="none"/>
              </w:rPr>
              <w:t>……</w:t>
            </w:r>
          </w:p>
        </w:tc>
        <w:tc>
          <w:tcPr>
            <w:tcW w:w="2340" w:type="dxa"/>
            <w:noWrap w:val="0"/>
            <w:vAlign w:val="center"/>
          </w:tcPr>
          <w:p w14:paraId="271866B6">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1252" w:type="dxa"/>
            <w:noWrap w:val="0"/>
            <w:vAlign w:val="center"/>
          </w:tcPr>
          <w:p w14:paraId="11B9D266">
            <w:pPr>
              <w:pStyle w:val="49"/>
              <w:widowControl w:val="0"/>
              <w:shd w:val="clear"/>
              <w:wordWrap w:val="0"/>
              <w:adjustRightInd w:val="0"/>
              <w:snapToGrid w:val="0"/>
              <w:spacing w:line="240" w:lineRule="auto"/>
              <w:ind w:firstLine="0"/>
              <w:jc w:val="center"/>
              <w:rPr>
                <w:rFonts w:hint="eastAsia" w:ascii="宋体" w:hAnsi="宋体" w:eastAsia="宋体" w:cs="宋体"/>
                <w:color w:val="auto"/>
                <w:sz w:val="21"/>
                <w:highlight w:val="none"/>
              </w:rPr>
            </w:pPr>
          </w:p>
        </w:tc>
        <w:tc>
          <w:tcPr>
            <w:tcW w:w="2328" w:type="dxa"/>
            <w:noWrap w:val="0"/>
            <w:vAlign w:val="center"/>
          </w:tcPr>
          <w:p w14:paraId="2F4ACC03">
            <w:pPr>
              <w:pStyle w:val="49"/>
              <w:widowControl w:val="0"/>
              <w:shd w:val="clear"/>
              <w:wordWrap w:val="0"/>
              <w:adjustRightInd w:val="0"/>
              <w:snapToGrid w:val="0"/>
              <w:spacing w:line="240" w:lineRule="auto"/>
              <w:ind w:firstLine="0"/>
              <w:jc w:val="both"/>
              <w:rPr>
                <w:rFonts w:hint="eastAsia" w:ascii="宋体" w:hAnsi="宋体" w:eastAsia="宋体" w:cs="宋体"/>
                <w:color w:val="auto"/>
                <w:sz w:val="21"/>
                <w:highlight w:val="none"/>
              </w:rPr>
            </w:pPr>
          </w:p>
        </w:tc>
      </w:tr>
      <w:tr w14:paraId="2E47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1B088502">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w:t>
            </w:r>
          </w:p>
        </w:tc>
        <w:tc>
          <w:tcPr>
            <w:tcW w:w="2783" w:type="dxa"/>
            <w:gridSpan w:val="3"/>
            <w:noWrap w:val="0"/>
            <w:vAlign w:val="center"/>
          </w:tcPr>
          <w:p w14:paraId="484C8A74">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w:t>
            </w:r>
          </w:p>
        </w:tc>
        <w:tc>
          <w:tcPr>
            <w:tcW w:w="2340" w:type="dxa"/>
            <w:noWrap w:val="0"/>
            <w:vAlign w:val="center"/>
          </w:tcPr>
          <w:p w14:paraId="1E9762CD">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1252" w:type="dxa"/>
            <w:noWrap w:val="0"/>
            <w:vAlign w:val="center"/>
          </w:tcPr>
          <w:p w14:paraId="482F2660">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1DF8BCD2">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r w14:paraId="446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80" w:type="dxa"/>
            <w:gridSpan w:val="5"/>
            <w:noWrap w:val="0"/>
            <w:vAlign w:val="center"/>
          </w:tcPr>
          <w:p w14:paraId="3B0F22CD">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r>
              <w:rPr>
                <w:rFonts w:hint="eastAsia" w:ascii="宋体" w:hAnsi="宋体" w:eastAsia="宋体" w:cs="宋体"/>
                <w:snapToGrid w:val="0"/>
                <w:color w:val="auto"/>
                <w:sz w:val="21"/>
                <w:highlight w:val="none"/>
              </w:rPr>
              <w:t>合计报价</w:t>
            </w:r>
          </w:p>
        </w:tc>
        <w:tc>
          <w:tcPr>
            <w:tcW w:w="1252" w:type="dxa"/>
            <w:noWrap w:val="0"/>
            <w:vAlign w:val="center"/>
          </w:tcPr>
          <w:p w14:paraId="29DEF22D">
            <w:pPr>
              <w:pStyle w:val="49"/>
              <w:widowControl w:val="0"/>
              <w:shd w:val="clear"/>
              <w:wordWrap w:val="0"/>
              <w:adjustRightInd w:val="0"/>
              <w:snapToGrid w:val="0"/>
              <w:spacing w:line="240" w:lineRule="auto"/>
              <w:ind w:firstLine="0"/>
              <w:jc w:val="center"/>
              <w:rPr>
                <w:rFonts w:hint="eastAsia" w:ascii="宋体" w:hAnsi="宋体" w:eastAsia="宋体" w:cs="宋体"/>
                <w:snapToGrid w:val="0"/>
                <w:color w:val="auto"/>
                <w:sz w:val="21"/>
                <w:highlight w:val="none"/>
              </w:rPr>
            </w:pPr>
          </w:p>
        </w:tc>
        <w:tc>
          <w:tcPr>
            <w:tcW w:w="2328" w:type="dxa"/>
            <w:noWrap w:val="0"/>
            <w:vAlign w:val="center"/>
          </w:tcPr>
          <w:p w14:paraId="75A1AC49">
            <w:pPr>
              <w:pStyle w:val="49"/>
              <w:widowControl w:val="0"/>
              <w:shd w:val="clear"/>
              <w:wordWrap w:val="0"/>
              <w:adjustRightInd w:val="0"/>
              <w:snapToGrid w:val="0"/>
              <w:spacing w:line="240" w:lineRule="auto"/>
              <w:ind w:firstLine="0"/>
              <w:jc w:val="both"/>
              <w:rPr>
                <w:rFonts w:hint="eastAsia" w:ascii="宋体" w:hAnsi="宋体" w:eastAsia="宋体" w:cs="宋体"/>
                <w:snapToGrid w:val="0"/>
                <w:color w:val="auto"/>
                <w:sz w:val="21"/>
                <w:highlight w:val="none"/>
              </w:rPr>
            </w:pPr>
          </w:p>
        </w:tc>
      </w:tr>
    </w:tbl>
    <w:p w14:paraId="54A28D45">
      <w:pPr>
        <w:pStyle w:val="49"/>
        <w:widowControl w:val="0"/>
        <w:shd w:val="clear"/>
        <w:wordWrap w:val="0"/>
        <w:adjustRightInd w:val="0"/>
        <w:snapToGrid w:val="0"/>
        <w:spacing w:line="400" w:lineRule="exact"/>
        <w:rPr>
          <w:rFonts w:hint="eastAsia" w:ascii="宋体" w:hAnsi="宋体" w:eastAsia="宋体" w:cs="宋体"/>
          <w:snapToGrid w:val="0"/>
          <w:color w:val="auto"/>
          <w:sz w:val="21"/>
          <w:highlight w:val="none"/>
        </w:rPr>
        <w:sectPr>
          <w:endnotePr>
            <w:numFmt w:val="decimal"/>
          </w:endnotePr>
          <w:pgSz w:w="11906" w:h="16838"/>
          <w:pgMar w:top="1440" w:right="1080" w:bottom="1440" w:left="1080" w:header="850" w:footer="992" w:gutter="0"/>
          <w:cols w:space="720" w:num="1"/>
          <w:rtlGutter w:val="0"/>
          <w:docGrid w:linePitch="327" w:charSpace="0"/>
        </w:sectPr>
      </w:pPr>
      <w:r>
        <w:rPr>
          <w:rFonts w:hint="eastAsia" w:ascii="宋体" w:hAnsi="宋体" w:eastAsia="宋体" w:cs="宋体"/>
          <w:snapToGrid w:val="0"/>
          <w:color w:val="auto"/>
          <w:sz w:val="21"/>
          <w:highlight w:val="none"/>
        </w:rPr>
        <w:t>说明：表中“分项名称”栏目中的内容仅供参考，投标人可结合企业实际情况以及招标文件要求自行填写。</w:t>
      </w:r>
    </w:p>
    <w:bookmarkEnd w:id="5"/>
    <w:bookmarkEnd w:id="418"/>
    <w:bookmarkEnd w:id="419"/>
    <w:p w14:paraId="75B71492">
      <w:pPr>
        <w:pStyle w:val="3"/>
        <w:shd w:val="clear"/>
        <w:wordWrap w:val="0"/>
        <w:autoSpaceDE/>
        <w:autoSpaceDN/>
        <w:snapToGrid w:val="0"/>
        <w:spacing w:line="440" w:lineRule="exact"/>
        <w:jc w:val="both"/>
        <w:rPr>
          <w:rFonts w:hint="eastAsia" w:ascii="宋体" w:hAnsi="宋体" w:eastAsia="宋体" w:cs="宋体"/>
          <w:b/>
          <w:bCs/>
          <w:color w:val="auto"/>
          <w:highlight w:val="none"/>
          <w:lang w:val="en-US"/>
        </w:rPr>
      </w:pPr>
      <w:bookmarkStart w:id="554" w:name="_Hlt87783244"/>
      <w:bookmarkEnd w:id="554"/>
      <w:bookmarkStart w:id="555" w:name="_附件十六：措施项目清单计价表"/>
      <w:bookmarkEnd w:id="555"/>
      <w:bookmarkStart w:id="556" w:name="_附件二十一：土建工程、电气工程、给排水工程工程清单项目费汇总表"/>
      <w:bookmarkEnd w:id="556"/>
      <w:bookmarkStart w:id="557" w:name="_Hlt87793582"/>
      <w:bookmarkEnd w:id="557"/>
      <w:bookmarkStart w:id="558" w:name="_Toc142468134"/>
      <w:bookmarkStart w:id="559" w:name="_Toc19899"/>
      <w:bookmarkStart w:id="560" w:name="_Toc137444778"/>
      <w:bookmarkStart w:id="561" w:name="_Toc28376"/>
      <w:bookmarkStart w:id="562" w:name="_Toc22163"/>
      <w:bookmarkStart w:id="563" w:name="_Toc23860"/>
      <w:bookmarkStart w:id="564" w:name="_Toc20168"/>
      <w:bookmarkStart w:id="565" w:name="_Toc133160683"/>
      <w:bookmarkStart w:id="566" w:name="_Toc24536"/>
      <w:bookmarkStart w:id="567" w:name="_Toc17687"/>
      <w:bookmarkStart w:id="568" w:name="_Toc3376"/>
      <w:bookmarkStart w:id="569" w:name="_Toc11009"/>
      <w:bookmarkStart w:id="570" w:name="_Toc13722"/>
      <w:bookmarkStart w:id="571" w:name="_Toc132687128"/>
      <w:bookmarkStart w:id="572" w:name="_Toc20526"/>
      <w:bookmarkStart w:id="573" w:name="_Toc10006"/>
      <w:bookmarkStart w:id="574" w:name="_Toc133815902"/>
      <w:bookmarkStart w:id="575" w:name="_Toc78794873"/>
      <w:r>
        <w:rPr>
          <w:rFonts w:hint="eastAsia" w:ascii="宋体" w:hAnsi="宋体" w:eastAsia="宋体" w:cs="宋体"/>
          <w:b/>
          <w:snapToGrid w:val="0"/>
          <w:color w:val="auto"/>
          <w:sz w:val="24"/>
          <w:highlight w:val="none"/>
          <w:lang w:val="en-US" w:eastAsia="zh-CN"/>
        </w:rPr>
        <w:t>格式十四  原件一览表(如有)</w:t>
      </w:r>
    </w:p>
    <w:tbl>
      <w:tblPr>
        <w:tblStyle w:val="23"/>
        <w:tblpPr w:leftFromText="180" w:rightFromText="180" w:vertAnchor="text" w:horzAnchor="page" w:tblpX="1285"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0"/>
        <w:gridCol w:w="1598"/>
        <w:gridCol w:w="247"/>
        <w:gridCol w:w="1655"/>
        <w:gridCol w:w="1625"/>
        <w:gridCol w:w="754"/>
        <w:gridCol w:w="958"/>
        <w:gridCol w:w="1698"/>
      </w:tblGrid>
      <w:tr w14:paraId="38B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615" w:type="dxa"/>
            <w:gridSpan w:val="8"/>
            <w:shd w:val="clear" w:color="000000" w:fill="FFFFFF"/>
            <w:noWrap w:val="0"/>
            <w:tcMar>
              <w:left w:w="108" w:type="dxa"/>
              <w:right w:w="108" w:type="dxa"/>
            </w:tcMar>
            <w:vAlign w:val="center"/>
          </w:tcPr>
          <w:p w14:paraId="7D125535">
            <w:pPr>
              <w:spacing w:line="240" w:lineRule="auto"/>
              <w:jc w:val="center"/>
              <w:rPr>
                <w:rFonts w:hint="eastAsia" w:ascii="宋体" w:hAnsi="宋体" w:eastAsia="宋体" w:cs="宋体"/>
                <w:color w:val="auto"/>
                <w:highlight w:val="none"/>
              </w:rPr>
            </w:pPr>
            <w:r>
              <w:rPr>
                <w:rFonts w:hint="eastAsia" w:ascii="宋体" w:hAnsi="宋体" w:eastAsia="宋体" w:cs="宋体"/>
                <w:b/>
                <w:color w:val="auto"/>
                <w:highlight w:val="none"/>
              </w:rPr>
              <w:t>原件一览表</w:t>
            </w:r>
          </w:p>
        </w:tc>
      </w:tr>
      <w:tr w14:paraId="7830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678" w:type="dxa"/>
            <w:gridSpan w:val="2"/>
            <w:shd w:val="clear" w:color="000000" w:fill="FFFFFF"/>
            <w:noWrap w:val="0"/>
            <w:tcMar>
              <w:left w:w="108" w:type="dxa"/>
              <w:right w:w="108" w:type="dxa"/>
            </w:tcMar>
            <w:vAlign w:val="center"/>
          </w:tcPr>
          <w:p w14:paraId="3A9FAF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6937" w:type="dxa"/>
            <w:gridSpan w:val="6"/>
            <w:shd w:val="clear" w:color="000000" w:fill="FFFFFF"/>
            <w:noWrap w:val="0"/>
            <w:tcMar>
              <w:left w:w="108" w:type="dxa"/>
              <w:right w:w="108" w:type="dxa"/>
            </w:tcMar>
            <w:vAlign w:val="center"/>
          </w:tcPr>
          <w:p w14:paraId="0787B2C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0DB1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678" w:type="dxa"/>
            <w:gridSpan w:val="2"/>
            <w:shd w:val="clear" w:color="000000" w:fill="FFFFFF"/>
            <w:noWrap w:val="0"/>
            <w:tcMar>
              <w:left w:w="108" w:type="dxa"/>
              <w:right w:w="108" w:type="dxa"/>
            </w:tcMar>
            <w:vAlign w:val="center"/>
          </w:tcPr>
          <w:p w14:paraId="6EC2AD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                (请务必填写单位全称)</w:t>
            </w:r>
          </w:p>
        </w:tc>
        <w:tc>
          <w:tcPr>
            <w:tcW w:w="6937" w:type="dxa"/>
            <w:gridSpan w:val="6"/>
            <w:shd w:val="clear" w:color="000000" w:fill="FFFFFF"/>
            <w:noWrap w:val="0"/>
            <w:tcMar>
              <w:left w:w="108" w:type="dxa"/>
              <w:right w:w="108" w:type="dxa"/>
            </w:tcMar>
            <w:vAlign w:val="center"/>
          </w:tcPr>
          <w:p w14:paraId="0320CC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216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678" w:type="dxa"/>
            <w:gridSpan w:val="2"/>
            <w:shd w:val="clear" w:color="000000" w:fill="FFFFFF"/>
            <w:noWrap w:val="0"/>
            <w:tcMar>
              <w:left w:w="108" w:type="dxa"/>
              <w:right w:w="108" w:type="dxa"/>
            </w:tcMar>
            <w:vAlign w:val="center"/>
          </w:tcPr>
          <w:p w14:paraId="1BB85F7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投标人法定代表人或其</w:t>
            </w:r>
          </w:p>
          <w:p w14:paraId="54B892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委托代理人签名</w:t>
            </w:r>
          </w:p>
        </w:tc>
        <w:tc>
          <w:tcPr>
            <w:tcW w:w="3527" w:type="dxa"/>
            <w:gridSpan w:val="3"/>
            <w:shd w:val="clear" w:color="000000" w:fill="FFFFFF"/>
            <w:noWrap w:val="0"/>
            <w:tcMar>
              <w:left w:w="108" w:type="dxa"/>
              <w:right w:w="108" w:type="dxa"/>
            </w:tcMar>
            <w:vAlign w:val="center"/>
          </w:tcPr>
          <w:p w14:paraId="322682A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54" w:type="dxa"/>
            <w:shd w:val="clear" w:color="000000" w:fill="FFFFFF"/>
            <w:noWrap w:val="0"/>
            <w:tcMar>
              <w:left w:w="108" w:type="dxa"/>
              <w:right w:w="108" w:type="dxa"/>
            </w:tcMar>
            <w:vAlign w:val="center"/>
          </w:tcPr>
          <w:p w14:paraId="14CC15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手机号码</w:t>
            </w:r>
          </w:p>
        </w:tc>
        <w:tc>
          <w:tcPr>
            <w:tcW w:w="2656" w:type="dxa"/>
            <w:gridSpan w:val="2"/>
            <w:shd w:val="clear" w:color="000000" w:fill="FFFFFF"/>
            <w:noWrap w:val="0"/>
            <w:tcMar>
              <w:left w:w="108" w:type="dxa"/>
              <w:right w:w="108" w:type="dxa"/>
            </w:tcMar>
            <w:vAlign w:val="center"/>
          </w:tcPr>
          <w:p w14:paraId="504111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00D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615" w:type="dxa"/>
            <w:gridSpan w:val="8"/>
            <w:shd w:val="clear" w:color="000000" w:fill="FFFFFF"/>
            <w:noWrap w:val="0"/>
            <w:tcMar>
              <w:left w:w="108" w:type="dxa"/>
              <w:right w:w="108" w:type="dxa"/>
            </w:tcMar>
            <w:vAlign w:val="center"/>
          </w:tcPr>
          <w:p w14:paraId="23BED7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递交的证明材料原件如下：</w:t>
            </w:r>
          </w:p>
        </w:tc>
      </w:tr>
      <w:tr w14:paraId="4E0A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080" w:type="dxa"/>
            <w:shd w:val="clear" w:color="auto" w:fill="FFFFFF"/>
            <w:noWrap w:val="0"/>
            <w:tcMar>
              <w:left w:w="108" w:type="dxa"/>
              <w:right w:w="108" w:type="dxa"/>
            </w:tcMar>
            <w:vAlign w:val="center"/>
          </w:tcPr>
          <w:p w14:paraId="0FF904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25" w:type="dxa"/>
            <w:gridSpan w:val="4"/>
            <w:shd w:val="clear" w:color="auto" w:fill="FFFFFF"/>
            <w:noWrap w:val="0"/>
            <w:tcMar>
              <w:left w:w="108" w:type="dxa"/>
              <w:right w:w="108" w:type="dxa"/>
            </w:tcMar>
            <w:vAlign w:val="center"/>
          </w:tcPr>
          <w:p w14:paraId="70986EA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证明材料原件名称</w:t>
            </w:r>
          </w:p>
        </w:tc>
        <w:tc>
          <w:tcPr>
            <w:tcW w:w="1712" w:type="dxa"/>
            <w:gridSpan w:val="2"/>
            <w:shd w:val="clear" w:color="auto" w:fill="FFFFFF"/>
            <w:noWrap w:val="0"/>
            <w:tcMar>
              <w:left w:w="108" w:type="dxa"/>
              <w:right w:w="108" w:type="dxa"/>
            </w:tcMar>
            <w:vAlign w:val="center"/>
          </w:tcPr>
          <w:p w14:paraId="79CC80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698" w:type="dxa"/>
            <w:shd w:val="clear" w:color="auto" w:fill="FFFFFF"/>
            <w:noWrap w:val="0"/>
            <w:tcMar>
              <w:left w:w="108" w:type="dxa"/>
              <w:right w:w="108" w:type="dxa"/>
            </w:tcMar>
            <w:vAlign w:val="center"/>
          </w:tcPr>
          <w:p w14:paraId="7BB395E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17AB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080" w:type="dxa"/>
            <w:shd w:val="clear" w:color="000000" w:fill="FFFFFF"/>
            <w:noWrap w:val="0"/>
            <w:tcMar>
              <w:left w:w="108" w:type="dxa"/>
              <w:right w:w="108" w:type="dxa"/>
            </w:tcMar>
            <w:vAlign w:val="center"/>
          </w:tcPr>
          <w:p w14:paraId="686AFE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25" w:type="dxa"/>
            <w:gridSpan w:val="4"/>
            <w:shd w:val="clear" w:color="000000" w:fill="FFFFFF"/>
            <w:noWrap w:val="0"/>
            <w:tcMar>
              <w:left w:w="108" w:type="dxa"/>
              <w:right w:w="108" w:type="dxa"/>
            </w:tcMar>
            <w:vAlign w:val="center"/>
          </w:tcPr>
          <w:p w14:paraId="346D4F2C">
            <w:pPr>
              <w:spacing w:line="360" w:lineRule="auto"/>
              <w:jc w:val="center"/>
              <w:rPr>
                <w:rFonts w:hint="eastAsia" w:ascii="宋体" w:hAnsi="宋体" w:eastAsia="宋体" w:cs="宋体"/>
                <w:color w:val="auto"/>
                <w:sz w:val="21"/>
                <w:szCs w:val="21"/>
                <w:highlight w:val="none"/>
              </w:rPr>
            </w:pPr>
          </w:p>
        </w:tc>
        <w:tc>
          <w:tcPr>
            <w:tcW w:w="1712" w:type="dxa"/>
            <w:gridSpan w:val="2"/>
            <w:shd w:val="clear" w:color="000000" w:fill="FFFFFF"/>
            <w:noWrap w:val="0"/>
            <w:tcMar>
              <w:left w:w="108" w:type="dxa"/>
              <w:right w:w="108" w:type="dxa"/>
            </w:tcMar>
            <w:vAlign w:val="center"/>
          </w:tcPr>
          <w:p w14:paraId="7691A120">
            <w:pPr>
              <w:spacing w:line="360" w:lineRule="auto"/>
              <w:jc w:val="center"/>
              <w:rPr>
                <w:rFonts w:hint="eastAsia" w:ascii="宋体" w:hAnsi="宋体" w:eastAsia="宋体" w:cs="宋体"/>
                <w:color w:val="auto"/>
                <w:sz w:val="21"/>
                <w:szCs w:val="21"/>
                <w:highlight w:val="none"/>
              </w:rPr>
            </w:pPr>
          </w:p>
        </w:tc>
        <w:tc>
          <w:tcPr>
            <w:tcW w:w="1698" w:type="dxa"/>
            <w:shd w:val="clear" w:color="000000" w:fill="FFFFFF"/>
            <w:noWrap w:val="0"/>
            <w:tcMar>
              <w:left w:w="108" w:type="dxa"/>
              <w:right w:w="108" w:type="dxa"/>
            </w:tcMar>
            <w:vAlign w:val="center"/>
          </w:tcPr>
          <w:p w14:paraId="04870B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A45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080" w:type="dxa"/>
            <w:shd w:val="clear" w:color="000000" w:fill="FFFFFF"/>
            <w:noWrap w:val="0"/>
            <w:tcMar>
              <w:left w:w="108" w:type="dxa"/>
              <w:right w:w="108" w:type="dxa"/>
            </w:tcMar>
            <w:vAlign w:val="center"/>
          </w:tcPr>
          <w:p w14:paraId="3FF57BC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25" w:type="dxa"/>
            <w:gridSpan w:val="4"/>
            <w:shd w:val="clear" w:color="000000" w:fill="FFFFFF"/>
            <w:noWrap w:val="0"/>
            <w:tcMar>
              <w:left w:w="108" w:type="dxa"/>
              <w:right w:w="108" w:type="dxa"/>
            </w:tcMar>
            <w:vAlign w:val="center"/>
          </w:tcPr>
          <w:p w14:paraId="6B04512A">
            <w:pPr>
              <w:spacing w:line="360" w:lineRule="auto"/>
              <w:jc w:val="center"/>
              <w:rPr>
                <w:rFonts w:hint="eastAsia" w:ascii="宋体" w:hAnsi="宋体" w:eastAsia="宋体" w:cs="宋体"/>
                <w:color w:val="auto"/>
                <w:sz w:val="21"/>
                <w:szCs w:val="21"/>
                <w:highlight w:val="none"/>
              </w:rPr>
            </w:pPr>
          </w:p>
        </w:tc>
        <w:tc>
          <w:tcPr>
            <w:tcW w:w="1712" w:type="dxa"/>
            <w:gridSpan w:val="2"/>
            <w:shd w:val="clear" w:color="000000" w:fill="FFFFFF"/>
            <w:noWrap w:val="0"/>
            <w:tcMar>
              <w:left w:w="108" w:type="dxa"/>
              <w:right w:w="108" w:type="dxa"/>
            </w:tcMar>
            <w:vAlign w:val="center"/>
          </w:tcPr>
          <w:p w14:paraId="054EEE20">
            <w:pPr>
              <w:spacing w:line="360" w:lineRule="auto"/>
              <w:jc w:val="center"/>
              <w:rPr>
                <w:rFonts w:hint="eastAsia" w:ascii="宋体" w:hAnsi="宋体" w:eastAsia="宋体" w:cs="宋体"/>
                <w:color w:val="auto"/>
                <w:sz w:val="21"/>
                <w:szCs w:val="21"/>
                <w:highlight w:val="none"/>
              </w:rPr>
            </w:pPr>
          </w:p>
        </w:tc>
        <w:tc>
          <w:tcPr>
            <w:tcW w:w="1698" w:type="dxa"/>
            <w:shd w:val="clear" w:color="000000" w:fill="FFFFFF"/>
            <w:noWrap w:val="0"/>
            <w:tcMar>
              <w:left w:w="108" w:type="dxa"/>
              <w:right w:w="108" w:type="dxa"/>
            </w:tcMar>
            <w:vAlign w:val="center"/>
          </w:tcPr>
          <w:p w14:paraId="7413C38B">
            <w:pPr>
              <w:spacing w:line="360" w:lineRule="auto"/>
              <w:jc w:val="center"/>
              <w:rPr>
                <w:rFonts w:hint="eastAsia" w:ascii="宋体" w:hAnsi="宋体" w:eastAsia="宋体" w:cs="宋体"/>
                <w:color w:val="auto"/>
                <w:sz w:val="21"/>
                <w:szCs w:val="21"/>
                <w:highlight w:val="none"/>
              </w:rPr>
            </w:pPr>
          </w:p>
        </w:tc>
      </w:tr>
      <w:tr w14:paraId="2812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080" w:type="dxa"/>
            <w:shd w:val="clear" w:color="000000" w:fill="FFFFFF"/>
            <w:noWrap w:val="0"/>
            <w:tcMar>
              <w:left w:w="108" w:type="dxa"/>
              <w:right w:w="108" w:type="dxa"/>
            </w:tcMar>
            <w:vAlign w:val="center"/>
          </w:tcPr>
          <w:p w14:paraId="79AB7A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25" w:type="dxa"/>
            <w:gridSpan w:val="4"/>
            <w:shd w:val="clear" w:color="000000" w:fill="FFFFFF"/>
            <w:noWrap w:val="0"/>
            <w:tcMar>
              <w:left w:w="108" w:type="dxa"/>
              <w:right w:w="108" w:type="dxa"/>
            </w:tcMar>
            <w:vAlign w:val="center"/>
          </w:tcPr>
          <w:p w14:paraId="42294A87">
            <w:pPr>
              <w:spacing w:line="360" w:lineRule="auto"/>
              <w:jc w:val="center"/>
              <w:rPr>
                <w:rFonts w:hint="eastAsia" w:ascii="宋体" w:hAnsi="宋体" w:eastAsia="宋体" w:cs="宋体"/>
                <w:color w:val="auto"/>
                <w:sz w:val="21"/>
                <w:szCs w:val="21"/>
                <w:highlight w:val="none"/>
              </w:rPr>
            </w:pPr>
          </w:p>
        </w:tc>
        <w:tc>
          <w:tcPr>
            <w:tcW w:w="1712" w:type="dxa"/>
            <w:gridSpan w:val="2"/>
            <w:shd w:val="clear" w:color="000000" w:fill="FFFFFF"/>
            <w:noWrap w:val="0"/>
            <w:tcMar>
              <w:left w:w="108" w:type="dxa"/>
              <w:right w:w="108" w:type="dxa"/>
            </w:tcMar>
            <w:vAlign w:val="center"/>
          </w:tcPr>
          <w:p w14:paraId="4F8B6CFF">
            <w:pPr>
              <w:spacing w:line="360" w:lineRule="auto"/>
              <w:jc w:val="center"/>
              <w:rPr>
                <w:rFonts w:hint="eastAsia" w:ascii="宋体" w:hAnsi="宋体" w:eastAsia="宋体" w:cs="宋体"/>
                <w:color w:val="auto"/>
                <w:sz w:val="21"/>
                <w:szCs w:val="21"/>
                <w:highlight w:val="none"/>
              </w:rPr>
            </w:pPr>
          </w:p>
        </w:tc>
        <w:tc>
          <w:tcPr>
            <w:tcW w:w="1698" w:type="dxa"/>
            <w:shd w:val="clear" w:color="000000" w:fill="FFFFFF"/>
            <w:noWrap w:val="0"/>
            <w:tcMar>
              <w:left w:w="108" w:type="dxa"/>
              <w:right w:w="108" w:type="dxa"/>
            </w:tcMar>
            <w:vAlign w:val="center"/>
          </w:tcPr>
          <w:p w14:paraId="0D84FEAC">
            <w:pPr>
              <w:spacing w:line="360" w:lineRule="auto"/>
              <w:jc w:val="center"/>
              <w:rPr>
                <w:rFonts w:hint="eastAsia" w:ascii="宋体" w:hAnsi="宋体" w:eastAsia="宋体" w:cs="宋体"/>
                <w:color w:val="auto"/>
                <w:sz w:val="21"/>
                <w:szCs w:val="21"/>
                <w:highlight w:val="none"/>
              </w:rPr>
            </w:pPr>
          </w:p>
        </w:tc>
      </w:tr>
      <w:tr w14:paraId="0976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1080" w:type="dxa"/>
            <w:shd w:val="clear" w:color="000000" w:fill="FFFFFF"/>
            <w:noWrap w:val="0"/>
            <w:tcMar>
              <w:left w:w="108" w:type="dxa"/>
              <w:right w:w="108" w:type="dxa"/>
            </w:tcMar>
            <w:vAlign w:val="center"/>
          </w:tcPr>
          <w:p w14:paraId="62467A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125" w:type="dxa"/>
            <w:gridSpan w:val="4"/>
            <w:shd w:val="clear" w:color="000000" w:fill="FFFFFF"/>
            <w:noWrap w:val="0"/>
            <w:tcMar>
              <w:left w:w="108" w:type="dxa"/>
              <w:right w:w="108" w:type="dxa"/>
            </w:tcMar>
            <w:vAlign w:val="center"/>
          </w:tcPr>
          <w:p w14:paraId="67605854">
            <w:pPr>
              <w:spacing w:line="360" w:lineRule="auto"/>
              <w:jc w:val="center"/>
              <w:rPr>
                <w:rFonts w:hint="eastAsia" w:ascii="宋体" w:hAnsi="宋体" w:eastAsia="宋体" w:cs="宋体"/>
                <w:color w:val="auto"/>
                <w:sz w:val="21"/>
                <w:szCs w:val="21"/>
                <w:highlight w:val="none"/>
              </w:rPr>
            </w:pPr>
          </w:p>
        </w:tc>
        <w:tc>
          <w:tcPr>
            <w:tcW w:w="1712" w:type="dxa"/>
            <w:gridSpan w:val="2"/>
            <w:shd w:val="clear" w:color="000000" w:fill="FFFFFF"/>
            <w:noWrap w:val="0"/>
            <w:tcMar>
              <w:left w:w="108" w:type="dxa"/>
              <w:right w:w="108" w:type="dxa"/>
            </w:tcMar>
            <w:vAlign w:val="center"/>
          </w:tcPr>
          <w:p w14:paraId="0CC1765C">
            <w:pPr>
              <w:spacing w:line="360" w:lineRule="auto"/>
              <w:jc w:val="center"/>
              <w:rPr>
                <w:rFonts w:hint="eastAsia" w:ascii="宋体" w:hAnsi="宋体" w:eastAsia="宋体" w:cs="宋体"/>
                <w:color w:val="auto"/>
                <w:sz w:val="21"/>
                <w:szCs w:val="21"/>
                <w:highlight w:val="none"/>
              </w:rPr>
            </w:pPr>
          </w:p>
        </w:tc>
        <w:tc>
          <w:tcPr>
            <w:tcW w:w="1698" w:type="dxa"/>
            <w:shd w:val="clear" w:color="000000" w:fill="FFFFFF"/>
            <w:noWrap w:val="0"/>
            <w:tcMar>
              <w:left w:w="108" w:type="dxa"/>
              <w:right w:w="108" w:type="dxa"/>
            </w:tcMar>
            <w:vAlign w:val="center"/>
          </w:tcPr>
          <w:p w14:paraId="518866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5E5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1080" w:type="dxa"/>
            <w:shd w:val="clear" w:color="auto" w:fill="FFFFFF"/>
            <w:noWrap w:val="0"/>
            <w:tcMar>
              <w:left w:w="108" w:type="dxa"/>
              <w:right w:w="108" w:type="dxa"/>
            </w:tcMar>
            <w:vAlign w:val="center"/>
          </w:tcPr>
          <w:p w14:paraId="30CEA003">
            <w:pPr>
              <w:spacing w:line="360" w:lineRule="auto"/>
              <w:ind w:left="8" w:hanging="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w:t>
            </w:r>
          </w:p>
        </w:tc>
        <w:tc>
          <w:tcPr>
            <w:tcW w:w="8535" w:type="dxa"/>
            <w:gridSpan w:val="7"/>
            <w:shd w:val="clear" w:color="auto" w:fill="FFFFFF"/>
            <w:noWrap w:val="0"/>
            <w:tcMar>
              <w:left w:w="108" w:type="dxa"/>
              <w:right w:w="108" w:type="dxa"/>
            </w:tcMar>
            <w:vAlign w:val="center"/>
          </w:tcPr>
          <w:p w14:paraId="0CB17C8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15A5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925" w:type="dxa"/>
            <w:gridSpan w:val="3"/>
            <w:shd w:val="clear" w:color="000000" w:fill="FFFFFF"/>
            <w:noWrap w:val="0"/>
            <w:tcMar>
              <w:left w:w="108" w:type="dxa"/>
              <w:right w:w="108" w:type="dxa"/>
            </w:tcMar>
            <w:vAlign w:val="center"/>
          </w:tcPr>
          <w:p w14:paraId="48D6DDF1">
            <w:pPr>
              <w:spacing w:line="360" w:lineRule="auto"/>
              <w:jc w:val="center"/>
              <w:rPr>
                <w:rFonts w:hint="eastAsia" w:ascii="宋体" w:hAnsi="宋体" w:eastAsia="宋体" w:cs="宋体"/>
                <w:color w:val="auto"/>
                <w:sz w:val="21"/>
                <w:szCs w:val="21"/>
                <w:highlight w:val="none"/>
              </w:rPr>
            </w:pPr>
          </w:p>
          <w:p w14:paraId="3B29EB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接收原件经办人(招标代理)：</w:t>
            </w:r>
          </w:p>
        </w:tc>
        <w:tc>
          <w:tcPr>
            <w:tcW w:w="1655" w:type="dxa"/>
            <w:shd w:val="clear" w:color="000000" w:fill="FFFFFF"/>
            <w:noWrap w:val="0"/>
            <w:tcMar>
              <w:left w:w="108" w:type="dxa"/>
              <w:right w:w="108" w:type="dxa"/>
            </w:tcMar>
            <w:vAlign w:val="center"/>
          </w:tcPr>
          <w:p w14:paraId="45073B1E">
            <w:pPr>
              <w:spacing w:line="360" w:lineRule="auto"/>
              <w:jc w:val="center"/>
              <w:rPr>
                <w:rFonts w:hint="eastAsia" w:ascii="宋体" w:hAnsi="宋体" w:eastAsia="宋体" w:cs="宋体"/>
                <w:color w:val="auto"/>
                <w:sz w:val="21"/>
                <w:szCs w:val="21"/>
                <w:highlight w:val="none"/>
              </w:rPr>
            </w:pPr>
          </w:p>
        </w:tc>
        <w:tc>
          <w:tcPr>
            <w:tcW w:w="1625" w:type="dxa"/>
            <w:shd w:val="clear" w:color="000000" w:fill="FFFFFF"/>
            <w:noWrap w:val="0"/>
            <w:tcMar>
              <w:left w:w="108" w:type="dxa"/>
              <w:right w:w="108" w:type="dxa"/>
            </w:tcMar>
            <w:vAlign w:val="center"/>
          </w:tcPr>
          <w:p w14:paraId="0DC7B2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接收时间：</w:t>
            </w:r>
          </w:p>
        </w:tc>
        <w:tc>
          <w:tcPr>
            <w:tcW w:w="3410" w:type="dxa"/>
            <w:gridSpan w:val="3"/>
            <w:shd w:val="clear" w:color="000000" w:fill="FFFFFF"/>
            <w:noWrap w:val="0"/>
            <w:tcMar>
              <w:left w:w="108" w:type="dxa"/>
              <w:right w:w="108" w:type="dxa"/>
            </w:tcMar>
            <w:vAlign w:val="center"/>
          </w:tcPr>
          <w:p w14:paraId="10D7D25F">
            <w:pPr>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时  分</w:t>
            </w:r>
          </w:p>
        </w:tc>
      </w:tr>
      <w:tr w14:paraId="1B5B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925" w:type="dxa"/>
            <w:gridSpan w:val="3"/>
            <w:shd w:val="clear" w:color="000000" w:fill="FFFFFF"/>
            <w:noWrap w:val="0"/>
            <w:tcMar>
              <w:left w:w="108" w:type="dxa"/>
              <w:right w:w="108" w:type="dxa"/>
            </w:tcMar>
            <w:vAlign w:val="center"/>
          </w:tcPr>
          <w:p w14:paraId="72EA94E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退还原件接收人(投标人)：</w:t>
            </w:r>
          </w:p>
        </w:tc>
        <w:tc>
          <w:tcPr>
            <w:tcW w:w="1655" w:type="dxa"/>
            <w:shd w:val="clear" w:color="000000" w:fill="FFFFFF"/>
            <w:noWrap w:val="0"/>
            <w:tcMar>
              <w:left w:w="108" w:type="dxa"/>
              <w:right w:w="108" w:type="dxa"/>
            </w:tcMar>
            <w:vAlign w:val="center"/>
          </w:tcPr>
          <w:p w14:paraId="451CE919">
            <w:pPr>
              <w:spacing w:line="360" w:lineRule="auto"/>
              <w:jc w:val="center"/>
              <w:rPr>
                <w:rFonts w:hint="eastAsia" w:ascii="宋体" w:hAnsi="宋体" w:eastAsia="宋体" w:cs="宋体"/>
                <w:color w:val="auto"/>
                <w:sz w:val="21"/>
                <w:szCs w:val="21"/>
                <w:highlight w:val="none"/>
              </w:rPr>
            </w:pPr>
          </w:p>
        </w:tc>
        <w:tc>
          <w:tcPr>
            <w:tcW w:w="1625" w:type="dxa"/>
            <w:shd w:val="clear" w:color="000000" w:fill="FFFFFF"/>
            <w:noWrap w:val="0"/>
            <w:tcMar>
              <w:left w:w="108" w:type="dxa"/>
              <w:right w:w="108" w:type="dxa"/>
            </w:tcMar>
            <w:vAlign w:val="center"/>
          </w:tcPr>
          <w:p w14:paraId="4BFDF9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退还时间：</w:t>
            </w:r>
          </w:p>
        </w:tc>
        <w:tc>
          <w:tcPr>
            <w:tcW w:w="3410" w:type="dxa"/>
            <w:gridSpan w:val="3"/>
            <w:shd w:val="clear" w:color="000000" w:fill="FFFFFF"/>
            <w:noWrap w:val="0"/>
            <w:tcMar>
              <w:left w:w="108" w:type="dxa"/>
              <w:right w:w="108" w:type="dxa"/>
            </w:tcMar>
            <w:vAlign w:val="center"/>
          </w:tcPr>
          <w:p w14:paraId="1DF13E75">
            <w:pPr>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时   分</w:t>
            </w:r>
          </w:p>
        </w:tc>
      </w:tr>
    </w:tbl>
    <w:p w14:paraId="16769228">
      <w:pPr>
        <w:pStyle w:val="49"/>
        <w:widowControl w:val="0"/>
        <w:wordWrap w:val="0"/>
        <w:adjustRightInd w:val="0"/>
        <w:snapToGrid w:val="0"/>
        <w:spacing w:line="360" w:lineRule="auto"/>
        <w:rPr>
          <w:rFonts w:hint="eastAsia" w:ascii="宋体" w:hAnsi="宋体" w:eastAsia="宋体" w:cs="宋体"/>
          <w:snapToGrid w:val="0"/>
          <w:color w:val="auto"/>
          <w:sz w:val="21"/>
          <w:highlight w:val="none"/>
        </w:rPr>
        <w:sectPr>
          <w:footerReference r:id="rId6" w:type="default"/>
          <w:endnotePr>
            <w:numFmt w:val="decimal"/>
          </w:endnotePr>
          <w:pgSz w:w="11906" w:h="16838"/>
          <w:pgMar w:top="1440" w:right="1080" w:bottom="1440" w:left="1080" w:header="850" w:footer="992" w:gutter="0"/>
          <w:pgNumType w:fmt="decimal"/>
          <w:cols w:space="720" w:num="1"/>
          <w:docGrid w:linePitch="327" w:charSpace="0"/>
        </w:sectPr>
      </w:pPr>
    </w:p>
    <w:p w14:paraId="7D8BC9E2">
      <w:pPr>
        <w:pStyle w:val="3"/>
        <w:shd w:val="clear"/>
        <w:wordWrap w:val="0"/>
        <w:autoSpaceDE/>
        <w:autoSpaceDN/>
        <w:snapToGrid w:val="0"/>
        <w:spacing w:line="440" w:lineRule="exact"/>
        <w:jc w:val="center"/>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第六章 建设工程监理合同</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4982F9A5">
      <w:pPr>
        <w:shd w:val="clear"/>
        <w:wordWrap w:val="0"/>
        <w:adjustRightInd w:val="0"/>
        <w:snapToGrid w:val="0"/>
        <w:spacing w:line="440" w:lineRule="exact"/>
        <w:rPr>
          <w:rFonts w:hint="eastAsia" w:ascii="宋体" w:hAnsi="宋体" w:eastAsia="宋体" w:cs="宋体"/>
          <w:snapToGrid w:val="0"/>
          <w:color w:val="auto"/>
          <w:kern w:val="0"/>
          <w:highlight w:val="none"/>
        </w:rPr>
      </w:pPr>
    </w:p>
    <w:p w14:paraId="67BFADFE">
      <w:pPr>
        <w:shd w:val="clear"/>
        <w:wordWrap w:val="0"/>
        <w:adjustRightInd w:val="0"/>
        <w:snapToGrid w:val="0"/>
        <w:spacing w:line="44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（略），</w:t>
      </w:r>
      <w:bookmarkEnd w:id="574"/>
      <w:bookmarkEnd w:id="575"/>
      <w:r>
        <w:rPr>
          <w:rFonts w:hint="eastAsia" w:ascii="宋体" w:hAnsi="宋体" w:eastAsia="宋体" w:cs="宋体"/>
          <w:snapToGrid w:val="0"/>
          <w:color w:val="auto"/>
          <w:kern w:val="0"/>
          <w:highlight w:val="none"/>
        </w:rPr>
        <w:t>按照《建设工程监理合同（示范文本）》（GF—2012—0202）执行。</w:t>
      </w:r>
    </w:p>
    <w:p w14:paraId="2F5A3B9C">
      <w:pPr>
        <w:shd w:val="clear"/>
        <w:rPr>
          <w:rFonts w:hint="eastAsia" w:ascii="宋体" w:hAnsi="宋体" w:eastAsia="宋体" w:cs="宋体"/>
          <w:color w:val="auto"/>
          <w:highlight w:val="none"/>
        </w:rPr>
      </w:pPr>
    </w:p>
    <w:sectPr>
      <w:endnotePr>
        <w:numFmt w:val="decimal"/>
      </w:endnotePr>
      <w:pgSz w:w="11906" w:h="16838"/>
      <w:pgMar w:top="1440" w:right="1080" w:bottom="1440" w:left="1080" w:header="850" w:footer="992" w:gutter="0"/>
      <w:cols w:space="720" w:num="1"/>
      <w:rtlGutter w:val="0"/>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文黑-85W">
    <w:panose1 w:val="00020600040101010101"/>
    <w:charset w:val="86"/>
    <w:family w:val="roman"/>
    <w:pitch w:val="default"/>
    <w:sig w:usb0="A00002BF" w:usb1="1ACF7CFA" w:usb2="00000016" w:usb3="00000000" w:csb0="0004009F" w:csb1="DFD70000"/>
  </w:font>
  <w:font w:name="汉仪文黑-55简">
    <w:panose1 w:val="00020600040101010101"/>
    <w:charset w:val="86"/>
    <w:family w:val="roman"/>
    <w:pitch w:val="default"/>
    <w:sig w:usb0="A00002BF" w:usb1="1ACF7CFA" w:usb2="00000016" w:usb3="00000000" w:csb0="0004009F" w:csb1="DFD70000"/>
  </w:font>
  <w:font w:name="新宋体">
    <w:panose1 w:val="02010609030101010101"/>
    <w:charset w:val="86"/>
    <w:family w:val="auto"/>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7ABF">
    <w:pPr>
      <w:pStyle w:val="1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B1532">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1DB153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B251">
    <w:pPr>
      <w:pStyle w:val="7"/>
      <w:spacing w:line="173" w:lineRule="auto"/>
      <w:ind w:left="431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CD9748">
                          <w:pPr>
                            <w:pStyle w:val="14"/>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CD9748">
                    <w:pPr>
                      <w:pStyle w:val="1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78314"/>
    <w:multiLevelType w:val="singleLevel"/>
    <w:tmpl w:val="84678314"/>
    <w:lvl w:ilvl="0" w:tentative="0">
      <w:start w:val="1"/>
      <w:numFmt w:val="decimal"/>
      <w:lvlText w:val="%1."/>
      <w:lvlJc w:val="left"/>
      <w:pPr>
        <w:tabs>
          <w:tab w:val="left" w:pos="312"/>
        </w:tabs>
      </w:pPr>
      <w:rPr>
        <w:rFonts w:hint="default"/>
        <w:b w:val="0"/>
        <w:bCs w:val="0"/>
      </w:rPr>
    </w:lvl>
  </w:abstractNum>
  <w:abstractNum w:abstractNumId="1">
    <w:nsid w:val="FA307A21"/>
    <w:multiLevelType w:val="singleLevel"/>
    <w:tmpl w:val="FA307A21"/>
    <w:lvl w:ilvl="0" w:tentative="0">
      <w:start w:val="1"/>
      <w:numFmt w:val="decimal"/>
      <w:suff w:val="nothing"/>
      <w:lvlText w:val="（%1）"/>
      <w:lvlJc w:val="left"/>
    </w:lvl>
  </w:abstractNum>
  <w:abstractNum w:abstractNumId="2">
    <w:nsid w:val="00000001"/>
    <w:multiLevelType w:val="singleLevel"/>
    <w:tmpl w:val="00000001"/>
    <w:lvl w:ilvl="0" w:tentative="0">
      <w:start w:val="4"/>
      <w:numFmt w:val="chineseCounting"/>
      <w:suff w:val="space"/>
      <w:lvlText w:val="第%1章"/>
      <w:lvlJc w:val="left"/>
      <w:rPr>
        <w:rFonts w:hint="eastAsia"/>
      </w:rPr>
    </w:lvl>
  </w:abstractNum>
  <w:abstractNum w:abstractNumId="3">
    <w:nsid w:val="17BCB9E3"/>
    <w:multiLevelType w:val="singleLevel"/>
    <w:tmpl w:val="17BCB9E3"/>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jJjMGVlYTViMGNhMTYzYTVlMTk2M2NhNTMxOTEifQ=="/>
  </w:docVars>
  <w:rsids>
    <w:rsidRoot w:val="00172A27"/>
    <w:rsid w:val="00055EC8"/>
    <w:rsid w:val="00072343"/>
    <w:rsid w:val="003A6B66"/>
    <w:rsid w:val="00447301"/>
    <w:rsid w:val="005574FC"/>
    <w:rsid w:val="00634E46"/>
    <w:rsid w:val="006E4A62"/>
    <w:rsid w:val="00997777"/>
    <w:rsid w:val="009F7C84"/>
    <w:rsid w:val="00A27A28"/>
    <w:rsid w:val="00C50775"/>
    <w:rsid w:val="00CB5A10"/>
    <w:rsid w:val="00D41E74"/>
    <w:rsid w:val="00E84F6E"/>
    <w:rsid w:val="00F52A4A"/>
    <w:rsid w:val="00FC5520"/>
    <w:rsid w:val="01011432"/>
    <w:rsid w:val="0106653B"/>
    <w:rsid w:val="012A2737"/>
    <w:rsid w:val="01635C49"/>
    <w:rsid w:val="016C179D"/>
    <w:rsid w:val="01771189"/>
    <w:rsid w:val="01B10931"/>
    <w:rsid w:val="01B73A2B"/>
    <w:rsid w:val="020531A4"/>
    <w:rsid w:val="029D0E45"/>
    <w:rsid w:val="02A55F37"/>
    <w:rsid w:val="02C55DC4"/>
    <w:rsid w:val="02EB239A"/>
    <w:rsid w:val="031E5CDF"/>
    <w:rsid w:val="0341645D"/>
    <w:rsid w:val="03C76963"/>
    <w:rsid w:val="03ED2496"/>
    <w:rsid w:val="04425FE9"/>
    <w:rsid w:val="04575F38"/>
    <w:rsid w:val="046917C8"/>
    <w:rsid w:val="046B6FA4"/>
    <w:rsid w:val="048B6B73"/>
    <w:rsid w:val="0500041F"/>
    <w:rsid w:val="052A1831"/>
    <w:rsid w:val="05512632"/>
    <w:rsid w:val="05785C8A"/>
    <w:rsid w:val="057C552B"/>
    <w:rsid w:val="057E5747"/>
    <w:rsid w:val="05A221EF"/>
    <w:rsid w:val="05D91FDF"/>
    <w:rsid w:val="05E11D32"/>
    <w:rsid w:val="05E71BBA"/>
    <w:rsid w:val="05F722CC"/>
    <w:rsid w:val="061D286A"/>
    <w:rsid w:val="067D155B"/>
    <w:rsid w:val="06A74493"/>
    <w:rsid w:val="06BD6D16"/>
    <w:rsid w:val="06BE30EF"/>
    <w:rsid w:val="06EB1BAA"/>
    <w:rsid w:val="07173C69"/>
    <w:rsid w:val="0748793F"/>
    <w:rsid w:val="0754675F"/>
    <w:rsid w:val="07BC60B3"/>
    <w:rsid w:val="07C67C59"/>
    <w:rsid w:val="07DE071F"/>
    <w:rsid w:val="07EB4847"/>
    <w:rsid w:val="082D7E04"/>
    <w:rsid w:val="082E32CF"/>
    <w:rsid w:val="0847418A"/>
    <w:rsid w:val="085C0C52"/>
    <w:rsid w:val="089F1C5C"/>
    <w:rsid w:val="08AC4379"/>
    <w:rsid w:val="08FE0D7F"/>
    <w:rsid w:val="095056FC"/>
    <w:rsid w:val="097D69B9"/>
    <w:rsid w:val="09955A0D"/>
    <w:rsid w:val="09992B4F"/>
    <w:rsid w:val="09C240BA"/>
    <w:rsid w:val="09C95983"/>
    <w:rsid w:val="09DA6CC4"/>
    <w:rsid w:val="0A381C03"/>
    <w:rsid w:val="0A3D57E9"/>
    <w:rsid w:val="0A486323"/>
    <w:rsid w:val="0A696084"/>
    <w:rsid w:val="0A7B2255"/>
    <w:rsid w:val="0A825827"/>
    <w:rsid w:val="0A8F7AAE"/>
    <w:rsid w:val="0A951B47"/>
    <w:rsid w:val="0AAB7301"/>
    <w:rsid w:val="0AB130C6"/>
    <w:rsid w:val="0ABA394B"/>
    <w:rsid w:val="0AC47242"/>
    <w:rsid w:val="0AD7716B"/>
    <w:rsid w:val="0ADD5215"/>
    <w:rsid w:val="0B063F59"/>
    <w:rsid w:val="0B160A76"/>
    <w:rsid w:val="0B754EF6"/>
    <w:rsid w:val="0B851D65"/>
    <w:rsid w:val="0B8D04E6"/>
    <w:rsid w:val="0BA55557"/>
    <w:rsid w:val="0BAC6A9B"/>
    <w:rsid w:val="0BB934DB"/>
    <w:rsid w:val="0BC11EE9"/>
    <w:rsid w:val="0C0B13B7"/>
    <w:rsid w:val="0C303F7C"/>
    <w:rsid w:val="0C41302A"/>
    <w:rsid w:val="0C474AE5"/>
    <w:rsid w:val="0C7E7DDA"/>
    <w:rsid w:val="0C8278CB"/>
    <w:rsid w:val="0C8353F1"/>
    <w:rsid w:val="0C937D2A"/>
    <w:rsid w:val="0CD13295"/>
    <w:rsid w:val="0CDA1A87"/>
    <w:rsid w:val="0D0936FE"/>
    <w:rsid w:val="0D4B1CD1"/>
    <w:rsid w:val="0D564459"/>
    <w:rsid w:val="0D613191"/>
    <w:rsid w:val="0D9067C0"/>
    <w:rsid w:val="0DAD0E62"/>
    <w:rsid w:val="0DC80AFE"/>
    <w:rsid w:val="0E0802A4"/>
    <w:rsid w:val="0E2F1B8B"/>
    <w:rsid w:val="0E4457DC"/>
    <w:rsid w:val="0E5B3412"/>
    <w:rsid w:val="0EAE2C79"/>
    <w:rsid w:val="0EB27389"/>
    <w:rsid w:val="0EBC4BEC"/>
    <w:rsid w:val="0EDF7256"/>
    <w:rsid w:val="0F104A6E"/>
    <w:rsid w:val="0F2509E1"/>
    <w:rsid w:val="0F3609E3"/>
    <w:rsid w:val="0F5C08A7"/>
    <w:rsid w:val="0F682553"/>
    <w:rsid w:val="0FA17A1B"/>
    <w:rsid w:val="0FD67091"/>
    <w:rsid w:val="0FED0B01"/>
    <w:rsid w:val="10266D19"/>
    <w:rsid w:val="104A194C"/>
    <w:rsid w:val="10805292"/>
    <w:rsid w:val="10805C90"/>
    <w:rsid w:val="10892777"/>
    <w:rsid w:val="108A31F2"/>
    <w:rsid w:val="10B12B6E"/>
    <w:rsid w:val="10C55FD8"/>
    <w:rsid w:val="10CA7A92"/>
    <w:rsid w:val="10CD1320"/>
    <w:rsid w:val="10E43E43"/>
    <w:rsid w:val="10F42D61"/>
    <w:rsid w:val="11763776"/>
    <w:rsid w:val="117E5AB6"/>
    <w:rsid w:val="117F2479"/>
    <w:rsid w:val="117F6ACF"/>
    <w:rsid w:val="118E0AC0"/>
    <w:rsid w:val="11B26F22"/>
    <w:rsid w:val="11D071C5"/>
    <w:rsid w:val="11F12DFD"/>
    <w:rsid w:val="11FC011F"/>
    <w:rsid w:val="1222745A"/>
    <w:rsid w:val="124022B1"/>
    <w:rsid w:val="12611B8F"/>
    <w:rsid w:val="1271296E"/>
    <w:rsid w:val="12837EF9"/>
    <w:rsid w:val="12855FB8"/>
    <w:rsid w:val="128C30FA"/>
    <w:rsid w:val="12AA0E70"/>
    <w:rsid w:val="12CF3726"/>
    <w:rsid w:val="133B7018"/>
    <w:rsid w:val="134A4EBA"/>
    <w:rsid w:val="13871C6A"/>
    <w:rsid w:val="13874B05"/>
    <w:rsid w:val="139D45C1"/>
    <w:rsid w:val="13D2380E"/>
    <w:rsid w:val="13EB044B"/>
    <w:rsid w:val="143811B7"/>
    <w:rsid w:val="14700951"/>
    <w:rsid w:val="14832432"/>
    <w:rsid w:val="14E63D78"/>
    <w:rsid w:val="152C0D1B"/>
    <w:rsid w:val="158803EA"/>
    <w:rsid w:val="158E7DDF"/>
    <w:rsid w:val="15C34AB0"/>
    <w:rsid w:val="161315B8"/>
    <w:rsid w:val="161C7AD3"/>
    <w:rsid w:val="16587BC7"/>
    <w:rsid w:val="1665785E"/>
    <w:rsid w:val="166718DF"/>
    <w:rsid w:val="16691AFB"/>
    <w:rsid w:val="166A4699"/>
    <w:rsid w:val="167748C5"/>
    <w:rsid w:val="167A50E6"/>
    <w:rsid w:val="168E58AF"/>
    <w:rsid w:val="16985F3D"/>
    <w:rsid w:val="16A668AC"/>
    <w:rsid w:val="16AE2A65"/>
    <w:rsid w:val="16AE5760"/>
    <w:rsid w:val="171A53D8"/>
    <w:rsid w:val="172F5A56"/>
    <w:rsid w:val="174775C1"/>
    <w:rsid w:val="17791EB4"/>
    <w:rsid w:val="179D7CAF"/>
    <w:rsid w:val="17B51F36"/>
    <w:rsid w:val="17DD62FD"/>
    <w:rsid w:val="17ED119F"/>
    <w:rsid w:val="181635BD"/>
    <w:rsid w:val="1826052C"/>
    <w:rsid w:val="184E2D57"/>
    <w:rsid w:val="18602A8A"/>
    <w:rsid w:val="186E782E"/>
    <w:rsid w:val="187C5B16"/>
    <w:rsid w:val="187E7A00"/>
    <w:rsid w:val="188444B5"/>
    <w:rsid w:val="18934AF8"/>
    <w:rsid w:val="19102702"/>
    <w:rsid w:val="195270D5"/>
    <w:rsid w:val="196F0420"/>
    <w:rsid w:val="197D1554"/>
    <w:rsid w:val="19926985"/>
    <w:rsid w:val="19946E8F"/>
    <w:rsid w:val="19960B03"/>
    <w:rsid w:val="19B43972"/>
    <w:rsid w:val="19FF3F91"/>
    <w:rsid w:val="1A04310D"/>
    <w:rsid w:val="1A076D30"/>
    <w:rsid w:val="1A0E0D9F"/>
    <w:rsid w:val="1A1E64AA"/>
    <w:rsid w:val="1A1F2BFD"/>
    <w:rsid w:val="1A2969D5"/>
    <w:rsid w:val="1A3E554E"/>
    <w:rsid w:val="1A497C7A"/>
    <w:rsid w:val="1A537BBF"/>
    <w:rsid w:val="1A822603"/>
    <w:rsid w:val="1A8C6350"/>
    <w:rsid w:val="1AA31B66"/>
    <w:rsid w:val="1ACE517C"/>
    <w:rsid w:val="1AD5150D"/>
    <w:rsid w:val="1AE15EAC"/>
    <w:rsid w:val="1AE54329"/>
    <w:rsid w:val="1B011317"/>
    <w:rsid w:val="1B0D4F04"/>
    <w:rsid w:val="1B1E7FFF"/>
    <w:rsid w:val="1B2011E4"/>
    <w:rsid w:val="1B2129A5"/>
    <w:rsid w:val="1B6632EA"/>
    <w:rsid w:val="1B723200"/>
    <w:rsid w:val="1BA3160C"/>
    <w:rsid w:val="1BA43ED6"/>
    <w:rsid w:val="1BDD6FEA"/>
    <w:rsid w:val="1BE159EF"/>
    <w:rsid w:val="1C0F6CA1"/>
    <w:rsid w:val="1C515A75"/>
    <w:rsid w:val="1C995A1E"/>
    <w:rsid w:val="1C9E7D80"/>
    <w:rsid w:val="1CA473E9"/>
    <w:rsid w:val="1CCC11C8"/>
    <w:rsid w:val="1CD249E8"/>
    <w:rsid w:val="1CD31A7D"/>
    <w:rsid w:val="1D214EDE"/>
    <w:rsid w:val="1D315732"/>
    <w:rsid w:val="1D3C62CC"/>
    <w:rsid w:val="1D9751A0"/>
    <w:rsid w:val="1DA63635"/>
    <w:rsid w:val="1DCA7323"/>
    <w:rsid w:val="1DCD6C80"/>
    <w:rsid w:val="1E200CF1"/>
    <w:rsid w:val="1E453F49"/>
    <w:rsid w:val="1E892D3B"/>
    <w:rsid w:val="1EB13D33"/>
    <w:rsid w:val="1ED3353C"/>
    <w:rsid w:val="1EEF62CD"/>
    <w:rsid w:val="1EFF2FFD"/>
    <w:rsid w:val="1F4129FF"/>
    <w:rsid w:val="1F6104E1"/>
    <w:rsid w:val="1F8E123E"/>
    <w:rsid w:val="1F983087"/>
    <w:rsid w:val="1FBE4D1D"/>
    <w:rsid w:val="1FC22914"/>
    <w:rsid w:val="1FD051E8"/>
    <w:rsid w:val="1FF40688"/>
    <w:rsid w:val="1FF95C9E"/>
    <w:rsid w:val="201C7BDE"/>
    <w:rsid w:val="203E4A67"/>
    <w:rsid w:val="21023B7B"/>
    <w:rsid w:val="211D6F56"/>
    <w:rsid w:val="212B00D9"/>
    <w:rsid w:val="218172A6"/>
    <w:rsid w:val="21837F15"/>
    <w:rsid w:val="21A3381C"/>
    <w:rsid w:val="21CD2F3E"/>
    <w:rsid w:val="21F25629"/>
    <w:rsid w:val="21F42BC1"/>
    <w:rsid w:val="21F950CC"/>
    <w:rsid w:val="220B3A67"/>
    <w:rsid w:val="221566D8"/>
    <w:rsid w:val="2221328A"/>
    <w:rsid w:val="22485E23"/>
    <w:rsid w:val="22745AB0"/>
    <w:rsid w:val="22747619"/>
    <w:rsid w:val="228E0D01"/>
    <w:rsid w:val="22D24584"/>
    <w:rsid w:val="22E073A0"/>
    <w:rsid w:val="22EE11B0"/>
    <w:rsid w:val="231132FF"/>
    <w:rsid w:val="231C6DD1"/>
    <w:rsid w:val="232446D8"/>
    <w:rsid w:val="23353491"/>
    <w:rsid w:val="235356C5"/>
    <w:rsid w:val="23CB5866"/>
    <w:rsid w:val="23F64047"/>
    <w:rsid w:val="240328FE"/>
    <w:rsid w:val="244009F6"/>
    <w:rsid w:val="24504968"/>
    <w:rsid w:val="24675587"/>
    <w:rsid w:val="248855D6"/>
    <w:rsid w:val="248B2D93"/>
    <w:rsid w:val="24AD52A9"/>
    <w:rsid w:val="24AF2DCF"/>
    <w:rsid w:val="24C460BD"/>
    <w:rsid w:val="24E011DB"/>
    <w:rsid w:val="250B1E26"/>
    <w:rsid w:val="2513335E"/>
    <w:rsid w:val="251C00E5"/>
    <w:rsid w:val="25253091"/>
    <w:rsid w:val="25382DC5"/>
    <w:rsid w:val="25470129"/>
    <w:rsid w:val="25626C4B"/>
    <w:rsid w:val="257F4D2F"/>
    <w:rsid w:val="2580476C"/>
    <w:rsid w:val="259E316F"/>
    <w:rsid w:val="259F2E44"/>
    <w:rsid w:val="25A22934"/>
    <w:rsid w:val="25D104BF"/>
    <w:rsid w:val="25E17ECF"/>
    <w:rsid w:val="25EF1D76"/>
    <w:rsid w:val="260458EE"/>
    <w:rsid w:val="261A4BC0"/>
    <w:rsid w:val="26355556"/>
    <w:rsid w:val="264834DB"/>
    <w:rsid w:val="266238F7"/>
    <w:rsid w:val="269122E3"/>
    <w:rsid w:val="269B2E11"/>
    <w:rsid w:val="26D6149C"/>
    <w:rsid w:val="26EB3E67"/>
    <w:rsid w:val="26EF1BA9"/>
    <w:rsid w:val="272C0707"/>
    <w:rsid w:val="28080FD6"/>
    <w:rsid w:val="28441A80"/>
    <w:rsid w:val="28610884"/>
    <w:rsid w:val="286B1703"/>
    <w:rsid w:val="287A1946"/>
    <w:rsid w:val="288307FB"/>
    <w:rsid w:val="288E2C75"/>
    <w:rsid w:val="28AD0F81"/>
    <w:rsid w:val="28D21D1A"/>
    <w:rsid w:val="28D440B5"/>
    <w:rsid w:val="292A6C56"/>
    <w:rsid w:val="292F0982"/>
    <w:rsid w:val="293926EA"/>
    <w:rsid w:val="298861E2"/>
    <w:rsid w:val="29930F11"/>
    <w:rsid w:val="29B4703E"/>
    <w:rsid w:val="29C705CB"/>
    <w:rsid w:val="2A2049DE"/>
    <w:rsid w:val="2A385615"/>
    <w:rsid w:val="2A6721CE"/>
    <w:rsid w:val="2A81520E"/>
    <w:rsid w:val="2A8808DD"/>
    <w:rsid w:val="2AA72FD5"/>
    <w:rsid w:val="2AB0164F"/>
    <w:rsid w:val="2AC17623"/>
    <w:rsid w:val="2B2D25B8"/>
    <w:rsid w:val="2B577D1D"/>
    <w:rsid w:val="2B696D77"/>
    <w:rsid w:val="2B717030"/>
    <w:rsid w:val="2B7B3A0B"/>
    <w:rsid w:val="2BB94533"/>
    <w:rsid w:val="2BC96E6C"/>
    <w:rsid w:val="2BEA0B91"/>
    <w:rsid w:val="2C106849"/>
    <w:rsid w:val="2C26606D"/>
    <w:rsid w:val="2C273B93"/>
    <w:rsid w:val="2C4D316F"/>
    <w:rsid w:val="2C764D36"/>
    <w:rsid w:val="2C7E16E6"/>
    <w:rsid w:val="2CEF2903"/>
    <w:rsid w:val="2D05024D"/>
    <w:rsid w:val="2D2526F0"/>
    <w:rsid w:val="2D95464F"/>
    <w:rsid w:val="2D982300"/>
    <w:rsid w:val="2DB256DE"/>
    <w:rsid w:val="2DBF7049"/>
    <w:rsid w:val="2DD83397"/>
    <w:rsid w:val="2E150D8F"/>
    <w:rsid w:val="2E385BE3"/>
    <w:rsid w:val="2E440A2C"/>
    <w:rsid w:val="2E497DF1"/>
    <w:rsid w:val="2E566C76"/>
    <w:rsid w:val="2E5F70BD"/>
    <w:rsid w:val="2E8D23D3"/>
    <w:rsid w:val="2E9A290A"/>
    <w:rsid w:val="2F4B1946"/>
    <w:rsid w:val="2F5C5875"/>
    <w:rsid w:val="2F66484E"/>
    <w:rsid w:val="2F971030"/>
    <w:rsid w:val="2F990904"/>
    <w:rsid w:val="2FA15A0A"/>
    <w:rsid w:val="2FCA46BE"/>
    <w:rsid w:val="2FD04A90"/>
    <w:rsid w:val="2FD9F2D1"/>
    <w:rsid w:val="2FEC3129"/>
    <w:rsid w:val="300B6F05"/>
    <w:rsid w:val="30564A47"/>
    <w:rsid w:val="305F5763"/>
    <w:rsid w:val="30907F59"/>
    <w:rsid w:val="30B7706F"/>
    <w:rsid w:val="30C3638E"/>
    <w:rsid w:val="319C46DB"/>
    <w:rsid w:val="31D97CED"/>
    <w:rsid w:val="31F10A42"/>
    <w:rsid w:val="31F27CEE"/>
    <w:rsid w:val="323668DE"/>
    <w:rsid w:val="325030B0"/>
    <w:rsid w:val="328A4545"/>
    <w:rsid w:val="329F26D5"/>
    <w:rsid w:val="32D004E7"/>
    <w:rsid w:val="32D103B5"/>
    <w:rsid w:val="32DE422D"/>
    <w:rsid w:val="32E951B7"/>
    <w:rsid w:val="32FC7B27"/>
    <w:rsid w:val="33077D57"/>
    <w:rsid w:val="330B7D6A"/>
    <w:rsid w:val="33252159"/>
    <w:rsid w:val="33475493"/>
    <w:rsid w:val="336572DE"/>
    <w:rsid w:val="33661D26"/>
    <w:rsid w:val="33F6A965"/>
    <w:rsid w:val="347A469B"/>
    <w:rsid w:val="347B2CCE"/>
    <w:rsid w:val="34814EC2"/>
    <w:rsid w:val="34A965E6"/>
    <w:rsid w:val="34C63426"/>
    <w:rsid w:val="34E46AC5"/>
    <w:rsid w:val="350C2877"/>
    <w:rsid w:val="351B242E"/>
    <w:rsid w:val="352B64A2"/>
    <w:rsid w:val="357339A5"/>
    <w:rsid w:val="357417D1"/>
    <w:rsid w:val="358913A9"/>
    <w:rsid w:val="358B1D54"/>
    <w:rsid w:val="359F479A"/>
    <w:rsid w:val="35BD501E"/>
    <w:rsid w:val="35C7008D"/>
    <w:rsid w:val="35D62212"/>
    <w:rsid w:val="36071BFA"/>
    <w:rsid w:val="36213459"/>
    <w:rsid w:val="369C7F24"/>
    <w:rsid w:val="369F0CD4"/>
    <w:rsid w:val="36B10C29"/>
    <w:rsid w:val="36C16DED"/>
    <w:rsid w:val="36C8368D"/>
    <w:rsid w:val="36DF0BB8"/>
    <w:rsid w:val="36E032BC"/>
    <w:rsid w:val="37184804"/>
    <w:rsid w:val="373B19CF"/>
    <w:rsid w:val="37517D16"/>
    <w:rsid w:val="376C6257"/>
    <w:rsid w:val="376F60AC"/>
    <w:rsid w:val="379E11AD"/>
    <w:rsid w:val="37E666B0"/>
    <w:rsid w:val="380A05F1"/>
    <w:rsid w:val="388A1731"/>
    <w:rsid w:val="38A114F3"/>
    <w:rsid w:val="38A26646"/>
    <w:rsid w:val="38A84818"/>
    <w:rsid w:val="38D35896"/>
    <w:rsid w:val="38F73D85"/>
    <w:rsid w:val="38FB0BD9"/>
    <w:rsid w:val="39047736"/>
    <w:rsid w:val="39690DF7"/>
    <w:rsid w:val="39A44A75"/>
    <w:rsid w:val="39A96439"/>
    <w:rsid w:val="39B527DE"/>
    <w:rsid w:val="39C9264E"/>
    <w:rsid w:val="39DD59D5"/>
    <w:rsid w:val="39F35B86"/>
    <w:rsid w:val="3A685AA2"/>
    <w:rsid w:val="3AA62D6C"/>
    <w:rsid w:val="3B0E93D0"/>
    <w:rsid w:val="3B297B5E"/>
    <w:rsid w:val="3B476805"/>
    <w:rsid w:val="3B574546"/>
    <w:rsid w:val="3B5E5452"/>
    <w:rsid w:val="3BC136BC"/>
    <w:rsid w:val="3BDA41CF"/>
    <w:rsid w:val="3BED2B71"/>
    <w:rsid w:val="3C293744"/>
    <w:rsid w:val="3C4C0AEE"/>
    <w:rsid w:val="3C662DA1"/>
    <w:rsid w:val="3C7050E2"/>
    <w:rsid w:val="3C8F5568"/>
    <w:rsid w:val="3CA32DC2"/>
    <w:rsid w:val="3CBC023B"/>
    <w:rsid w:val="3CD14442"/>
    <w:rsid w:val="3CD218F9"/>
    <w:rsid w:val="3CDC4526"/>
    <w:rsid w:val="3D037D04"/>
    <w:rsid w:val="3D33720D"/>
    <w:rsid w:val="3D687B67"/>
    <w:rsid w:val="3D6D0F02"/>
    <w:rsid w:val="3D6F25D1"/>
    <w:rsid w:val="3D736C38"/>
    <w:rsid w:val="3D850719"/>
    <w:rsid w:val="3DC62A81"/>
    <w:rsid w:val="3DC67CBC"/>
    <w:rsid w:val="3DCD7DC2"/>
    <w:rsid w:val="3DDD0555"/>
    <w:rsid w:val="3DED4158"/>
    <w:rsid w:val="3DFC4E7F"/>
    <w:rsid w:val="3E0170E6"/>
    <w:rsid w:val="3E143EE4"/>
    <w:rsid w:val="3E622809"/>
    <w:rsid w:val="3ECF6579"/>
    <w:rsid w:val="3EF7DC57"/>
    <w:rsid w:val="3F302B2D"/>
    <w:rsid w:val="3F3441A5"/>
    <w:rsid w:val="3F6011B3"/>
    <w:rsid w:val="3F7D67BC"/>
    <w:rsid w:val="3F93536F"/>
    <w:rsid w:val="3F95733A"/>
    <w:rsid w:val="3F976ABE"/>
    <w:rsid w:val="3FB11C9A"/>
    <w:rsid w:val="3FCA4B09"/>
    <w:rsid w:val="3FD06D4B"/>
    <w:rsid w:val="3FD21E14"/>
    <w:rsid w:val="3FE76B18"/>
    <w:rsid w:val="3FEB6F5A"/>
    <w:rsid w:val="3FF35E0E"/>
    <w:rsid w:val="401967EE"/>
    <w:rsid w:val="402C688A"/>
    <w:rsid w:val="40343F3C"/>
    <w:rsid w:val="403E4CC2"/>
    <w:rsid w:val="40610FCA"/>
    <w:rsid w:val="41285952"/>
    <w:rsid w:val="414B0D29"/>
    <w:rsid w:val="414D2517"/>
    <w:rsid w:val="41534C28"/>
    <w:rsid w:val="418048E0"/>
    <w:rsid w:val="41BD4926"/>
    <w:rsid w:val="42336996"/>
    <w:rsid w:val="42C55269"/>
    <w:rsid w:val="42EA61D2"/>
    <w:rsid w:val="43003913"/>
    <w:rsid w:val="438601F8"/>
    <w:rsid w:val="43882D81"/>
    <w:rsid w:val="43895742"/>
    <w:rsid w:val="438B00B7"/>
    <w:rsid w:val="43994E6F"/>
    <w:rsid w:val="43AC4C52"/>
    <w:rsid w:val="43AF2B98"/>
    <w:rsid w:val="43CF6B92"/>
    <w:rsid w:val="44054860"/>
    <w:rsid w:val="44194BC4"/>
    <w:rsid w:val="441C5722"/>
    <w:rsid w:val="44224F14"/>
    <w:rsid w:val="44340084"/>
    <w:rsid w:val="446E1F07"/>
    <w:rsid w:val="448F2A59"/>
    <w:rsid w:val="44974335"/>
    <w:rsid w:val="44B26298"/>
    <w:rsid w:val="44BB4395"/>
    <w:rsid w:val="44EF1823"/>
    <w:rsid w:val="44F22B38"/>
    <w:rsid w:val="45521CED"/>
    <w:rsid w:val="4567620C"/>
    <w:rsid w:val="456D6663"/>
    <w:rsid w:val="456F0A88"/>
    <w:rsid w:val="45A81449"/>
    <w:rsid w:val="45FB7CED"/>
    <w:rsid w:val="462063EF"/>
    <w:rsid w:val="466E44C1"/>
    <w:rsid w:val="46753A21"/>
    <w:rsid w:val="467D04EF"/>
    <w:rsid w:val="46A119EC"/>
    <w:rsid w:val="46BD7419"/>
    <w:rsid w:val="46CA15DE"/>
    <w:rsid w:val="47540086"/>
    <w:rsid w:val="47A20030"/>
    <w:rsid w:val="47B54002"/>
    <w:rsid w:val="47BC3A42"/>
    <w:rsid w:val="47BE4F54"/>
    <w:rsid w:val="47FDBD30"/>
    <w:rsid w:val="481E0627"/>
    <w:rsid w:val="483045DF"/>
    <w:rsid w:val="48586D92"/>
    <w:rsid w:val="486B2571"/>
    <w:rsid w:val="487664A3"/>
    <w:rsid w:val="48BD5848"/>
    <w:rsid w:val="48F84495"/>
    <w:rsid w:val="490966A2"/>
    <w:rsid w:val="49211C3E"/>
    <w:rsid w:val="494F075F"/>
    <w:rsid w:val="4970227E"/>
    <w:rsid w:val="4970325B"/>
    <w:rsid w:val="49AC3764"/>
    <w:rsid w:val="49BE20E1"/>
    <w:rsid w:val="49D62A28"/>
    <w:rsid w:val="4A54394D"/>
    <w:rsid w:val="4A9B157C"/>
    <w:rsid w:val="4AE37847"/>
    <w:rsid w:val="4AF8077D"/>
    <w:rsid w:val="4B0463F1"/>
    <w:rsid w:val="4B08619A"/>
    <w:rsid w:val="4B1910D9"/>
    <w:rsid w:val="4B3612A5"/>
    <w:rsid w:val="4B4453B9"/>
    <w:rsid w:val="4B7A3887"/>
    <w:rsid w:val="4BF278C2"/>
    <w:rsid w:val="4C151678"/>
    <w:rsid w:val="4C1E2465"/>
    <w:rsid w:val="4C286E40"/>
    <w:rsid w:val="4C6E0EB3"/>
    <w:rsid w:val="4C980319"/>
    <w:rsid w:val="4CAB6314"/>
    <w:rsid w:val="4CC770A2"/>
    <w:rsid w:val="4D0C49B3"/>
    <w:rsid w:val="4D567E64"/>
    <w:rsid w:val="4D5B4FF3"/>
    <w:rsid w:val="4D7533C8"/>
    <w:rsid w:val="4D9C2443"/>
    <w:rsid w:val="4DB8577F"/>
    <w:rsid w:val="4DC94652"/>
    <w:rsid w:val="4DE17398"/>
    <w:rsid w:val="4DE66FB2"/>
    <w:rsid w:val="4DEB2317"/>
    <w:rsid w:val="4DF96AFC"/>
    <w:rsid w:val="4E086F29"/>
    <w:rsid w:val="4E11ACAC"/>
    <w:rsid w:val="4E260E87"/>
    <w:rsid w:val="4E301137"/>
    <w:rsid w:val="4E485577"/>
    <w:rsid w:val="4E4F43E1"/>
    <w:rsid w:val="4E510F21"/>
    <w:rsid w:val="4E637155"/>
    <w:rsid w:val="4E657EDE"/>
    <w:rsid w:val="4E704ACE"/>
    <w:rsid w:val="4E7C3473"/>
    <w:rsid w:val="4E8C30EE"/>
    <w:rsid w:val="4E9470A5"/>
    <w:rsid w:val="4EAC0D79"/>
    <w:rsid w:val="4ED65279"/>
    <w:rsid w:val="4F0E16C8"/>
    <w:rsid w:val="4F362E38"/>
    <w:rsid w:val="4F574E83"/>
    <w:rsid w:val="4F835DB9"/>
    <w:rsid w:val="4F953106"/>
    <w:rsid w:val="4F960564"/>
    <w:rsid w:val="4FA26F09"/>
    <w:rsid w:val="4FD168E0"/>
    <w:rsid w:val="4FDC241B"/>
    <w:rsid w:val="4FDC73D2"/>
    <w:rsid w:val="4FDE7696"/>
    <w:rsid w:val="4FE00D55"/>
    <w:rsid w:val="4FF712F5"/>
    <w:rsid w:val="4FFD3D4C"/>
    <w:rsid w:val="50272ACB"/>
    <w:rsid w:val="503A5C56"/>
    <w:rsid w:val="504306EC"/>
    <w:rsid w:val="50483F54"/>
    <w:rsid w:val="50A20EC8"/>
    <w:rsid w:val="50CE26AB"/>
    <w:rsid w:val="50D3295B"/>
    <w:rsid w:val="50DE21C3"/>
    <w:rsid w:val="50E7648B"/>
    <w:rsid w:val="50F842E1"/>
    <w:rsid w:val="50FB2D75"/>
    <w:rsid w:val="51881EF1"/>
    <w:rsid w:val="51C4760A"/>
    <w:rsid w:val="520626E9"/>
    <w:rsid w:val="520C4646"/>
    <w:rsid w:val="52393851"/>
    <w:rsid w:val="529E42FF"/>
    <w:rsid w:val="52A80837"/>
    <w:rsid w:val="52B23907"/>
    <w:rsid w:val="52D675F5"/>
    <w:rsid w:val="52E70653"/>
    <w:rsid w:val="52EF02ED"/>
    <w:rsid w:val="52F4603B"/>
    <w:rsid w:val="530645F9"/>
    <w:rsid w:val="53725E62"/>
    <w:rsid w:val="53933E1D"/>
    <w:rsid w:val="53AC0356"/>
    <w:rsid w:val="53CE000C"/>
    <w:rsid w:val="5415239F"/>
    <w:rsid w:val="543350CB"/>
    <w:rsid w:val="54670117"/>
    <w:rsid w:val="546E1AAF"/>
    <w:rsid w:val="54A86C02"/>
    <w:rsid w:val="54C6323E"/>
    <w:rsid w:val="54C811C0"/>
    <w:rsid w:val="54D47B64"/>
    <w:rsid w:val="54FC46F1"/>
    <w:rsid w:val="55164621"/>
    <w:rsid w:val="555E1B24"/>
    <w:rsid w:val="55684751"/>
    <w:rsid w:val="55870B73"/>
    <w:rsid w:val="55B31C4A"/>
    <w:rsid w:val="55D02A22"/>
    <w:rsid w:val="55D818D6"/>
    <w:rsid w:val="55DC4F2E"/>
    <w:rsid w:val="56024BA5"/>
    <w:rsid w:val="56643D21"/>
    <w:rsid w:val="56A676EB"/>
    <w:rsid w:val="56C66737"/>
    <w:rsid w:val="56F530E1"/>
    <w:rsid w:val="56F531DF"/>
    <w:rsid w:val="57315AD3"/>
    <w:rsid w:val="57397068"/>
    <w:rsid w:val="574C432A"/>
    <w:rsid w:val="57514C36"/>
    <w:rsid w:val="57773FFF"/>
    <w:rsid w:val="5785783C"/>
    <w:rsid w:val="578962FF"/>
    <w:rsid w:val="579A0493"/>
    <w:rsid w:val="57A26BB9"/>
    <w:rsid w:val="57C77E54"/>
    <w:rsid w:val="58070251"/>
    <w:rsid w:val="5814471C"/>
    <w:rsid w:val="58145286"/>
    <w:rsid w:val="583D1EC5"/>
    <w:rsid w:val="587375E2"/>
    <w:rsid w:val="5894160E"/>
    <w:rsid w:val="58B7132B"/>
    <w:rsid w:val="58C83E84"/>
    <w:rsid w:val="58D87643"/>
    <w:rsid w:val="596040BD"/>
    <w:rsid w:val="59EA4215"/>
    <w:rsid w:val="5A13607E"/>
    <w:rsid w:val="5A2055FA"/>
    <w:rsid w:val="5A24333C"/>
    <w:rsid w:val="5A2B40E9"/>
    <w:rsid w:val="5A585769"/>
    <w:rsid w:val="5A5F5EAE"/>
    <w:rsid w:val="5A5F6F20"/>
    <w:rsid w:val="5A655D11"/>
    <w:rsid w:val="5A731BCE"/>
    <w:rsid w:val="5A76346C"/>
    <w:rsid w:val="5A7825FB"/>
    <w:rsid w:val="5ACA36EA"/>
    <w:rsid w:val="5AE06AED"/>
    <w:rsid w:val="5B022F52"/>
    <w:rsid w:val="5B045C5D"/>
    <w:rsid w:val="5B1A64ED"/>
    <w:rsid w:val="5B5F50FF"/>
    <w:rsid w:val="5B8239AD"/>
    <w:rsid w:val="5BA65FD3"/>
    <w:rsid w:val="5BB00F7A"/>
    <w:rsid w:val="5BC41463"/>
    <w:rsid w:val="5BD4669C"/>
    <w:rsid w:val="5C25339C"/>
    <w:rsid w:val="5C393517"/>
    <w:rsid w:val="5C4344BC"/>
    <w:rsid w:val="5CA6245D"/>
    <w:rsid w:val="5CEC5C67"/>
    <w:rsid w:val="5D4311E6"/>
    <w:rsid w:val="5D6D1C9C"/>
    <w:rsid w:val="5D8365CC"/>
    <w:rsid w:val="5D850596"/>
    <w:rsid w:val="5DA26EFB"/>
    <w:rsid w:val="5DCF749A"/>
    <w:rsid w:val="5DD2519E"/>
    <w:rsid w:val="5DE00A3E"/>
    <w:rsid w:val="5E08087F"/>
    <w:rsid w:val="5E123EC7"/>
    <w:rsid w:val="5E187A9E"/>
    <w:rsid w:val="5E355B65"/>
    <w:rsid w:val="5E4733A7"/>
    <w:rsid w:val="5E652175"/>
    <w:rsid w:val="5E776087"/>
    <w:rsid w:val="5E9B7EE3"/>
    <w:rsid w:val="5EA866B4"/>
    <w:rsid w:val="5ED83F06"/>
    <w:rsid w:val="5EF07C91"/>
    <w:rsid w:val="5EFE033F"/>
    <w:rsid w:val="5F0454EA"/>
    <w:rsid w:val="5F0D0843"/>
    <w:rsid w:val="5F2C4F82"/>
    <w:rsid w:val="5F35431B"/>
    <w:rsid w:val="5F4052C4"/>
    <w:rsid w:val="5F755F99"/>
    <w:rsid w:val="5F903222"/>
    <w:rsid w:val="5F9C5723"/>
    <w:rsid w:val="5FEFD727"/>
    <w:rsid w:val="602E7CCC"/>
    <w:rsid w:val="605017D5"/>
    <w:rsid w:val="60602FBE"/>
    <w:rsid w:val="60F809DA"/>
    <w:rsid w:val="617C0DC9"/>
    <w:rsid w:val="6189617B"/>
    <w:rsid w:val="61914BFE"/>
    <w:rsid w:val="61A94127"/>
    <w:rsid w:val="61F25ACE"/>
    <w:rsid w:val="621B76FF"/>
    <w:rsid w:val="62467BC8"/>
    <w:rsid w:val="62713C81"/>
    <w:rsid w:val="627A1F1F"/>
    <w:rsid w:val="629B43B7"/>
    <w:rsid w:val="62A27BCD"/>
    <w:rsid w:val="62AD375C"/>
    <w:rsid w:val="62D61116"/>
    <w:rsid w:val="62E7641C"/>
    <w:rsid w:val="62F45876"/>
    <w:rsid w:val="633E5872"/>
    <w:rsid w:val="634B00DE"/>
    <w:rsid w:val="634B193A"/>
    <w:rsid w:val="63880609"/>
    <w:rsid w:val="63CE5D8F"/>
    <w:rsid w:val="63FE69AC"/>
    <w:rsid w:val="64576EA3"/>
    <w:rsid w:val="646802C9"/>
    <w:rsid w:val="646C6303"/>
    <w:rsid w:val="64B330A9"/>
    <w:rsid w:val="655902BD"/>
    <w:rsid w:val="656A47D0"/>
    <w:rsid w:val="657234C5"/>
    <w:rsid w:val="659712D9"/>
    <w:rsid w:val="65A17F37"/>
    <w:rsid w:val="65D35C16"/>
    <w:rsid w:val="65E9543A"/>
    <w:rsid w:val="65F22540"/>
    <w:rsid w:val="660850F0"/>
    <w:rsid w:val="66171430"/>
    <w:rsid w:val="6618187B"/>
    <w:rsid w:val="6635151C"/>
    <w:rsid w:val="66456B14"/>
    <w:rsid w:val="66721DDA"/>
    <w:rsid w:val="66C26AC5"/>
    <w:rsid w:val="66D165FA"/>
    <w:rsid w:val="66D42A95"/>
    <w:rsid w:val="66D954AE"/>
    <w:rsid w:val="66F66060"/>
    <w:rsid w:val="6703738B"/>
    <w:rsid w:val="674D5314"/>
    <w:rsid w:val="67534662"/>
    <w:rsid w:val="677751BF"/>
    <w:rsid w:val="67D7BD7A"/>
    <w:rsid w:val="68260162"/>
    <w:rsid w:val="6855319E"/>
    <w:rsid w:val="686D5EAE"/>
    <w:rsid w:val="68A04002"/>
    <w:rsid w:val="68A166DE"/>
    <w:rsid w:val="68BA4E6C"/>
    <w:rsid w:val="68D1423E"/>
    <w:rsid w:val="69034A64"/>
    <w:rsid w:val="696F034D"/>
    <w:rsid w:val="69850586"/>
    <w:rsid w:val="69A87BA0"/>
    <w:rsid w:val="69C67397"/>
    <w:rsid w:val="69D1246D"/>
    <w:rsid w:val="69D62568"/>
    <w:rsid w:val="69DB32EB"/>
    <w:rsid w:val="69DE3CEF"/>
    <w:rsid w:val="69E623BC"/>
    <w:rsid w:val="69F26080"/>
    <w:rsid w:val="6A1C72CD"/>
    <w:rsid w:val="6A4175F2"/>
    <w:rsid w:val="6A470981"/>
    <w:rsid w:val="6A4E27FE"/>
    <w:rsid w:val="6A537326"/>
    <w:rsid w:val="6A574C42"/>
    <w:rsid w:val="6A575068"/>
    <w:rsid w:val="6A6908F7"/>
    <w:rsid w:val="6A7D7F62"/>
    <w:rsid w:val="6B0E0BE8"/>
    <w:rsid w:val="6B105217"/>
    <w:rsid w:val="6B166976"/>
    <w:rsid w:val="6B2F0E8D"/>
    <w:rsid w:val="6B3453A9"/>
    <w:rsid w:val="6B7632CC"/>
    <w:rsid w:val="6B7D28AC"/>
    <w:rsid w:val="6B9775BF"/>
    <w:rsid w:val="6BAA11C7"/>
    <w:rsid w:val="6BAE6F0A"/>
    <w:rsid w:val="6BEC7C05"/>
    <w:rsid w:val="6BEF307E"/>
    <w:rsid w:val="6BF83FDE"/>
    <w:rsid w:val="6C1A634D"/>
    <w:rsid w:val="6C3D203B"/>
    <w:rsid w:val="6C446F69"/>
    <w:rsid w:val="6C774F51"/>
    <w:rsid w:val="6C8137F1"/>
    <w:rsid w:val="6C9C4FB4"/>
    <w:rsid w:val="6CBE10CE"/>
    <w:rsid w:val="6CEB7CE9"/>
    <w:rsid w:val="6CFB0D6C"/>
    <w:rsid w:val="6D062D75"/>
    <w:rsid w:val="6D0B0080"/>
    <w:rsid w:val="6D212ED6"/>
    <w:rsid w:val="6D2A35FA"/>
    <w:rsid w:val="6D325918"/>
    <w:rsid w:val="6D843780"/>
    <w:rsid w:val="6DA4328A"/>
    <w:rsid w:val="6DD662A4"/>
    <w:rsid w:val="6E1C634C"/>
    <w:rsid w:val="6E2B2A93"/>
    <w:rsid w:val="6E440661"/>
    <w:rsid w:val="6E444FB1"/>
    <w:rsid w:val="6E4B6C92"/>
    <w:rsid w:val="6E753D0F"/>
    <w:rsid w:val="6E7E665B"/>
    <w:rsid w:val="6E8B3DC3"/>
    <w:rsid w:val="6EBE1F29"/>
    <w:rsid w:val="6EC42B5A"/>
    <w:rsid w:val="6ED36676"/>
    <w:rsid w:val="6EDA6030"/>
    <w:rsid w:val="6EEA4689"/>
    <w:rsid w:val="6F067027"/>
    <w:rsid w:val="6F0E0990"/>
    <w:rsid w:val="6F5FFBAA"/>
    <w:rsid w:val="6F834091"/>
    <w:rsid w:val="6F9A7A84"/>
    <w:rsid w:val="6FC104BF"/>
    <w:rsid w:val="6FDD7FCF"/>
    <w:rsid w:val="70187047"/>
    <w:rsid w:val="703F45D4"/>
    <w:rsid w:val="705B3F27"/>
    <w:rsid w:val="706A1A49"/>
    <w:rsid w:val="70923028"/>
    <w:rsid w:val="70972D4C"/>
    <w:rsid w:val="70A00DEB"/>
    <w:rsid w:val="70A42689"/>
    <w:rsid w:val="70DF62B5"/>
    <w:rsid w:val="70E37655"/>
    <w:rsid w:val="70E41C98"/>
    <w:rsid w:val="70F51137"/>
    <w:rsid w:val="70FF3672"/>
    <w:rsid w:val="710028BF"/>
    <w:rsid w:val="7148570A"/>
    <w:rsid w:val="714A76D4"/>
    <w:rsid w:val="7174084D"/>
    <w:rsid w:val="71A11840"/>
    <w:rsid w:val="71D61736"/>
    <w:rsid w:val="723C3D61"/>
    <w:rsid w:val="72A73DA6"/>
    <w:rsid w:val="72D104A9"/>
    <w:rsid w:val="73092C77"/>
    <w:rsid w:val="731143AC"/>
    <w:rsid w:val="734939BC"/>
    <w:rsid w:val="739D7C77"/>
    <w:rsid w:val="73A0191E"/>
    <w:rsid w:val="73B21561"/>
    <w:rsid w:val="73CD639B"/>
    <w:rsid w:val="73E536E4"/>
    <w:rsid w:val="740265E9"/>
    <w:rsid w:val="7459533F"/>
    <w:rsid w:val="74650381"/>
    <w:rsid w:val="74660EA3"/>
    <w:rsid w:val="748854C9"/>
    <w:rsid w:val="74C07CAE"/>
    <w:rsid w:val="74CE23CA"/>
    <w:rsid w:val="750D1E1F"/>
    <w:rsid w:val="751C42B5"/>
    <w:rsid w:val="754F0354"/>
    <w:rsid w:val="755212F7"/>
    <w:rsid w:val="755F1275"/>
    <w:rsid w:val="758B206A"/>
    <w:rsid w:val="75A81E78"/>
    <w:rsid w:val="75BB1F08"/>
    <w:rsid w:val="75BB472C"/>
    <w:rsid w:val="760C01CA"/>
    <w:rsid w:val="76196A3D"/>
    <w:rsid w:val="761E2EF4"/>
    <w:rsid w:val="76530DD9"/>
    <w:rsid w:val="76606061"/>
    <w:rsid w:val="767D585C"/>
    <w:rsid w:val="76BE1FCB"/>
    <w:rsid w:val="76E063E5"/>
    <w:rsid w:val="76F704CB"/>
    <w:rsid w:val="77146D79"/>
    <w:rsid w:val="774E7BD2"/>
    <w:rsid w:val="7771883A"/>
    <w:rsid w:val="777F45A3"/>
    <w:rsid w:val="77807CCC"/>
    <w:rsid w:val="779A2A38"/>
    <w:rsid w:val="77A62D9E"/>
    <w:rsid w:val="77AA6A5C"/>
    <w:rsid w:val="77BB7A6F"/>
    <w:rsid w:val="77BD1048"/>
    <w:rsid w:val="77D2305C"/>
    <w:rsid w:val="77D47CF8"/>
    <w:rsid w:val="77FA34D6"/>
    <w:rsid w:val="78033CDE"/>
    <w:rsid w:val="780F50C8"/>
    <w:rsid w:val="782236A8"/>
    <w:rsid w:val="78322BBD"/>
    <w:rsid w:val="7887297F"/>
    <w:rsid w:val="789561DA"/>
    <w:rsid w:val="78A70F68"/>
    <w:rsid w:val="78B57970"/>
    <w:rsid w:val="78C2681F"/>
    <w:rsid w:val="78DF4BA6"/>
    <w:rsid w:val="790E548B"/>
    <w:rsid w:val="79313295"/>
    <w:rsid w:val="79510B12"/>
    <w:rsid w:val="797B21B4"/>
    <w:rsid w:val="79906E9D"/>
    <w:rsid w:val="79997208"/>
    <w:rsid w:val="79AC5601"/>
    <w:rsid w:val="79BC0C4C"/>
    <w:rsid w:val="79C943F8"/>
    <w:rsid w:val="7A15284A"/>
    <w:rsid w:val="7A17147B"/>
    <w:rsid w:val="7A4054C2"/>
    <w:rsid w:val="7A6B4218"/>
    <w:rsid w:val="7A794B87"/>
    <w:rsid w:val="7AA54B82"/>
    <w:rsid w:val="7AC82620"/>
    <w:rsid w:val="7AF24A17"/>
    <w:rsid w:val="7AFE508C"/>
    <w:rsid w:val="7B0F6329"/>
    <w:rsid w:val="7B2E4391"/>
    <w:rsid w:val="7B713AB0"/>
    <w:rsid w:val="7BA30A3D"/>
    <w:rsid w:val="7BA619AB"/>
    <w:rsid w:val="7BA63759"/>
    <w:rsid w:val="7BB728C9"/>
    <w:rsid w:val="7BE67FFA"/>
    <w:rsid w:val="7BEE35A1"/>
    <w:rsid w:val="7BFC14DC"/>
    <w:rsid w:val="7C0931D2"/>
    <w:rsid w:val="7C1846BE"/>
    <w:rsid w:val="7C46731F"/>
    <w:rsid w:val="7C492E96"/>
    <w:rsid w:val="7C684EB3"/>
    <w:rsid w:val="7C7907E9"/>
    <w:rsid w:val="7C7C6DA0"/>
    <w:rsid w:val="7C8E41ED"/>
    <w:rsid w:val="7C9C497D"/>
    <w:rsid w:val="7CBE0F77"/>
    <w:rsid w:val="7CD10CAA"/>
    <w:rsid w:val="7CE03211"/>
    <w:rsid w:val="7CE34F5F"/>
    <w:rsid w:val="7D0A5F6A"/>
    <w:rsid w:val="7D0B03F0"/>
    <w:rsid w:val="7D501996"/>
    <w:rsid w:val="7D632538"/>
    <w:rsid w:val="7D8A0732"/>
    <w:rsid w:val="7D9A0667"/>
    <w:rsid w:val="7DB25394"/>
    <w:rsid w:val="7DBB7264"/>
    <w:rsid w:val="7DC26768"/>
    <w:rsid w:val="7DF31EB3"/>
    <w:rsid w:val="7E0C3A70"/>
    <w:rsid w:val="7E0E7D09"/>
    <w:rsid w:val="7E236693"/>
    <w:rsid w:val="7E247663"/>
    <w:rsid w:val="7E3A644A"/>
    <w:rsid w:val="7E7960DA"/>
    <w:rsid w:val="7E927FC5"/>
    <w:rsid w:val="7EA1645A"/>
    <w:rsid w:val="7EB50382"/>
    <w:rsid w:val="7EC057D2"/>
    <w:rsid w:val="7ECA1059"/>
    <w:rsid w:val="7F086780"/>
    <w:rsid w:val="7F0C4671"/>
    <w:rsid w:val="7F17560D"/>
    <w:rsid w:val="7F264BB1"/>
    <w:rsid w:val="7F7753B1"/>
    <w:rsid w:val="7F7DA980"/>
    <w:rsid w:val="7F842003"/>
    <w:rsid w:val="7FD20A19"/>
    <w:rsid w:val="7FD97B71"/>
    <w:rsid w:val="7FE59978"/>
    <w:rsid w:val="7FFFC538"/>
    <w:rsid w:val="9BAF12CC"/>
    <w:rsid w:val="9F66C9E6"/>
    <w:rsid w:val="9FDD0DE2"/>
    <w:rsid w:val="BD0D13DD"/>
    <w:rsid w:val="BEFD80D8"/>
    <w:rsid w:val="D11C6312"/>
    <w:rsid w:val="EBFF86E3"/>
    <w:rsid w:val="EFDD8068"/>
    <w:rsid w:val="F666FA93"/>
    <w:rsid w:val="F73AED30"/>
    <w:rsid w:val="F8DF7B48"/>
    <w:rsid w:val="FB7FAED8"/>
    <w:rsid w:val="FCF13E1E"/>
    <w:rsid w:val="FD79F1DA"/>
    <w:rsid w:val="FF75A96D"/>
    <w:rsid w:val="FF7B99B9"/>
    <w:rsid w:val="FF862D3E"/>
    <w:rsid w:val="FFB51F16"/>
    <w:rsid w:val="FFF7F0AF"/>
    <w:rsid w:val="FFFF7A89"/>
    <w:rsid w:val="FFFF9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rFonts w:ascii="Times New Roman" w:hAnsi="Times New Roman" w:eastAsia="宋体" w:cs="Times New Roman"/>
      <w:kern w:val="0"/>
      <w:sz w:val="30"/>
    </w:rPr>
  </w:style>
  <w:style w:type="paragraph" w:styleId="4">
    <w:name w:val="heading 2"/>
    <w:basedOn w:val="1"/>
    <w:next w:val="1"/>
    <w:qFormat/>
    <w:uiPriority w:val="0"/>
    <w:pPr>
      <w:autoSpaceDE w:val="0"/>
      <w:autoSpaceDN w:val="0"/>
      <w:adjustRightInd w:val="0"/>
      <w:jc w:val="left"/>
      <w:outlineLvl w:val="1"/>
    </w:pPr>
    <w:rPr>
      <w:rFonts w:ascii="Times New Roman" w:hAnsi="Times New Roman" w:eastAsia="宋体" w:cs="Times New Roman"/>
      <w:kern w:val="0"/>
      <w:sz w:val="24"/>
    </w:rPr>
  </w:style>
  <w:style w:type="paragraph" w:styleId="5">
    <w:name w:val="heading 3"/>
    <w:next w:val="1"/>
    <w:link w:val="28"/>
    <w:qFormat/>
    <w:uiPriority w:val="0"/>
    <w:pPr>
      <w:keepNext/>
      <w:keepLines/>
      <w:spacing w:before="120" w:beforeAutospacing="0" w:after="120" w:afterAutospacing="0"/>
      <w:jc w:val="center"/>
      <w:outlineLvl w:val="2"/>
    </w:pPr>
    <w:rPr>
      <w:rFonts w:ascii="Times New Roman" w:hAnsi="Times New Roman" w:eastAsia="宋体" w:cs="Times New Roman"/>
      <w:sz w:val="24"/>
    </w:rPr>
  </w:style>
  <w:style w:type="paragraph" w:styleId="2">
    <w:name w:val="heading 4"/>
    <w:basedOn w:val="1"/>
    <w:next w:val="1"/>
    <w:qFormat/>
    <w:uiPriority w:val="0"/>
    <w:pPr>
      <w:keepNext/>
      <w:keepLines/>
      <w:spacing w:before="280" w:beforeAutospacing="0" w:after="290" w:afterAutospacing="0" w:line="374" w:lineRule="auto"/>
      <w:outlineLvl w:val="3"/>
    </w:pPr>
    <w:rPr>
      <w:rFonts w:ascii="Arial" w:hAnsi="Arial" w:eastAsia="宋体" w:cs="Times New Roman"/>
      <w:sz w:val="24"/>
    </w:rPr>
  </w:style>
  <w:style w:type="character" w:default="1" w:styleId="25">
    <w:name w:val="Default Paragraph Font"/>
    <w:qFormat/>
    <w:uiPriority w:val="0"/>
    <w:rPr>
      <w:rFonts w:ascii="Times New Roman" w:hAnsi="Times New Roman" w:eastAsia="宋体" w:cs="Times New Roman"/>
    </w:rPr>
  </w:style>
  <w:style w:type="table" w:default="1" w:styleId="2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annotation text"/>
    <w:basedOn w:val="1"/>
    <w:link w:val="31"/>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7">
    <w:name w:val="Body Text"/>
    <w:basedOn w:val="1"/>
    <w:qFormat/>
    <w:uiPriority w:val="0"/>
    <w:pPr>
      <w:spacing w:after="120" w:afterAutospacing="0"/>
    </w:pPr>
    <w:rPr>
      <w:rFonts w:ascii="Times New Roman" w:hAnsi="Times New Roman" w:eastAsia="宋体" w:cs="Times New Roman"/>
    </w:rPr>
  </w:style>
  <w:style w:type="paragraph" w:styleId="8">
    <w:name w:val="Body Text Indent"/>
    <w:basedOn w:val="1"/>
    <w:next w:val="9"/>
    <w:qFormat/>
    <w:uiPriority w:val="0"/>
    <w:pPr>
      <w:ind w:firstLine="560" w:firstLineChars="200"/>
    </w:pPr>
    <w:rPr>
      <w:rFonts w:ascii="宋体" w:hAnsi="Times New Roman" w:eastAsia="宋体" w:cs="Times New Roman"/>
      <w:kern w:val="2"/>
      <w:sz w:val="24"/>
    </w:rPr>
  </w:style>
  <w:style w:type="paragraph" w:styleId="9">
    <w:name w:val="envelope return"/>
    <w:basedOn w:val="1"/>
    <w:qFormat/>
    <w:uiPriority w:val="0"/>
    <w:pPr>
      <w:snapToGrid w:val="0"/>
    </w:pPr>
    <w:rPr>
      <w:rFonts w:ascii="Arial" w:hAnsi="Arial" w:eastAsia="宋体" w:cs="Times New Roman"/>
    </w:rPr>
  </w:style>
  <w:style w:type="paragraph" w:styleId="10">
    <w:name w:val="toc 3"/>
    <w:basedOn w:val="1"/>
    <w:next w:val="1"/>
    <w:qFormat/>
    <w:uiPriority w:val="0"/>
    <w:pPr>
      <w:ind w:left="561"/>
      <w:jc w:val="left"/>
    </w:pPr>
    <w:rPr>
      <w:rFonts w:ascii="Times New Roman" w:hAnsi="Times New Roman" w:eastAsia="宋体" w:cs="Times New Roman"/>
      <w:sz w:val="24"/>
    </w:rPr>
  </w:style>
  <w:style w:type="paragraph" w:styleId="11">
    <w:name w:val="Plain Text"/>
    <w:basedOn w:val="1"/>
    <w:qFormat/>
    <w:uiPriority w:val="0"/>
    <w:rPr>
      <w:rFonts w:ascii="宋体" w:hAnsi="Courier New" w:eastAsia="华文宋体" w:cs="Times New Roman"/>
      <w:sz w:val="28"/>
    </w:rPr>
  </w:style>
  <w:style w:type="paragraph" w:styleId="12">
    <w:name w:val="Date"/>
    <w:basedOn w:val="1"/>
    <w:next w:val="1"/>
    <w:qFormat/>
    <w:uiPriority w:val="0"/>
    <w:pPr>
      <w:spacing w:line="240" w:lineRule="auto"/>
    </w:pPr>
    <w:rPr>
      <w:rFonts w:ascii="Times New Roman" w:hAnsi="Times New Roman" w:eastAsia="宋体" w:cs="Times New Roman"/>
      <w:sz w:val="21"/>
    </w:rPr>
  </w:style>
  <w:style w:type="paragraph" w:styleId="13">
    <w:name w:val="Body Text Indent 2"/>
    <w:basedOn w:val="1"/>
    <w:qFormat/>
    <w:uiPriority w:val="0"/>
    <w:pPr>
      <w:spacing w:line="480" w:lineRule="auto"/>
      <w:ind w:firstLine="561"/>
    </w:pPr>
    <w:rPr>
      <w:rFonts w:ascii="宋体" w:hAnsi="Times New Roman" w:eastAsia="宋体" w:cs="Times New Roman"/>
    </w:rPr>
  </w:style>
  <w:style w:type="paragraph" w:styleId="14">
    <w:name w:val="footer"/>
    <w:basedOn w:val="1"/>
    <w:qFormat/>
    <w:uiPriority w:val="0"/>
    <w:pPr>
      <w:widowControl/>
      <w:tabs>
        <w:tab w:val="center" w:pos="4153"/>
        <w:tab w:val="right" w:pos="8306"/>
      </w:tabs>
      <w:snapToGrid w:val="0"/>
      <w:jc w:val="left"/>
    </w:pPr>
    <w:rPr>
      <w:rFonts w:ascii="Times New Roman" w:hAnsi="Times New Roman" w:eastAsia="宋体" w:cs="Times New Roman"/>
      <w:kern w:val="0"/>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6">
    <w:name w:val="toc 1"/>
    <w:basedOn w:val="1"/>
    <w:next w:val="1"/>
    <w:qFormat/>
    <w:uiPriority w:val="0"/>
    <w:pPr>
      <w:spacing w:before="120" w:beforeAutospacing="0" w:after="120" w:afterAutospacing="0"/>
      <w:jc w:val="left"/>
    </w:pPr>
    <w:rPr>
      <w:rFonts w:ascii="Times New Roman" w:hAnsi="Times New Roman" w:eastAsia="宋体" w:cs="Times New Roman"/>
      <w:caps/>
      <w:sz w:val="24"/>
    </w:rPr>
  </w:style>
  <w:style w:type="paragraph" w:styleId="17">
    <w:name w:val="toc 2"/>
    <w:basedOn w:val="1"/>
    <w:next w:val="1"/>
    <w:qFormat/>
    <w:uiPriority w:val="0"/>
    <w:pPr>
      <w:ind w:left="278"/>
      <w:jc w:val="left"/>
    </w:pPr>
    <w:rPr>
      <w:rFonts w:ascii="Times New Roman" w:hAnsi="Times New Roman" w:eastAsia="宋体" w:cs="Times New Roman"/>
      <w:smallCaps/>
      <w:sz w:val="24"/>
    </w:rPr>
  </w:style>
  <w:style w:type="paragraph" w:styleId="18">
    <w:name w:val="Body Text 2"/>
    <w:basedOn w:val="1"/>
    <w:qFormat/>
    <w:uiPriority w:val="0"/>
    <w:pPr>
      <w:spacing w:line="500" w:lineRule="exact"/>
    </w:pPr>
    <w:rPr>
      <w:rFonts w:ascii="宋体" w:hAnsi="Times New Roman" w:eastAsia="宋体" w:cs="Times New Roman"/>
      <w:sz w:val="24"/>
    </w:rPr>
  </w:style>
  <w:style w:type="paragraph" w:styleId="19">
    <w:name w:val="Normal (Web)"/>
    <w:basedOn w:val="1"/>
    <w:qFormat/>
    <w:uiPriority w:val="0"/>
    <w:rPr>
      <w:sz w:val="24"/>
    </w:rPr>
  </w:style>
  <w:style w:type="paragraph" w:styleId="20">
    <w:name w:val="annotation subject"/>
    <w:basedOn w:val="6"/>
    <w:next w:val="6"/>
    <w:link w:val="32"/>
    <w:qFormat/>
    <w:uiPriority w:val="0"/>
    <w:pPr>
      <w:adjustRightInd/>
      <w:spacing w:line="360" w:lineRule="auto"/>
      <w:textAlignment w:val="auto"/>
    </w:pPr>
    <w:rPr>
      <w:rFonts w:ascii="Times New Roman" w:hAnsi="Times New Roman" w:eastAsia="宋体" w:cs="Times New Roman"/>
      <w:b/>
      <w:bCs/>
      <w:kern w:val="2"/>
    </w:rPr>
  </w:style>
  <w:style w:type="paragraph" w:styleId="21">
    <w:name w:val="Body Text First Indent 2"/>
    <w:basedOn w:val="8"/>
    <w:next w:val="22"/>
    <w:qFormat/>
    <w:uiPriority w:val="0"/>
    <w:pPr>
      <w:ind w:firstLine="420"/>
    </w:pPr>
    <w:rPr>
      <w:rFonts w:ascii="Times New Roman" w:hAnsi="Times New Roman" w:eastAsia="宋体" w:cs="Times New Roman"/>
    </w:rPr>
  </w:style>
  <w:style w:type="paragraph" w:customStyle="1" w:styleId="22">
    <w:name w:val="章标题"/>
    <w:next w:val="1"/>
    <w:qFormat/>
    <w:uiPriority w:val="0"/>
    <w:pPr>
      <w:spacing w:before="50" w:after="50"/>
      <w:jc w:val="both"/>
      <w:outlineLvl w:val="1"/>
    </w:pPr>
    <w:rPr>
      <w:rFonts w:ascii="黑体" w:hAnsi="Calibri" w:eastAsia="黑体" w:cs="Times New Roman"/>
      <w:sz w:val="21"/>
      <w:lang w:val="en-US" w:eastAsia="zh-CN" w:bidi="ar-SA"/>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00"/>
      <w:u w:val="none"/>
    </w:rPr>
  </w:style>
  <w:style w:type="character" w:styleId="27">
    <w:name w:val="annotation reference"/>
    <w:qFormat/>
    <w:uiPriority w:val="0"/>
    <w:rPr>
      <w:rFonts w:ascii="Times New Roman" w:hAnsi="Times New Roman" w:eastAsia="宋体" w:cs="Times New Roman"/>
      <w:sz w:val="21"/>
      <w:szCs w:val="21"/>
    </w:rPr>
  </w:style>
  <w:style w:type="character" w:customStyle="1" w:styleId="28">
    <w:name w:val="标题 3 Char"/>
    <w:link w:val="5"/>
    <w:qFormat/>
    <w:uiPriority w:val="0"/>
    <w:rPr>
      <w:rFonts w:ascii="Times New Roman" w:hAnsi="Times New Roman" w:eastAsia="宋体" w:cs="Times New Roman"/>
      <w:sz w:val="24"/>
    </w:rPr>
  </w:style>
  <w:style w:type="paragraph" w:customStyle="1" w:styleId="29">
    <w:name w:val="Normal Indent1"/>
    <w:basedOn w:val="1"/>
    <w:qFormat/>
    <w:uiPriority w:val="0"/>
    <w:pPr>
      <w:spacing w:line="360" w:lineRule="auto"/>
      <w:ind w:firstLine="420"/>
    </w:pPr>
    <w:rPr>
      <w:rFonts w:ascii="宋体" w:hAnsi="Times New Roman" w:eastAsia="宋体" w:cs="Times New Roman"/>
      <w:sz w:val="20"/>
      <w:szCs w:val="20"/>
    </w:rPr>
  </w:style>
  <w:style w:type="paragraph" w:customStyle="1" w:styleId="30">
    <w:name w:val="正文缩进1"/>
    <w:basedOn w:val="1"/>
    <w:qFormat/>
    <w:uiPriority w:val="0"/>
    <w:pPr>
      <w:widowControl/>
      <w:ind w:firstLine="420"/>
      <w:jc w:val="left"/>
    </w:pPr>
    <w:rPr>
      <w:rFonts w:ascii="Times New Roman" w:hAnsi="Times New Roman" w:eastAsia="宋体" w:cs="Times New Roman"/>
      <w:kern w:val="0"/>
      <w:sz w:val="20"/>
    </w:rPr>
  </w:style>
  <w:style w:type="character" w:customStyle="1" w:styleId="31">
    <w:name w:val="批注文字 字符"/>
    <w:link w:val="6"/>
    <w:qFormat/>
    <w:uiPriority w:val="0"/>
    <w:rPr>
      <w:rFonts w:ascii="宋体" w:hAnsi="Times New Roman" w:eastAsia="宋体" w:cs="Times New Roman"/>
      <w:sz w:val="24"/>
    </w:rPr>
  </w:style>
  <w:style w:type="character" w:customStyle="1" w:styleId="32">
    <w:name w:val="批注主题 字符"/>
    <w:link w:val="20"/>
    <w:qFormat/>
    <w:uiPriority w:val="0"/>
    <w:rPr>
      <w:rFonts w:ascii="宋体" w:hAnsi="Times New Roman" w:eastAsia="宋体" w:cs="Times New Roman"/>
      <w:b/>
      <w:bCs/>
      <w:kern w:val="2"/>
      <w:sz w:val="24"/>
    </w:rPr>
  </w:style>
  <w:style w:type="paragraph" w:customStyle="1" w:styleId="33">
    <w:name w:val="样式 宋体 行距: 1.5 倍行距"/>
    <w:basedOn w:val="34"/>
    <w:next w:val="1"/>
    <w:qFormat/>
    <w:uiPriority w:val="0"/>
    <w:pPr>
      <w:jc w:val="center"/>
    </w:pPr>
    <w:rPr>
      <w:rFonts w:ascii="Times New Roman" w:hAnsi="Times New Roman" w:eastAsia="宋体" w:cs="Times New Roman"/>
      <w:b/>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3"/>
    <w:qFormat/>
    <w:uiPriority w:val="0"/>
    <w:pPr>
      <w:widowControl w:val="0"/>
      <w:jc w:val="both"/>
    </w:pPr>
    <w:rPr>
      <w:rFonts w:ascii="Calibri" w:hAnsi="Calibri" w:eastAsia="宋体" w:cs="黑体"/>
      <w:kern w:val="2"/>
      <w:sz w:val="21"/>
      <w:szCs w:val="24"/>
      <w:lang w:val="en-US" w:eastAsia="zh-CN" w:bidi="ar-SA"/>
    </w:rPr>
  </w:style>
  <w:style w:type="character" w:customStyle="1" w:styleId="35">
    <w:name w:val="NormalCharacter"/>
    <w:qFormat/>
    <w:uiPriority w:val="99"/>
  </w:style>
  <w:style w:type="paragraph" w:customStyle="1" w:styleId="36">
    <w:name w:val="WPSOffice手动目录 3"/>
    <w:qFormat/>
    <w:uiPriority w:val="0"/>
    <w:pPr>
      <w:ind w:leftChars="400"/>
    </w:pPr>
    <w:rPr>
      <w:rFonts w:ascii="Times New Roman" w:hAnsi="Times New Roman" w:eastAsia="宋体" w:cs="Times New Roman"/>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9">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0">
    <w:name w:val="正文格式"/>
    <w:basedOn w:val="1"/>
    <w:qFormat/>
    <w:uiPriority w:val="0"/>
    <w:pPr>
      <w:topLinePunct/>
      <w:ind w:firstLine="420" w:firstLineChars="200"/>
    </w:pPr>
    <w:rPr>
      <w:rFonts w:hint="default" w:ascii="宋体" w:hAnsi="宋体" w:eastAsia="宋体" w:cs="Times New Roman"/>
      <w:bCs/>
      <w:szCs w:val="21"/>
    </w:rPr>
  </w:style>
  <w:style w:type="paragraph" w:customStyle="1" w:styleId="41">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42">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文本缩进 New"/>
    <w:basedOn w:val="45"/>
    <w:qFormat/>
    <w:uiPriority w:val="0"/>
    <w:pPr>
      <w:ind w:firstLine="560" w:firstLineChars="200"/>
    </w:pPr>
    <w:rPr>
      <w:rFonts w:ascii="宋体" w:hAnsi="Times New Roman" w:eastAsia="宋体" w:cs="Times New Roman"/>
      <w:kern w:val="2"/>
      <w:sz w:val="24"/>
    </w:rPr>
  </w:style>
  <w:style w:type="paragraph" w:customStyle="1" w:styleId="45">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6">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题 3 New New"/>
    <w:basedOn w:val="49"/>
    <w:next w:val="49"/>
    <w:qFormat/>
    <w:uiPriority w:val="0"/>
    <w:pPr>
      <w:keepNext/>
      <w:keepLines/>
      <w:spacing w:before="120" w:beforeAutospacing="0" w:after="120" w:afterAutospacing="0"/>
      <w:jc w:val="center"/>
      <w:outlineLvl w:val="2"/>
    </w:pPr>
    <w:rPr>
      <w:rFonts w:ascii="Times New Roman" w:hAnsi="Times New Roman" w:eastAsia="宋体" w:cs="Times New Roman"/>
      <w:sz w:val="24"/>
    </w:rPr>
  </w:style>
  <w:style w:type="paragraph" w:customStyle="1" w:styleId="49">
    <w:name w:val="正文缩进 New"/>
    <w:basedOn w:val="45"/>
    <w:qFormat/>
    <w:uiPriority w:val="0"/>
    <w:pPr>
      <w:widowControl/>
      <w:ind w:firstLine="420"/>
      <w:jc w:val="left"/>
    </w:pPr>
    <w:rPr>
      <w:rFonts w:ascii="Times New Roman" w:hAnsi="Times New Roman" w:eastAsia="宋体" w:cs="Times New Roman"/>
      <w:kern w:val="0"/>
      <w:sz w:val="20"/>
    </w:rPr>
  </w:style>
  <w:style w:type="paragraph" w:customStyle="1" w:styleId="50">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1">
    <w:name w:val="WPSOffice手动目录 2"/>
    <w:qFormat/>
    <w:uiPriority w:val="0"/>
    <w:pPr>
      <w:ind w:leftChars="200"/>
    </w:pPr>
    <w:rPr>
      <w:rFonts w:ascii="Times New Roman" w:hAnsi="Times New Roman" w:eastAsia="宋体" w:cs="Times New Roman"/>
      <w:lang w:val="en-US" w:eastAsia="zh-CN" w:bidi="ar-SA"/>
    </w:rPr>
  </w:style>
  <w:style w:type="paragraph" w:customStyle="1" w:styleId="5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普通(网站) New"/>
    <w:basedOn w:val="54"/>
    <w:qFormat/>
    <w:uiPriority w:val="0"/>
    <w:rPr>
      <w:rFonts w:ascii="Times New Roman" w:hAnsi="Times New Roman" w:eastAsia="宋体" w:cs="Times New Roman"/>
      <w:sz w:val="24"/>
    </w:rPr>
  </w:style>
  <w:style w:type="paragraph" w:customStyle="1" w:styleId="5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文本缩进 New New"/>
    <w:basedOn w:val="47"/>
    <w:qFormat/>
    <w:uiPriority w:val="0"/>
    <w:pPr>
      <w:ind w:firstLine="560" w:firstLineChars="200"/>
    </w:pPr>
    <w:rPr>
      <w:rFonts w:ascii="宋体" w:hAnsi="Times New Roman" w:eastAsia="宋体" w:cs="Times New Roman"/>
      <w:kern w:val="2"/>
      <w:sz w:val="24"/>
    </w:rPr>
  </w:style>
  <w:style w:type="paragraph" w:customStyle="1" w:styleId="56">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Table Text"/>
    <w:basedOn w:val="1"/>
    <w:semiHidden/>
    <w:qFormat/>
    <w:uiPriority w:val="0"/>
    <w:rPr>
      <w:rFonts w:ascii="Arial" w:hAnsi="Arial" w:eastAsia="Arial" w:cs="Arial"/>
      <w:sz w:val="21"/>
      <w:szCs w:val="21"/>
      <w:lang w:val="en-US" w:eastAsia="en-US" w:bidi="ar-SA"/>
    </w:rPr>
  </w:style>
  <w:style w:type="paragraph" w:customStyle="1" w:styleId="59">
    <w:name w:val="正文文本1"/>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16175</Words>
  <Characters>17787</Characters>
  <Lines>413</Lines>
  <Paragraphs>116</Paragraphs>
  <TotalTime>2</TotalTime>
  <ScaleCrop>false</ScaleCrop>
  <LinksUpToDate>false</LinksUpToDate>
  <CharactersWithSpaces>18041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Administrator.SKY-20171120MGK</dc:creator>
  <cp:lastModifiedBy>Chloe</cp:lastModifiedBy>
  <cp:lastPrinted>2025-04-23T09:28:00Z</cp:lastPrinted>
  <dcterms:modified xsi:type="dcterms:W3CDTF">2025-05-29T03:20:01Z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ribbonExt">
    <vt:lpwstr>{"WPSExtOfficeTab":{"OnGetEnabled":false,"OnGetVisible":false}}</vt:lpwstr>
  </property>
  <property fmtid="{D5CDD505-2E9C-101B-9397-08002B2CF9AE}" pid="4" name="ICV">
    <vt:lpwstr>8EF5F0697BAF438C90986BFC73D4B751_13</vt:lpwstr>
  </property>
  <property fmtid="{D5CDD505-2E9C-101B-9397-08002B2CF9AE}" pid="5" name="KSOTemplateDocerSaveRecord">
    <vt:lpwstr>eyJoZGlkIjoiMmYxNmRkOTgyZmJiZjcxZDcyMTQ4ZDk0OTMyY2RjMjQiLCJ1c2VySWQiOiI1OTEzMzE4MTYifQ==</vt:lpwstr>
  </property>
</Properties>
</file>