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AEB5E">
      <w:pPr>
        <w:spacing w:line="480" w:lineRule="auto"/>
        <w:jc w:val="center"/>
        <w:rPr>
          <w:rFonts w:hint="eastAsia" w:ascii="Times New Roman" w:hAnsi="Times New Roman" w:eastAsia="宋体" w:cs="宋体"/>
          <w:b/>
          <w:bCs/>
          <w:color w:val="auto"/>
          <w:kern w:val="21"/>
          <w:sz w:val="44"/>
          <w:szCs w:val="44"/>
          <w:highlight w:val="none"/>
          <w:lang w:eastAsia="zh-CN"/>
        </w:rPr>
        <w:sectPr>
          <w:footerReference r:id="rId5" w:type="default"/>
          <w:pgSz w:w="11906" w:h="16839"/>
          <w:pgMar w:top="0" w:right="1785" w:bottom="0" w:left="0" w:header="0" w:footer="1065" w:gutter="0"/>
          <w:pgBorders>
            <w:top w:val="none" w:sz="0" w:space="0"/>
            <w:left w:val="none" w:sz="0" w:space="0"/>
            <w:bottom w:val="none" w:sz="0" w:space="0"/>
            <w:right w:val="none" w:sz="0" w:space="0"/>
          </w:pgBorders>
          <w:pgNumType w:fmt="decimal"/>
          <w:cols w:space="720" w:num="1"/>
        </w:sectPr>
      </w:pPr>
      <w:bookmarkStart w:id="0" w:name="_Toc13110"/>
      <w:bookmarkStart w:id="1" w:name="_Toc251"/>
      <w:bookmarkStart w:id="2" w:name="_Toc3507"/>
      <w:bookmarkStart w:id="3" w:name="_Toc8336"/>
      <w:bookmarkStart w:id="4" w:name="_Toc5743"/>
      <w:bookmarkStart w:id="5" w:name="_Toc14069"/>
      <w:bookmarkStart w:id="6" w:name="_Toc10156"/>
      <w:r>
        <w:rPr>
          <w:rFonts w:hint="eastAsia" w:ascii="Times New Roman" w:hAnsi="Times New Roman" w:eastAsia="宋体" w:cs="宋体"/>
          <w:b/>
          <w:bCs/>
          <w:color w:val="auto"/>
          <w:kern w:val="21"/>
          <w:sz w:val="44"/>
          <w:szCs w:val="44"/>
          <w:highlight w:val="none"/>
          <w:lang w:eastAsia="zh-CN"/>
        </w:rPr>
        <w:drawing>
          <wp:inline distT="0" distB="0" distL="114300" distR="114300">
            <wp:extent cx="7541895" cy="10665460"/>
            <wp:effectExtent l="0" t="0" r="1905" b="2540"/>
            <wp:docPr id="3" name="图片 3"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封面_01"/>
                    <pic:cNvPicPr>
                      <a:picLocks noChangeAspect="1"/>
                    </pic:cNvPicPr>
                  </pic:nvPicPr>
                  <pic:blipFill>
                    <a:blip r:embed="rId74"/>
                    <a:stretch>
                      <a:fillRect/>
                    </a:stretch>
                  </pic:blipFill>
                  <pic:spPr>
                    <a:xfrm>
                      <a:off x="0" y="0"/>
                      <a:ext cx="7541895" cy="10665460"/>
                    </a:xfrm>
                    <a:prstGeom prst="rect">
                      <a:avLst/>
                    </a:prstGeom>
                  </pic:spPr>
                </pic:pic>
              </a:graphicData>
            </a:graphic>
          </wp:inline>
        </w:drawing>
      </w:r>
      <w:bookmarkStart w:id="843" w:name="_GoBack"/>
      <w:bookmarkEnd w:id="843"/>
    </w:p>
    <w:p w14:paraId="6561A653">
      <w:pPr>
        <w:spacing w:line="480" w:lineRule="auto"/>
        <w:jc w:val="center"/>
        <w:rPr>
          <w:rFonts w:hint="eastAsia" w:ascii="Times New Roman" w:hAnsi="Times New Roman" w:eastAsia="宋体" w:cs="宋体"/>
          <w:b/>
          <w:bCs/>
          <w:color w:val="auto"/>
          <w:kern w:val="21"/>
          <w:sz w:val="44"/>
          <w:szCs w:val="44"/>
          <w:highlight w:val="none"/>
          <w:lang w:eastAsia="zh-CN"/>
        </w:rPr>
      </w:pPr>
      <w:r>
        <w:rPr>
          <w:rFonts w:hint="eastAsia" w:ascii="Times New Roman" w:hAnsi="Times New Roman" w:eastAsia="宋体" w:cs="宋体"/>
          <w:b/>
          <w:bCs/>
          <w:color w:val="auto"/>
          <w:kern w:val="21"/>
          <w:sz w:val="44"/>
          <w:szCs w:val="44"/>
          <w:highlight w:val="none"/>
          <w:lang w:eastAsia="zh-CN"/>
        </w:rPr>
        <w:t>目    录</w:t>
      </w:r>
    </w:p>
    <w:p w14:paraId="77565255">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TOC \o "1-3" \h \u </w:instrText>
      </w:r>
      <w:r>
        <w:rPr>
          <w:rFonts w:hint="eastAsia" w:ascii="黑体" w:hAnsi="黑体" w:eastAsia="黑体" w:cs="黑体"/>
          <w:color w:val="auto"/>
          <w:kern w:val="21"/>
          <w:sz w:val="28"/>
          <w:szCs w:val="28"/>
          <w:highlight w:val="none"/>
        </w:rPr>
        <w:fldChar w:fldCharType="separate"/>
      </w: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_Toc3310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第一章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_Toc3310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1B3D157C">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_Toc17428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第二章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_Toc17428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069014B">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_Toc13025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3"/>
          <w:sz w:val="28"/>
          <w:szCs w:val="36"/>
          <w:highlight w:val="none"/>
        </w:rPr>
        <w:t>投标人须知前附表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_Toc13025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D4EDC77">
      <w:pPr>
        <w:pStyle w:val="13"/>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_Toc25000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w:t>
      </w:r>
      <w:r>
        <w:rPr>
          <w:rFonts w:ascii="宋体" w:hAnsi="宋体" w:eastAsia="宋体" w:cs="宋体"/>
          <w:color w:val="auto"/>
          <w:spacing w:val="-21"/>
          <w:sz w:val="28"/>
          <w:szCs w:val="40"/>
          <w:highlight w:val="none"/>
        </w:rPr>
        <w:t xml:space="preserve"> </w:t>
      </w:r>
      <w:r>
        <w:rPr>
          <w:rFonts w:ascii="宋体" w:hAnsi="宋体" w:eastAsia="宋体" w:cs="宋体"/>
          <w:bCs/>
          <w:color w:val="auto"/>
          <w:spacing w:val="-6"/>
          <w:sz w:val="28"/>
          <w:szCs w:val="40"/>
          <w:highlight w:val="none"/>
        </w:rPr>
        <w:t>1</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资格审查条件（资质最低要求）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_Toc25000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4C9101BF">
      <w:pPr>
        <w:pStyle w:val="13"/>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_Toc19724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附录2 资格审查条件（业绩最低要求）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_Toc19724 \h </w:instrText>
      </w:r>
      <w:r>
        <w:rPr>
          <w:color w:val="auto"/>
          <w:sz w:val="28"/>
          <w:szCs w:val="28"/>
          <w:highlight w:val="none"/>
        </w:rPr>
        <w:fldChar w:fldCharType="separate"/>
      </w:r>
      <w:r>
        <w:rPr>
          <w:color w:val="auto"/>
          <w:sz w:val="28"/>
          <w:szCs w:val="28"/>
          <w:highlight w:val="none"/>
        </w:rPr>
        <w:t>23</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0390A24">
      <w:pPr>
        <w:pStyle w:val="13"/>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_Toc1637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 3  资格审查条件（信誉最低要求）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_Toc1637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714A4763">
      <w:pPr>
        <w:pStyle w:val="13"/>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_Toc32700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附录4  资格审查条件（总监理工程师最低要求）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_Toc32700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E8A4915">
      <w:pPr>
        <w:pStyle w:val="13"/>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_Toc7110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附录 5  资格审查条件（其他主要监理人员最低要求）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_Toc7110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A89A796">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_Toc19080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第三章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评标</w:t>
      </w:r>
      <w:r>
        <w:rPr>
          <w:rFonts w:hint="eastAsia" w:ascii="宋体" w:hAnsi="宋体" w:eastAsia="宋体" w:cs="宋体"/>
          <w:bCs/>
          <w:color w:val="auto"/>
          <w:spacing w:val="-5"/>
          <w:sz w:val="28"/>
          <w:szCs w:val="72"/>
          <w:highlight w:val="none"/>
          <w:lang w:val="en-US" w:eastAsia="zh-CN"/>
        </w:rPr>
        <w:t>办法及定标</w:t>
      </w:r>
      <w:r>
        <w:rPr>
          <w:rFonts w:ascii="宋体" w:hAnsi="宋体" w:eastAsia="宋体" w:cs="宋体"/>
          <w:bCs/>
          <w:color w:val="auto"/>
          <w:spacing w:val="-5"/>
          <w:sz w:val="28"/>
          <w:szCs w:val="72"/>
          <w:highlight w:val="none"/>
        </w:rPr>
        <w:t>办法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_Toc19080 \h </w:instrText>
      </w:r>
      <w:r>
        <w:rPr>
          <w:color w:val="auto"/>
          <w:sz w:val="28"/>
          <w:szCs w:val="28"/>
          <w:highlight w:val="none"/>
        </w:rPr>
        <w:fldChar w:fldCharType="separate"/>
      </w:r>
      <w:r>
        <w:rPr>
          <w:color w:val="auto"/>
          <w:sz w:val="28"/>
          <w:szCs w:val="28"/>
          <w:highlight w:val="none"/>
        </w:rPr>
        <w:t>53</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5D4579F5">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_Toc31294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第四章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_Toc31294 \h </w:instrText>
      </w:r>
      <w:r>
        <w:rPr>
          <w:color w:val="auto"/>
          <w:sz w:val="28"/>
          <w:szCs w:val="28"/>
          <w:highlight w:val="none"/>
        </w:rPr>
        <w:fldChar w:fldCharType="separate"/>
      </w:r>
      <w:r>
        <w:rPr>
          <w:color w:val="auto"/>
          <w:sz w:val="28"/>
          <w:szCs w:val="28"/>
          <w:highlight w:val="none"/>
        </w:rPr>
        <w:t>72</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393C5640">
      <w:pPr>
        <w:pStyle w:val="11"/>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_Toc27374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第一节</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通用合同条款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_Toc27374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4C88D97">
      <w:pPr>
        <w:pStyle w:val="11"/>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_Toc18183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第二节</w:t>
      </w:r>
      <w:r>
        <w:rPr>
          <w:rFonts w:ascii="宋体" w:hAnsi="宋体" w:eastAsia="宋体" w:cs="宋体"/>
          <w:color w:val="auto"/>
          <w:spacing w:val="6"/>
          <w:sz w:val="28"/>
          <w:szCs w:val="40"/>
          <w:highlight w:val="none"/>
        </w:rPr>
        <w:t xml:space="preserve">  </w:t>
      </w:r>
      <w:r>
        <w:rPr>
          <w:rFonts w:ascii="宋体" w:hAnsi="宋体" w:eastAsia="宋体" w:cs="宋体"/>
          <w:bCs/>
          <w:color w:val="auto"/>
          <w:spacing w:val="6"/>
          <w:sz w:val="28"/>
          <w:szCs w:val="40"/>
          <w:highlight w:val="none"/>
        </w:rPr>
        <w:t>专用合同条款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_Toc18183 \h </w:instrText>
      </w:r>
      <w:r>
        <w:rPr>
          <w:color w:val="auto"/>
          <w:sz w:val="28"/>
          <w:szCs w:val="28"/>
          <w:highlight w:val="none"/>
        </w:rPr>
        <w:fldChar w:fldCharType="separate"/>
      </w:r>
      <w:r>
        <w:rPr>
          <w:color w:val="auto"/>
          <w:sz w:val="28"/>
          <w:szCs w:val="28"/>
          <w:highlight w:val="none"/>
        </w:rPr>
        <w:t>88</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C68D4F3">
      <w:pPr>
        <w:pStyle w:val="11"/>
        <w:tabs>
          <w:tab w:val="right" w:leader="dot" w:pos="8336"/>
        </w:tabs>
        <w:spacing w:line="360" w:lineRule="auto"/>
        <w:ind w:firstLine="560" w:firstLineChars="200"/>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_Toc18490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6"/>
          <w:sz w:val="28"/>
          <w:szCs w:val="40"/>
          <w:highlight w:val="none"/>
        </w:rPr>
        <w:t>第三节  合同附件格式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_Toc18490 \h </w:instrText>
      </w:r>
      <w:r>
        <w:rPr>
          <w:color w:val="auto"/>
          <w:sz w:val="28"/>
          <w:szCs w:val="28"/>
          <w:highlight w:val="none"/>
        </w:rPr>
        <w:fldChar w:fldCharType="separate"/>
      </w:r>
      <w:r>
        <w:rPr>
          <w:color w:val="auto"/>
          <w:sz w:val="28"/>
          <w:szCs w:val="28"/>
          <w:highlight w:val="none"/>
        </w:rPr>
        <w:t>134</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08F79E3">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_Toc14274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第五章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委托人要求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_Toc14274 \h </w:instrText>
      </w:r>
      <w:r>
        <w:rPr>
          <w:color w:val="auto"/>
          <w:sz w:val="28"/>
          <w:szCs w:val="28"/>
          <w:highlight w:val="none"/>
        </w:rPr>
        <w:fldChar w:fldCharType="separate"/>
      </w:r>
      <w:r>
        <w:rPr>
          <w:color w:val="auto"/>
          <w:sz w:val="28"/>
          <w:szCs w:val="28"/>
          <w:highlight w:val="none"/>
        </w:rPr>
        <w:t>146</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2352A658">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_Toc25139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16"/>
          <w:sz w:val="28"/>
          <w:szCs w:val="72"/>
          <w:highlight w:val="none"/>
        </w:rPr>
        <w:t>第六章</w:t>
      </w:r>
      <w:r>
        <w:rPr>
          <w:rFonts w:ascii="宋体" w:hAnsi="宋体" w:eastAsia="宋体" w:cs="宋体"/>
          <w:color w:val="auto"/>
          <w:spacing w:val="39"/>
          <w:sz w:val="28"/>
          <w:szCs w:val="72"/>
          <w:highlight w:val="none"/>
        </w:rPr>
        <w:t xml:space="preserve">  </w:t>
      </w:r>
      <w:r>
        <w:rPr>
          <w:rFonts w:ascii="宋体" w:hAnsi="宋体" w:eastAsia="宋体" w:cs="宋体"/>
          <w:bCs/>
          <w:color w:val="auto"/>
          <w:spacing w:val="-16"/>
          <w:sz w:val="28"/>
          <w:szCs w:val="72"/>
          <w:highlight w:val="none"/>
        </w:rPr>
        <w:t>图纸和资料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_Toc25139 \h </w:instrText>
      </w:r>
      <w:r>
        <w:rPr>
          <w:color w:val="auto"/>
          <w:sz w:val="28"/>
          <w:szCs w:val="28"/>
          <w:highlight w:val="none"/>
        </w:rPr>
        <w:fldChar w:fldCharType="separate"/>
      </w:r>
      <w:r>
        <w:rPr>
          <w:color w:val="auto"/>
          <w:sz w:val="28"/>
          <w:szCs w:val="28"/>
          <w:highlight w:val="none"/>
        </w:rPr>
        <w:t>150</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0E5B46C8">
      <w:pPr>
        <w:pStyle w:val="11"/>
        <w:tabs>
          <w:tab w:val="right" w:leader="dot" w:pos="8336"/>
        </w:tabs>
        <w:spacing w:line="360" w:lineRule="auto"/>
        <w:rPr>
          <w:color w:val="auto"/>
          <w:sz w:val="28"/>
          <w:szCs w:val="28"/>
          <w:highlight w:val="none"/>
        </w:rPr>
      </w:pPr>
      <w:r>
        <w:rPr>
          <w:rFonts w:hint="eastAsia" w:ascii="黑体" w:hAnsi="黑体" w:eastAsia="黑体" w:cs="黑体"/>
          <w:color w:val="auto"/>
          <w:kern w:val="21"/>
          <w:sz w:val="28"/>
          <w:szCs w:val="28"/>
          <w:highlight w:val="none"/>
        </w:rPr>
        <w:fldChar w:fldCharType="begin"/>
      </w:r>
      <w:r>
        <w:rPr>
          <w:rFonts w:hint="eastAsia" w:ascii="黑体" w:hAnsi="黑体" w:eastAsia="黑体" w:cs="黑体"/>
          <w:color w:val="auto"/>
          <w:kern w:val="21"/>
          <w:sz w:val="28"/>
          <w:szCs w:val="28"/>
          <w:highlight w:val="none"/>
        </w:rPr>
        <w:instrText xml:space="preserve"> HYPERLINK \l _Toc9081 </w:instrText>
      </w:r>
      <w:r>
        <w:rPr>
          <w:rFonts w:hint="eastAsia" w:ascii="黑体" w:hAnsi="黑体" w:eastAsia="黑体" w:cs="黑体"/>
          <w:color w:val="auto"/>
          <w:kern w:val="21"/>
          <w:sz w:val="28"/>
          <w:szCs w:val="28"/>
          <w:highlight w:val="none"/>
        </w:rPr>
        <w:fldChar w:fldCharType="separate"/>
      </w:r>
      <w:r>
        <w:rPr>
          <w:rFonts w:ascii="宋体" w:hAnsi="宋体" w:eastAsia="宋体" w:cs="宋体"/>
          <w:bCs/>
          <w:color w:val="auto"/>
          <w:spacing w:val="-5"/>
          <w:sz w:val="28"/>
          <w:szCs w:val="72"/>
          <w:highlight w:val="none"/>
        </w:rPr>
        <w:t>第七章</w:t>
      </w:r>
      <w:r>
        <w:rPr>
          <w:rFonts w:ascii="宋体" w:hAnsi="宋体" w:eastAsia="宋体" w:cs="宋体"/>
          <w:color w:val="auto"/>
          <w:spacing w:val="-5"/>
          <w:sz w:val="28"/>
          <w:szCs w:val="72"/>
          <w:highlight w:val="none"/>
        </w:rPr>
        <w:t xml:space="preserve">  </w:t>
      </w:r>
      <w:r>
        <w:rPr>
          <w:rFonts w:ascii="宋体" w:hAnsi="宋体" w:eastAsia="宋体" w:cs="宋体"/>
          <w:bCs/>
          <w:color w:val="auto"/>
          <w:spacing w:val="-5"/>
          <w:sz w:val="28"/>
          <w:szCs w:val="72"/>
          <w:highlight w:val="none"/>
        </w:rPr>
        <w:t>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_Toc9081 \h </w:instrText>
      </w:r>
      <w:r>
        <w:rPr>
          <w:color w:val="auto"/>
          <w:sz w:val="28"/>
          <w:szCs w:val="28"/>
          <w:highlight w:val="none"/>
        </w:rPr>
        <w:fldChar w:fldCharType="separate"/>
      </w:r>
      <w:r>
        <w:rPr>
          <w:color w:val="auto"/>
          <w:sz w:val="28"/>
          <w:szCs w:val="28"/>
          <w:highlight w:val="none"/>
        </w:rPr>
        <w:t>151</w:t>
      </w:r>
      <w:r>
        <w:rPr>
          <w:color w:val="auto"/>
          <w:sz w:val="28"/>
          <w:szCs w:val="28"/>
          <w:highlight w:val="none"/>
        </w:rPr>
        <w:fldChar w:fldCharType="end"/>
      </w:r>
      <w:r>
        <w:rPr>
          <w:rFonts w:hint="eastAsia" w:ascii="黑体" w:hAnsi="黑体" w:eastAsia="黑体" w:cs="黑体"/>
          <w:color w:val="auto"/>
          <w:kern w:val="21"/>
          <w:sz w:val="28"/>
          <w:szCs w:val="28"/>
          <w:highlight w:val="none"/>
        </w:rPr>
        <w:fldChar w:fldCharType="end"/>
      </w:r>
    </w:p>
    <w:p w14:paraId="43BD1E50">
      <w:pPr>
        <w:spacing w:line="360" w:lineRule="auto"/>
        <w:rPr>
          <w:rFonts w:hint="eastAsia" w:ascii="黑体" w:hAnsi="黑体" w:eastAsia="黑体" w:cs="黑体"/>
          <w:color w:val="auto"/>
          <w:kern w:val="21"/>
          <w:highlight w:val="none"/>
          <w:lang w:val="en-US" w:eastAsia="zh-CN"/>
        </w:rPr>
      </w:pPr>
      <w:r>
        <w:rPr>
          <w:rFonts w:hint="eastAsia" w:ascii="黑体" w:hAnsi="黑体" w:eastAsia="黑体" w:cs="黑体"/>
          <w:color w:val="auto"/>
          <w:kern w:val="21"/>
          <w:sz w:val="28"/>
          <w:szCs w:val="28"/>
          <w:highlight w:val="none"/>
        </w:rPr>
        <w:fldChar w:fldCharType="end"/>
      </w:r>
      <w:bookmarkEnd w:id="0"/>
      <w:bookmarkEnd w:id="1"/>
      <w:bookmarkEnd w:id="2"/>
      <w:bookmarkEnd w:id="3"/>
      <w:bookmarkEnd w:id="4"/>
      <w:bookmarkEnd w:id="5"/>
      <w:bookmarkEnd w:id="6"/>
    </w:p>
    <w:p w14:paraId="356238D0">
      <w:pPr>
        <w:pStyle w:val="21"/>
        <w:rPr>
          <w:rFonts w:hint="eastAsia" w:ascii="黑体" w:hAnsi="黑体" w:eastAsia="黑体" w:cs="黑体"/>
          <w:color w:val="auto"/>
          <w:kern w:val="21"/>
          <w:highlight w:val="none"/>
        </w:rPr>
      </w:pPr>
    </w:p>
    <w:p w14:paraId="1AF8DFEF">
      <w:pPr>
        <w:pStyle w:val="21"/>
        <w:rPr>
          <w:rFonts w:hint="eastAsia" w:ascii="黑体" w:hAnsi="黑体" w:eastAsia="黑体" w:cs="黑体"/>
          <w:color w:val="auto"/>
          <w:kern w:val="21"/>
          <w:highlight w:val="none"/>
        </w:rPr>
      </w:pPr>
    </w:p>
    <w:p w14:paraId="467CCD17">
      <w:pPr>
        <w:pStyle w:val="21"/>
        <w:rPr>
          <w:rFonts w:hint="eastAsia" w:ascii="黑体" w:hAnsi="黑体" w:eastAsia="黑体" w:cs="黑体"/>
          <w:color w:val="auto"/>
          <w:kern w:val="21"/>
          <w:highlight w:val="none"/>
        </w:rPr>
      </w:pPr>
    </w:p>
    <w:p w14:paraId="4B05EFA1">
      <w:pPr>
        <w:pStyle w:val="21"/>
        <w:rPr>
          <w:rFonts w:hint="eastAsia" w:ascii="黑体" w:hAnsi="黑体" w:eastAsia="黑体" w:cs="黑体"/>
          <w:color w:val="auto"/>
          <w:kern w:val="21"/>
          <w:highlight w:val="none"/>
        </w:rPr>
      </w:pPr>
    </w:p>
    <w:p w14:paraId="3FB9761B">
      <w:pPr>
        <w:pStyle w:val="21"/>
        <w:rPr>
          <w:rFonts w:hint="eastAsia" w:ascii="黑体" w:hAnsi="黑体" w:eastAsia="黑体" w:cs="黑体"/>
          <w:color w:val="auto"/>
          <w:kern w:val="21"/>
          <w:highlight w:val="none"/>
        </w:rPr>
      </w:pPr>
    </w:p>
    <w:p w14:paraId="58124C02">
      <w:pPr>
        <w:pStyle w:val="21"/>
        <w:rPr>
          <w:rFonts w:hint="eastAsia" w:ascii="黑体" w:hAnsi="黑体" w:eastAsia="黑体" w:cs="黑体"/>
          <w:color w:val="auto"/>
          <w:kern w:val="21"/>
          <w:highlight w:val="none"/>
        </w:rPr>
      </w:pPr>
    </w:p>
    <w:p w14:paraId="6F523567">
      <w:pPr>
        <w:pStyle w:val="21"/>
        <w:rPr>
          <w:rFonts w:hint="eastAsia" w:ascii="黑体" w:hAnsi="黑体" w:eastAsia="黑体" w:cs="黑体"/>
          <w:color w:val="auto"/>
          <w:kern w:val="21"/>
          <w:highlight w:val="none"/>
        </w:rPr>
        <w:sectPr>
          <w:footerReference r:id="rId6" w:type="default"/>
          <w:pgSz w:w="11906" w:h="16839"/>
          <w:pgMar w:top="1431" w:right="1785" w:bottom="1297" w:left="1785" w:header="0" w:footer="1065" w:gutter="0"/>
          <w:pgBorders>
            <w:top w:val="none" w:sz="0" w:space="0"/>
            <w:left w:val="none" w:sz="0" w:space="0"/>
            <w:bottom w:val="none" w:sz="0" w:space="0"/>
            <w:right w:val="none" w:sz="0" w:space="0"/>
          </w:pgBorders>
          <w:pgNumType w:fmt="decimal"/>
          <w:cols w:space="720" w:num="1"/>
        </w:sectPr>
      </w:pPr>
    </w:p>
    <w:p w14:paraId="62EF8348">
      <w:pPr>
        <w:pStyle w:val="21"/>
        <w:rPr>
          <w:rFonts w:hint="eastAsia" w:ascii="黑体" w:hAnsi="黑体" w:eastAsia="黑体" w:cs="黑体"/>
          <w:color w:val="auto"/>
          <w:kern w:val="21"/>
          <w:highlight w:val="none"/>
        </w:rPr>
      </w:pPr>
    </w:p>
    <w:p w14:paraId="358DC7D7">
      <w:pPr>
        <w:pStyle w:val="21"/>
        <w:rPr>
          <w:rFonts w:hint="eastAsia" w:ascii="黑体" w:hAnsi="黑体" w:eastAsia="黑体" w:cs="黑体"/>
          <w:color w:val="auto"/>
          <w:kern w:val="21"/>
          <w:highlight w:val="none"/>
        </w:rPr>
      </w:pPr>
    </w:p>
    <w:p w14:paraId="103DEB56">
      <w:pPr>
        <w:pStyle w:val="21"/>
        <w:rPr>
          <w:rFonts w:ascii="Arial"/>
          <w:color w:val="auto"/>
          <w:sz w:val="21"/>
          <w:highlight w:val="none"/>
        </w:rPr>
      </w:pPr>
    </w:p>
    <w:p w14:paraId="7ED1B9BD">
      <w:pPr>
        <w:pStyle w:val="21"/>
        <w:rPr>
          <w:rFonts w:ascii="Arial"/>
          <w:color w:val="auto"/>
          <w:sz w:val="21"/>
          <w:highlight w:val="none"/>
        </w:rPr>
      </w:pPr>
    </w:p>
    <w:p w14:paraId="6FAED2A5">
      <w:pPr>
        <w:pStyle w:val="21"/>
        <w:rPr>
          <w:rFonts w:ascii="Arial"/>
          <w:color w:val="auto"/>
          <w:sz w:val="21"/>
          <w:highlight w:val="none"/>
        </w:rPr>
      </w:pPr>
    </w:p>
    <w:p w14:paraId="263BF2D7">
      <w:pPr>
        <w:pStyle w:val="21"/>
        <w:rPr>
          <w:rFonts w:ascii="Arial"/>
          <w:color w:val="auto"/>
          <w:sz w:val="21"/>
          <w:highlight w:val="none"/>
        </w:rPr>
      </w:pPr>
    </w:p>
    <w:p w14:paraId="1AA98A59">
      <w:pPr>
        <w:pStyle w:val="21"/>
        <w:rPr>
          <w:rFonts w:ascii="Arial"/>
          <w:color w:val="auto"/>
          <w:sz w:val="21"/>
          <w:highlight w:val="none"/>
        </w:rPr>
      </w:pPr>
    </w:p>
    <w:p w14:paraId="59F0FE3E">
      <w:pPr>
        <w:pStyle w:val="21"/>
        <w:rPr>
          <w:rFonts w:ascii="Arial"/>
          <w:color w:val="auto"/>
          <w:sz w:val="21"/>
          <w:highlight w:val="none"/>
        </w:rPr>
      </w:pPr>
    </w:p>
    <w:p w14:paraId="53BD3AF8">
      <w:pPr>
        <w:spacing w:line="241" w:lineRule="auto"/>
        <w:rPr>
          <w:rFonts w:ascii="Arial"/>
          <w:color w:val="auto"/>
          <w:sz w:val="21"/>
          <w:highlight w:val="none"/>
        </w:rPr>
      </w:pPr>
    </w:p>
    <w:p w14:paraId="5BAA0705">
      <w:pPr>
        <w:spacing w:line="241" w:lineRule="auto"/>
        <w:rPr>
          <w:rFonts w:ascii="Arial"/>
          <w:color w:val="auto"/>
          <w:sz w:val="21"/>
          <w:highlight w:val="none"/>
        </w:rPr>
      </w:pPr>
    </w:p>
    <w:p w14:paraId="4B1D8A73">
      <w:pPr>
        <w:spacing w:line="242" w:lineRule="auto"/>
        <w:rPr>
          <w:rFonts w:ascii="Arial"/>
          <w:color w:val="auto"/>
          <w:sz w:val="21"/>
          <w:highlight w:val="none"/>
        </w:rPr>
      </w:pPr>
    </w:p>
    <w:p w14:paraId="2CCE8E35">
      <w:pPr>
        <w:spacing w:before="169" w:line="218" w:lineRule="auto"/>
        <w:ind w:left="663"/>
        <w:jc w:val="center"/>
        <w:outlineLvl w:val="0"/>
        <w:rPr>
          <w:rFonts w:ascii="宋体" w:hAnsi="宋体" w:eastAsia="宋体" w:cs="宋体"/>
          <w:color w:val="auto"/>
          <w:sz w:val="52"/>
          <w:szCs w:val="52"/>
          <w:highlight w:val="none"/>
        </w:rPr>
      </w:pPr>
      <w:bookmarkStart w:id="7" w:name="_Toc15051"/>
      <w:bookmarkStart w:id="8" w:name="_Toc3310"/>
      <w:r>
        <w:rPr>
          <w:rFonts w:ascii="宋体" w:hAnsi="宋体" w:eastAsia="宋体" w:cs="宋体"/>
          <w:b/>
          <w:bCs/>
          <w:color w:val="auto"/>
          <w:spacing w:val="-5"/>
          <w:sz w:val="52"/>
          <w:szCs w:val="52"/>
          <w:highlight w:val="none"/>
        </w:rPr>
        <w:t>第一章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招标公告</w:t>
      </w:r>
      <w:bookmarkEnd w:id="7"/>
      <w:bookmarkEnd w:id="8"/>
    </w:p>
    <w:p w14:paraId="616470F0">
      <w:pPr>
        <w:spacing w:line="218" w:lineRule="auto"/>
        <w:rPr>
          <w:rFonts w:ascii="宋体" w:hAnsi="宋体" w:eastAsia="宋体" w:cs="宋体"/>
          <w:color w:val="auto"/>
          <w:sz w:val="52"/>
          <w:szCs w:val="52"/>
          <w:highlight w:val="none"/>
        </w:rPr>
        <w:sectPr>
          <w:footerReference r:id="rId7" w:type="default"/>
          <w:pgSz w:w="11906" w:h="16839"/>
          <w:pgMar w:top="1431" w:right="1785" w:bottom="1297" w:left="1785" w:header="0" w:footer="1065" w:gutter="0"/>
          <w:pgBorders>
            <w:top w:val="none" w:sz="0" w:space="0"/>
            <w:left w:val="none" w:sz="0" w:space="0"/>
            <w:bottom w:val="none" w:sz="0" w:space="0"/>
            <w:right w:val="none" w:sz="0" w:space="0"/>
          </w:pgBorders>
          <w:pgNumType w:fmt="decimal" w:start="1"/>
          <w:cols w:space="720" w:num="1"/>
        </w:sectPr>
      </w:pPr>
    </w:p>
    <w:p w14:paraId="78135C28">
      <w:pPr>
        <w:spacing w:before="252"/>
        <w:ind w:left="3499"/>
        <w:outlineLvl w:val="0"/>
        <w:rPr>
          <w:rFonts w:ascii="宋体" w:hAnsi="宋体" w:eastAsia="宋体" w:cs="宋体"/>
          <w:color w:val="auto"/>
          <w:sz w:val="16"/>
          <w:szCs w:val="16"/>
          <w:highlight w:val="none"/>
        </w:rPr>
      </w:pPr>
      <w:bookmarkStart w:id="9" w:name="_Toc11440"/>
      <w:bookmarkStart w:id="10" w:name="_Toc14183"/>
      <w:bookmarkStart w:id="11" w:name="_Toc7673"/>
      <w:r>
        <w:rPr>
          <w:rFonts w:ascii="宋体" w:hAnsi="宋体" w:eastAsia="宋体" w:cs="宋体"/>
          <w:b/>
          <w:bCs/>
          <w:color w:val="auto"/>
          <w:spacing w:val="5"/>
          <w:sz w:val="31"/>
          <w:szCs w:val="31"/>
          <w:highlight w:val="none"/>
        </w:rPr>
        <w:t>第一章</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招标公告</w:t>
      </w:r>
      <w:bookmarkEnd w:id="9"/>
      <w:bookmarkEnd w:id="10"/>
      <w:bookmarkEnd w:id="11"/>
    </w:p>
    <w:p w14:paraId="5CDAD219">
      <w:pPr>
        <w:spacing w:line="436" w:lineRule="auto"/>
        <w:rPr>
          <w:rFonts w:ascii="Arial"/>
          <w:color w:val="auto"/>
          <w:sz w:val="21"/>
          <w:highlight w:val="none"/>
        </w:rPr>
      </w:pPr>
    </w:p>
    <w:p w14:paraId="5098ACA2">
      <w:pPr>
        <w:tabs>
          <w:tab w:val="left" w:pos="1976"/>
        </w:tabs>
        <w:spacing w:before="101" w:line="223" w:lineRule="auto"/>
        <w:ind w:left="673"/>
        <w:jc w:val="center"/>
        <w:rPr>
          <w:rFonts w:ascii="宋体" w:hAnsi="宋体" w:eastAsia="宋体" w:cs="宋体"/>
          <w:color w:val="auto"/>
          <w:sz w:val="31"/>
          <w:szCs w:val="31"/>
          <w:highlight w:val="none"/>
        </w:rPr>
      </w:pPr>
      <w:r>
        <w:rPr>
          <w:rFonts w:hint="eastAsia" w:ascii="宋体" w:hAnsi="宋体" w:eastAsia="宋体" w:cs="宋体"/>
          <w:b/>
          <w:bCs/>
          <w:color w:val="auto"/>
          <w:sz w:val="31"/>
          <w:szCs w:val="31"/>
          <w:highlight w:val="none"/>
          <w:u w:val="single" w:color="auto"/>
          <w:lang w:val="en-US" w:eastAsia="zh-CN"/>
        </w:rPr>
        <w:t>长征国家文化公园(乐昌段)旅游公路建设项目二期-X826线坪石至桃坪(K0+000-K21+000段)工程监理（第二次）</w:t>
      </w:r>
      <w:r>
        <w:rPr>
          <w:rFonts w:ascii="宋体" w:hAnsi="宋体" w:eastAsia="宋体" w:cs="宋体"/>
          <w:b/>
          <w:bCs/>
          <w:color w:val="auto"/>
          <w:sz w:val="31"/>
          <w:szCs w:val="31"/>
          <w:highlight w:val="none"/>
        </w:rPr>
        <w:t>招标公告</w:t>
      </w:r>
    </w:p>
    <w:p w14:paraId="5608E661">
      <w:pPr>
        <w:spacing w:line="198" w:lineRule="exact"/>
        <w:rPr>
          <w:color w:val="auto"/>
          <w:highlight w:val="none"/>
        </w:rPr>
      </w:pPr>
    </w:p>
    <w:tbl>
      <w:tblPr>
        <w:tblStyle w:val="22"/>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2753"/>
        <w:gridCol w:w="1566"/>
        <w:gridCol w:w="3474"/>
      </w:tblGrid>
      <w:tr w14:paraId="3A9E5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03" w:type="dxa"/>
            <w:vAlign w:val="center"/>
          </w:tcPr>
          <w:p w14:paraId="66C20487">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6"/>
                <w:sz w:val="20"/>
                <w:szCs w:val="20"/>
                <w:highlight w:val="none"/>
              </w:rPr>
              <w:t>投资项目代码</w:t>
            </w:r>
          </w:p>
        </w:tc>
        <w:tc>
          <w:tcPr>
            <w:tcW w:w="7793" w:type="dxa"/>
            <w:gridSpan w:val="3"/>
            <w:vAlign w:val="center"/>
          </w:tcPr>
          <w:p w14:paraId="00501DEE">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2507-440281-04-01-266850</w:t>
            </w:r>
          </w:p>
        </w:tc>
      </w:tr>
      <w:tr w14:paraId="1A4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6D58F676">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6"/>
                <w:sz w:val="20"/>
                <w:szCs w:val="20"/>
                <w:highlight w:val="none"/>
              </w:rPr>
              <w:t>投资项目名称</w:t>
            </w:r>
          </w:p>
        </w:tc>
        <w:tc>
          <w:tcPr>
            <w:tcW w:w="7793" w:type="dxa"/>
            <w:gridSpan w:val="3"/>
            <w:vAlign w:val="center"/>
          </w:tcPr>
          <w:p w14:paraId="600500FB">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长征国家文化公园(乐昌段)旅游公路建设项目二期</w:t>
            </w:r>
          </w:p>
        </w:tc>
      </w:tr>
      <w:tr w14:paraId="27AB3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7D5530FC">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6"/>
                <w:sz w:val="20"/>
                <w:szCs w:val="20"/>
                <w:highlight w:val="none"/>
              </w:rPr>
              <w:t>招标项目名称</w:t>
            </w:r>
          </w:p>
        </w:tc>
        <w:tc>
          <w:tcPr>
            <w:tcW w:w="7793" w:type="dxa"/>
            <w:gridSpan w:val="3"/>
            <w:vAlign w:val="center"/>
          </w:tcPr>
          <w:p w14:paraId="00553435">
            <w:pPr>
              <w:pStyle w:val="23"/>
              <w:spacing w:before="65" w:line="265" w:lineRule="exact"/>
              <w:jc w:val="center"/>
              <w:rPr>
                <w:color w:val="auto"/>
                <w:spacing w:val="4"/>
                <w:sz w:val="20"/>
                <w:szCs w:val="20"/>
                <w:highlight w:val="none"/>
              </w:rPr>
            </w:pPr>
            <w:r>
              <w:rPr>
                <w:rFonts w:hint="eastAsia"/>
                <w:color w:val="auto"/>
                <w:spacing w:val="4"/>
                <w:sz w:val="20"/>
                <w:szCs w:val="20"/>
                <w:highlight w:val="none"/>
                <w:lang w:val="en-US" w:eastAsia="zh-CN"/>
              </w:rPr>
              <w:t>长征国家文化公园(乐昌段)旅游公路建设项目二期-X826线坪石至桃坪(K0+000-K21+000段)工程监理（第二次）</w:t>
            </w:r>
          </w:p>
        </w:tc>
      </w:tr>
      <w:tr w14:paraId="41D3C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903" w:type="dxa"/>
            <w:vAlign w:val="center"/>
          </w:tcPr>
          <w:p w14:paraId="4D9D7C0C">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7"/>
                <w:sz w:val="20"/>
                <w:szCs w:val="20"/>
                <w:highlight w:val="none"/>
              </w:rPr>
              <w:t>标段（包）名称</w:t>
            </w:r>
          </w:p>
        </w:tc>
        <w:tc>
          <w:tcPr>
            <w:tcW w:w="2753" w:type="dxa"/>
            <w:vAlign w:val="center"/>
          </w:tcPr>
          <w:p w14:paraId="053EB5B7">
            <w:pPr>
              <w:pStyle w:val="23"/>
              <w:spacing w:before="160" w:line="233" w:lineRule="auto"/>
              <w:jc w:val="center"/>
              <w:rPr>
                <w:color w:val="auto"/>
                <w:sz w:val="20"/>
                <w:szCs w:val="20"/>
                <w:highlight w:val="none"/>
              </w:rPr>
            </w:pPr>
            <w:r>
              <w:rPr>
                <w:rFonts w:hint="eastAsia"/>
                <w:color w:val="auto"/>
                <w:spacing w:val="4"/>
                <w:sz w:val="20"/>
                <w:szCs w:val="20"/>
                <w:highlight w:val="none"/>
                <w:lang w:val="en-US" w:eastAsia="zh-CN"/>
              </w:rPr>
              <w:t>长征国家文化公园(乐昌段)旅游公路建设项目二期-X826线坪石至桃坪(K0+000-K21+000段)工程监理（第二次）</w:t>
            </w:r>
          </w:p>
        </w:tc>
        <w:tc>
          <w:tcPr>
            <w:tcW w:w="1566" w:type="dxa"/>
            <w:vAlign w:val="center"/>
          </w:tcPr>
          <w:p w14:paraId="6ED90849">
            <w:pPr>
              <w:pStyle w:val="23"/>
              <w:spacing w:before="65" w:line="226" w:lineRule="auto"/>
              <w:jc w:val="center"/>
              <w:rPr>
                <w:color w:val="auto"/>
                <w:sz w:val="20"/>
                <w:szCs w:val="20"/>
                <w:highlight w:val="none"/>
              </w:rPr>
            </w:pPr>
            <w:r>
              <w:rPr>
                <w:b/>
                <w:bCs/>
                <w:color w:val="auto"/>
                <w:spacing w:val="4"/>
                <w:sz w:val="20"/>
                <w:szCs w:val="20"/>
                <w:highlight w:val="none"/>
              </w:rPr>
              <w:t>公告性质</w:t>
            </w:r>
          </w:p>
        </w:tc>
        <w:tc>
          <w:tcPr>
            <w:tcW w:w="3474" w:type="dxa"/>
            <w:vAlign w:val="center"/>
          </w:tcPr>
          <w:p w14:paraId="368AC843">
            <w:pPr>
              <w:pStyle w:val="23"/>
              <w:spacing w:before="65" w:line="265" w:lineRule="exact"/>
              <w:ind w:left="1822"/>
              <w:jc w:val="both"/>
              <w:rPr>
                <w:color w:val="auto"/>
                <w:sz w:val="20"/>
                <w:szCs w:val="20"/>
                <w:highlight w:val="none"/>
              </w:rPr>
            </w:pPr>
            <w:r>
              <w:rPr>
                <w:color w:val="auto"/>
                <w:spacing w:val="4"/>
                <w:sz w:val="20"/>
                <w:szCs w:val="20"/>
                <w:highlight w:val="none"/>
              </w:rPr>
              <w:t>正常</w:t>
            </w:r>
          </w:p>
        </w:tc>
      </w:tr>
      <w:tr w14:paraId="3C236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11A7E622">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5"/>
                <w:sz w:val="20"/>
                <w:szCs w:val="20"/>
                <w:highlight w:val="none"/>
              </w:rPr>
              <w:t>资格审查方式</w:t>
            </w:r>
          </w:p>
        </w:tc>
        <w:tc>
          <w:tcPr>
            <w:tcW w:w="7793" w:type="dxa"/>
            <w:gridSpan w:val="3"/>
            <w:vAlign w:val="center"/>
          </w:tcPr>
          <w:p w14:paraId="76CA1EC7">
            <w:pPr>
              <w:pStyle w:val="23"/>
              <w:spacing w:before="112" w:line="228" w:lineRule="auto"/>
              <w:ind w:left="3489"/>
              <w:jc w:val="both"/>
              <w:rPr>
                <w:color w:val="auto"/>
                <w:sz w:val="20"/>
                <w:szCs w:val="20"/>
                <w:highlight w:val="none"/>
              </w:rPr>
            </w:pPr>
            <w:r>
              <w:rPr>
                <w:color w:val="auto"/>
                <w:spacing w:val="5"/>
                <w:sz w:val="20"/>
                <w:szCs w:val="20"/>
                <w:highlight w:val="none"/>
              </w:rPr>
              <w:t>资格后审</w:t>
            </w:r>
          </w:p>
        </w:tc>
      </w:tr>
      <w:tr w14:paraId="28085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903" w:type="dxa"/>
            <w:vAlign w:val="center"/>
          </w:tcPr>
          <w:p w14:paraId="0A861233">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6"/>
                <w:sz w:val="20"/>
                <w:szCs w:val="20"/>
                <w:highlight w:val="none"/>
              </w:rPr>
              <w:t>招标项目实施</w:t>
            </w:r>
            <w:r>
              <w:rPr>
                <w:b/>
                <w:bCs/>
                <w:color w:val="auto"/>
                <w:spacing w:val="5"/>
                <w:sz w:val="20"/>
                <w:szCs w:val="20"/>
                <w:highlight w:val="none"/>
              </w:rPr>
              <w:t>（交货）地点</w:t>
            </w:r>
          </w:p>
        </w:tc>
        <w:tc>
          <w:tcPr>
            <w:tcW w:w="7793" w:type="dxa"/>
            <w:gridSpan w:val="3"/>
            <w:vAlign w:val="center"/>
          </w:tcPr>
          <w:p w14:paraId="65A74012">
            <w:pPr>
              <w:ind w:firstLine="200" w:firstLineChars="100"/>
              <w:jc w:val="both"/>
              <w:rPr>
                <w:rFonts w:hint="default" w:ascii="Arial"/>
                <w:color w:val="auto"/>
                <w:sz w:val="20"/>
                <w:szCs w:val="20"/>
                <w:highlight w:val="none"/>
                <w:lang w:val="en-US"/>
              </w:rPr>
            </w:pPr>
            <w:r>
              <w:rPr>
                <w:rFonts w:hint="eastAsia"/>
                <w:color w:val="auto"/>
                <w:sz w:val="20"/>
                <w:szCs w:val="20"/>
                <w:highlight w:val="none"/>
                <w:lang w:val="en-US" w:eastAsia="zh-CN"/>
              </w:rPr>
              <w:t>韶关市乐昌市</w:t>
            </w:r>
          </w:p>
        </w:tc>
      </w:tr>
      <w:tr w14:paraId="17986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903" w:type="dxa"/>
            <w:vAlign w:val="center"/>
          </w:tcPr>
          <w:p w14:paraId="5174BD39">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0"/>
                <w:szCs w:val="20"/>
                <w:highlight w:val="none"/>
              </w:rPr>
            </w:pPr>
            <w:r>
              <w:rPr>
                <w:b/>
                <w:bCs/>
                <w:color w:val="auto"/>
                <w:spacing w:val="4"/>
                <w:sz w:val="20"/>
                <w:szCs w:val="20"/>
                <w:highlight w:val="none"/>
              </w:rPr>
              <w:t>资金来源</w:t>
            </w:r>
          </w:p>
        </w:tc>
        <w:tc>
          <w:tcPr>
            <w:tcW w:w="2753" w:type="dxa"/>
            <w:vAlign w:val="center"/>
          </w:tcPr>
          <w:p w14:paraId="4D97D9A1">
            <w:pPr>
              <w:jc w:val="center"/>
              <w:rPr>
                <w:rFonts w:ascii="Arial"/>
                <w:color w:val="auto"/>
                <w:sz w:val="20"/>
                <w:szCs w:val="20"/>
                <w:highlight w:val="none"/>
              </w:rPr>
            </w:pPr>
            <w:r>
              <w:rPr>
                <w:rFonts w:hint="eastAsia"/>
                <w:color w:val="auto"/>
                <w:sz w:val="20"/>
                <w:szCs w:val="20"/>
                <w:highlight w:val="none"/>
                <w:lang w:val="en-US" w:eastAsia="zh-CN"/>
              </w:rPr>
              <w:t>争取省按有关政策给予专项资金补助外，不足部分由地方自筹解决</w:t>
            </w:r>
          </w:p>
        </w:tc>
        <w:tc>
          <w:tcPr>
            <w:tcW w:w="1566" w:type="dxa"/>
            <w:vAlign w:val="center"/>
          </w:tcPr>
          <w:p w14:paraId="213FE10E">
            <w:pPr>
              <w:pStyle w:val="23"/>
              <w:spacing w:before="113" w:line="228" w:lineRule="auto"/>
              <w:jc w:val="center"/>
              <w:rPr>
                <w:color w:val="auto"/>
                <w:sz w:val="20"/>
                <w:szCs w:val="20"/>
                <w:highlight w:val="none"/>
              </w:rPr>
            </w:pPr>
            <w:r>
              <w:rPr>
                <w:b/>
                <w:bCs/>
                <w:color w:val="auto"/>
                <w:spacing w:val="5"/>
                <w:sz w:val="20"/>
                <w:szCs w:val="20"/>
                <w:highlight w:val="none"/>
              </w:rPr>
              <w:t>资金来源构成</w:t>
            </w:r>
          </w:p>
        </w:tc>
        <w:tc>
          <w:tcPr>
            <w:tcW w:w="3474" w:type="dxa"/>
            <w:vAlign w:val="center"/>
          </w:tcPr>
          <w:p w14:paraId="490787BB">
            <w:pPr>
              <w:jc w:val="center"/>
              <w:rPr>
                <w:rFonts w:hint="default" w:ascii="Arial" w:eastAsia="宋体"/>
                <w:color w:val="auto"/>
                <w:sz w:val="20"/>
                <w:szCs w:val="20"/>
                <w:highlight w:val="none"/>
                <w:lang w:val="en-US" w:eastAsia="zh-CN"/>
              </w:rPr>
            </w:pPr>
            <w:r>
              <w:rPr>
                <w:rFonts w:hint="eastAsia"/>
                <w:color w:val="auto"/>
                <w:sz w:val="20"/>
                <w:szCs w:val="20"/>
                <w:highlight w:val="none"/>
                <w:lang w:val="en-US" w:eastAsia="zh-CN"/>
              </w:rPr>
              <w:t xml:space="preserve">争取省按有关政策给予专项资金补助外，不足部分由地方自筹解决  </w:t>
            </w:r>
            <w:r>
              <w:rPr>
                <w:rFonts w:hint="eastAsia" w:eastAsia="宋体"/>
                <w:color w:val="auto"/>
                <w:sz w:val="20"/>
                <w:szCs w:val="20"/>
                <w:highlight w:val="none"/>
                <w:lang w:val="en-US" w:eastAsia="zh-CN"/>
              </w:rPr>
              <w:t>100%</w:t>
            </w:r>
          </w:p>
        </w:tc>
      </w:tr>
      <w:tr w14:paraId="6FECA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206D616A">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highlight w:val="none"/>
              </w:rPr>
            </w:pPr>
            <w:r>
              <w:rPr>
                <w:b/>
                <w:bCs/>
                <w:color w:val="auto"/>
                <w:spacing w:val="7"/>
                <w:highlight w:val="none"/>
              </w:rPr>
              <w:t>招标范围及规模</w:t>
            </w:r>
          </w:p>
        </w:tc>
        <w:tc>
          <w:tcPr>
            <w:tcW w:w="7793" w:type="dxa"/>
            <w:gridSpan w:val="3"/>
            <w:vAlign w:val="center"/>
          </w:tcPr>
          <w:p w14:paraId="4E22613B">
            <w:pPr>
              <w:pStyle w:val="23"/>
              <w:tabs>
                <w:tab w:val="left" w:pos="7562"/>
              </w:tabs>
              <w:spacing w:before="33" w:line="360" w:lineRule="auto"/>
              <w:ind w:left="117" w:right="224"/>
              <w:jc w:val="both"/>
              <w:rPr>
                <w:rFonts w:hint="eastAsia" w:ascii="宋体" w:hAnsi="宋体" w:eastAsia="宋体" w:cs="宋体"/>
                <w:color w:val="auto"/>
                <w:spacing w:val="9"/>
                <w:highlight w:val="none"/>
                <w:lang w:val="en-US" w:eastAsia="zh-CN"/>
              </w:rPr>
            </w:pPr>
            <w:r>
              <w:rPr>
                <w:rFonts w:hint="eastAsia" w:ascii="宋体" w:hAnsi="宋体" w:eastAsia="宋体" w:cs="宋体"/>
                <w:color w:val="auto"/>
                <w:spacing w:val="9"/>
                <w:highlight w:val="none"/>
              </w:rPr>
              <w:t>1.建设地点：</w:t>
            </w:r>
            <w:r>
              <w:rPr>
                <w:rFonts w:hint="eastAsia" w:cs="宋体"/>
                <w:color w:val="auto"/>
                <w:spacing w:val="9"/>
                <w:highlight w:val="none"/>
                <w:lang w:eastAsia="zh-CN"/>
              </w:rPr>
              <w:t>韶关市乐昌市</w:t>
            </w:r>
          </w:p>
          <w:p w14:paraId="4654526A">
            <w:pPr>
              <w:pStyle w:val="23"/>
              <w:tabs>
                <w:tab w:val="left" w:pos="7562"/>
              </w:tabs>
              <w:spacing w:before="33" w:line="360" w:lineRule="auto"/>
              <w:ind w:left="117" w:right="224"/>
              <w:jc w:val="both"/>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2.建设内容及规模：</w:t>
            </w:r>
          </w:p>
          <w:p w14:paraId="46B584C2">
            <w:pPr>
              <w:pStyle w:val="23"/>
              <w:tabs>
                <w:tab w:val="left" w:pos="7562"/>
              </w:tabs>
              <w:spacing w:before="33" w:line="360" w:lineRule="auto"/>
              <w:ind w:left="117" w:right="224"/>
              <w:jc w:val="both"/>
              <w:rPr>
                <w:color w:val="auto"/>
                <w:highlight w:val="none"/>
              </w:rPr>
            </w:pPr>
            <w:r>
              <w:rPr>
                <w:rFonts w:hint="eastAsia" w:cs="宋体"/>
                <w:color w:val="auto"/>
                <w:spacing w:val="9"/>
                <w:highlight w:val="none"/>
                <w:lang w:eastAsia="zh-CN"/>
              </w:rPr>
              <w:t>本项目位于乐昌市坪石镇，起点与S248线呈T型平交，起点桩号K0+000，经过金鸡村、上下白沙、黄鹿冲、梓门塘、麦坪村、新岩下村、水口村、京口村、皈塘村、竹岗村、杨家等，至终点桃坪村（桩号:K25+565），路线全长25.565公里（本次实施范围为K0+000-K21+000段）。本项目技术标准为按三级公路技术标准建设，路基宽7.5米，采用水泥混凝土路面，局部困难路段维持原路标准。</w:t>
            </w:r>
          </w:p>
        </w:tc>
      </w:tr>
      <w:tr w14:paraId="7E1D8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903" w:type="dxa"/>
            <w:vAlign w:val="center"/>
          </w:tcPr>
          <w:p w14:paraId="088E2A71">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highlight w:val="none"/>
              </w:rPr>
            </w:pPr>
            <w:r>
              <w:rPr>
                <w:b/>
                <w:bCs/>
                <w:color w:val="auto"/>
                <w:spacing w:val="6"/>
                <w:highlight w:val="none"/>
              </w:rPr>
              <w:t>招标内容</w:t>
            </w:r>
          </w:p>
        </w:tc>
        <w:tc>
          <w:tcPr>
            <w:tcW w:w="7793" w:type="dxa"/>
            <w:gridSpan w:val="3"/>
            <w:vAlign w:val="center"/>
          </w:tcPr>
          <w:p w14:paraId="556A6F34">
            <w:pPr>
              <w:pStyle w:val="23"/>
              <w:spacing w:before="35" w:line="227" w:lineRule="auto"/>
              <w:ind w:left="118"/>
              <w:jc w:val="both"/>
              <w:rPr>
                <w:color w:val="auto"/>
                <w:sz w:val="10"/>
                <w:szCs w:val="10"/>
                <w:highlight w:val="none"/>
              </w:rPr>
            </w:pPr>
            <w:r>
              <w:rPr>
                <w:color w:val="auto"/>
                <w:spacing w:val="7"/>
                <w:highlight w:val="none"/>
              </w:rPr>
              <w:t>本次招标共分</w:t>
            </w:r>
            <w:r>
              <w:rPr>
                <w:color w:val="auto"/>
                <w:spacing w:val="-83"/>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90"/>
                <w:highlight w:val="none"/>
              </w:rPr>
              <w:t xml:space="preserve"> </w:t>
            </w:r>
            <w:r>
              <w:rPr>
                <w:color w:val="auto"/>
                <w:spacing w:val="7"/>
                <w:highlight w:val="none"/>
              </w:rPr>
              <w:t>个标类</w:t>
            </w:r>
            <w:r>
              <w:rPr>
                <w:color w:val="auto"/>
                <w:spacing w:val="7"/>
                <w:highlight w:val="none"/>
                <w:u w:val="single" w:color="auto"/>
              </w:rPr>
              <w:t xml:space="preserve"> </w:t>
            </w:r>
            <w:r>
              <w:rPr>
                <w:rFonts w:hint="eastAsia"/>
                <w:color w:val="auto"/>
                <w:spacing w:val="7"/>
                <w:highlight w:val="none"/>
                <w:u w:val="single" w:color="auto"/>
                <w:lang w:val="en-US" w:eastAsia="zh-CN"/>
              </w:rPr>
              <w:t xml:space="preserve"> 1</w:t>
            </w:r>
            <w:r>
              <w:rPr>
                <w:color w:val="auto"/>
                <w:spacing w:val="7"/>
                <w:highlight w:val="none"/>
                <w:u w:val="single" w:color="auto"/>
              </w:rPr>
              <w:t xml:space="preserve"> </w:t>
            </w:r>
            <w:r>
              <w:rPr>
                <w:color w:val="auto"/>
                <w:spacing w:val="7"/>
                <w:highlight w:val="none"/>
              </w:rPr>
              <w:t>个标段。具体见附件</w:t>
            </w:r>
            <w:r>
              <w:rPr>
                <w:color w:val="auto"/>
                <w:spacing w:val="-23"/>
                <w:highlight w:val="none"/>
              </w:rPr>
              <w:t xml:space="preserve"> </w:t>
            </w:r>
            <w:r>
              <w:rPr>
                <w:color w:val="auto"/>
                <w:spacing w:val="7"/>
                <w:highlight w:val="none"/>
              </w:rPr>
              <w:t>1</w:t>
            </w:r>
            <w:r>
              <w:rPr>
                <w:color w:val="auto"/>
                <w:spacing w:val="-38"/>
                <w:highlight w:val="none"/>
              </w:rPr>
              <w:t xml:space="preserve"> </w:t>
            </w:r>
            <w:r>
              <w:rPr>
                <w:color w:val="auto"/>
                <w:spacing w:val="7"/>
                <w:highlight w:val="none"/>
              </w:rPr>
              <w:t>标段划分及主要工程项目情况。</w:t>
            </w:r>
          </w:p>
        </w:tc>
      </w:tr>
      <w:tr w14:paraId="2575B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903" w:type="dxa"/>
            <w:vAlign w:val="center"/>
          </w:tcPr>
          <w:p w14:paraId="365263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color w:val="auto"/>
                <w:sz w:val="21"/>
                <w:highlight w:val="none"/>
              </w:rPr>
            </w:pPr>
          </w:p>
          <w:p w14:paraId="63E7111C">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highlight w:val="none"/>
              </w:rPr>
            </w:pPr>
            <w:r>
              <w:rPr>
                <w:b/>
                <w:bCs/>
                <w:color w:val="auto"/>
                <w:spacing w:val="5"/>
                <w:highlight w:val="none"/>
              </w:rPr>
              <w:t>工期（交货期）</w:t>
            </w:r>
          </w:p>
        </w:tc>
        <w:tc>
          <w:tcPr>
            <w:tcW w:w="7793" w:type="dxa"/>
            <w:gridSpan w:val="3"/>
            <w:vAlign w:val="center"/>
          </w:tcPr>
          <w:p w14:paraId="109FEF3A">
            <w:pPr>
              <w:pStyle w:val="23"/>
              <w:tabs>
                <w:tab w:val="left" w:pos="7562"/>
              </w:tabs>
              <w:spacing w:before="33" w:line="365" w:lineRule="auto"/>
              <w:ind w:left="117" w:right="224"/>
              <w:jc w:val="both"/>
              <w:rPr>
                <w:color w:val="auto"/>
                <w:highlight w:val="none"/>
              </w:rPr>
            </w:pPr>
            <w:r>
              <w:rPr>
                <w:color w:val="auto"/>
                <w:spacing w:val="9"/>
                <w:highlight w:val="none"/>
              </w:rPr>
              <w:t>施工监理服务期限为：</w:t>
            </w:r>
            <w:r>
              <w:rPr>
                <w:rFonts w:hint="eastAsia"/>
                <w:color w:val="auto"/>
                <w:spacing w:val="9"/>
                <w:highlight w:val="none"/>
                <w:u w:val="single" w:color="auto"/>
                <w:lang w:val="en-US" w:eastAsia="zh-CN"/>
              </w:rPr>
              <w:t>49</w:t>
            </w:r>
            <w:r>
              <w:rPr>
                <w:color w:val="auto"/>
                <w:spacing w:val="9"/>
                <w:highlight w:val="none"/>
              </w:rPr>
              <w:t>个月，包括施工准</w:t>
            </w:r>
            <w:r>
              <w:rPr>
                <w:color w:val="auto"/>
                <w:spacing w:val="8"/>
                <w:highlight w:val="none"/>
              </w:rPr>
              <w:t>备阶段监理</w:t>
            </w:r>
            <w:r>
              <w:rPr>
                <w:color w:val="auto"/>
                <w:spacing w:val="8"/>
                <w:highlight w:val="none"/>
                <w:u w:val="single" w:color="auto"/>
              </w:rPr>
              <w:t xml:space="preserve"> </w:t>
            </w:r>
            <w:r>
              <w:rPr>
                <w:rFonts w:hint="eastAsia"/>
                <w:color w:val="auto"/>
                <w:spacing w:val="8"/>
                <w:highlight w:val="none"/>
                <w:u w:val="single" w:color="auto"/>
                <w:lang w:val="en-US" w:eastAsia="zh-CN"/>
              </w:rPr>
              <w:t>1</w:t>
            </w:r>
            <w:r>
              <w:rPr>
                <w:color w:val="auto"/>
                <w:spacing w:val="8"/>
                <w:highlight w:val="none"/>
                <w:u w:val="single" w:color="auto"/>
              </w:rPr>
              <w:t xml:space="preserve"> </w:t>
            </w:r>
            <w:r>
              <w:rPr>
                <w:color w:val="auto"/>
                <w:spacing w:val="-91"/>
                <w:highlight w:val="none"/>
              </w:rPr>
              <w:t xml:space="preserve"> </w:t>
            </w:r>
            <w:r>
              <w:rPr>
                <w:color w:val="auto"/>
                <w:spacing w:val="8"/>
                <w:highlight w:val="none"/>
              </w:rPr>
              <w:t>个月，施工阶段监理</w:t>
            </w:r>
            <w:r>
              <w:rPr>
                <w:rFonts w:hint="eastAsia"/>
                <w:color w:val="auto"/>
                <w:highlight w:val="none"/>
                <w:u w:val="single" w:color="auto"/>
                <w:lang w:val="en-US" w:eastAsia="zh-CN"/>
              </w:rPr>
              <w:t>24</w:t>
            </w:r>
            <w:r>
              <w:rPr>
                <w:color w:val="auto"/>
                <w:highlight w:val="none"/>
              </w:rPr>
              <w:t xml:space="preserve"> </w:t>
            </w:r>
            <w:r>
              <w:rPr>
                <w:color w:val="auto"/>
                <w:spacing w:val="9"/>
                <w:highlight w:val="none"/>
              </w:rPr>
              <w:t>个月，交(竣)工验收及缺陷责任期监理</w:t>
            </w:r>
            <w:r>
              <w:rPr>
                <w:color w:val="auto"/>
                <w:spacing w:val="6"/>
                <w:highlight w:val="none"/>
                <w:u w:val="single" w:color="auto"/>
              </w:rPr>
              <w:t xml:space="preserve"> </w:t>
            </w:r>
            <w:r>
              <w:rPr>
                <w:rFonts w:hint="eastAsia"/>
                <w:color w:val="auto"/>
                <w:spacing w:val="6"/>
                <w:highlight w:val="none"/>
                <w:u w:val="single" w:color="auto"/>
                <w:lang w:val="en-US" w:eastAsia="zh-CN"/>
              </w:rPr>
              <w:t>24</w:t>
            </w:r>
            <w:r>
              <w:rPr>
                <w:color w:val="auto"/>
                <w:spacing w:val="6"/>
                <w:highlight w:val="none"/>
                <w:u w:val="single" w:color="auto"/>
              </w:rPr>
              <w:t xml:space="preserve"> </w:t>
            </w:r>
            <w:r>
              <w:rPr>
                <w:color w:val="auto"/>
                <w:spacing w:val="-91"/>
                <w:highlight w:val="none"/>
              </w:rPr>
              <w:t xml:space="preserve"> </w:t>
            </w:r>
            <w:r>
              <w:rPr>
                <w:color w:val="auto"/>
                <w:spacing w:val="9"/>
                <w:highlight w:val="none"/>
              </w:rPr>
              <w:t>个月，如施工工期进行调整，监理服务</w:t>
            </w:r>
            <w:r>
              <w:rPr>
                <w:color w:val="auto"/>
                <w:spacing w:val="7"/>
                <w:highlight w:val="none"/>
              </w:rPr>
              <w:t>期也相应进行调整。</w:t>
            </w:r>
          </w:p>
        </w:tc>
      </w:tr>
      <w:tr w14:paraId="1A852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587BBA30">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highlight w:val="none"/>
              </w:rPr>
            </w:pPr>
            <w:r>
              <w:rPr>
                <w:b/>
                <w:bCs/>
                <w:color w:val="auto"/>
                <w:spacing w:val="6"/>
                <w:highlight w:val="none"/>
              </w:rPr>
              <w:t>最高投标限价</w:t>
            </w:r>
          </w:p>
        </w:tc>
        <w:tc>
          <w:tcPr>
            <w:tcW w:w="7793" w:type="dxa"/>
            <w:gridSpan w:val="3"/>
            <w:vAlign w:val="center"/>
          </w:tcPr>
          <w:p w14:paraId="10E88391">
            <w:pPr>
              <w:pStyle w:val="23"/>
              <w:keepNext w:val="0"/>
              <w:keepLines w:val="0"/>
              <w:pageBreakBefore w:val="0"/>
              <w:widowControl/>
              <w:tabs>
                <w:tab w:val="left" w:pos="7562"/>
              </w:tabs>
              <w:kinsoku w:val="0"/>
              <w:wordWrap/>
              <w:overflowPunct/>
              <w:topLinePunct w:val="0"/>
              <w:autoSpaceDE w:val="0"/>
              <w:autoSpaceDN w:val="0"/>
              <w:bidi w:val="0"/>
              <w:adjustRightInd w:val="0"/>
              <w:snapToGrid w:val="0"/>
              <w:spacing w:line="365" w:lineRule="auto"/>
              <w:ind w:left="117" w:right="224"/>
              <w:jc w:val="both"/>
              <w:textAlignment w:val="baseline"/>
              <w:rPr>
                <w:color w:val="auto"/>
                <w:highlight w:val="none"/>
              </w:rPr>
            </w:pPr>
            <w:r>
              <w:rPr>
                <w:rFonts w:hint="eastAsia"/>
                <w:color w:val="auto"/>
                <w:spacing w:val="7"/>
                <w:highlight w:val="none"/>
              </w:rPr>
              <w:t>人民币</w:t>
            </w:r>
            <w:r>
              <w:rPr>
                <w:rFonts w:hint="eastAsia"/>
                <w:color w:val="auto"/>
                <w:spacing w:val="7"/>
                <w:highlight w:val="none"/>
                <w:lang w:val="en-US" w:eastAsia="zh-CN"/>
              </w:rPr>
              <w:t>伍拾叁万壹仟叁佰元整</w:t>
            </w:r>
            <w:r>
              <w:rPr>
                <w:rFonts w:hint="eastAsia"/>
                <w:color w:val="auto"/>
                <w:spacing w:val="7"/>
                <w:highlight w:val="none"/>
              </w:rPr>
              <w:t>（¥</w:t>
            </w:r>
            <w:r>
              <w:rPr>
                <w:rFonts w:hint="eastAsia"/>
                <w:color w:val="auto"/>
                <w:spacing w:val="7"/>
                <w:highlight w:val="none"/>
                <w:lang w:val="en-US" w:eastAsia="zh-CN"/>
              </w:rPr>
              <w:t>531300.00</w:t>
            </w:r>
            <w:r>
              <w:rPr>
                <w:rFonts w:hint="eastAsia"/>
                <w:color w:val="auto"/>
                <w:spacing w:val="7"/>
                <w:highlight w:val="none"/>
              </w:rPr>
              <w:t>元）。</w:t>
            </w:r>
          </w:p>
        </w:tc>
      </w:tr>
      <w:tr w14:paraId="515E5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903" w:type="dxa"/>
            <w:vAlign w:val="center"/>
          </w:tcPr>
          <w:p w14:paraId="553FE888">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highlight w:val="none"/>
              </w:rPr>
            </w:pPr>
            <w:r>
              <w:rPr>
                <w:b/>
                <w:bCs/>
                <w:color w:val="auto"/>
                <w:spacing w:val="6"/>
                <w:highlight w:val="none"/>
              </w:rPr>
              <w:t>是否接受联合体</w:t>
            </w:r>
            <w:bookmarkStart w:id="12" w:name="bookmark23"/>
            <w:bookmarkEnd w:id="12"/>
            <w:r>
              <w:rPr>
                <w:b/>
                <w:bCs/>
                <w:color w:val="auto"/>
                <w:spacing w:val="2"/>
                <w:highlight w:val="none"/>
              </w:rPr>
              <w:t>投标</w:t>
            </w:r>
          </w:p>
        </w:tc>
        <w:tc>
          <w:tcPr>
            <w:tcW w:w="7793" w:type="dxa"/>
            <w:gridSpan w:val="3"/>
            <w:vAlign w:val="center"/>
          </w:tcPr>
          <w:p w14:paraId="2944D44D">
            <w:pPr>
              <w:pStyle w:val="23"/>
              <w:keepNext w:val="0"/>
              <w:keepLines w:val="0"/>
              <w:pageBreakBefore w:val="0"/>
              <w:widowControl/>
              <w:kinsoku w:val="0"/>
              <w:wordWrap/>
              <w:overflowPunct/>
              <w:topLinePunct w:val="0"/>
              <w:autoSpaceDE w:val="0"/>
              <w:autoSpaceDN w:val="0"/>
              <w:bidi w:val="0"/>
              <w:adjustRightInd w:val="0"/>
              <w:snapToGrid w:val="0"/>
              <w:spacing w:line="303" w:lineRule="auto"/>
              <w:ind w:left="113" w:right="120" w:firstLine="461"/>
              <w:jc w:val="both"/>
              <w:textAlignment w:val="baseline"/>
              <w:rPr>
                <w:color w:val="auto"/>
                <w:highlight w:val="none"/>
              </w:rPr>
            </w:pPr>
            <w:r>
              <w:rPr>
                <w:color w:val="auto"/>
                <w:spacing w:val="8"/>
                <w:highlight w:val="none"/>
              </w:rPr>
              <w:t>本工程</w:t>
            </w:r>
            <w:r>
              <w:rPr>
                <w:color w:val="auto"/>
                <w:spacing w:val="8"/>
                <w:highlight w:val="none"/>
                <w:u w:val="single" w:color="auto"/>
              </w:rPr>
              <w:t xml:space="preserve"> </w:t>
            </w:r>
            <w:r>
              <w:rPr>
                <w:b/>
                <w:bCs/>
                <w:color w:val="auto"/>
                <w:spacing w:val="8"/>
                <w:highlight w:val="none"/>
                <w:u w:val="single" w:color="auto"/>
              </w:rPr>
              <w:t>不接受</w:t>
            </w:r>
            <w:r>
              <w:rPr>
                <w:color w:val="auto"/>
                <w:spacing w:val="8"/>
                <w:position w:val="10"/>
                <w:sz w:val="10"/>
                <w:szCs w:val="10"/>
                <w:highlight w:val="none"/>
                <w:u w:val="single" w:color="auto"/>
              </w:rPr>
              <w:t xml:space="preserve">  </w:t>
            </w:r>
            <w:r>
              <w:rPr>
                <w:color w:val="auto"/>
                <w:spacing w:val="8"/>
                <w:highlight w:val="none"/>
              </w:rPr>
              <w:t>联合体投标。</w:t>
            </w:r>
          </w:p>
        </w:tc>
      </w:tr>
    </w:tbl>
    <w:p w14:paraId="5B651387">
      <w:pPr>
        <w:spacing w:line="330" w:lineRule="auto"/>
        <w:rPr>
          <w:rFonts w:ascii="Arial"/>
          <w:color w:val="auto"/>
          <w:sz w:val="21"/>
          <w:highlight w:val="none"/>
        </w:rPr>
      </w:pPr>
    </w:p>
    <w:tbl>
      <w:tblPr>
        <w:tblStyle w:val="22"/>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1320"/>
        <w:gridCol w:w="2831"/>
      </w:tblGrid>
      <w:tr w14:paraId="4C7DF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1903" w:type="dxa"/>
            <w:vMerge w:val="restart"/>
            <w:tcBorders>
              <w:bottom w:val="nil"/>
            </w:tcBorders>
            <w:vAlign w:val="top"/>
          </w:tcPr>
          <w:p w14:paraId="245982F7">
            <w:pPr>
              <w:spacing w:line="339" w:lineRule="auto"/>
              <w:rPr>
                <w:rFonts w:ascii="Arial"/>
                <w:color w:val="auto"/>
                <w:sz w:val="21"/>
                <w:highlight w:val="none"/>
              </w:rPr>
            </w:pPr>
          </w:p>
          <w:p w14:paraId="48F80336">
            <w:pPr>
              <w:spacing w:line="339" w:lineRule="auto"/>
              <w:rPr>
                <w:rFonts w:ascii="Arial"/>
                <w:color w:val="auto"/>
                <w:sz w:val="21"/>
                <w:highlight w:val="none"/>
              </w:rPr>
            </w:pPr>
          </w:p>
          <w:p w14:paraId="11B9ECF3">
            <w:pPr>
              <w:pStyle w:val="23"/>
              <w:spacing w:before="65" w:line="228" w:lineRule="auto"/>
              <w:ind w:left="221"/>
              <w:rPr>
                <w:color w:val="auto"/>
                <w:highlight w:val="none"/>
              </w:rPr>
            </w:pPr>
            <w:r>
              <w:rPr>
                <w:b/>
                <w:bCs/>
                <w:color w:val="auto"/>
                <w:spacing w:val="6"/>
                <w:highlight w:val="none"/>
              </w:rPr>
              <w:t>投标资格能力要</w:t>
            </w:r>
          </w:p>
          <w:p w14:paraId="5AD06488">
            <w:pPr>
              <w:pStyle w:val="23"/>
              <w:spacing w:before="161" w:line="228" w:lineRule="auto"/>
              <w:ind w:left="220"/>
              <w:rPr>
                <w:color w:val="auto"/>
                <w:highlight w:val="none"/>
              </w:rPr>
            </w:pPr>
            <w:r>
              <w:rPr>
                <w:b/>
                <w:bCs/>
                <w:color w:val="auto"/>
                <w:spacing w:val="7"/>
                <w:highlight w:val="none"/>
              </w:rPr>
              <w:t>求（包括但不限</w:t>
            </w:r>
          </w:p>
          <w:p w14:paraId="1D2EE3C4">
            <w:pPr>
              <w:pStyle w:val="23"/>
              <w:spacing w:before="161" w:line="228" w:lineRule="auto"/>
              <w:ind w:left="221"/>
              <w:rPr>
                <w:color w:val="auto"/>
                <w:highlight w:val="none"/>
              </w:rPr>
            </w:pPr>
            <w:r>
              <w:rPr>
                <w:b/>
                <w:bCs/>
                <w:color w:val="auto"/>
                <w:spacing w:val="6"/>
                <w:highlight w:val="none"/>
              </w:rPr>
              <w:t>于资质人员、业</w:t>
            </w:r>
          </w:p>
          <w:p w14:paraId="270478D9">
            <w:pPr>
              <w:pStyle w:val="23"/>
              <w:spacing w:before="160" w:line="228" w:lineRule="auto"/>
              <w:ind w:left="433"/>
              <w:rPr>
                <w:color w:val="auto"/>
                <w:highlight w:val="none"/>
              </w:rPr>
            </w:pPr>
            <w:r>
              <w:rPr>
                <w:b/>
                <w:bCs/>
                <w:color w:val="auto"/>
                <w:spacing w:val="4"/>
                <w:highlight w:val="none"/>
              </w:rPr>
              <w:t>绩等要求）</w:t>
            </w:r>
          </w:p>
        </w:tc>
        <w:tc>
          <w:tcPr>
            <w:tcW w:w="1979" w:type="dxa"/>
            <w:vAlign w:val="top"/>
          </w:tcPr>
          <w:p w14:paraId="4006138B">
            <w:pPr>
              <w:spacing w:line="250" w:lineRule="auto"/>
              <w:rPr>
                <w:rFonts w:ascii="Arial"/>
                <w:color w:val="auto"/>
                <w:sz w:val="21"/>
                <w:highlight w:val="none"/>
              </w:rPr>
            </w:pPr>
          </w:p>
          <w:p w14:paraId="14304E0D">
            <w:pPr>
              <w:spacing w:line="250" w:lineRule="auto"/>
              <w:rPr>
                <w:rFonts w:ascii="Arial"/>
                <w:color w:val="auto"/>
                <w:sz w:val="21"/>
                <w:highlight w:val="none"/>
              </w:rPr>
            </w:pPr>
          </w:p>
          <w:p w14:paraId="27BE5F4D">
            <w:pPr>
              <w:spacing w:line="250" w:lineRule="auto"/>
              <w:rPr>
                <w:rFonts w:ascii="Arial"/>
                <w:color w:val="auto"/>
                <w:sz w:val="21"/>
                <w:highlight w:val="none"/>
              </w:rPr>
            </w:pPr>
          </w:p>
          <w:p w14:paraId="0A7D4CD3">
            <w:pPr>
              <w:spacing w:line="250" w:lineRule="auto"/>
              <w:rPr>
                <w:rFonts w:ascii="Arial"/>
                <w:color w:val="auto"/>
                <w:sz w:val="21"/>
                <w:highlight w:val="none"/>
              </w:rPr>
            </w:pPr>
          </w:p>
          <w:p w14:paraId="5A6F6E48">
            <w:pPr>
              <w:pStyle w:val="23"/>
              <w:spacing w:before="65" w:line="228" w:lineRule="auto"/>
              <w:ind w:left="262"/>
              <w:rPr>
                <w:color w:val="auto"/>
                <w:highlight w:val="none"/>
              </w:rPr>
            </w:pPr>
            <w:r>
              <w:rPr>
                <w:color w:val="auto"/>
                <w:spacing w:val="8"/>
                <w:highlight w:val="none"/>
              </w:rPr>
              <w:t>投标人资格要求</w:t>
            </w:r>
          </w:p>
        </w:tc>
        <w:tc>
          <w:tcPr>
            <w:tcW w:w="5814" w:type="dxa"/>
            <w:gridSpan w:val="3"/>
            <w:vAlign w:val="top"/>
          </w:tcPr>
          <w:p w14:paraId="546E558D">
            <w:pPr>
              <w:pStyle w:val="23"/>
              <w:spacing w:before="28" w:line="378" w:lineRule="auto"/>
              <w:ind w:left="117" w:right="199" w:firstLine="4"/>
              <w:jc w:val="both"/>
              <w:rPr>
                <w:color w:val="auto"/>
                <w:highlight w:val="none"/>
              </w:rPr>
            </w:pPr>
            <w:r>
              <w:rPr>
                <w:color w:val="auto"/>
                <w:spacing w:val="24"/>
                <w:highlight w:val="none"/>
              </w:rPr>
              <w:t>投标人应具有以下资</w:t>
            </w:r>
            <w:r>
              <w:rPr>
                <w:rFonts w:ascii="宋体" w:hAnsi="宋体" w:eastAsia="宋体" w:cs="宋体"/>
                <w:color w:val="auto"/>
                <w:spacing w:val="24"/>
                <w:highlight w:val="none"/>
              </w:rPr>
              <w:t>质： 详见招</w:t>
            </w:r>
            <w:r>
              <w:rPr>
                <w:color w:val="auto"/>
                <w:spacing w:val="24"/>
                <w:highlight w:val="none"/>
              </w:rPr>
              <w:t>标公告附件</w:t>
            </w:r>
            <w:r>
              <w:rPr>
                <w:color w:val="auto"/>
                <w:spacing w:val="-54"/>
                <w:highlight w:val="none"/>
              </w:rPr>
              <w:t xml:space="preserve"> </w:t>
            </w:r>
            <w:r>
              <w:rPr>
                <w:color w:val="auto"/>
                <w:spacing w:val="24"/>
                <w:highlight w:val="none"/>
              </w:rPr>
              <w:t>，</w:t>
            </w:r>
            <w:r>
              <w:rPr>
                <w:color w:val="auto"/>
                <w:spacing w:val="24"/>
                <w:highlight w:val="none"/>
                <w:u w:val="single" w:color="auto"/>
              </w:rPr>
              <w:t>投标人应</w:t>
            </w:r>
            <w:r>
              <w:rPr>
                <w:color w:val="auto"/>
                <w:spacing w:val="23"/>
                <w:highlight w:val="none"/>
                <w:u w:val="single" w:color="auto"/>
              </w:rPr>
              <w:t>进入交通运输部</w:t>
            </w:r>
            <w:r>
              <w:rPr>
                <w:color w:val="auto"/>
                <w:spacing w:val="-71"/>
                <w:highlight w:val="none"/>
                <w:u w:val="single" w:color="auto"/>
              </w:rPr>
              <w:t xml:space="preserve"> </w:t>
            </w:r>
            <w:r>
              <w:rPr>
                <w:color w:val="auto"/>
                <w:spacing w:val="23"/>
                <w:highlight w:val="none"/>
                <w:u w:val="single" w:color="auto"/>
              </w:rPr>
              <w:t>“</w:t>
            </w:r>
            <w:r>
              <w:rPr>
                <w:color w:val="auto"/>
                <w:spacing w:val="-70"/>
                <w:highlight w:val="none"/>
                <w:u w:val="single" w:color="auto"/>
              </w:rPr>
              <w:t xml:space="preserve"> </w:t>
            </w:r>
            <w:r>
              <w:rPr>
                <w:color w:val="auto"/>
                <w:spacing w:val="23"/>
                <w:highlight w:val="none"/>
                <w:u w:val="single" w:color="auto"/>
              </w:rPr>
              <w:t>全国公路建设市场监督管理系统</w:t>
            </w:r>
            <w:r>
              <w:rPr>
                <w:color w:val="auto"/>
                <w:spacing w:val="-51"/>
                <w:highlight w:val="none"/>
                <w:u w:val="single" w:color="auto"/>
              </w:rPr>
              <w:t xml:space="preserve"> </w:t>
            </w:r>
            <w:r>
              <w:rPr>
                <w:color w:val="auto"/>
                <w:spacing w:val="23"/>
                <w:highlight w:val="none"/>
                <w:u w:val="single" w:color="auto"/>
              </w:rPr>
              <w:t>”</w:t>
            </w:r>
            <w:r>
              <w:rPr>
                <w:color w:val="auto"/>
                <w:spacing w:val="-69"/>
                <w:highlight w:val="none"/>
                <w:u w:val="single" w:color="auto"/>
              </w:rPr>
              <w:t xml:space="preserve"> </w:t>
            </w:r>
            <w:r>
              <w:rPr>
                <w:color w:val="auto"/>
                <w:spacing w:val="23"/>
                <w:highlight w:val="none"/>
                <w:u w:val="single" w:color="auto"/>
              </w:rPr>
              <w:t>中</w:t>
            </w:r>
            <w:r>
              <w:rPr>
                <w:color w:val="auto"/>
                <w:spacing w:val="27"/>
                <w:highlight w:val="none"/>
                <w:u w:val="single" w:color="auto"/>
              </w:rPr>
              <w:t>的公路工程施工监理资质企业名录</w:t>
            </w:r>
            <w:r>
              <w:rPr>
                <w:color w:val="auto"/>
                <w:spacing w:val="-53"/>
                <w:highlight w:val="none"/>
                <w:u w:val="single" w:color="auto"/>
              </w:rPr>
              <w:t xml:space="preserve"> </w:t>
            </w:r>
            <w:r>
              <w:rPr>
                <w:color w:val="auto"/>
                <w:spacing w:val="27"/>
                <w:highlight w:val="none"/>
                <w:u w:val="single" w:color="auto"/>
              </w:rPr>
              <w:t>，且投标人</w:t>
            </w:r>
            <w:r>
              <w:rPr>
                <w:color w:val="auto"/>
                <w:spacing w:val="26"/>
                <w:highlight w:val="none"/>
                <w:u w:val="single" w:color="auto"/>
              </w:rPr>
              <w:t>名称和资</w:t>
            </w:r>
            <w:r>
              <w:rPr>
                <w:color w:val="auto"/>
                <w:spacing w:val="27"/>
                <w:highlight w:val="none"/>
                <w:u w:val="single" w:color="auto"/>
              </w:rPr>
              <w:t>质与该名录中的相应企业名称和资质完全一致</w:t>
            </w:r>
            <w:r>
              <w:rPr>
                <w:color w:val="auto"/>
                <w:spacing w:val="27"/>
                <w:highlight w:val="none"/>
              </w:rPr>
              <w:t>。</w:t>
            </w:r>
          </w:p>
          <w:p w14:paraId="666EA58B">
            <w:pPr>
              <w:pStyle w:val="23"/>
              <w:spacing w:line="343" w:lineRule="auto"/>
              <w:ind w:left="125" w:right="264" w:hanging="1"/>
              <w:jc w:val="both"/>
              <w:rPr>
                <w:color w:val="auto"/>
                <w:highlight w:val="none"/>
              </w:rPr>
            </w:pPr>
            <w:r>
              <w:rPr>
                <w:color w:val="auto"/>
                <w:spacing w:val="24"/>
                <w:highlight w:val="none"/>
              </w:rPr>
              <w:t>总监理工程师/驻地监理工程师的资格要求： 详见招标公告附件。</w:t>
            </w:r>
          </w:p>
        </w:tc>
      </w:tr>
      <w:tr w14:paraId="4643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Merge w:val="continue"/>
            <w:tcBorders>
              <w:top w:val="nil"/>
            </w:tcBorders>
            <w:vAlign w:val="top"/>
          </w:tcPr>
          <w:p w14:paraId="1437CB3F">
            <w:pPr>
              <w:rPr>
                <w:rFonts w:ascii="Arial"/>
                <w:color w:val="auto"/>
                <w:sz w:val="21"/>
                <w:highlight w:val="none"/>
              </w:rPr>
            </w:pPr>
          </w:p>
        </w:tc>
        <w:tc>
          <w:tcPr>
            <w:tcW w:w="1979" w:type="dxa"/>
            <w:vAlign w:val="top"/>
          </w:tcPr>
          <w:p w14:paraId="3D584EC1">
            <w:pPr>
              <w:pStyle w:val="23"/>
              <w:spacing w:before="111" w:line="228" w:lineRule="auto"/>
              <w:ind w:left="262"/>
              <w:rPr>
                <w:color w:val="auto"/>
                <w:highlight w:val="none"/>
              </w:rPr>
            </w:pPr>
            <w:r>
              <w:rPr>
                <w:color w:val="auto"/>
                <w:spacing w:val="8"/>
                <w:highlight w:val="none"/>
              </w:rPr>
              <w:t>投标人业绩要求</w:t>
            </w:r>
          </w:p>
        </w:tc>
        <w:tc>
          <w:tcPr>
            <w:tcW w:w="5814" w:type="dxa"/>
            <w:gridSpan w:val="3"/>
            <w:vAlign w:val="top"/>
          </w:tcPr>
          <w:p w14:paraId="6F2A7BCA">
            <w:pPr>
              <w:pStyle w:val="23"/>
              <w:spacing w:before="111" w:line="226" w:lineRule="auto"/>
              <w:ind w:left="121"/>
              <w:rPr>
                <w:color w:val="auto"/>
                <w:highlight w:val="none"/>
              </w:rPr>
            </w:pPr>
            <w:r>
              <w:rPr>
                <w:color w:val="auto"/>
                <w:spacing w:val="18"/>
                <w:highlight w:val="none"/>
                <w:u w:val="none" w:color="auto"/>
              </w:rPr>
              <w:t>详见招标公告附件</w:t>
            </w:r>
            <w:r>
              <w:rPr>
                <w:color w:val="auto"/>
                <w:spacing w:val="-51"/>
                <w:highlight w:val="none"/>
                <w:u w:val="none" w:color="auto"/>
              </w:rPr>
              <w:t xml:space="preserve"> </w:t>
            </w:r>
            <w:r>
              <w:rPr>
                <w:color w:val="auto"/>
                <w:spacing w:val="18"/>
                <w:highlight w:val="none"/>
                <w:u w:val="none" w:color="auto"/>
              </w:rPr>
              <w:t xml:space="preserve">。 </w:t>
            </w:r>
          </w:p>
        </w:tc>
      </w:tr>
      <w:tr w14:paraId="0B426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903" w:type="dxa"/>
            <w:vMerge w:val="restart"/>
            <w:tcBorders>
              <w:bottom w:val="nil"/>
            </w:tcBorders>
            <w:vAlign w:val="center"/>
          </w:tcPr>
          <w:p w14:paraId="0E7D1B40">
            <w:pPr>
              <w:pStyle w:val="23"/>
              <w:spacing w:before="65" w:line="240" w:lineRule="auto"/>
              <w:ind w:left="324" w:right="319" w:firstLine="2"/>
              <w:jc w:val="both"/>
              <w:rPr>
                <w:color w:val="auto"/>
                <w:highlight w:val="none"/>
              </w:rPr>
            </w:pPr>
            <w:r>
              <w:rPr>
                <w:b/>
                <w:bCs/>
                <w:color w:val="auto"/>
                <w:spacing w:val="6"/>
                <w:highlight w:val="none"/>
              </w:rPr>
              <w:t>是否采用电子招标投标方式</w:t>
            </w:r>
          </w:p>
        </w:tc>
        <w:tc>
          <w:tcPr>
            <w:tcW w:w="1979" w:type="dxa"/>
            <w:vMerge w:val="restart"/>
            <w:tcBorders>
              <w:bottom w:val="nil"/>
            </w:tcBorders>
            <w:vAlign w:val="center"/>
          </w:tcPr>
          <w:p w14:paraId="1B724111">
            <w:pPr>
              <w:pStyle w:val="23"/>
              <w:spacing w:before="65" w:line="240" w:lineRule="auto"/>
              <w:ind w:left="891"/>
              <w:jc w:val="both"/>
              <w:rPr>
                <w:color w:val="auto"/>
                <w:highlight w:val="none"/>
              </w:rPr>
            </w:pPr>
            <w:r>
              <w:rPr>
                <w:color w:val="auto"/>
                <w:highlight w:val="none"/>
              </w:rPr>
              <w:t>是</w:t>
            </w:r>
          </w:p>
        </w:tc>
        <w:tc>
          <w:tcPr>
            <w:tcW w:w="1663" w:type="dxa"/>
            <w:vMerge w:val="restart"/>
            <w:tcBorders>
              <w:bottom w:val="nil"/>
            </w:tcBorders>
            <w:vAlign w:val="center"/>
          </w:tcPr>
          <w:p w14:paraId="12B420A3">
            <w:pPr>
              <w:spacing w:line="240" w:lineRule="auto"/>
              <w:jc w:val="both"/>
              <w:rPr>
                <w:rFonts w:ascii="Arial"/>
                <w:color w:val="auto"/>
                <w:sz w:val="21"/>
                <w:highlight w:val="none"/>
              </w:rPr>
            </w:pPr>
          </w:p>
          <w:p w14:paraId="0CBE7F6E">
            <w:pPr>
              <w:pStyle w:val="23"/>
              <w:spacing w:before="65" w:line="240" w:lineRule="auto"/>
              <w:ind w:left="734" w:right="200" w:hanging="531"/>
              <w:jc w:val="both"/>
              <w:rPr>
                <w:color w:val="auto"/>
                <w:highlight w:val="none"/>
              </w:rPr>
            </w:pPr>
            <w:r>
              <w:rPr>
                <w:b/>
                <w:bCs/>
                <w:color w:val="auto"/>
                <w:spacing w:val="6"/>
                <w:highlight w:val="none"/>
              </w:rPr>
              <w:t>招标文件的方</w:t>
            </w:r>
            <w:r>
              <w:rPr>
                <w:b/>
                <w:bCs/>
                <w:color w:val="auto"/>
                <w:spacing w:val="-3"/>
                <w:highlight w:val="none"/>
              </w:rPr>
              <w:t>式</w:t>
            </w:r>
          </w:p>
        </w:tc>
        <w:tc>
          <w:tcPr>
            <w:tcW w:w="1320" w:type="dxa"/>
            <w:vAlign w:val="center"/>
          </w:tcPr>
          <w:p w14:paraId="1E0D9F01">
            <w:pPr>
              <w:pStyle w:val="23"/>
              <w:spacing w:before="33" w:line="240" w:lineRule="auto"/>
              <w:ind w:left="125"/>
              <w:jc w:val="both"/>
              <w:rPr>
                <w:color w:val="auto"/>
                <w:highlight w:val="none"/>
              </w:rPr>
            </w:pPr>
            <w:r>
              <w:rPr>
                <w:color w:val="auto"/>
                <w:spacing w:val="15"/>
                <w:highlight w:val="none"/>
              </w:rPr>
              <w:t>下载招标文</w:t>
            </w:r>
          </w:p>
          <w:p w14:paraId="2E18A964">
            <w:pPr>
              <w:pStyle w:val="23"/>
              <w:spacing w:before="160" w:line="240" w:lineRule="auto"/>
              <w:ind w:left="119" w:right="109" w:hanging="1"/>
              <w:jc w:val="both"/>
              <w:rPr>
                <w:color w:val="auto"/>
                <w:highlight w:val="none"/>
              </w:rPr>
            </w:pPr>
            <w:r>
              <w:rPr>
                <w:color w:val="auto"/>
                <w:spacing w:val="17"/>
                <w:highlight w:val="none"/>
              </w:rPr>
              <w:t>件的网络地</w:t>
            </w:r>
            <w:r>
              <w:rPr>
                <w:color w:val="auto"/>
                <w:highlight w:val="none"/>
              </w:rPr>
              <w:t>址</w:t>
            </w:r>
          </w:p>
        </w:tc>
        <w:tc>
          <w:tcPr>
            <w:tcW w:w="2831" w:type="dxa"/>
            <w:vAlign w:val="center"/>
          </w:tcPr>
          <w:p w14:paraId="4862DBB1">
            <w:pPr>
              <w:pStyle w:val="23"/>
              <w:tabs>
                <w:tab w:val="left" w:pos="530"/>
              </w:tabs>
              <w:spacing w:before="161" w:line="240" w:lineRule="auto"/>
              <w:ind w:left="119" w:right="113" w:hanging="9"/>
              <w:jc w:val="both"/>
              <w:rPr>
                <w:color w:val="auto"/>
                <w:highlight w:val="none"/>
              </w:rPr>
            </w:pPr>
            <w:r>
              <w:rPr>
                <w:rFonts w:hint="eastAsia"/>
                <w:color w:val="auto"/>
                <w:highlight w:val="none"/>
              </w:rPr>
              <w:t>广东省招标投标监管网https://zbtb.gd.gov.cn/；</w:t>
            </w:r>
          </w:p>
          <w:p w14:paraId="60B94328">
            <w:pPr>
              <w:pStyle w:val="23"/>
              <w:tabs>
                <w:tab w:val="left" w:pos="530"/>
              </w:tabs>
              <w:spacing w:before="161" w:line="240" w:lineRule="auto"/>
              <w:ind w:left="119" w:right="113" w:hanging="9"/>
              <w:jc w:val="both"/>
              <w:rPr>
                <w:color w:val="auto"/>
                <w:highlight w:val="none"/>
              </w:rPr>
            </w:pPr>
            <w:r>
              <w:rPr>
                <w:rFonts w:hint="eastAsia"/>
                <w:color w:val="auto"/>
                <w:highlight w:val="none"/>
              </w:rPr>
              <w:t>全国公共资源交易平台（广东省·韶关市）https://ygp.gdzwfw.gov.cn/ggzy-portal/#/440200/index。</w:t>
            </w:r>
          </w:p>
        </w:tc>
      </w:tr>
      <w:tr w14:paraId="68E4C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1903" w:type="dxa"/>
            <w:vMerge w:val="continue"/>
            <w:tcBorders>
              <w:top w:val="nil"/>
            </w:tcBorders>
            <w:vAlign w:val="center"/>
          </w:tcPr>
          <w:p w14:paraId="29C37A26">
            <w:pPr>
              <w:spacing w:line="240" w:lineRule="auto"/>
              <w:jc w:val="both"/>
              <w:rPr>
                <w:rFonts w:ascii="Arial"/>
                <w:color w:val="auto"/>
                <w:sz w:val="21"/>
                <w:highlight w:val="none"/>
              </w:rPr>
            </w:pPr>
          </w:p>
        </w:tc>
        <w:tc>
          <w:tcPr>
            <w:tcW w:w="1979" w:type="dxa"/>
            <w:vMerge w:val="continue"/>
            <w:tcBorders>
              <w:top w:val="nil"/>
            </w:tcBorders>
            <w:vAlign w:val="center"/>
          </w:tcPr>
          <w:p w14:paraId="1FD71C34">
            <w:pPr>
              <w:spacing w:line="240" w:lineRule="auto"/>
              <w:jc w:val="both"/>
              <w:rPr>
                <w:rFonts w:ascii="Arial"/>
                <w:color w:val="auto"/>
                <w:sz w:val="21"/>
                <w:highlight w:val="none"/>
              </w:rPr>
            </w:pPr>
          </w:p>
        </w:tc>
        <w:tc>
          <w:tcPr>
            <w:tcW w:w="1663" w:type="dxa"/>
            <w:vMerge w:val="continue"/>
            <w:tcBorders>
              <w:top w:val="nil"/>
            </w:tcBorders>
            <w:vAlign w:val="center"/>
          </w:tcPr>
          <w:p w14:paraId="27909A0E">
            <w:pPr>
              <w:spacing w:line="240" w:lineRule="auto"/>
              <w:jc w:val="both"/>
              <w:rPr>
                <w:rFonts w:ascii="Arial"/>
                <w:color w:val="auto"/>
                <w:sz w:val="21"/>
                <w:highlight w:val="none"/>
              </w:rPr>
            </w:pPr>
          </w:p>
        </w:tc>
        <w:tc>
          <w:tcPr>
            <w:tcW w:w="1320" w:type="dxa"/>
            <w:vAlign w:val="center"/>
          </w:tcPr>
          <w:p w14:paraId="767492E6">
            <w:pPr>
              <w:pStyle w:val="23"/>
              <w:spacing w:before="65" w:line="240" w:lineRule="auto"/>
              <w:ind w:left="118" w:right="111" w:firstLine="4"/>
              <w:jc w:val="both"/>
              <w:rPr>
                <w:color w:val="auto"/>
                <w:highlight w:val="none"/>
              </w:rPr>
            </w:pPr>
            <w:r>
              <w:rPr>
                <w:color w:val="auto"/>
                <w:spacing w:val="16"/>
                <w:highlight w:val="none"/>
              </w:rPr>
              <w:t>获取招标文</w:t>
            </w:r>
            <w:r>
              <w:rPr>
                <w:color w:val="auto"/>
                <w:spacing w:val="7"/>
                <w:highlight w:val="none"/>
              </w:rPr>
              <w:t>件的方式</w:t>
            </w:r>
          </w:p>
        </w:tc>
        <w:tc>
          <w:tcPr>
            <w:tcW w:w="2831" w:type="dxa"/>
            <w:vAlign w:val="center"/>
          </w:tcPr>
          <w:p w14:paraId="589BAF19">
            <w:pPr>
              <w:pStyle w:val="23"/>
              <w:spacing w:before="31" w:line="240" w:lineRule="auto"/>
              <w:ind w:left="114" w:right="113" w:firstLine="9"/>
              <w:jc w:val="both"/>
              <w:rPr>
                <w:color w:val="auto"/>
                <w:highlight w:val="none"/>
              </w:rPr>
            </w:pPr>
            <w:r>
              <w:rPr>
                <w:color w:val="auto"/>
                <w:spacing w:val="15"/>
                <w:highlight w:val="none"/>
              </w:rPr>
              <w:t>凡有意参加投标者，请于获</w:t>
            </w:r>
            <w:r>
              <w:rPr>
                <w:color w:val="auto"/>
                <w:spacing w:val="16"/>
                <w:highlight w:val="none"/>
              </w:rPr>
              <w:t>取招标文件截止时间前，登</w:t>
            </w:r>
            <w:r>
              <w:rPr>
                <w:color w:val="auto"/>
                <w:spacing w:val="13"/>
                <w:highlight w:val="none"/>
              </w:rPr>
              <w:t>录</w:t>
            </w:r>
            <w:r>
              <w:rPr>
                <w:color w:val="auto"/>
                <w:spacing w:val="-94"/>
                <w:highlight w:val="none"/>
              </w:rPr>
              <w:t xml:space="preserve"> </w:t>
            </w:r>
            <w:r>
              <w:rPr>
                <w:rFonts w:hint="eastAsia"/>
                <w:color w:val="auto"/>
                <w:highlight w:val="none"/>
              </w:rPr>
              <w:t>全国公共资源交易平台（广东省·韶关市）</w:t>
            </w:r>
            <w:r>
              <w:rPr>
                <w:color w:val="auto"/>
                <w:spacing w:val="13"/>
                <w:highlight w:val="none"/>
              </w:rPr>
              <w:t>网</w:t>
            </w:r>
            <w:r>
              <w:rPr>
                <w:color w:val="auto"/>
                <w:spacing w:val="16"/>
                <w:highlight w:val="none"/>
              </w:rPr>
              <w:t>站，选择对应招标项目进行登记，并自行在网站中下载招标文件。</w:t>
            </w:r>
          </w:p>
        </w:tc>
      </w:tr>
      <w:tr w14:paraId="2ABCE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903" w:type="dxa"/>
            <w:vAlign w:val="center"/>
          </w:tcPr>
          <w:p w14:paraId="1F2BA71F">
            <w:pPr>
              <w:pStyle w:val="23"/>
              <w:spacing w:before="36" w:line="240" w:lineRule="auto"/>
              <w:ind w:left="640" w:right="213" w:hanging="419"/>
              <w:jc w:val="both"/>
              <w:rPr>
                <w:color w:val="auto"/>
                <w:highlight w:val="none"/>
              </w:rPr>
            </w:pPr>
            <w:r>
              <w:rPr>
                <w:b/>
                <w:bCs/>
                <w:color w:val="auto"/>
                <w:spacing w:val="6"/>
                <w:highlight w:val="none"/>
              </w:rPr>
              <w:t>获取招标文件开</w:t>
            </w:r>
            <w:r>
              <w:rPr>
                <w:b/>
                <w:bCs/>
                <w:color w:val="auto"/>
                <w:spacing w:val="5"/>
                <w:highlight w:val="none"/>
              </w:rPr>
              <w:t>始时间</w:t>
            </w:r>
          </w:p>
        </w:tc>
        <w:tc>
          <w:tcPr>
            <w:tcW w:w="1979" w:type="dxa"/>
            <w:vAlign w:val="center"/>
          </w:tcPr>
          <w:p w14:paraId="317121C8">
            <w:pPr>
              <w:pStyle w:val="23"/>
              <w:spacing w:before="35"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07</w:t>
            </w:r>
            <w:r>
              <w:rPr>
                <w:color w:val="auto"/>
                <w:spacing w:val="-2"/>
                <w:highlight w:val="none"/>
              </w:rPr>
              <w:t>月</w:t>
            </w:r>
            <w:r>
              <w:rPr>
                <w:rFonts w:hint="eastAsia"/>
                <w:color w:val="auto"/>
                <w:spacing w:val="-2"/>
                <w:highlight w:val="none"/>
                <w:lang w:val="en-US" w:eastAsia="zh-CN"/>
              </w:rPr>
              <w:t>24</w:t>
            </w:r>
            <w:r>
              <w:rPr>
                <w:color w:val="auto"/>
                <w:spacing w:val="-2"/>
                <w:highlight w:val="none"/>
              </w:rPr>
              <w:t>日</w:t>
            </w:r>
          </w:p>
          <w:p w14:paraId="1C8092E6">
            <w:pPr>
              <w:pStyle w:val="23"/>
              <w:spacing w:before="35" w:line="240" w:lineRule="auto"/>
              <w:jc w:val="center"/>
              <w:rPr>
                <w:color w:val="auto"/>
                <w:highlight w:val="none"/>
              </w:rPr>
            </w:pPr>
            <w:r>
              <w:rPr>
                <w:rFonts w:hint="eastAsia"/>
                <w:color w:val="auto"/>
                <w:spacing w:val="-2"/>
                <w:highlight w:val="none"/>
                <w:lang w:val="en-US" w:eastAsia="zh-CN"/>
              </w:rPr>
              <w:t>18</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p>
        </w:tc>
        <w:tc>
          <w:tcPr>
            <w:tcW w:w="1663" w:type="dxa"/>
            <w:vAlign w:val="center"/>
          </w:tcPr>
          <w:p w14:paraId="480BBCE2">
            <w:pPr>
              <w:pStyle w:val="23"/>
              <w:spacing w:before="36" w:line="240" w:lineRule="auto"/>
              <w:ind w:left="413" w:right="200" w:hanging="207"/>
              <w:jc w:val="both"/>
              <w:rPr>
                <w:color w:val="auto"/>
                <w:highlight w:val="none"/>
              </w:rPr>
            </w:pPr>
            <w:r>
              <w:rPr>
                <w:b/>
                <w:bCs/>
                <w:color w:val="auto"/>
                <w:spacing w:val="6"/>
                <w:highlight w:val="none"/>
              </w:rPr>
              <w:t>获取招标文件截止时间</w:t>
            </w:r>
          </w:p>
        </w:tc>
        <w:tc>
          <w:tcPr>
            <w:tcW w:w="4151" w:type="dxa"/>
            <w:gridSpan w:val="2"/>
            <w:vAlign w:val="center"/>
          </w:tcPr>
          <w:p w14:paraId="22C4C34E">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0</w:t>
            </w:r>
            <w:r>
              <w:rPr>
                <w:rFonts w:hint="eastAsia"/>
                <w:color w:val="auto"/>
                <w:spacing w:val="9"/>
                <w:highlight w:val="none"/>
                <w:lang w:val="en-US" w:eastAsia="zh-CN"/>
              </w:rPr>
              <w:t>8</w:t>
            </w:r>
            <w:r>
              <w:rPr>
                <w:color w:val="auto"/>
                <w:spacing w:val="-2"/>
                <w:highlight w:val="none"/>
              </w:rPr>
              <w:t>月</w:t>
            </w:r>
            <w:r>
              <w:rPr>
                <w:rFonts w:hint="eastAsia"/>
                <w:color w:val="auto"/>
                <w:spacing w:val="-2"/>
                <w:highlight w:val="none"/>
                <w:lang w:val="en-US" w:eastAsia="zh-CN"/>
              </w:rPr>
              <w:t>14</w:t>
            </w:r>
            <w:r>
              <w:rPr>
                <w:color w:val="auto"/>
                <w:spacing w:val="-2"/>
                <w:highlight w:val="none"/>
              </w:rPr>
              <w:t>日</w:t>
            </w:r>
          </w:p>
          <w:p w14:paraId="3A27969D">
            <w:pPr>
              <w:pStyle w:val="23"/>
              <w:spacing w:before="35" w:line="240" w:lineRule="auto"/>
              <w:jc w:val="center"/>
              <w:rPr>
                <w:color w:val="auto"/>
                <w:highlight w:val="none"/>
              </w:rPr>
            </w:pPr>
            <w:r>
              <w:rPr>
                <w:rFonts w:hint="eastAsia"/>
                <w:color w:val="auto"/>
                <w:spacing w:val="-2"/>
                <w:highlight w:val="none"/>
                <w:lang w:val="en-US" w:eastAsia="zh-CN"/>
              </w:rPr>
              <w:t>09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p>
        </w:tc>
      </w:tr>
      <w:tr w14:paraId="1C3D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3" w:hRule="atLeast"/>
        </w:trPr>
        <w:tc>
          <w:tcPr>
            <w:tcW w:w="1903" w:type="dxa"/>
            <w:vAlign w:val="center"/>
          </w:tcPr>
          <w:p w14:paraId="409E3BBE">
            <w:pPr>
              <w:pStyle w:val="23"/>
              <w:spacing w:before="36" w:line="240" w:lineRule="auto"/>
              <w:ind w:left="641" w:right="213" w:hanging="422"/>
              <w:jc w:val="both"/>
              <w:rPr>
                <w:color w:val="auto"/>
                <w:highlight w:val="none"/>
              </w:rPr>
            </w:pPr>
            <w:r>
              <w:rPr>
                <w:b/>
                <w:bCs/>
                <w:color w:val="auto"/>
                <w:spacing w:val="7"/>
                <w:highlight w:val="none"/>
              </w:rPr>
              <w:t>递交投标文件截</w:t>
            </w:r>
            <w:bookmarkStart w:id="13" w:name="bookmark29"/>
            <w:bookmarkEnd w:id="13"/>
            <w:bookmarkStart w:id="14" w:name="bookmark28"/>
            <w:bookmarkEnd w:id="14"/>
            <w:r>
              <w:rPr>
                <w:b/>
                <w:bCs/>
                <w:color w:val="auto"/>
                <w:spacing w:val="5"/>
                <w:highlight w:val="none"/>
              </w:rPr>
              <w:t>止时间</w:t>
            </w:r>
          </w:p>
        </w:tc>
        <w:tc>
          <w:tcPr>
            <w:tcW w:w="1979" w:type="dxa"/>
            <w:vAlign w:val="center"/>
          </w:tcPr>
          <w:p w14:paraId="5A094B77">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0</w:t>
            </w:r>
            <w:r>
              <w:rPr>
                <w:rFonts w:hint="eastAsia"/>
                <w:color w:val="auto"/>
                <w:spacing w:val="9"/>
                <w:highlight w:val="none"/>
                <w:lang w:val="en-US" w:eastAsia="zh-CN"/>
              </w:rPr>
              <w:t>8</w:t>
            </w:r>
            <w:r>
              <w:rPr>
                <w:color w:val="auto"/>
                <w:spacing w:val="-2"/>
                <w:highlight w:val="none"/>
              </w:rPr>
              <w:t>月</w:t>
            </w:r>
            <w:r>
              <w:rPr>
                <w:rFonts w:hint="eastAsia"/>
                <w:color w:val="auto"/>
                <w:spacing w:val="-2"/>
                <w:highlight w:val="none"/>
                <w:lang w:val="en-US" w:eastAsia="zh-CN"/>
              </w:rPr>
              <w:t>14</w:t>
            </w:r>
            <w:r>
              <w:rPr>
                <w:color w:val="auto"/>
                <w:spacing w:val="-2"/>
                <w:highlight w:val="none"/>
              </w:rPr>
              <w:t>日</w:t>
            </w:r>
          </w:p>
          <w:p w14:paraId="37B0ABE0">
            <w:pPr>
              <w:pStyle w:val="23"/>
              <w:spacing w:before="161" w:line="240" w:lineRule="auto"/>
              <w:jc w:val="center"/>
              <w:rPr>
                <w:color w:val="auto"/>
                <w:highlight w:val="none"/>
              </w:rPr>
            </w:pPr>
            <w:r>
              <w:rPr>
                <w:rFonts w:hint="eastAsia"/>
                <w:color w:val="auto"/>
                <w:spacing w:val="-2"/>
                <w:highlight w:val="none"/>
                <w:lang w:val="en-US" w:eastAsia="zh-CN"/>
              </w:rPr>
              <w:t>09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p>
        </w:tc>
        <w:tc>
          <w:tcPr>
            <w:tcW w:w="1663" w:type="dxa"/>
            <w:vAlign w:val="center"/>
          </w:tcPr>
          <w:p w14:paraId="446BB7E2">
            <w:pPr>
              <w:pStyle w:val="23"/>
              <w:spacing w:before="36" w:line="240" w:lineRule="auto"/>
              <w:ind w:left="625" w:right="200" w:hanging="420"/>
              <w:jc w:val="both"/>
              <w:rPr>
                <w:color w:val="auto"/>
                <w:highlight w:val="none"/>
              </w:rPr>
            </w:pPr>
            <w:r>
              <w:rPr>
                <w:b/>
                <w:bCs/>
                <w:color w:val="auto"/>
                <w:spacing w:val="6"/>
                <w:highlight w:val="none"/>
              </w:rPr>
              <w:t>投标文件递交</w:t>
            </w:r>
            <w:r>
              <w:rPr>
                <w:b/>
                <w:bCs/>
                <w:color w:val="auto"/>
                <w:spacing w:val="3"/>
                <w:highlight w:val="none"/>
              </w:rPr>
              <w:t>方式</w:t>
            </w:r>
          </w:p>
        </w:tc>
        <w:tc>
          <w:tcPr>
            <w:tcW w:w="4151" w:type="dxa"/>
            <w:gridSpan w:val="2"/>
            <w:vAlign w:val="center"/>
          </w:tcPr>
          <w:p w14:paraId="14694C2B">
            <w:pPr>
              <w:pStyle w:val="23"/>
              <w:spacing w:before="36" w:line="240" w:lineRule="auto"/>
              <w:ind w:left="119" w:right="113" w:firstLine="1"/>
              <w:jc w:val="both"/>
              <w:rPr>
                <w:color w:val="auto"/>
                <w:highlight w:val="none"/>
              </w:rPr>
            </w:pPr>
            <w:r>
              <w:rPr>
                <w:color w:val="auto"/>
                <w:spacing w:val="17"/>
                <w:highlight w:val="none"/>
              </w:rPr>
              <w:t>投标人应在递交投标文件截止时间前，通</w:t>
            </w:r>
            <w:r>
              <w:rPr>
                <w:color w:val="auto"/>
                <w:spacing w:val="12"/>
                <w:highlight w:val="none"/>
              </w:rPr>
              <w:t>过互联网使用</w:t>
            </w:r>
            <w:r>
              <w:rPr>
                <w:color w:val="auto"/>
                <w:highlight w:val="none"/>
              </w:rPr>
              <w:t>CA</w:t>
            </w:r>
            <w:r>
              <w:rPr>
                <w:color w:val="auto"/>
                <w:spacing w:val="-30"/>
                <w:highlight w:val="none"/>
              </w:rPr>
              <w:t xml:space="preserve"> </w:t>
            </w:r>
            <w:r>
              <w:rPr>
                <w:color w:val="auto"/>
                <w:spacing w:val="12"/>
                <w:highlight w:val="none"/>
              </w:rPr>
              <w:t>数字证书登录“</w:t>
            </w:r>
            <w:r>
              <w:rPr>
                <w:color w:val="auto"/>
                <w:spacing w:val="-63"/>
                <w:highlight w:val="none"/>
              </w:rPr>
              <w:t xml:space="preserve"> </w:t>
            </w:r>
            <w:r>
              <w:rPr>
                <w:color w:val="auto"/>
                <w:spacing w:val="12"/>
                <w:highlight w:val="none"/>
              </w:rPr>
              <w:t>电子交易</w:t>
            </w:r>
            <w:r>
              <w:rPr>
                <w:color w:val="auto"/>
                <w:spacing w:val="15"/>
                <w:highlight w:val="none"/>
              </w:rPr>
              <w:t>平台</w:t>
            </w:r>
            <w:r>
              <w:rPr>
                <w:color w:val="auto"/>
                <w:spacing w:val="-57"/>
                <w:highlight w:val="none"/>
              </w:rPr>
              <w:t xml:space="preserve"> </w:t>
            </w:r>
            <w:r>
              <w:rPr>
                <w:color w:val="auto"/>
                <w:spacing w:val="15"/>
                <w:highlight w:val="none"/>
              </w:rPr>
              <w:t>”，将加密的投标文件上传，并保存</w:t>
            </w:r>
            <w:r>
              <w:rPr>
                <w:color w:val="auto"/>
                <w:spacing w:val="30"/>
                <w:highlight w:val="none"/>
              </w:rPr>
              <w:t>上传成功后系统自动生成的电子签收凭</w:t>
            </w:r>
            <w:r>
              <w:rPr>
                <w:color w:val="auto"/>
                <w:spacing w:val="17"/>
                <w:highlight w:val="none"/>
              </w:rPr>
              <w:t>证，递交时间即为电子签收凭证时间。逾</w:t>
            </w:r>
            <w:r>
              <w:rPr>
                <w:color w:val="auto"/>
                <w:spacing w:val="30"/>
                <w:highlight w:val="none"/>
              </w:rPr>
              <w:t>期未完成上传或未按规定加密的投标文</w:t>
            </w:r>
            <w:r>
              <w:rPr>
                <w:color w:val="auto"/>
                <w:spacing w:val="17"/>
                <w:highlight w:val="none"/>
              </w:rPr>
              <w:t>件，招标人予以拒收。</w:t>
            </w:r>
          </w:p>
        </w:tc>
      </w:tr>
      <w:tr w14:paraId="4E264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1903" w:type="dxa"/>
            <w:tcBorders>
              <w:bottom w:val="single" w:color="auto" w:sz="4" w:space="0"/>
            </w:tcBorders>
            <w:vAlign w:val="center"/>
          </w:tcPr>
          <w:p w14:paraId="3E828300">
            <w:pPr>
              <w:pStyle w:val="23"/>
              <w:spacing w:before="65" w:line="240" w:lineRule="auto"/>
              <w:ind w:left="536"/>
              <w:jc w:val="both"/>
              <w:rPr>
                <w:color w:val="auto"/>
                <w:highlight w:val="none"/>
              </w:rPr>
            </w:pPr>
            <w:r>
              <w:rPr>
                <w:b/>
                <w:bCs/>
                <w:color w:val="auto"/>
                <w:spacing w:val="6"/>
                <w:highlight w:val="none"/>
              </w:rPr>
              <w:t>开标时间</w:t>
            </w:r>
          </w:p>
        </w:tc>
        <w:tc>
          <w:tcPr>
            <w:tcW w:w="1979" w:type="dxa"/>
            <w:tcBorders>
              <w:bottom w:val="single" w:color="auto" w:sz="4" w:space="0"/>
            </w:tcBorders>
            <w:vAlign w:val="center"/>
          </w:tcPr>
          <w:p w14:paraId="4E7EBEDD">
            <w:pPr>
              <w:pStyle w:val="23"/>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0</w:t>
            </w:r>
            <w:r>
              <w:rPr>
                <w:rFonts w:hint="eastAsia"/>
                <w:color w:val="auto"/>
                <w:spacing w:val="9"/>
                <w:highlight w:val="none"/>
                <w:lang w:val="en-US" w:eastAsia="zh-CN"/>
              </w:rPr>
              <w:t>8</w:t>
            </w:r>
            <w:r>
              <w:rPr>
                <w:color w:val="auto"/>
                <w:spacing w:val="-2"/>
                <w:highlight w:val="none"/>
              </w:rPr>
              <w:t>月</w:t>
            </w:r>
            <w:r>
              <w:rPr>
                <w:rFonts w:hint="eastAsia"/>
                <w:color w:val="auto"/>
                <w:spacing w:val="-2"/>
                <w:highlight w:val="none"/>
                <w:lang w:val="en-US" w:eastAsia="zh-CN"/>
              </w:rPr>
              <w:t>14</w:t>
            </w:r>
            <w:r>
              <w:rPr>
                <w:color w:val="auto"/>
                <w:spacing w:val="-2"/>
                <w:highlight w:val="none"/>
              </w:rPr>
              <w:t>日</w:t>
            </w:r>
          </w:p>
          <w:p w14:paraId="11FF8091">
            <w:pPr>
              <w:pStyle w:val="23"/>
              <w:spacing w:before="161" w:line="240" w:lineRule="auto"/>
              <w:jc w:val="center"/>
              <w:rPr>
                <w:color w:val="auto"/>
                <w:highlight w:val="none"/>
              </w:rPr>
            </w:pPr>
            <w:r>
              <w:rPr>
                <w:rFonts w:hint="eastAsia"/>
                <w:color w:val="auto"/>
                <w:spacing w:val="-2"/>
                <w:highlight w:val="none"/>
                <w:lang w:val="en-US" w:eastAsia="zh-CN"/>
              </w:rPr>
              <w:t>09</w:t>
            </w:r>
            <w:r>
              <w:rPr>
                <w:color w:val="auto"/>
                <w:spacing w:val="-5"/>
                <w:highlight w:val="none"/>
              </w:rPr>
              <w:t>时</w:t>
            </w:r>
            <w:r>
              <w:rPr>
                <w:rFonts w:hint="eastAsia"/>
                <w:color w:val="auto"/>
                <w:spacing w:val="-5"/>
                <w:highlight w:val="none"/>
                <w:lang w:val="en-US" w:eastAsia="zh-CN"/>
              </w:rPr>
              <w:t>30</w:t>
            </w:r>
            <w:r>
              <w:rPr>
                <w:color w:val="auto"/>
                <w:spacing w:val="-5"/>
                <w:highlight w:val="none"/>
              </w:rPr>
              <w:t>分</w:t>
            </w:r>
            <w:r>
              <w:rPr>
                <w:color w:val="auto"/>
                <w:spacing w:val="17"/>
                <w:highlight w:val="none"/>
              </w:rPr>
              <w:t>（与投标截止时间</w:t>
            </w:r>
            <w:r>
              <w:rPr>
                <w:color w:val="auto"/>
                <w:spacing w:val="6"/>
                <w:highlight w:val="none"/>
              </w:rPr>
              <w:t>为同一时间）</w:t>
            </w:r>
          </w:p>
        </w:tc>
        <w:tc>
          <w:tcPr>
            <w:tcW w:w="1663" w:type="dxa"/>
            <w:tcBorders>
              <w:bottom w:val="single" w:color="auto" w:sz="4" w:space="0"/>
            </w:tcBorders>
            <w:vAlign w:val="center"/>
          </w:tcPr>
          <w:p w14:paraId="343CC4EB">
            <w:pPr>
              <w:pStyle w:val="23"/>
              <w:spacing w:before="65" w:line="240" w:lineRule="auto"/>
              <w:ind w:left="414"/>
              <w:jc w:val="both"/>
              <w:rPr>
                <w:color w:val="auto"/>
                <w:highlight w:val="none"/>
              </w:rPr>
            </w:pPr>
            <w:r>
              <w:rPr>
                <w:b/>
                <w:bCs/>
                <w:color w:val="auto"/>
                <w:spacing w:val="6"/>
                <w:highlight w:val="none"/>
              </w:rPr>
              <w:t>开标地点</w:t>
            </w:r>
          </w:p>
        </w:tc>
        <w:tc>
          <w:tcPr>
            <w:tcW w:w="4151" w:type="dxa"/>
            <w:gridSpan w:val="2"/>
            <w:tcBorders>
              <w:bottom w:val="single" w:color="auto" w:sz="4" w:space="0"/>
            </w:tcBorders>
            <w:vAlign w:val="center"/>
          </w:tcPr>
          <w:p w14:paraId="63D3661C">
            <w:pPr>
              <w:pStyle w:val="23"/>
              <w:spacing w:before="37" w:line="240" w:lineRule="auto"/>
              <w:ind w:right="113"/>
              <w:jc w:val="left"/>
              <w:rPr>
                <w:rFonts w:hint="eastAsia" w:ascii="宋体" w:hAnsi="宋体" w:eastAsia="宋体" w:cs="宋体"/>
                <w:color w:val="auto"/>
                <w:spacing w:val="15"/>
                <w:highlight w:val="none"/>
                <w:lang w:eastAsia="zh-CN"/>
              </w:rPr>
            </w:pPr>
            <w:r>
              <w:rPr>
                <w:rFonts w:hint="eastAsia" w:ascii="宋体" w:hAnsi="宋体" w:eastAsia="宋体" w:cs="宋体"/>
                <w:color w:val="auto"/>
                <w:spacing w:val="15"/>
                <w:highlight w:val="none"/>
                <w:lang w:eastAsia="zh-CN"/>
              </w:rPr>
              <w:t>韶关市公共资源交易中心</w:t>
            </w:r>
            <w:r>
              <w:rPr>
                <w:rFonts w:hint="eastAsia" w:cs="宋体"/>
                <w:color w:val="auto"/>
                <w:spacing w:val="15"/>
                <w:highlight w:val="none"/>
                <w:lang w:val="en-US" w:eastAsia="zh-CN"/>
              </w:rPr>
              <w:t>乐昌分中心</w:t>
            </w:r>
            <w:r>
              <w:rPr>
                <w:rFonts w:hint="eastAsia" w:ascii="宋体" w:hAnsi="宋体" w:eastAsia="宋体" w:cs="宋体"/>
                <w:color w:val="auto"/>
                <w:spacing w:val="15"/>
                <w:highlight w:val="none"/>
                <w:lang w:eastAsia="zh-CN"/>
              </w:rPr>
              <w:t xml:space="preserve"> </w:t>
            </w:r>
          </w:p>
          <w:p w14:paraId="3E71CA4A">
            <w:pPr>
              <w:pStyle w:val="23"/>
              <w:spacing w:before="37" w:line="240" w:lineRule="auto"/>
              <w:ind w:right="113"/>
              <w:jc w:val="left"/>
              <w:rPr>
                <w:rFonts w:hint="eastAsia" w:ascii="宋体" w:hAnsi="宋体" w:eastAsia="宋体" w:cs="宋体"/>
                <w:color w:val="auto"/>
                <w:spacing w:val="15"/>
                <w:highlight w:val="none"/>
                <w:lang w:eastAsia="zh-CN"/>
              </w:rPr>
            </w:pPr>
            <w:r>
              <w:rPr>
                <w:rFonts w:hint="eastAsia" w:ascii="宋体" w:hAnsi="宋体" w:eastAsia="宋体" w:cs="宋体"/>
                <w:color w:val="auto"/>
                <w:spacing w:val="15"/>
                <w:highlight w:val="none"/>
                <w:lang w:eastAsia="zh-CN"/>
              </w:rPr>
              <w:t>地址：</w:t>
            </w:r>
            <w:r>
              <w:rPr>
                <w:rFonts w:hint="eastAsia" w:ascii="宋体" w:hAnsi="宋体" w:eastAsia="宋体" w:cs="宋体"/>
                <w:color w:val="auto"/>
                <w:spacing w:val="15"/>
                <w:highlight w:val="none"/>
                <w:lang w:val="en-US" w:eastAsia="zh-CN"/>
              </w:rPr>
              <w:t>乐昌市昌山北路23号行政服务中心大院内（韶关市公共资源交易中心乐昌分中心</w:t>
            </w:r>
            <w:r>
              <w:rPr>
                <w:rFonts w:hint="eastAsia" w:ascii="宋体" w:hAnsi="宋体" w:eastAsia="宋体" w:cs="宋体"/>
                <w:color w:val="auto"/>
                <w:spacing w:val="15"/>
                <w:highlight w:val="none"/>
                <w:lang w:eastAsia="zh-CN"/>
              </w:rPr>
              <w:t>），具体房间号以当日现场通知为准。</w:t>
            </w:r>
          </w:p>
        </w:tc>
      </w:tr>
      <w:tr w14:paraId="6E48C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1903" w:type="dxa"/>
            <w:tcBorders>
              <w:top w:val="single" w:color="auto" w:sz="4" w:space="0"/>
              <w:left w:val="single" w:color="auto" w:sz="4" w:space="0"/>
              <w:bottom w:val="single" w:color="auto" w:sz="4" w:space="0"/>
            </w:tcBorders>
            <w:vAlign w:val="top"/>
          </w:tcPr>
          <w:p w14:paraId="379984EE">
            <w:pPr>
              <w:pStyle w:val="23"/>
              <w:spacing w:before="236" w:line="226" w:lineRule="auto"/>
              <w:ind w:left="327"/>
              <w:rPr>
                <w:color w:val="auto"/>
                <w:highlight w:val="none"/>
              </w:rPr>
            </w:pPr>
            <w:r>
              <w:rPr>
                <w:b/>
                <w:bCs/>
                <w:color w:val="auto"/>
                <w:spacing w:val="6"/>
                <w:highlight w:val="none"/>
              </w:rPr>
              <w:t>发布公告媒介</w:t>
            </w:r>
          </w:p>
        </w:tc>
        <w:tc>
          <w:tcPr>
            <w:tcW w:w="7793" w:type="dxa"/>
            <w:gridSpan w:val="4"/>
            <w:tcBorders>
              <w:top w:val="single" w:color="auto" w:sz="4" w:space="0"/>
              <w:bottom w:val="single" w:color="auto" w:sz="4" w:space="0"/>
              <w:right w:val="single" w:color="auto" w:sz="4" w:space="0"/>
            </w:tcBorders>
            <w:vAlign w:val="top"/>
          </w:tcPr>
          <w:p w14:paraId="2E55E665">
            <w:pPr>
              <w:pStyle w:val="23"/>
              <w:spacing w:before="33" w:line="359" w:lineRule="auto"/>
              <w:ind w:left="140" w:right="164" w:hanging="23"/>
              <w:rPr>
                <w:color w:val="auto"/>
                <w:highlight w:val="none"/>
              </w:rPr>
            </w:pPr>
            <w:r>
              <w:rPr>
                <w:color w:val="auto"/>
                <w:spacing w:val="8"/>
                <w:highlight w:val="none"/>
              </w:rPr>
              <w:t>广东省招标投标监管网、</w:t>
            </w:r>
            <w:r>
              <w:rPr>
                <w:rFonts w:hint="eastAsia"/>
                <w:color w:val="auto"/>
                <w:highlight w:val="none"/>
              </w:rPr>
              <w:t>全国公共资源交易平台（广东省·韶关市）</w:t>
            </w:r>
            <w:r>
              <w:rPr>
                <w:color w:val="auto"/>
                <w:spacing w:val="7"/>
                <w:highlight w:val="none"/>
              </w:rPr>
              <w:t>网站，如公告详细内容不一致者，以广东省招标投标监管网公告为准。</w:t>
            </w:r>
          </w:p>
        </w:tc>
      </w:tr>
      <w:tr w14:paraId="6A5A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903" w:type="dxa"/>
            <w:tcBorders>
              <w:top w:val="single" w:color="auto" w:sz="4" w:space="0"/>
            </w:tcBorders>
            <w:vAlign w:val="center"/>
          </w:tcPr>
          <w:p w14:paraId="7799EBC0">
            <w:pPr>
              <w:pStyle w:val="23"/>
              <w:spacing w:before="113" w:line="228" w:lineRule="auto"/>
              <w:ind w:left="641"/>
              <w:jc w:val="both"/>
              <w:rPr>
                <w:color w:val="auto"/>
                <w:highlight w:val="none"/>
              </w:rPr>
            </w:pPr>
            <w:r>
              <w:rPr>
                <w:b/>
                <w:bCs/>
                <w:color w:val="auto"/>
                <w:spacing w:val="5"/>
                <w:highlight w:val="none"/>
              </w:rPr>
              <w:t>招标人</w:t>
            </w:r>
          </w:p>
        </w:tc>
        <w:tc>
          <w:tcPr>
            <w:tcW w:w="1979" w:type="dxa"/>
            <w:tcBorders>
              <w:top w:val="single" w:color="auto" w:sz="4" w:space="0"/>
            </w:tcBorders>
            <w:vAlign w:val="center"/>
          </w:tcPr>
          <w:p w14:paraId="6958289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乐昌市地方公路站</w:t>
            </w:r>
          </w:p>
        </w:tc>
        <w:tc>
          <w:tcPr>
            <w:tcW w:w="1663" w:type="dxa"/>
            <w:tcBorders>
              <w:top w:val="single" w:color="auto" w:sz="4" w:space="0"/>
            </w:tcBorders>
            <w:vAlign w:val="center"/>
          </w:tcPr>
          <w:p w14:paraId="5CCAF280">
            <w:pPr>
              <w:pStyle w:val="23"/>
              <w:spacing w:before="113" w:line="230" w:lineRule="auto"/>
              <w:ind w:left="414"/>
              <w:jc w:val="both"/>
              <w:rPr>
                <w:color w:val="auto"/>
                <w:highlight w:val="none"/>
              </w:rPr>
            </w:pPr>
            <w:r>
              <w:rPr>
                <w:b/>
                <w:bCs/>
                <w:color w:val="auto"/>
                <w:spacing w:val="6"/>
                <w:highlight w:val="none"/>
              </w:rPr>
              <w:t>联系地址</w:t>
            </w:r>
          </w:p>
        </w:tc>
        <w:tc>
          <w:tcPr>
            <w:tcW w:w="4151" w:type="dxa"/>
            <w:gridSpan w:val="2"/>
            <w:tcBorders>
              <w:top w:val="single" w:color="auto" w:sz="4" w:space="0"/>
            </w:tcBorders>
            <w:vAlign w:val="center"/>
          </w:tcPr>
          <w:p w14:paraId="1F4017D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乐昌市公主下路62号</w:t>
            </w:r>
          </w:p>
        </w:tc>
      </w:tr>
      <w:tr w14:paraId="500AD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1903" w:type="dxa"/>
            <w:vAlign w:val="center"/>
          </w:tcPr>
          <w:p w14:paraId="78772B45">
            <w:pPr>
              <w:pStyle w:val="23"/>
              <w:spacing w:before="48" w:line="228" w:lineRule="auto"/>
              <w:ind w:left="324"/>
              <w:jc w:val="both"/>
              <w:rPr>
                <w:color w:val="auto"/>
                <w:highlight w:val="none"/>
              </w:rPr>
            </w:pPr>
            <w:r>
              <w:rPr>
                <w:b/>
                <w:bCs/>
                <w:color w:val="auto"/>
                <w:spacing w:val="6"/>
                <w:highlight w:val="none"/>
              </w:rPr>
              <w:t>招标人联系人</w:t>
            </w:r>
          </w:p>
        </w:tc>
        <w:tc>
          <w:tcPr>
            <w:tcW w:w="1979" w:type="dxa"/>
            <w:vAlign w:val="center"/>
          </w:tcPr>
          <w:p w14:paraId="7095919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扶工</w:t>
            </w:r>
          </w:p>
        </w:tc>
        <w:tc>
          <w:tcPr>
            <w:tcW w:w="1663" w:type="dxa"/>
            <w:vAlign w:val="center"/>
          </w:tcPr>
          <w:p w14:paraId="45D15122">
            <w:pPr>
              <w:pStyle w:val="23"/>
              <w:spacing w:before="47" w:line="230" w:lineRule="auto"/>
              <w:ind w:left="414"/>
              <w:jc w:val="both"/>
              <w:rPr>
                <w:color w:val="auto"/>
                <w:highlight w:val="none"/>
              </w:rPr>
            </w:pPr>
            <w:r>
              <w:rPr>
                <w:b/>
                <w:bCs/>
                <w:color w:val="auto"/>
                <w:spacing w:val="6"/>
                <w:highlight w:val="none"/>
              </w:rPr>
              <w:t>联系电话</w:t>
            </w:r>
          </w:p>
        </w:tc>
        <w:tc>
          <w:tcPr>
            <w:tcW w:w="4151" w:type="dxa"/>
            <w:gridSpan w:val="2"/>
            <w:vAlign w:val="center"/>
          </w:tcPr>
          <w:p w14:paraId="73097A9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0751-5552728</w:t>
            </w:r>
          </w:p>
        </w:tc>
      </w:tr>
      <w:tr w14:paraId="59F65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03" w:type="dxa"/>
            <w:vAlign w:val="center"/>
          </w:tcPr>
          <w:p w14:paraId="042E6E25">
            <w:pPr>
              <w:pStyle w:val="23"/>
              <w:spacing w:before="37" w:line="227" w:lineRule="auto"/>
              <w:ind w:left="324"/>
              <w:jc w:val="both"/>
              <w:rPr>
                <w:color w:val="auto"/>
                <w:highlight w:val="none"/>
              </w:rPr>
            </w:pPr>
            <w:r>
              <w:rPr>
                <w:b/>
                <w:bCs/>
                <w:color w:val="auto"/>
                <w:spacing w:val="6"/>
                <w:highlight w:val="none"/>
              </w:rPr>
              <w:t>招标代理机构</w:t>
            </w:r>
          </w:p>
        </w:tc>
        <w:tc>
          <w:tcPr>
            <w:tcW w:w="1979" w:type="dxa"/>
            <w:tcBorders>
              <w:bottom w:val="single" w:color="auto" w:sz="4" w:space="0"/>
            </w:tcBorders>
            <w:vAlign w:val="center"/>
          </w:tcPr>
          <w:p w14:paraId="63B0FA9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韶关恒源招标代理有限公司</w:t>
            </w:r>
          </w:p>
        </w:tc>
        <w:tc>
          <w:tcPr>
            <w:tcW w:w="1663" w:type="dxa"/>
            <w:vAlign w:val="center"/>
          </w:tcPr>
          <w:p w14:paraId="3422F60A">
            <w:pPr>
              <w:pStyle w:val="23"/>
              <w:spacing w:before="37" w:line="230" w:lineRule="auto"/>
              <w:ind w:left="414"/>
              <w:jc w:val="both"/>
              <w:rPr>
                <w:color w:val="auto"/>
                <w:highlight w:val="none"/>
              </w:rPr>
            </w:pPr>
            <w:r>
              <w:rPr>
                <w:b/>
                <w:bCs/>
                <w:color w:val="auto"/>
                <w:spacing w:val="6"/>
                <w:highlight w:val="none"/>
              </w:rPr>
              <w:t>联系地址</w:t>
            </w:r>
          </w:p>
        </w:tc>
        <w:tc>
          <w:tcPr>
            <w:tcW w:w="4151" w:type="dxa"/>
            <w:gridSpan w:val="2"/>
            <w:vAlign w:val="center"/>
          </w:tcPr>
          <w:p w14:paraId="0EFB1D5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乐昌市乐城街道东环横路3号顺华雅苑6幢203号-5</w:t>
            </w:r>
          </w:p>
        </w:tc>
      </w:tr>
      <w:tr w14:paraId="1AB5B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1903" w:type="dxa"/>
            <w:tcBorders>
              <w:right w:val="single" w:color="auto" w:sz="4" w:space="0"/>
            </w:tcBorders>
            <w:vAlign w:val="center"/>
          </w:tcPr>
          <w:p w14:paraId="311EB4C5">
            <w:pPr>
              <w:pStyle w:val="23"/>
              <w:spacing w:before="34" w:line="228" w:lineRule="auto"/>
              <w:ind w:left="219"/>
              <w:jc w:val="both"/>
              <w:rPr>
                <w:color w:val="auto"/>
                <w:highlight w:val="none"/>
              </w:rPr>
            </w:pPr>
            <w:r>
              <w:rPr>
                <w:b/>
                <w:bCs/>
                <w:color w:val="auto"/>
                <w:spacing w:val="7"/>
                <w:highlight w:val="none"/>
              </w:rPr>
              <w:t>招标代理联系人</w:t>
            </w:r>
          </w:p>
        </w:tc>
        <w:tc>
          <w:tcPr>
            <w:tcW w:w="1979" w:type="dxa"/>
            <w:tcBorders>
              <w:top w:val="single" w:color="auto" w:sz="4" w:space="0"/>
              <w:left w:val="single" w:color="auto" w:sz="4" w:space="0"/>
              <w:bottom w:val="single" w:color="auto" w:sz="4" w:space="0"/>
              <w:right w:val="single" w:color="auto" w:sz="4" w:space="0"/>
            </w:tcBorders>
            <w:vAlign w:val="center"/>
          </w:tcPr>
          <w:p w14:paraId="764FB43E">
            <w:pPr>
              <w:keepNext w:val="0"/>
              <w:keepLines w:val="0"/>
              <w:widowControl/>
              <w:suppressLineNumbers w:val="0"/>
              <w:jc w:val="center"/>
              <w:textAlignment w:val="center"/>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李工</w:t>
            </w:r>
          </w:p>
        </w:tc>
        <w:tc>
          <w:tcPr>
            <w:tcW w:w="1663" w:type="dxa"/>
            <w:tcBorders>
              <w:left w:val="single" w:color="auto" w:sz="4" w:space="0"/>
            </w:tcBorders>
            <w:vAlign w:val="center"/>
          </w:tcPr>
          <w:p w14:paraId="55C6F0DA">
            <w:pPr>
              <w:pStyle w:val="23"/>
              <w:spacing w:before="34" w:line="230" w:lineRule="auto"/>
              <w:ind w:left="414"/>
              <w:jc w:val="both"/>
              <w:rPr>
                <w:color w:val="auto"/>
                <w:highlight w:val="none"/>
              </w:rPr>
            </w:pPr>
            <w:r>
              <w:rPr>
                <w:b/>
                <w:bCs/>
                <w:color w:val="auto"/>
                <w:spacing w:val="6"/>
                <w:highlight w:val="none"/>
              </w:rPr>
              <w:t>联系电话</w:t>
            </w:r>
          </w:p>
        </w:tc>
        <w:tc>
          <w:tcPr>
            <w:tcW w:w="4151" w:type="dxa"/>
            <w:gridSpan w:val="2"/>
            <w:vAlign w:val="center"/>
          </w:tcPr>
          <w:p w14:paraId="7AE90AF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15820117508</w:t>
            </w:r>
          </w:p>
        </w:tc>
      </w:tr>
      <w:tr w14:paraId="5D805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903" w:type="dxa"/>
            <w:vAlign w:val="center"/>
          </w:tcPr>
          <w:p w14:paraId="248C581A">
            <w:pPr>
              <w:pStyle w:val="23"/>
              <w:spacing w:before="96" w:line="227" w:lineRule="auto"/>
              <w:ind w:left="324"/>
              <w:jc w:val="both"/>
              <w:rPr>
                <w:color w:val="auto"/>
                <w:highlight w:val="none"/>
              </w:rPr>
            </w:pPr>
            <w:r>
              <w:rPr>
                <w:b/>
                <w:bCs/>
                <w:color w:val="auto"/>
                <w:spacing w:val="6"/>
                <w:highlight w:val="none"/>
              </w:rPr>
              <w:t>招标监督机构</w:t>
            </w:r>
          </w:p>
        </w:tc>
        <w:tc>
          <w:tcPr>
            <w:tcW w:w="1979" w:type="dxa"/>
            <w:tcBorders>
              <w:top w:val="single" w:color="auto" w:sz="4" w:space="0"/>
            </w:tcBorders>
            <w:vAlign w:val="center"/>
          </w:tcPr>
          <w:p w14:paraId="3597A4B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乐昌市交通运输局</w:t>
            </w:r>
          </w:p>
        </w:tc>
        <w:tc>
          <w:tcPr>
            <w:tcW w:w="1663" w:type="dxa"/>
            <w:vAlign w:val="center"/>
          </w:tcPr>
          <w:p w14:paraId="3F6436D1">
            <w:pPr>
              <w:pStyle w:val="23"/>
              <w:spacing w:before="96" w:line="230" w:lineRule="auto"/>
              <w:ind w:left="414"/>
              <w:jc w:val="both"/>
              <w:rPr>
                <w:color w:val="auto"/>
                <w:highlight w:val="none"/>
              </w:rPr>
            </w:pPr>
            <w:r>
              <w:rPr>
                <w:b/>
                <w:bCs/>
                <w:color w:val="auto"/>
                <w:spacing w:val="6"/>
                <w:highlight w:val="none"/>
              </w:rPr>
              <w:t>联系电话</w:t>
            </w:r>
          </w:p>
        </w:tc>
        <w:tc>
          <w:tcPr>
            <w:tcW w:w="4151" w:type="dxa"/>
            <w:gridSpan w:val="2"/>
            <w:vAlign w:val="center"/>
          </w:tcPr>
          <w:p w14:paraId="068CBFD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0751-5574986</w:t>
            </w:r>
          </w:p>
        </w:tc>
      </w:tr>
      <w:tr w14:paraId="0BCEB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3" w:hRule="atLeast"/>
        </w:trPr>
        <w:tc>
          <w:tcPr>
            <w:tcW w:w="1903" w:type="dxa"/>
            <w:vAlign w:val="center"/>
          </w:tcPr>
          <w:p w14:paraId="54E28CC8">
            <w:pPr>
              <w:pStyle w:val="23"/>
              <w:spacing w:before="65" w:line="378" w:lineRule="auto"/>
              <w:ind w:left="554" w:right="213" w:hanging="335"/>
              <w:jc w:val="both"/>
              <w:rPr>
                <w:color w:val="auto"/>
                <w:highlight w:val="none"/>
              </w:rPr>
            </w:pPr>
            <w:r>
              <w:rPr>
                <w:b/>
                <w:bCs/>
                <w:color w:val="auto"/>
                <w:spacing w:val="7"/>
                <w:highlight w:val="none"/>
              </w:rPr>
              <w:t>其他依法应当载</w:t>
            </w:r>
            <w:r>
              <w:rPr>
                <w:b/>
                <w:bCs/>
                <w:color w:val="auto"/>
                <w:spacing w:val="1"/>
                <w:highlight w:val="none"/>
              </w:rPr>
              <w:t>明的内容</w:t>
            </w:r>
          </w:p>
        </w:tc>
        <w:tc>
          <w:tcPr>
            <w:tcW w:w="7793" w:type="dxa"/>
            <w:gridSpan w:val="4"/>
            <w:vAlign w:val="top"/>
          </w:tcPr>
          <w:p w14:paraId="1CC910FA">
            <w:pPr>
              <w:pStyle w:val="23"/>
              <w:spacing w:before="46" w:line="360" w:lineRule="auto"/>
              <w:ind w:left="120" w:right="113" w:firstLine="12"/>
              <w:rPr>
                <w:color w:val="auto"/>
                <w:highlight w:val="none"/>
              </w:rPr>
            </w:pPr>
            <w:r>
              <w:rPr>
                <w:color w:val="auto"/>
                <w:spacing w:val="9"/>
                <w:highlight w:val="none"/>
              </w:rPr>
              <w:t>1.本招标项目</w:t>
            </w:r>
            <w:r>
              <w:rPr>
                <w:color w:val="auto"/>
                <w:spacing w:val="-96"/>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长征国家文化公园(乐昌段)旅游公路建设项目二期</w:t>
            </w:r>
            <w:r>
              <w:rPr>
                <w:color w:val="auto"/>
                <w:spacing w:val="-53"/>
                <w:highlight w:val="none"/>
                <w:u w:val="single" w:color="auto"/>
              </w:rPr>
              <w:t xml:space="preserve"> </w:t>
            </w:r>
            <w:r>
              <w:rPr>
                <w:color w:val="auto"/>
                <w:spacing w:val="9"/>
                <w:highlight w:val="none"/>
              </w:rPr>
              <w:t>已由</w:t>
            </w:r>
            <w:r>
              <w:rPr>
                <w:color w:val="auto"/>
                <w:spacing w:val="8"/>
                <w:highlight w:val="none"/>
                <w:u w:val="single" w:color="auto"/>
              </w:rPr>
              <w:t xml:space="preserve"> </w:t>
            </w:r>
            <w:r>
              <w:rPr>
                <w:rFonts w:hint="eastAsia"/>
                <w:color w:val="auto"/>
                <w:spacing w:val="8"/>
                <w:highlight w:val="none"/>
                <w:u w:val="single" w:color="auto"/>
                <w:lang w:val="en-US" w:eastAsia="zh-CN"/>
              </w:rPr>
              <w:t>乐昌市发展和改革局</w:t>
            </w:r>
            <w:r>
              <w:rPr>
                <w:color w:val="auto"/>
                <w:spacing w:val="-48"/>
                <w:highlight w:val="none"/>
                <w:u w:val="single" w:color="auto"/>
              </w:rPr>
              <w:t xml:space="preserve"> </w:t>
            </w:r>
            <w:r>
              <w:rPr>
                <w:color w:val="auto"/>
                <w:spacing w:val="7"/>
                <w:highlight w:val="none"/>
              </w:rPr>
              <w:t>以</w:t>
            </w:r>
            <w:r>
              <w:rPr>
                <w:color w:val="auto"/>
                <w:spacing w:val="7"/>
                <w:highlight w:val="none"/>
                <w:u w:val="single" w:color="auto"/>
              </w:rPr>
              <w:t xml:space="preserve"> </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乐昌市发展和改革局关于长征国家文化公园(乐昌段)旅游公路建设项目二期可行性研究报告的批复</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乐发改投审〔2025〕74号</w:t>
            </w:r>
            <w:r>
              <w:rPr>
                <w:rFonts w:hint="eastAsia"/>
                <w:color w:val="auto"/>
                <w:spacing w:val="7"/>
                <w:highlight w:val="none"/>
                <w:u w:val="single" w:color="auto"/>
                <w:lang w:eastAsia="zh-CN"/>
              </w:rPr>
              <w:t>）</w:t>
            </w:r>
            <w:r>
              <w:rPr>
                <w:rFonts w:hint="eastAsia" w:ascii="宋体" w:hAnsi="宋体" w:cs="宋体"/>
                <w:color w:val="auto"/>
                <w:spacing w:val="4"/>
                <w:sz w:val="20"/>
                <w:szCs w:val="20"/>
                <w:highlight w:val="none"/>
              </w:rPr>
              <w:t>批准建设</w:t>
            </w:r>
            <w:r>
              <w:rPr>
                <w:color w:val="auto"/>
                <w:spacing w:val="7"/>
                <w:highlight w:val="none"/>
              </w:rPr>
              <w:t>，</w:t>
            </w:r>
            <w:r>
              <w:rPr>
                <w:rFonts w:hint="eastAsia"/>
                <w:color w:val="auto"/>
                <w:spacing w:val="7"/>
                <w:highlight w:val="none"/>
                <w:lang w:val="en-US" w:eastAsia="zh-CN"/>
              </w:rPr>
              <w:t>施工图</w:t>
            </w:r>
            <w:r>
              <w:rPr>
                <w:color w:val="auto"/>
                <w:spacing w:val="7"/>
                <w:highlight w:val="none"/>
              </w:rPr>
              <w:t>设计已由</w:t>
            </w:r>
            <w:r>
              <w:rPr>
                <w:color w:val="auto"/>
                <w:spacing w:val="7"/>
                <w:highlight w:val="none"/>
                <w:u w:val="single" w:color="auto"/>
              </w:rPr>
              <w:t xml:space="preserve">  </w:t>
            </w:r>
            <w:r>
              <w:rPr>
                <w:rFonts w:hint="eastAsia"/>
                <w:color w:val="auto"/>
                <w:spacing w:val="7"/>
                <w:highlight w:val="none"/>
                <w:u w:val="single" w:color="auto"/>
                <w:lang w:eastAsia="zh-CN"/>
              </w:rPr>
              <w:t>乐昌市交通运输局</w:t>
            </w:r>
            <w:r>
              <w:rPr>
                <w:color w:val="auto"/>
                <w:spacing w:val="12"/>
                <w:highlight w:val="none"/>
              </w:rPr>
              <w:t>以</w:t>
            </w:r>
            <w:r>
              <w:rPr>
                <w:color w:val="auto"/>
                <w:spacing w:val="-92"/>
                <w:highlight w:val="none"/>
              </w:rPr>
              <w:t xml:space="preserve"> </w:t>
            </w:r>
            <w:r>
              <w:rPr>
                <w:color w:val="auto"/>
                <w:highlight w:val="none"/>
                <w:u w:val="single" w:color="auto"/>
              </w:rPr>
              <w:t xml:space="preserve"> </w:t>
            </w:r>
            <w:r>
              <w:rPr>
                <w:rFonts w:hint="eastAsia"/>
                <w:color w:val="auto"/>
                <w:highlight w:val="none"/>
                <w:u w:val="single" w:color="auto"/>
                <w:lang w:eastAsia="zh-CN"/>
              </w:rPr>
              <w:t>《</w:t>
            </w:r>
            <w:r>
              <w:rPr>
                <w:rFonts w:hint="eastAsia"/>
                <w:color w:val="auto"/>
                <w:highlight w:val="none"/>
                <w:u w:val="single" w:color="auto"/>
              </w:rPr>
              <w:t>关于</w:t>
            </w:r>
            <w:r>
              <w:rPr>
                <w:rFonts w:hint="eastAsia"/>
                <w:color w:val="auto"/>
                <w:highlight w:val="none"/>
                <w:u w:val="single" w:color="auto"/>
                <w:lang w:eastAsia="zh-CN"/>
              </w:rPr>
              <w:t>长征国家文化公园(乐昌段)旅游公路建设项目二期-X826线坪石至桃坪(K0+000-K21+000段)</w:t>
            </w:r>
            <w:r>
              <w:rPr>
                <w:rFonts w:hint="eastAsia"/>
                <w:color w:val="auto"/>
                <w:highlight w:val="none"/>
                <w:u w:val="single" w:color="auto"/>
              </w:rPr>
              <w:t>施工图设计的批复</w:t>
            </w:r>
            <w:r>
              <w:rPr>
                <w:rFonts w:hint="eastAsia"/>
                <w:color w:val="auto"/>
                <w:highlight w:val="none"/>
                <w:u w:val="single" w:color="auto"/>
                <w:lang w:eastAsia="zh-CN"/>
              </w:rPr>
              <w:t>》</w:t>
            </w:r>
            <w:r>
              <w:rPr>
                <w:rFonts w:hint="eastAsia"/>
                <w:color w:val="auto"/>
                <w:highlight w:val="none"/>
                <w:u w:val="single" w:color="auto"/>
              </w:rPr>
              <w:t>（</w:t>
            </w:r>
            <w:r>
              <w:rPr>
                <w:rFonts w:hint="eastAsia"/>
                <w:color w:val="auto"/>
                <w:highlight w:val="none"/>
                <w:u w:val="single" w:color="auto"/>
                <w:lang w:val="en-US" w:eastAsia="zh-CN"/>
              </w:rPr>
              <w:t>乐</w:t>
            </w:r>
            <w:r>
              <w:rPr>
                <w:rFonts w:hint="eastAsia"/>
                <w:color w:val="auto"/>
                <w:highlight w:val="none"/>
                <w:u w:val="single" w:color="auto"/>
              </w:rPr>
              <w:t>交</w:t>
            </w:r>
            <w:r>
              <w:rPr>
                <w:rFonts w:hint="eastAsia"/>
                <w:color w:val="auto"/>
                <w:highlight w:val="none"/>
                <w:u w:val="single" w:color="auto"/>
                <w:lang w:val="en-US" w:eastAsia="zh-CN"/>
              </w:rPr>
              <w:t>字</w:t>
            </w:r>
            <w:r>
              <w:rPr>
                <w:rFonts w:hint="eastAsia"/>
                <w:color w:val="auto"/>
                <w:highlight w:val="none"/>
                <w:u w:val="single" w:color="auto"/>
              </w:rPr>
              <w:t>〔202</w:t>
            </w:r>
            <w:r>
              <w:rPr>
                <w:rFonts w:hint="eastAsia"/>
                <w:color w:val="auto"/>
                <w:highlight w:val="none"/>
                <w:u w:val="single" w:color="auto"/>
                <w:lang w:val="en-US" w:eastAsia="zh-CN"/>
              </w:rPr>
              <w:t>6</w:t>
            </w:r>
            <w:r>
              <w:rPr>
                <w:rFonts w:hint="eastAsia"/>
                <w:color w:val="auto"/>
                <w:highlight w:val="none"/>
                <w:u w:val="single" w:color="auto"/>
              </w:rPr>
              <w:t>〕</w:t>
            </w:r>
            <w:r>
              <w:rPr>
                <w:rFonts w:hint="eastAsia"/>
                <w:color w:val="auto"/>
                <w:highlight w:val="none"/>
                <w:u w:val="single" w:color="auto"/>
                <w:lang w:val="en-US" w:eastAsia="zh-CN"/>
              </w:rPr>
              <w:t>17</w:t>
            </w:r>
            <w:r>
              <w:rPr>
                <w:rFonts w:hint="eastAsia"/>
                <w:color w:val="auto"/>
                <w:highlight w:val="none"/>
                <w:u w:val="single" w:color="auto"/>
              </w:rPr>
              <w:t>号）</w:t>
            </w:r>
            <w:r>
              <w:rPr>
                <w:color w:val="auto"/>
                <w:spacing w:val="12"/>
                <w:highlight w:val="none"/>
              </w:rPr>
              <w:t>批准，建设单位为</w:t>
            </w:r>
            <w:r>
              <w:rPr>
                <w:color w:val="auto"/>
                <w:spacing w:val="-8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乐昌市地方公路站</w:t>
            </w:r>
            <w:r>
              <w:rPr>
                <w:color w:val="auto"/>
                <w:spacing w:val="12"/>
                <w:highlight w:val="none"/>
                <w:u w:val="none" w:color="auto"/>
              </w:rPr>
              <w:t>，</w:t>
            </w:r>
            <w:r>
              <w:rPr>
                <w:color w:val="auto"/>
                <w:spacing w:val="12"/>
                <w:highlight w:val="none"/>
              </w:rPr>
              <w:t>招标人</w:t>
            </w:r>
            <w:r>
              <w:rPr>
                <w:color w:val="auto"/>
                <w:spacing w:val="-1"/>
                <w:highlight w:val="none"/>
              </w:rPr>
              <w:t>为</w:t>
            </w:r>
            <w:r>
              <w:rPr>
                <w:rFonts w:hint="eastAsia"/>
                <w:color w:val="auto"/>
                <w:spacing w:val="5"/>
                <w:highlight w:val="none"/>
                <w:u w:val="single" w:color="auto"/>
                <w:lang w:val="en-US" w:eastAsia="zh-CN"/>
              </w:rPr>
              <w:t>乐昌市地方公路站</w:t>
            </w:r>
            <w:r>
              <w:rPr>
                <w:color w:val="auto"/>
                <w:spacing w:val="4"/>
                <w:highlight w:val="none"/>
                <w:u w:val="single" w:color="auto"/>
              </w:rPr>
              <w:t xml:space="preserve"> </w:t>
            </w:r>
            <w:r>
              <w:rPr>
                <w:color w:val="auto"/>
                <w:spacing w:val="-1"/>
                <w:highlight w:val="none"/>
              </w:rPr>
              <w:t>。</w:t>
            </w:r>
          </w:p>
          <w:p w14:paraId="69AE49D2">
            <w:pPr>
              <w:pStyle w:val="23"/>
              <w:spacing w:before="160" w:line="360" w:lineRule="auto"/>
              <w:ind w:left="117" w:right="113" w:firstLine="3"/>
              <w:rPr>
                <w:color w:val="auto"/>
                <w:highlight w:val="none"/>
              </w:rPr>
            </w:pPr>
            <w:r>
              <w:rPr>
                <w:color w:val="auto"/>
                <w:spacing w:val="11"/>
                <w:highlight w:val="none"/>
              </w:rPr>
              <w:t>2.被广东省交通运输厅评为</w:t>
            </w:r>
            <w:r>
              <w:rPr>
                <w:color w:val="auto"/>
                <w:spacing w:val="-94"/>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6"/>
                <w:highlight w:val="none"/>
              </w:rPr>
              <w:t xml:space="preserve"> </w:t>
            </w:r>
            <w:r>
              <w:rPr>
                <w:color w:val="auto"/>
                <w:spacing w:val="11"/>
                <w:highlight w:val="none"/>
              </w:rPr>
              <w:t>级信用等级的投标人，最多可对其中的</w:t>
            </w:r>
            <w:r>
              <w:rPr>
                <w:color w:val="auto"/>
                <w:spacing w:val="-96"/>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1"/>
                <w:highlight w:val="none"/>
              </w:rPr>
              <w:t>个</w:t>
            </w:r>
            <w:r>
              <w:rPr>
                <w:color w:val="auto"/>
                <w:spacing w:val="11"/>
                <w:highlight w:val="none"/>
                <w:u w:val="single" w:color="auto"/>
              </w:rPr>
              <w:t>标</w:t>
            </w:r>
            <w:r>
              <w:rPr>
                <w:color w:val="auto"/>
                <w:spacing w:val="12"/>
                <w:highlight w:val="none"/>
                <w:u w:val="single" w:color="auto"/>
              </w:rPr>
              <w:t>类或标段</w:t>
            </w:r>
            <w:r>
              <w:rPr>
                <w:color w:val="auto"/>
                <w:spacing w:val="12"/>
                <w:highlight w:val="none"/>
              </w:rPr>
              <w:t>进行投标，其余投标人最多可对其中的</w:t>
            </w:r>
            <w:r>
              <w:rPr>
                <w:color w:val="auto"/>
                <w:spacing w:val="-85"/>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91"/>
                <w:highlight w:val="none"/>
              </w:rPr>
              <w:t xml:space="preserve"> </w:t>
            </w:r>
            <w:r>
              <w:rPr>
                <w:color w:val="auto"/>
                <w:spacing w:val="12"/>
                <w:highlight w:val="none"/>
              </w:rPr>
              <w:t>个</w:t>
            </w:r>
            <w:r>
              <w:rPr>
                <w:color w:val="auto"/>
                <w:spacing w:val="12"/>
                <w:highlight w:val="none"/>
                <w:u w:val="single" w:color="auto"/>
              </w:rPr>
              <w:t>标类或</w:t>
            </w:r>
            <w:r>
              <w:rPr>
                <w:color w:val="auto"/>
                <w:spacing w:val="12"/>
                <w:highlight w:val="none"/>
              </w:rPr>
              <w:t>标段进行投标，每个</w:t>
            </w:r>
            <w:r>
              <w:rPr>
                <w:color w:val="auto"/>
                <w:spacing w:val="9"/>
                <w:highlight w:val="none"/>
              </w:rPr>
              <w:t>投标人只允许中</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77"/>
                <w:highlight w:val="none"/>
              </w:rPr>
              <w:t xml:space="preserve"> </w:t>
            </w:r>
            <w:r>
              <w:rPr>
                <w:color w:val="auto"/>
                <w:spacing w:val="9"/>
                <w:highlight w:val="none"/>
              </w:rPr>
              <w:t>个标段。（本款所指的信用等级为广东省交通运输厅最新年度发布的广东省公路工程从业单位信用等级（监理单位</w:t>
            </w:r>
            <w:r>
              <w:rPr>
                <w:color w:val="auto"/>
                <w:spacing w:val="24"/>
                <w:highlight w:val="none"/>
              </w:rPr>
              <w:t>），</w:t>
            </w:r>
            <w:r>
              <w:rPr>
                <w:color w:val="auto"/>
                <w:spacing w:val="9"/>
                <w:highlight w:val="none"/>
              </w:rPr>
              <w:t>投标登记阶段无需承诺是否</w:t>
            </w:r>
            <w:r>
              <w:rPr>
                <w:color w:val="auto"/>
                <w:spacing w:val="8"/>
                <w:highlight w:val="none"/>
              </w:rPr>
              <w:t>在此次投标过程中使用）。</w:t>
            </w:r>
          </w:p>
          <w:p w14:paraId="641974B5">
            <w:pPr>
              <w:pStyle w:val="23"/>
              <w:spacing w:before="1" w:line="360" w:lineRule="auto"/>
              <w:ind w:left="119" w:right="113" w:firstLine="2"/>
              <w:rPr>
                <w:color w:val="auto"/>
                <w:spacing w:val="9"/>
                <w:highlight w:val="none"/>
              </w:rPr>
            </w:pPr>
            <w:r>
              <w:rPr>
                <w:color w:val="auto"/>
                <w:spacing w:val="9"/>
                <w:highlight w:val="none"/>
              </w:rPr>
              <w:t>3.与招标人存在利害关系可能影响招标公正性的法人，不得参加投标；若单位负责</w:t>
            </w:r>
            <w:r>
              <w:rPr>
                <w:color w:val="auto"/>
                <w:spacing w:val="12"/>
                <w:highlight w:val="none"/>
              </w:rPr>
              <w:t>人为同一人、或者存在控股、管理关系的不</w:t>
            </w:r>
            <w:r>
              <w:rPr>
                <w:color w:val="auto"/>
                <w:spacing w:val="11"/>
                <w:highlight w:val="none"/>
              </w:rPr>
              <w:t>同单位，不得参加同一标段投标或</w:t>
            </w:r>
          </w:p>
          <w:p w14:paraId="7106703A">
            <w:pPr>
              <w:pStyle w:val="23"/>
              <w:spacing w:before="35" w:line="228" w:lineRule="auto"/>
              <w:ind w:left="119"/>
              <w:rPr>
                <w:color w:val="auto"/>
                <w:highlight w:val="none"/>
              </w:rPr>
            </w:pPr>
            <w:r>
              <w:rPr>
                <w:color w:val="auto"/>
                <w:spacing w:val="9"/>
                <w:highlight w:val="none"/>
              </w:rPr>
              <w:t>者未划分标段的同一招标项目投标，否则按否决其投标处理。</w:t>
            </w:r>
          </w:p>
          <w:p w14:paraId="67DFC285">
            <w:pPr>
              <w:pStyle w:val="23"/>
              <w:spacing w:before="160" w:line="370" w:lineRule="auto"/>
              <w:ind w:left="118" w:right="113" w:hanging="1"/>
              <w:rPr>
                <w:color w:val="auto"/>
                <w:highlight w:val="none"/>
              </w:rPr>
            </w:pPr>
            <w:r>
              <w:rPr>
                <w:color w:val="auto"/>
                <w:spacing w:val="10"/>
                <w:highlight w:val="none"/>
              </w:rPr>
              <w:t>4.投标人及与投标人有隶属关系或其他利害关系的</w:t>
            </w:r>
            <w:r>
              <w:rPr>
                <w:color w:val="auto"/>
                <w:spacing w:val="9"/>
                <w:highlight w:val="none"/>
              </w:rPr>
              <w:t>单位同时参加本工程项目施工监</w:t>
            </w:r>
            <w:r>
              <w:rPr>
                <w:color w:val="auto"/>
                <w:spacing w:val="10"/>
                <w:highlight w:val="none"/>
              </w:rPr>
              <w:t>理和中心试验室试验检测服务的投标时，对于工作范围有重合的施工</w:t>
            </w:r>
            <w:r>
              <w:rPr>
                <w:color w:val="auto"/>
                <w:spacing w:val="9"/>
                <w:highlight w:val="none"/>
              </w:rPr>
              <w:t>监理标段和中</w:t>
            </w:r>
            <w:r>
              <w:rPr>
                <w:color w:val="auto"/>
                <w:spacing w:val="12"/>
                <w:highlight w:val="none"/>
              </w:rPr>
              <w:t>心试验室试验检测服务标段不允许兼中，即施工监理</w:t>
            </w:r>
            <w:r>
              <w:rPr>
                <w:color w:val="auto"/>
                <w:spacing w:val="-87"/>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2"/>
                <w:highlight w:val="none"/>
              </w:rPr>
              <w:t>标段与中心试验室试验检</w:t>
            </w:r>
            <w:r>
              <w:rPr>
                <w:color w:val="auto"/>
                <w:spacing w:val="6"/>
                <w:highlight w:val="none"/>
              </w:rPr>
              <w:t>测服务</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77"/>
                <w:highlight w:val="none"/>
              </w:rPr>
              <w:t xml:space="preserve"> </w:t>
            </w:r>
            <w:r>
              <w:rPr>
                <w:color w:val="auto"/>
                <w:spacing w:val="6"/>
                <w:highlight w:val="none"/>
              </w:rPr>
              <w:t>标段工作范围重合。</w:t>
            </w:r>
          </w:p>
          <w:p w14:paraId="165133A5">
            <w:pPr>
              <w:pStyle w:val="23"/>
              <w:spacing w:before="14" w:line="310" w:lineRule="auto"/>
              <w:ind w:left="126" w:right="113" w:hanging="4"/>
              <w:rPr>
                <w:color w:val="auto"/>
                <w:highlight w:val="none"/>
              </w:rPr>
            </w:pPr>
            <w:r>
              <w:rPr>
                <w:color w:val="auto"/>
                <w:spacing w:val="11"/>
                <w:highlight w:val="none"/>
              </w:rPr>
              <w:t>5.在“信用中国</w:t>
            </w:r>
            <w:r>
              <w:rPr>
                <w:color w:val="auto"/>
                <w:spacing w:val="-56"/>
                <w:highlight w:val="none"/>
              </w:rPr>
              <w:t xml:space="preserve"> </w:t>
            </w:r>
            <w:r>
              <w:rPr>
                <w:color w:val="auto"/>
                <w:spacing w:val="11"/>
                <w:highlight w:val="none"/>
              </w:rPr>
              <w:t>”网站中被列入失信被执行人名单的投标人，在国家企业信用信</w:t>
            </w:r>
            <w:r>
              <w:rPr>
                <w:color w:val="auto"/>
                <w:spacing w:val="9"/>
                <w:highlight w:val="none"/>
              </w:rPr>
              <w:t>息公示系统中被列入严重违法失信名单的投标人，均按否决投标处理。</w:t>
            </w:r>
          </w:p>
          <w:p w14:paraId="7BAC96A3">
            <w:pPr>
              <w:pStyle w:val="23"/>
              <w:spacing w:before="1" w:line="226" w:lineRule="auto"/>
              <w:ind w:left="118"/>
              <w:rPr>
                <w:color w:val="auto"/>
                <w:highlight w:val="none"/>
              </w:rPr>
            </w:pPr>
            <w:r>
              <w:rPr>
                <w:color w:val="auto"/>
                <w:spacing w:val="6"/>
                <w:highlight w:val="none"/>
              </w:rPr>
              <w:t>6.</w:t>
            </w:r>
            <w:r>
              <w:rPr>
                <w:color w:val="auto"/>
                <w:spacing w:val="8"/>
                <w:highlight w:val="none"/>
              </w:rPr>
              <w:t>招标人将</w:t>
            </w:r>
            <w:r>
              <w:rPr>
                <w:color w:val="auto"/>
                <w:spacing w:val="8"/>
                <w:highlight w:val="none"/>
                <w:u w:val="single" w:color="auto"/>
              </w:rPr>
              <w:t xml:space="preserve"> 不组织</w:t>
            </w:r>
            <w:r>
              <w:rPr>
                <w:rFonts w:hint="eastAsia"/>
                <w:color w:val="auto"/>
                <w:spacing w:val="8"/>
                <w:highlight w:val="none"/>
                <w:u w:val="single" w:color="auto"/>
                <w:lang w:val="en-US" w:eastAsia="zh-CN"/>
              </w:rPr>
              <w:t xml:space="preserve"> </w:t>
            </w:r>
            <w:r>
              <w:rPr>
                <w:color w:val="auto"/>
                <w:spacing w:val="8"/>
                <w:highlight w:val="none"/>
              </w:rPr>
              <w:t>踏勘现场和投标预备会。</w:t>
            </w:r>
          </w:p>
          <w:p w14:paraId="5D5CC557">
            <w:pPr>
              <w:pStyle w:val="23"/>
              <w:spacing w:before="163" w:line="356" w:lineRule="auto"/>
              <w:ind w:left="117" w:right="113" w:firstLine="2"/>
              <w:rPr>
                <w:color w:val="auto"/>
                <w:highlight w:val="none"/>
              </w:rPr>
            </w:pPr>
            <w:r>
              <w:rPr>
                <w:rFonts w:hint="eastAsia" w:ascii="MingLiU-ExtB" w:hAnsi="MingLiU-ExtB" w:cs="MingLiU-ExtB"/>
                <w:color w:val="auto"/>
                <w:spacing w:val="9"/>
                <w:highlight w:val="none"/>
                <w:lang w:val="en-US" w:eastAsia="zh-CN"/>
              </w:rPr>
              <w:t>7</w:t>
            </w:r>
            <w:r>
              <w:rPr>
                <w:color w:val="auto"/>
                <w:spacing w:val="9"/>
                <w:highlight w:val="none"/>
              </w:rPr>
              <w:t>.在规定的投标登记期间，如某个标段投标登记并获取招标</w:t>
            </w:r>
            <w:r>
              <w:rPr>
                <w:color w:val="auto"/>
                <w:spacing w:val="8"/>
                <w:highlight w:val="none"/>
              </w:rPr>
              <w:t>文件的投标人不足</w:t>
            </w:r>
            <w:r>
              <w:rPr>
                <w:color w:val="auto"/>
                <w:spacing w:val="-33"/>
                <w:highlight w:val="none"/>
              </w:rPr>
              <w:t xml:space="preserve"> </w:t>
            </w:r>
            <w:r>
              <w:rPr>
                <w:color w:val="auto"/>
                <w:spacing w:val="8"/>
                <w:highlight w:val="none"/>
              </w:rPr>
              <w:t>3</w:t>
            </w:r>
            <w:r>
              <w:rPr>
                <w:color w:val="auto"/>
                <w:spacing w:val="-36"/>
                <w:highlight w:val="none"/>
              </w:rPr>
              <w:t xml:space="preserve"> </w:t>
            </w:r>
            <w:r>
              <w:rPr>
                <w:color w:val="auto"/>
                <w:spacing w:val="8"/>
                <w:highlight w:val="none"/>
              </w:rPr>
              <w:t>家</w:t>
            </w:r>
            <w:r>
              <w:rPr>
                <w:color w:val="auto"/>
                <w:spacing w:val="10"/>
                <w:highlight w:val="none"/>
              </w:rPr>
              <w:t>时，招标人有权选择以下任一方式</w:t>
            </w:r>
            <w:r>
              <w:rPr>
                <w:color w:val="auto"/>
                <w:spacing w:val="-5"/>
                <w:highlight w:val="none"/>
              </w:rPr>
              <w:t>：（</w:t>
            </w:r>
            <w:r>
              <w:rPr>
                <w:color w:val="auto"/>
                <w:spacing w:val="10"/>
                <w:highlight w:val="none"/>
              </w:rPr>
              <w:t>1）在</w:t>
            </w:r>
            <w:r>
              <w:rPr>
                <w:color w:val="auto"/>
                <w:spacing w:val="10"/>
                <w:highlight w:val="none"/>
                <w:u w:val="single" w:color="auto"/>
              </w:rPr>
              <w:t>广东省招标投标监管网及</w:t>
            </w:r>
            <w:r>
              <w:rPr>
                <w:rFonts w:hint="eastAsia"/>
                <w:color w:val="auto"/>
                <w:spacing w:val="10"/>
                <w:highlight w:val="none"/>
                <w:u w:val="single" w:color="auto"/>
              </w:rPr>
              <w:t>全国公共资源交易平台（广东省·韶关市）</w:t>
            </w:r>
            <w:r>
              <w:rPr>
                <w:color w:val="auto"/>
                <w:spacing w:val="10"/>
                <w:highlight w:val="none"/>
                <w:u w:val="single" w:color="auto"/>
              </w:rPr>
              <w:t>网站</w:t>
            </w:r>
            <w:r>
              <w:rPr>
                <w:color w:val="auto"/>
                <w:spacing w:val="10"/>
                <w:highlight w:val="none"/>
              </w:rPr>
              <w:t>发布公告延长上述投标人家数不足的标段投标登记和获取</w:t>
            </w:r>
            <w:r>
              <w:rPr>
                <w:color w:val="auto"/>
                <w:spacing w:val="9"/>
                <w:highlight w:val="none"/>
              </w:rPr>
              <w:t>招标文件</w:t>
            </w:r>
            <w:r>
              <w:rPr>
                <w:color w:val="auto"/>
                <w:spacing w:val="10"/>
                <w:highlight w:val="none"/>
              </w:rPr>
              <w:t>时间，在延期投标登记和获取招标文件时间内，已投标登记投标人的资料</w:t>
            </w:r>
            <w:r>
              <w:rPr>
                <w:color w:val="auto"/>
                <w:spacing w:val="9"/>
                <w:highlight w:val="none"/>
              </w:rPr>
              <w:t>仍有效并</w:t>
            </w:r>
            <w:r>
              <w:rPr>
                <w:color w:val="auto"/>
                <w:spacing w:val="10"/>
                <w:highlight w:val="none"/>
              </w:rPr>
              <w:t>可自行补充资料，未投标登记的投标人可根据公告的约定进行投标登记并</w:t>
            </w:r>
            <w:r>
              <w:rPr>
                <w:color w:val="auto"/>
                <w:spacing w:val="9"/>
                <w:highlight w:val="none"/>
              </w:rPr>
              <w:t>获取招标</w:t>
            </w:r>
            <w:r>
              <w:rPr>
                <w:color w:val="auto"/>
                <w:spacing w:val="20"/>
                <w:highlight w:val="none"/>
              </w:rPr>
              <w:t>文件</w:t>
            </w:r>
            <w:r>
              <w:rPr>
                <w:color w:val="auto"/>
                <w:spacing w:val="-13"/>
                <w:highlight w:val="none"/>
              </w:rPr>
              <w:t>；</w:t>
            </w:r>
            <w:r>
              <w:rPr>
                <w:color w:val="auto"/>
                <w:spacing w:val="-65"/>
                <w:highlight w:val="none"/>
              </w:rPr>
              <w:t xml:space="preserve"> </w:t>
            </w:r>
            <w:r>
              <w:rPr>
                <w:color w:val="auto"/>
                <w:spacing w:val="-13"/>
                <w:highlight w:val="none"/>
              </w:rPr>
              <w:t>（</w:t>
            </w:r>
            <w:r>
              <w:rPr>
                <w:color w:val="auto"/>
                <w:spacing w:val="20"/>
                <w:highlight w:val="none"/>
              </w:rPr>
              <w:t>2）对上述投标人家数不足的标段依法重</w:t>
            </w:r>
            <w:r>
              <w:rPr>
                <w:color w:val="auto"/>
                <w:spacing w:val="19"/>
                <w:highlight w:val="none"/>
              </w:rPr>
              <w:t>新组织招标或依法开展后续工</w:t>
            </w:r>
            <w:r>
              <w:rPr>
                <w:color w:val="auto"/>
                <w:highlight w:val="none"/>
              </w:rPr>
              <w:t>作。</w:t>
            </w:r>
          </w:p>
          <w:p w14:paraId="200251B9">
            <w:pPr>
              <w:pStyle w:val="23"/>
              <w:spacing w:before="160" w:line="228" w:lineRule="auto"/>
              <w:ind w:left="133"/>
              <w:rPr>
                <w:color w:val="auto"/>
                <w:highlight w:val="none"/>
              </w:rPr>
            </w:pPr>
            <w:r>
              <w:rPr>
                <w:rFonts w:hint="eastAsia"/>
                <w:color w:val="auto"/>
                <w:spacing w:val="7"/>
                <w:highlight w:val="none"/>
                <w:lang w:val="en-US" w:eastAsia="zh-CN"/>
              </w:rPr>
              <w:t>8</w:t>
            </w:r>
            <w:r>
              <w:rPr>
                <w:color w:val="auto"/>
                <w:spacing w:val="7"/>
                <w:highlight w:val="none"/>
              </w:rPr>
              <w:t>.受理异议的联系人和联系方式：</w:t>
            </w:r>
          </w:p>
          <w:p w14:paraId="01ECEB26">
            <w:pPr>
              <w:pStyle w:val="23"/>
              <w:spacing w:before="164" w:line="228" w:lineRule="auto"/>
              <w:ind w:left="540"/>
              <w:rPr>
                <w:color w:val="auto"/>
                <w:highlight w:val="none"/>
              </w:rPr>
            </w:pPr>
            <w:r>
              <w:rPr>
                <w:color w:val="auto"/>
                <w:spacing w:val="8"/>
                <w:highlight w:val="none"/>
              </w:rPr>
              <w:t>异议受理部门：</w:t>
            </w:r>
            <w:r>
              <w:rPr>
                <w:color w:val="auto"/>
                <w:highlight w:val="none"/>
                <w:u w:val="single" w:color="auto"/>
              </w:rPr>
              <w:t xml:space="preserve"> </w:t>
            </w:r>
            <w:r>
              <w:rPr>
                <w:rFonts w:hint="eastAsia"/>
                <w:color w:val="auto"/>
                <w:highlight w:val="none"/>
                <w:u w:val="single" w:color="auto"/>
                <w:lang w:eastAsia="zh-CN"/>
              </w:rPr>
              <w:t>乐昌市地方公路站</w:t>
            </w:r>
          </w:p>
          <w:p w14:paraId="68934C9C">
            <w:pPr>
              <w:pStyle w:val="23"/>
              <w:spacing w:before="161" w:line="229" w:lineRule="auto"/>
              <w:ind w:left="538"/>
              <w:rPr>
                <w:color w:val="auto"/>
                <w:highlight w:val="none"/>
              </w:rPr>
            </w:pPr>
            <w:r>
              <w:rPr>
                <w:color w:val="auto"/>
                <w:spacing w:val="7"/>
                <w:highlight w:val="none"/>
              </w:rPr>
              <w:t>联系方式：</w:t>
            </w:r>
            <w:r>
              <w:rPr>
                <w:rFonts w:hint="eastAsia"/>
                <w:color w:val="auto"/>
                <w:spacing w:val="7"/>
                <w:highlight w:val="none"/>
                <w:u w:val="single" w:color="auto"/>
                <w:lang w:val="en-US" w:eastAsia="zh-CN"/>
              </w:rPr>
              <w:t>0751-5552728</w:t>
            </w:r>
            <w:r>
              <w:rPr>
                <w:color w:val="auto"/>
                <w:highlight w:val="none"/>
                <w:u w:val="single" w:color="auto"/>
              </w:rPr>
              <w:t xml:space="preserve"> </w:t>
            </w:r>
          </w:p>
        </w:tc>
      </w:tr>
    </w:tbl>
    <w:p w14:paraId="582DCB29">
      <w:pPr>
        <w:spacing w:before="47" w:line="218" w:lineRule="auto"/>
        <w:ind w:left="9"/>
        <w:rPr>
          <w:rFonts w:ascii="宋体" w:hAnsi="宋体" w:eastAsia="宋体" w:cs="宋体"/>
          <w:color w:val="auto"/>
          <w:spacing w:val="-2"/>
          <w:sz w:val="24"/>
          <w:szCs w:val="24"/>
          <w:highlight w:val="none"/>
        </w:rPr>
      </w:pPr>
      <w:bookmarkStart w:id="15" w:name="bookmark32"/>
      <w:bookmarkEnd w:id="15"/>
      <w:bookmarkStart w:id="16" w:name="bookmark33"/>
      <w:bookmarkEnd w:id="16"/>
      <w:bookmarkStart w:id="17" w:name="bookmark31"/>
      <w:bookmarkEnd w:id="17"/>
    </w:p>
    <w:p w14:paraId="345D7582">
      <w:pPr>
        <w:spacing w:before="47" w:line="218" w:lineRule="auto"/>
        <w:ind w:left="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招标公告附件</w:t>
      </w:r>
    </w:p>
    <w:p w14:paraId="09BB9897">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1：标段的划分及主要工程项目情况</w:t>
      </w:r>
    </w:p>
    <w:p w14:paraId="765A593D">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2：</w:t>
      </w:r>
      <w:bookmarkStart w:id="18" w:name="bookmark39"/>
      <w:bookmarkEnd w:id="18"/>
      <w:r>
        <w:rPr>
          <w:rFonts w:hint="eastAsia" w:ascii="宋体" w:hAnsi="宋体" w:eastAsia="宋体" w:cs="宋体"/>
          <w:color w:val="auto"/>
          <w:spacing w:val="-4"/>
          <w:sz w:val="24"/>
          <w:szCs w:val="24"/>
          <w:highlight w:val="none"/>
        </w:rPr>
        <w:t>重要事项时间地点一览表</w:t>
      </w:r>
    </w:p>
    <w:p w14:paraId="4CC89A95">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 xml:space="preserve">附件 </w:t>
      </w:r>
      <w:r>
        <w:rPr>
          <w:rFonts w:hint="eastAsia" w:ascii="宋体" w:hAnsi="宋体" w:eastAsia="宋体" w:cs="宋体"/>
          <w:color w:val="auto"/>
          <w:spacing w:val="-4"/>
          <w:sz w:val="24"/>
          <w:szCs w:val="24"/>
          <w:highlight w:val="none"/>
          <w:lang w:val="en-US" w:eastAsia="zh-CN"/>
        </w:rPr>
        <w:t>3</w:t>
      </w:r>
      <w:r>
        <w:rPr>
          <w:rFonts w:ascii="宋体" w:hAnsi="宋体" w:eastAsia="宋体" w:cs="宋体"/>
          <w:color w:val="auto"/>
          <w:spacing w:val="-4"/>
          <w:sz w:val="24"/>
          <w:szCs w:val="24"/>
          <w:highlight w:val="none"/>
        </w:rPr>
        <w:t>：招标文件（含资格审查条件、评标办法</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定标办法</w:t>
      </w:r>
      <w:r>
        <w:rPr>
          <w:rFonts w:ascii="宋体" w:hAnsi="宋体" w:eastAsia="宋体" w:cs="宋体"/>
          <w:color w:val="auto"/>
          <w:spacing w:val="-4"/>
          <w:sz w:val="24"/>
          <w:szCs w:val="24"/>
          <w:highlight w:val="none"/>
        </w:rPr>
        <w:t>）</w:t>
      </w:r>
    </w:p>
    <w:p w14:paraId="6817D7E5">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以上附件可从发布公告的网站媒介上下载。</w:t>
      </w:r>
    </w:p>
    <w:p w14:paraId="135F530A">
      <w:pPr>
        <w:spacing w:line="243" w:lineRule="auto"/>
        <w:rPr>
          <w:rFonts w:ascii="Arial"/>
          <w:color w:val="auto"/>
          <w:sz w:val="21"/>
          <w:highlight w:val="none"/>
        </w:rPr>
      </w:pPr>
    </w:p>
    <w:p w14:paraId="3DE1446D">
      <w:pPr>
        <w:spacing w:line="243" w:lineRule="auto"/>
        <w:rPr>
          <w:rFonts w:ascii="Arial"/>
          <w:color w:val="auto"/>
          <w:sz w:val="21"/>
          <w:highlight w:val="none"/>
        </w:rPr>
      </w:pPr>
    </w:p>
    <w:p w14:paraId="58674206">
      <w:pPr>
        <w:spacing w:line="243" w:lineRule="auto"/>
        <w:rPr>
          <w:rFonts w:ascii="Arial"/>
          <w:color w:val="auto"/>
          <w:sz w:val="21"/>
          <w:highlight w:val="none"/>
        </w:rPr>
      </w:pPr>
    </w:p>
    <w:p w14:paraId="6524431F">
      <w:pPr>
        <w:spacing w:line="243" w:lineRule="auto"/>
        <w:rPr>
          <w:rFonts w:ascii="Arial"/>
          <w:color w:val="auto"/>
          <w:sz w:val="21"/>
          <w:highlight w:val="none"/>
        </w:rPr>
      </w:pPr>
    </w:p>
    <w:p w14:paraId="428DD3AA">
      <w:pPr>
        <w:spacing w:line="243" w:lineRule="auto"/>
        <w:rPr>
          <w:rFonts w:ascii="Arial"/>
          <w:color w:val="auto"/>
          <w:sz w:val="21"/>
          <w:highlight w:val="none"/>
        </w:rPr>
      </w:pPr>
    </w:p>
    <w:p w14:paraId="23748634">
      <w:pPr>
        <w:spacing w:line="243" w:lineRule="auto"/>
        <w:rPr>
          <w:rFonts w:ascii="Arial"/>
          <w:color w:val="auto"/>
          <w:sz w:val="21"/>
          <w:highlight w:val="none"/>
        </w:rPr>
      </w:pPr>
    </w:p>
    <w:p w14:paraId="7CC4B709">
      <w:pPr>
        <w:spacing w:line="243" w:lineRule="auto"/>
        <w:rPr>
          <w:rFonts w:ascii="Arial"/>
          <w:color w:val="auto"/>
          <w:sz w:val="21"/>
          <w:highlight w:val="none"/>
        </w:rPr>
      </w:pPr>
    </w:p>
    <w:p w14:paraId="7F77E376">
      <w:pPr>
        <w:spacing w:line="243" w:lineRule="auto"/>
        <w:rPr>
          <w:rFonts w:ascii="Arial"/>
          <w:color w:val="auto"/>
          <w:sz w:val="21"/>
          <w:highlight w:val="none"/>
        </w:rPr>
      </w:pPr>
    </w:p>
    <w:p w14:paraId="0A538F6E">
      <w:pPr>
        <w:spacing w:line="243" w:lineRule="auto"/>
        <w:rPr>
          <w:rFonts w:ascii="Arial"/>
          <w:color w:val="auto"/>
          <w:sz w:val="21"/>
          <w:highlight w:val="none"/>
        </w:rPr>
      </w:pPr>
    </w:p>
    <w:p w14:paraId="0883AC6E">
      <w:pPr>
        <w:spacing w:line="243" w:lineRule="auto"/>
        <w:rPr>
          <w:rFonts w:ascii="Arial"/>
          <w:color w:val="auto"/>
          <w:sz w:val="21"/>
          <w:highlight w:val="none"/>
        </w:rPr>
      </w:pPr>
    </w:p>
    <w:p w14:paraId="3A5F9980">
      <w:pPr>
        <w:spacing w:line="243" w:lineRule="auto"/>
        <w:rPr>
          <w:rFonts w:ascii="Arial"/>
          <w:color w:val="auto"/>
          <w:sz w:val="21"/>
          <w:highlight w:val="none"/>
        </w:rPr>
      </w:pPr>
    </w:p>
    <w:p w14:paraId="2B5E2263">
      <w:pPr>
        <w:spacing w:line="243" w:lineRule="auto"/>
        <w:rPr>
          <w:rFonts w:ascii="Arial"/>
          <w:color w:val="auto"/>
          <w:sz w:val="21"/>
          <w:highlight w:val="none"/>
        </w:rPr>
      </w:pPr>
    </w:p>
    <w:p w14:paraId="7F7A4CA3">
      <w:pPr>
        <w:spacing w:line="243" w:lineRule="auto"/>
        <w:rPr>
          <w:rFonts w:ascii="Arial"/>
          <w:color w:val="auto"/>
          <w:sz w:val="21"/>
          <w:highlight w:val="none"/>
        </w:rPr>
      </w:pPr>
    </w:p>
    <w:p w14:paraId="22C3985C">
      <w:pPr>
        <w:spacing w:line="243" w:lineRule="auto"/>
        <w:rPr>
          <w:rFonts w:ascii="Arial"/>
          <w:color w:val="auto"/>
          <w:sz w:val="21"/>
          <w:highlight w:val="none"/>
        </w:rPr>
      </w:pPr>
    </w:p>
    <w:p w14:paraId="466F98F6">
      <w:pPr>
        <w:spacing w:line="243" w:lineRule="auto"/>
        <w:rPr>
          <w:rFonts w:ascii="Arial"/>
          <w:color w:val="auto"/>
          <w:sz w:val="21"/>
          <w:highlight w:val="none"/>
        </w:rPr>
      </w:pPr>
    </w:p>
    <w:p w14:paraId="7BA023CC">
      <w:pPr>
        <w:spacing w:line="243" w:lineRule="auto"/>
        <w:rPr>
          <w:rFonts w:ascii="Arial"/>
          <w:color w:val="auto"/>
          <w:sz w:val="21"/>
          <w:highlight w:val="none"/>
        </w:rPr>
      </w:pPr>
    </w:p>
    <w:p w14:paraId="1D612DBA">
      <w:pPr>
        <w:spacing w:line="243" w:lineRule="auto"/>
        <w:rPr>
          <w:rFonts w:ascii="Arial"/>
          <w:color w:val="auto"/>
          <w:sz w:val="21"/>
          <w:highlight w:val="none"/>
        </w:rPr>
      </w:pPr>
    </w:p>
    <w:p w14:paraId="2E9A670B">
      <w:pPr>
        <w:spacing w:line="243" w:lineRule="auto"/>
        <w:rPr>
          <w:rFonts w:ascii="Arial"/>
          <w:color w:val="auto"/>
          <w:sz w:val="21"/>
          <w:highlight w:val="none"/>
        </w:rPr>
      </w:pPr>
    </w:p>
    <w:p w14:paraId="3EDBBC97">
      <w:pPr>
        <w:spacing w:line="243" w:lineRule="auto"/>
        <w:rPr>
          <w:rFonts w:ascii="Arial"/>
          <w:color w:val="auto"/>
          <w:sz w:val="21"/>
          <w:highlight w:val="none"/>
        </w:rPr>
      </w:pPr>
    </w:p>
    <w:p w14:paraId="50327D00">
      <w:pPr>
        <w:spacing w:line="243" w:lineRule="auto"/>
        <w:rPr>
          <w:rFonts w:ascii="Arial"/>
          <w:color w:val="auto"/>
          <w:sz w:val="21"/>
          <w:highlight w:val="none"/>
        </w:rPr>
      </w:pPr>
    </w:p>
    <w:p w14:paraId="48587166">
      <w:pPr>
        <w:spacing w:line="243" w:lineRule="auto"/>
        <w:rPr>
          <w:rFonts w:ascii="Arial"/>
          <w:color w:val="auto"/>
          <w:sz w:val="21"/>
          <w:highlight w:val="none"/>
        </w:rPr>
      </w:pPr>
    </w:p>
    <w:p w14:paraId="7E2CE8B8">
      <w:pPr>
        <w:spacing w:line="243" w:lineRule="auto"/>
        <w:rPr>
          <w:rFonts w:ascii="Arial"/>
          <w:color w:val="auto"/>
          <w:sz w:val="21"/>
          <w:highlight w:val="none"/>
        </w:rPr>
      </w:pPr>
    </w:p>
    <w:p w14:paraId="7EC4AB76">
      <w:pPr>
        <w:spacing w:line="243" w:lineRule="auto"/>
        <w:rPr>
          <w:rFonts w:ascii="Arial"/>
          <w:color w:val="auto"/>
          <w:sz w:val="21"/>
          <w:highlight w:val="none"/>
        </w:rPr>
      </w:pPr>
    </w:p>
    <w:p w14:paraId="4F3DC2CE">
      <w:pPr>
        <w:spacing w:line="243" w:lineRule="auto"/>
        <w:rPr>
          <w:rFonts w:ascii="Arial"/>
          <w:color w:val="auto"/>
          <w:sz w:val="21"/>
          <w:highlight w:val="none"/>
        </w:rPr>
      </w:pPr>
    </w:p>
    <w:p w14:paraId="5C5BD834">
      <w:pPr>
        <w:spacing w:line="243" w:lineRule="auto"/>
        <w:rPr>
          <w:rFonts w:ascii="Arial"/>
          <w:color w:val="auto"/>
          <w:sz w:val="21"/>
          <w:highlight w:val="none"/>
        </w:rPr>
      </w:pPr>
    </w:p>
    <w:p w14:paraId="616A8F45">
      <w:pPr>
        <w:spacing w:line="243" w:lineRule="auto"/>
        <w:rPr>
          <w:rFonts w:ascii="Arial"/>
          <w:color w:val="auto"/>
          <w:sz w:val="21"/>
          <w:highlight w:val="none"/>
        </w:rPr>
      </w:pPr>
    </w:p>
    <w:p w14:paraId="78AC57FC">
      <w:pPr>
        <w:spacing w:line="243" w:lineRule="auto"/>
        <w:rPr>
          <w:rFonts w:ascii="Arial"/>
          <w:color w:val="auto"/>
          <w:sz w:val="21"/>
          <w:highlight w:val="none"/>
        </w:rPr>
      </w:pPr>
    </w:p>
    <w:p w14:paraId="2BE52E16">
      <w:pPr>
        <w:spacing w:line="243" w:lineRule="auto"/>
        <w:rPr>
          <w:rFonts w:ascii="Arial"/>
          <w:color w:val="auto"/>
          <w:sz w:val="21"/>
          <w:highlight w:val="none"/>
        </w:rPr>
      </w:pPr>
    </w:p>
    <w:p w14:paraId="6B1E333A">
      <w:pPr>
        <w:spacing w:line="243" w:lineRule="auto"/>
        <w:rPr>
          <w:rFonts w:ascii="Arial"/>
          <w:color w:val="auto"/>
          <w:sz w:val="21"/>
          <w:highlight w:val="none"/>
        </w:rPr>
      </w:pPr>
    </w:p>
    <w:p w14:paraId="65FE77D0">
      <w:pPr>
        <w:spacing w:line="243" w:lineRule="auto"/>
        <w:rPr>
          <w:rFonts w:ascii="Arial"/>
          <w:color w:val="auto"/>
          <w:sz w:val="21"/>
          <w:highlight w:val="none"/>
        </w:rPr>
      </w:pPr>
    </w:p>
    <w:p w14:paraId="3FB9DE92">
      <w:pPr>
        <w:spacing w:line="243" w:lineRule="auto"/>
        <w:rPr>
          <w:rFonts w:ascii="Arial"/>
          <w:color w:val="auto"/>
          <w:sz w:val="21"/>
          <w:highlight w:val="none"/>
        </w:rPr>
      </w:pPr>
    </w:p>
    <w:p w14:paraId="0D164F52">
      <w:pPr>
        <w:spacing w:line="243" w:lineRule="auto"/>
        <w:rPr>
          <w:rFonts w:ascii="Arial"/>
          <w:color w:val="auto"/>
          <w:sz w:val="21"/>
          <w:highlight w:val="none"/>
        </w:rPr>
      </w:pPr>
    </w:p>
    <w:p w14:paraId="12D6A3E1">
      <w:pPr>
        <w:spacing w:line="243" w:lineRule="auto"/>
        <w:rPr>
          <w:rFonts w:ascii="Arial"/>
          <w:color w:val="auto"/>
          <w:sz w:val="21"/>
          <w:highlight w:val="none"/>
        </w:rPr>
      </w:pPr>
    </w:p>
    <w:p w14:paraId="27DCA341">
      <w:pPr>
        <w:spacing w:line="243" w:lineRule="auto"/>
        <w:rPr>
          <w:rFonts w:ascii="Arial"/>
          <w:color w:val="auto"/>
          <w:sz w:val="21"/>
          <w:highlight w:val="none"/>
        </w:rPr>
      </w:pPr>
    </w:p>
    <w:p w14:paraId="66D039A4">
      <w:pPr>
        <w:spacing w:line="243" w:lineRule="auto"/>
        <w:rPr>
          <w:rFonts w:ascii="Arial"/>
          <w:color w:val="auto"/>
          <w:sz w:val="21"/>
          <w:highlight w:val="none"/>
        </w:rPr>
      </w:pPr>
    </w:p>
    <w:p w14:paraId="71BDEAA5">
      <w:pPr>
        <w:spacing w:line="243" w:lineRule="auto"/>
        <w:rPr>
          <w:rFonts w:ascii="Arial"/>
          <w:color w:val="auto"/>
          <w:sz w:val="21"/>
          <w:highlight w:val="none"/>
        </w:rPr>
      </w:pPr>
    </w:p>
    <w:p w14:paraId="3AE722B1">
      <w:pPr>
        <w:spacing w:line="243" w:lineRule="auto"/>
        <w:rPr>
          <w:rFonts w:ascii="Arial"/>
          <w:color w:val="auto"/>
          <w:sz w:val="21"/>
          <w:highlight w:val="none"/>
        </w:rPr>
      </w:pPr>
    </w:p>
    <w:p w14:paraId="298C100A">
      <w:pPr>
        <w:spacing w:line="243" w:lineRule="auto"/>
        <w:rPr>
          <w:rFonts w:ascii="Arial"/>
          <w:color w:val="auto"/>
          <w:sz w:val="21"/>
          <w:highlight w:val="none"/>
        </w:rPr>
      </w:pPr>
    </w:p>
    <w:p w14:paraId="70E548C1">
      <w:pPr>
        <w:spacing w:line="243" w:lineRule="auto"/>
        <w:rPr>
          <w:rFonts w:ascii="Arial"/>
          <w:color w:val="auto"/>
          <w:sz w:val="21"/>
          <w:highlight w:val="none"/>
        </w:rPr>
      </w:pPr>
    </w:p>
    <w:p w14:paraId="2A005859">
      <w:pPr>
        <w:spacing w:line="243" w:lineRule="auto"/>
        <w:rPr>
          <w:rFonts w:ascii="Arial"/>
          <w:color w:val="auto"/>
          <w:sz w:val="21"/>
          <w:highlight w:val="none"/>
        </w:rPr>
      </w:pPr>
    </w:p>
    <w:p w14:paraId="4670ECB8">
      <w:pPr>
        <w:spacing w:before="44" w:line="223" w:lineRule="auto"/>
        <w:ind w:left="120"/>
        <w:rPr>
          <w:rFonts w:ascii="MingLiU-ExtB" w:hAnsi="MingLiU-ExtB" w:eastAsia="MingLiU-ExtB" w:cs="MingLiU-ExtB"/>
          <w:color w:val="auto"/>
          <w:sz w:val="20"/>
          <w:szCs w:val="20"/>
          <w:highlight w:val="none"/>
        </w:rPr>
      </w:pPr>
      <w:r>
        <w:rPr>
          <w:rFonts w:ascii="宋体" w:hAnsi="宋体" w:eastAsia="宋体" w:cs="宋体"/>
          <w:b/>
          <w:bCs/>
          <w:color w:val="auto"/>
          <w:spacing w:val="5"/>
          <w:sz w:val="20"/>
          <w:szCs w:val="20"/>
          <w:highlight w:val="none"/>
        </w:rPr>
        <w:t>招标公告附件</w:t>
      </w:r>
      <w:r>
        <w:rPr>
          <w:rFonts w:ascii="宋体" w:hAnsi="宋体" w:eastAsia="宋体" w:cs="宋体"/>
          <w:color w:val="auto"/>
          <w:spacing w:val="-19"/>
          <w:sz w:val="20"/>
          <w:szCs w:val="20"/>
          <w:highlight w:val="none"/>
        </w:rPr>
        <w:t xml:space="preserve"> </w:t>
      </w:r>
      <w:r>
        <w:rPr>
          <w:rFonts w:ascii="MingLiU-ExtB" w:hAnsi="MingLiU-ExtB" w:eastAsia="MingLiU-ExtB" w:cs="MingLiU-ExtB"/>
          <w:b/>
          <w:bCs/>
          <w:color w:val="auto"/>
          <w:spacing w:val="5"/>
          <w:sz w:val="20"/>
          <w:szCs w:val="20"/>
          <w:highlight w:val="none"/>
        </w:rPr>
        <w:t>1</w:t>
      </w:r>
    </w:p>
    <w:tbl>
      <w:tblPr>
        <w:tblStyle w:val="22"/>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9"/>
        <w:gridCol w:w="948"/>
        <w:gridCol w:w="896"/>
        <w:gridCol w:w="2677"/>
        <w:gridCol w:w="1727"/>
        <w:gridCol w:w="1230"/>
      </w:tblGrid>
      <w:tr w14:paraId="05EC3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21" w:type="dxa"/>
            <w:vAlign w:val="top"/>
          </w:tcPr>
          <w:p w14:paraId="688F364D">
            <w:pPr>
              <w:pStyle w:val="23"/>
              <w:spacing w:before="192" w:line="228" w:lineRule="auto"/>
              <w:ind w:left="259"/>
              <w:rPr>
                <w:color w:val="auto"/>
                <w:highlight w:val="none"/>
              </w:rPr>
            </w:pPr>
            <w:r>
              <w:rPr>
                <w:color w:val="auto"/>
                <w:spacing w:val="4"/>
                <w:highlight w:val="none"/>
              </w:rPr>
              <w:t>标类</w:t>
            </w:r>
          </w:p>
        </w:tc>
        <w:tc>
          <w:tcPr>
            <w:tcW w:w="709" w:type="dxa"/>
            <w:vAlign w:val="top"/>
          </w:tcPr>
          <w:p w14:paraId="1553ABC8">
            <w:pPr>
              <w:pStyle w:val="23"/>
              <w:spacing w:before="37" w:line="271" w:lineRule="auto"/>
              <w:ind w:left="258" w:right="146" w:hanging="109"/>
              <w:rPr>
                <w:color w:val="auto"/>
                <w:highlight w:val="none"/>
              </w:rPr>
            </w:pPr>
            <w:r>
              <w:rPr>
                <w:color w:val="auto"/>
                <w:spacing w:val="4"/>
                <w:highlight w:val="none"/>
              </w:rPr>
              <w:t>标段</w:t>
            </w:r>
            <w:r>
              <w:rPr>
                <w:color w:val="auto"/>
                <w:highlight w:val="none"/>
              </w:rPr>
              <w:t>号</w:t>
            </w:r>
          </w:p>
        </w:tc>
        <w:tc>
          <w:tcPr>
            <w:tcW w:w="948" w:type="dxa"/>
            <w:vAlign w:val="top"/>
          </w:tcPr>
          <w:p w14:paraId="6EA16ADC">
            <w:pPr>
              <w:pStyle w:val="23"/>
              <w:spacing w:before="37" w:line="228" w:lineRule="auto"/>
              <w:ind w:left="162"/>
              <w:rPr>
                <w:color w:val="auto"/>
                <w:highlight w:val="none"/>
              </w:rPr>
            </w:pPr>
            <w:r>
              <w:rPr>
                <w:color w:val="auto"/>
                <w:spacing w:val="6"/>
                <w:highlight w:val="none"/>
              </w:rPr>
              <w:t>合同起</w:t>
            </w:r>
          </w:p>
          <w:p w14:paraId="29D222D7">
            <w:pPr>
              <w:pStyle w:val="23"/>
              <w:spacing w:before="64" w:line="228" w:lineRule="auto"/>
              <w:ind w:left="162"/>
              <w:rPr>
                <w:color w:val="auto"/>
                <w:highlight w:val="none"/>
              </w:rPr>
            </w:pPr>
            <w:r>
              <w:rPr>
                <w:color w:val="auto"/>
                <w:spacing w:val="6"/>
                <w:highlight w:val="none"/>
              </w:rPr>
              <w:t>讫桩号</w:t>
            </w:r>
          </w:p>
        </w:tc>
        <w:tc>
          <w:tcPr>
            <w:tcW w:w="896" w:type="dxa"/>
            <w:vAlign w:val="top"/>
          </w:tcPr>
          <w:p w14:paraId="26CAC02B">
            <w:pPr>
              <w:pStyle w:val="23"/>
              <w:spacing w:before="37" w:line="228" w:lineRule="auto"/>
              <w:ind w:left="245"/>
              <w:rPr>
                <w:color w:val="auto"/>
                <w:highlight w:val="none"/>
              </w:rPr>
            </w:pPr>
            <w:r>
              <w:rPr>
                <w:color w:val="auto"/>
                <w:spacing w:val="3"/>
                <w:highlight w:val="none"/>
              </w:rPr>
              <w:t>里程</w:t>
            </w:r>
          </w:p>
          <w:p w14:paraId="7C0E2450">
            <w:pPr>
              <w:pStyle w:val="23"/>
              <w:spacing w:before="65" w:line="228" w:lineRule="auto"/>
              <w:ind w:left="244"/>
              <w:rPr>
                <w:color w:val="auto"/>
                <w:highlight w:val="none"/>
              </w:rPr>
            </w:pPr>
            <w:r>
              <w:rPr>
                <w:color w:val="auto"/>
                <w:spacing w:val="4"/>
                <w:highlight w:val="none"/>
              </w:rPr>
              <w:t>长度</w:t>
            </w:r>
          </w:p>
        </w:tc>
        <w:tc>
          <w:tcPr>
            <w:tcW w:w="2677" w:type="dxa"/>
            <w:vAlign w:val="top"/>
          </w:tcPr>
          <w:p w14:paraId="7CF896DC">
            <w:pPr>
              <w:pStyle w:val="23"/>
              <w:spacing w:before="175" w:line="264" w:lineRule="exact"/>
              <w:ind w:left="1016"/>
              <w:rPr>
                <w:color w:val="auto"/>
                <w:sz w:val="10"/>
                <w:szCs w:val="10"/>
                <w:highlight w:val="none"/>
              </w:rPr>
            </w:pPr>
            <w:r>
              <w:rPr>
                <w:b/>
                <w:bCs/>
                <w:color w:val="auto"/>
                <w:spacing w:val="6"/>
                <w:highlight w:val="none"/>
              </w:rPr>
              <w:t>招标内容</w:t>
            </w:r>
          </w:p>
        </w:tc>
        <w:tc>
          <w:tcPr>
            <w:tcW w:w="1727" w:type="dxa"/>
            <w:vAlign w:val="top"/>
          </w:tcPr>
          <w:p w14:paraId="04D9BF42">
            <w:pPr>
              <w:pStyle w:val="23"/>
              <w:spacing w:before="192" w:line="228" w:lineRule="auto"/>
              <w:ind w:left="199"/>
              <w:jc w:val="center"/>
              <w:rPr>
                <w:color w:val="auto"/>
                <w:highlight w:val="none"/>
              </w:rPr>
            </w:pPr>
            <w:r>
              <w:rPr>
                <w:color w:val="auto"/>
                <w:spacing w:val="7"/>
                <w:highlight w:val="none"/>
              </w:rPr>
              <w:t>监理服务期</w:t>
            </w:r>
          </w:p>
        </w:tc>
        <w:tc>
          <w:tcPr>
            <w:tcW w:w="1230" w:type="dxa"/>
            <w:vAlign w:val="top"/>
          </w:tcPr>
          <w:p w14:paraId="62491B99">
            <w:pPr>
              <w:pStyle w:val="23"/>
              <w:spacing w:before="175" w:line="264" w:lineRule="exact"/>
              <w:ind w:left="157"/>
              <w:rPr>
                <w:color w:val="auto"/>
                <w:sz w:val="10"/>
                <w:szCs w:val="10"/>
                <w:highlight w:val="none"/>
              </w:rPr>
            </w:pPr>
            <w:r>
              <w:rPr>
                <w:color w:val="auto"/>
                <w:spacing w:val="5"/>
                <w:highlight w:val="none"/>
              </w:rPr>
              <w:t>资质等级</w:t>
            </w:r>
          </w:p>
        </w:tc>
      </w:tr>
      <w:tr w14:paraId="3A276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8" w:hRule="atLeast"/>
        </w:trPr>
        <w:tc>
          <w:tcPr>
            <w:tcW w:w="821" w:type="dxa"/>
            <w:vAlign w:val="center"/>
          </w:tcPr>
          <w:p w14:paraId="58C5693B">
            <w:pPr>
              <w:pStyle w:val="23"/>
              <w:keepNext w:val="0"/>
              <w:keepLines w:val="0"/>
              <w:pageBreakBefore w:val="0"/>
              <w:widowControl/>
              <w:kinsoku w:val="0"/>
              <w:wordWrap/>
              <w:overflowPunct/>
              <w:topLinePunct w:val="0"/>
              <w:autoSpaceDE w:val="0"/>
              <w:autoSpaceDN w:val="0"/>
              <w:bidi w:val="0"/>
              <w:adjustRightInd w:val="0"/>
              <w:snapToGrid w:val="0"/>
              <w:spacing w:before="65" w:line="288" w:lineRule="auto"/>
              <w:ind w:left="10" w:leftChars="5" w:right="28" w:rightChars="0"/>
              <w:jc w:val="center"/>
              <w:textAlignment w:val="baseline"/>
              <w:rPr>
                <w:color w:val="auto"/>
                <w:highlight w:val="none"/>
              </w:rPr>
            </w:pPr>
            <w:r>
              <w:rPr>
                <w:rFonts w:hint="eastAsia"/>
                <w:b/>
                <w:bCs/>
                <w:color w:val="auto"/>
                <w:highlight w:val="none"/>
              </w:rPr>
              <w:t>土建监理含中心试验室（D类）</w:t>
            </w:r>
          </w:p>
        </w:tc>
        <w:tc>
          <w:tcPr>
            <w:tcW w:w="709" w:type="dxa"/>
            <w:vAlign w:val="center"/>
          </w:tcPr>
          <w:p w14:paraId="228A6D06">
            <w:pPr>
              <w:pStyle w:val="23"/>
              <w:spacing w:before="65" w:line="284" w:lineRule="auto"/>
              <w:ind w:left="112" w:right="106" w:firstLine="10"/>
              <w:jc w:val="center"/>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w:t>
            </w:r>
          </w:p>
        </w:tc>
        <w:tc>
          <w:tcPr>
            <w:tcW w:w="948" w:type="dxa"/>
            <w:vAlign w:val="center"/>
          </w:tcPr>
          <w:p w14:paraId="38559BA3">
            <w:pPr>
              <w:pStyle w:val="23"/>
              <w:spacing w:before="65" w:line="284" w:lineRule="auto"/>
              <w:ind w:left="112" w:right="106" w:firstLine="10"/>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rPr>
              <w:t>K0+000~K</w:t>
            </w:r>
            <w:r>
              <w:rPr>
                <w:rFonts w:hint="eastAsia" w:cs="宋体"/>
                <w:color w:val="auto"/>
                <w:spacing w:val="7"/>
                <w:highlight w:val="none"/>
                <w:lang w:val="en-US" w:eastAsia="zh-CN"/>
              </w:rPr>
              <w:t>21</w:t>
            </w:r>
            <w:r>
              <w:rPr>
                <w:rFonts w:hint="eastAsia" w:ascii="宋体" w:hAnsi="宋体" w:eastAsia="宋体" w:cs="宋体"/>
                <w:color w:val="auto"/>
                <w:spacing w:val="7"/>
                <w:highlight w:val="none"/>
              </w:rPr>
              <w:t>+</w:t>
            </w:r>
            <w:r>
              <w:rPr>
                <w:rFonts w:hint="eastAsia" w:cs="宋体"/>
                <w:color w:val="auto"/>
                <w:spacing w:val="7"/>
                <w:highlight w:val="none"/>
                <w:lang w:val="en-US" w:eastAsia="zh-CN"/>
              </w:rPr>
              <w:t>000</w:t>
            </w:r>
          </w:p>
        </w:tc>
        <w:tc>
          <w:tcPr>
            <w:tcW w:w="896" w:type="dxa"/>
            <w:vAlign w:val="center"/>
          </w:tcPr>
          <w:p w14:paraId="0740B9CB">
            <w:pPr>
              <w:pStyle w:val="23"/>
              <w:spacing w:before="65" w:line="284" w:lineRule="auto"/>
              <w:ind w:left="112" w:right="106" w:firstLine="10"/>
              <w:jc w:val="center"/>
              <w:rPr>
                <w:rFonts w:hint="default" w:ascii="宋体" w:hAnsi="宋体" w:eastAsia="宋体" w:cs="宋体"/>
                <w:color w:val="auto"/>
                <w:spacing w:val="7"/>
                <w:highlight w:val="none"/>
                <w:lang w:val="en-US" w:eastAsia="zh-CN"/>
              </w:rPr>
            </w:pPr>
            <w:r>
              <w:rPr>
                <w:rFonts w:hint="eastAsia" w:cs="宋体"/>
                <w:color w:val="auto"/>
                <w:spacing w:val="7"/>
                <w:highlight w:val="none"/>
                <w:lang w:val="en-US" w:eastAsia="zh-CN"/>
              </w:rPr>
              <w:t>21</w:t>
            </w:r>
            <w:r>
              <w:rPr>
                <w:rFonts w:hint="eastAsia" w:ascii="宋体" w:hAnsi="宋体" w:eastAsia="宋体" w:cs="宋体"/>
                <w:color w:val="auto"/>
                <w:spacing w:val="7"/>
                <w:highlight w:val="none"/>
                <w:lang w:val="en-US" w:eastAsia="zh-CN"/>
              </w:rPr>
              <w:t>公里</w:t>
            </w:r>
          </w:p>
        </w:tc>
        <w:tc>
          <w:tcPr>
            <w:tcW w:w="2677" w:type="dxa"/>
            <w:vAlign w:val="top"/>
          </w:tcPr>
          <w:p w14:paraId="398773A8">
            <w:pPr>
              <w:pStyle w:val="23"/>
              <w:spacing w:before="64" w:line="259" w:lineRule="auto"/>
              <w:ind w:right="106"/>
              <w:jc w:val="center"/>
              <w:rPr>
                <w:color w:val="auto"/>
                <w:highlight w:val="none"/>
              </w:rPr>
            </w:pPr>
            <w:r>
              <w:rPr>
                <w:rFonts w:hint="eastAsia"/>
                <w:color w:val="auto"/>
                <w:highlight w:val="none"/>
              </w:rPr>
              <w:t>里程范围内</w:t>
            </w:r>
            <w:r>
              <w:rPr>
                <w:rFonts w:hint="eastAsia"/>
                <w:color w:val="auto"/>
                <w:highlight w:val="none"/>
                <w:u w:val="single"/>
              </w:rPr>
              <w:t>路基、桥涵、路面、隧道、绿化、交通安全设施、机电工程三大系统(监控、通信和收费)、通信管道工程、隧道机电工程(供电、照明、通风和消防)以及供配电、照明工程、房建及沿线附属设施等</w:t>
            </w:r>
            <w:r>
              <w:rPr>
                <w:rFonts w:hint="eastAsia"/>
                <w:color w:val="auto"/>
                <w:highlight w:val="none"/>
              </w:rPr>
              <w:t>的施工准备阶段、施工阶段、缺陷责任期阶段的施工监理、施工安全的监理，项目的环境保护、水土保</w:t>
            </w:r>
            <w:r>
              <w:rPr>
                <w:rFonts w:hint="eastAsia"/>
                <w:color w:val="auto"/>
                <w:highlight w:val="none"/>
                <w:lang w:val="en-US" w:eastAsia="zh-CN"/>
              </w:rPr>
              <w:t>持</w:t>
            </w:r>
            <w:r>
              <w:rPr>
                <w:rFonts w:hint="eastAsia"/>
                <w:color w:val="auto"/>
                <w:highlight w:val="none"/>
              </w:rPr>
              <w:t>的监理，参建各方竣工档案编制工作的监理，以及配合业主交、竣工验收和配合业主竣工验收前的结算与决算的有关工作。并负责监理中心试验室的筹建工作。</w:t>
            </w:r>
          </w:p>
        </w:tc>
        <w:tc>
          <w:tcPr>
            <w:tcW w:w="1727" w:type="dxa"/>
            <w:vAlign w:val="center"/>
          </w:tcPr>
          <w:p w14:paraId="1B13F040">
            <w:pPr>
              <w:pStyle w:val="23"/>
              <w:spacing w:line="289" w:lineRule="auto"/>
              <w:ind w:left="115" w:right="103" w:hanging="1"/>
              <w:jc w:val="both"/>
              <w:rPr>
                <w:rFonts w:hint="eastAsia" w:eastAsia="宋体"/>
                <w:color w:val="auto"/>
                <w:highlight w:val="none"/>
                <w:lang w:eastAsia="zh-CN"/>
              </w:rPr>
            </w:pPr>
            <w:r>
              <w:rPr>
                <w:rFonts w:hint="eastAsia"/>
                <w:color w:val="auto"/>
                <w:spacing w:val="42"/>
                <w:highlight w:val="none"/>
                <w:lang w:eastAsia="zh-CN"/>
              </w:rPr>
              <w:t>施工监理服务期限为：</w:t>
            </w:r>
            <w:r>
              <w:rPr>
                <w:rFonts w:hint="eastAsia"/>
                <w:color w:val="auto"/>
                <w:spacing w:val="42"/>
                <w:highlight w:val="none"/>
                <w:u w:val="single"/>
                <w:lang w:eastAsia="zh-CN"/>
              </w:rPr>
              <w:t>4</w:t>
            </w:r>
            <w:r>
              <w:rPr>
                <w:rFonts w:hint="eastAsia"/>
                <w:color w:val="auto"/>
                <w:spacing w:val="42"/>
                <w:highlight w:val="none"/>
                <w:u w:val="single"/>
                <w:lang w:val="en-US" w:eastAsia="zh-CN"/>
              </w:rPr>
              <w:t>9</w:t>
            </w:r>
            <w:r>
              <w:rPr>
                <w:rFonts w:hint="eastAsia"/>
                <w:color w:val="auto"/>
                <w:spacing w:val="42"/>
                <w:highlight w:val="none"/>
                <w:lang w:eastAsia="zh-CN"/>
              </w:rPr>
              <w:t>个月，包括施工准备阶段监理</w:t>
            </w:r>
            <w:r>
              <w:rPr>
                <w:rFonts w:hint="eastAsia"/>
                <w:color w:val="auto"/>
                <w:spacing w:val="42"/>
                <w:highlight w:val="none"/>
                <w:lang w:val="en-US" w:eastAsia="zh-CN"/>
              </w:rPr>
              <w:t>1</w:t>
            </w:r>
            <w:r>
              <w:rPr>
                <w:rFonts w:hint="eastAsia"/>
                <w:color w:val="auto"/>
                <w:spacing w:val="42"/>
                <w:highlight w:val="none"/>
                <w:lang w:eastAsia="zh-CN"/>
              </w:rPr>
              <w:t>个月，施工阶段监理</w:t>
            </w:r>
            <w:r>
              <w:rPr>
                <w:rFonts w:hint="eastAsia"/>
                <w:color w:val="auto"/>
                <w:spacing w:val="42"/>
                <w:highlight w:val="none"/>
                <w:u w:val="single"/>
                <w:lang w:eastAsia="zh-CN"/>
              </w:rPr>
              <w:t>2</w:t>
            </w:r>
            <w:r>
              <w:rPr>
                <w:rFonts w:hint="eastAsia"/>
                <w:color w:val="auto"/>
                <w:spacing w:val="42"/>
                <w:highlight w:val="none"/>
                <w:u w:val="single"/>
                <w:lang w:val="en-US" w:eastAsia="zh-CN"/>
              </w:rPr>
              <w:t>4</w:t>
            </w:r>
            <w:r>
              <w:rPr>
                <w:rFonts w:hint="eastAsia"/>
                <w:color w:val="auto"/>
                <w:spacing w:val="42"/>
                <w:highlight w:val="none"/>
                <w:lang w:eastAsia="zh-CN"/>
              </w:rPr>
              <w:t>个月，交(竣)工验收及缺陷责任期监理</w:t>
            </w:r>
            <w:r>
              <w:rPr>
                <w:rFonts w:hint="eastAsia"/>
                <w:color w:val="auto"/>
                <w:spacing w:val="42"/>
                <w:highlight w:val="none"/>
                <w:u w:val="single"/>
                <w:lang w:eastAsia="zh-CN"/>
              </w:rPr>
              <w:t>24</w:t>
            </w:r>
            <w:r>
              <w:rPr>
                <w:rFonts w:hint="eastAsia"/>
                <w:color w:val="auto"/>
                <w:spacing w:val="42"/>
                <w:highlight w:val="none"/>
                <w:lang w:eastAsia="zh-CN"/>
              </w:rPr>
              <w:t>个月，如施工工期进行调整，监理服务期也相应进行调整。</w:t>
            </w:r>
          </w:p>
        </w:tc>
        <w:tc>
          <w:tcPr>
            <w:tcW w:w="1230" w:type="dxa"/>
            <w:vAlign w:val="top"/>
          </w:tcPr>
          <w:p w14:paraId="32E9D619">
            <w:pPr>
              <w:spacing w:line="274" w:lineRule="auto"/>
              <w:rPr>
                <w:rFonts w:ascii="Arial"/>
                <w:color w:val="auto"/>
                <w:sz w:val="21"/>
                <w:highlight w:val="none"/>
              </w:rPr>
            </w:pPr>
          </w:p>
          <w:p w14:paraId="3CDD81D8">
            <w:pPr>
              <w:spacing w:line="274" w:lineRule="auto"/>
              <w:rPr>
                <w:rFonts w:ascii="Arial"/>
                <w:color w:val="auto"/>
                <w:sz w:val="21"/>
                <w:highlight w:val="none"/>
              </w:rPr>
            </w:pPr>
          </w:p>
          <w:p w14:paraId="4B72B1C8">
            <w:pPr>
              <w:spacing w:line="274" w:lineRule="auto"/>
              <w:rPr>
                <w:rFonts w:ascii="Arial"/>
                <w:color w:val="auto"/>
                <w:sz w:val="21"/>
                <w:highlight w:val="none"/>
              </w:rPr>
            </w:pPr>
          </w:p>
          <w:p w14:paraId="595A0293">
            <w:pPr>
              <w:spacing w:line="274" w:lineRule="auto"/>
              <w:rPr>
                <w:rFonts w:ascii="Arial"/>
                <w:color w:val="auto"/>
                <w:sz w:val="21"/>
                <w:highlight w:val="none"/>
              </w:rPr>
            </w:pPr>
          </w:p>
          <w:p w14:paraId="2C3CD8D7">
            <w:pPr>
              <w:spacing w:line="275" w:lineRule="auto"/>
              <w:rPr>
                <w:rFonts w:ascii="Arial"/>
                <w:color w:val="auto"/>
                <w:sz w:val="21"/>
                <w:highlight w:val="none"/>
              </w:rPr>
            </w:pPr>
          </w:p>
          <w:p w14:paraId="2789306A">
            <w:pPr>
              <w:pStyle w:val="23"/>
              <w:spacing w:before="65" w:line="289" w:lineRule="auto"/>
              <w:ind w:left="115" w:right="107" w:firstLine="4"/>
              <w:jc w:val="both"/>
              <w:rPr>
                <w:color w:val="auto"/>
                <w:highlight w:val="none"/>
              </w:rPr>
            </w:pPr>
            <w:r>
              <w:rPr>
                <w:color w:val="auto"/>
                <w:spacing w:val="-2"/>
                <w:highlight w:val="none"/>
              </w:rPr>
              <w:t>具</w:t>
            </w:r>
            <w:r>
              <w:rPr>
                <w:color w:val="auto"/>
                <w:spacing w:val="-33"/>
                <w:highlight w:val="none"/>
              </w:rPr>
              <w:t xml:space="preserve"> </w:t>
            </w:r>
            <w:r>
              <w:rPr>
                <w:color w:val="auto"/>
                <w:spacing w:val="-2"/>
                <w:highlight w:val="none"/>
              </w:rPr>
              <w:t>有</w:t>
            </w:r>
            <w:r>
              <w:rPr>
                <w:color w:val="auto"/>
                <w:spacing w:val="-30"/>
                <w:highlight w:val="none"/>
              </w:rPr>
              <w:t xml:space="preserve"> </w:t>
            </w:r>
            <w:r>
              <w:rPr>
                <w:color w:val="auto"/>
                <w:spacing w:val="-2"/>
                <w:highlight w:val="none"/>
              </w:rPr>
              <w:t>交</w:t>
            </w:r>
            <w:r>
              <w:rPr>
                <w:color w:val="auto"/>
                <w:spacing w:val="-35"/>
                <w:highlight w:val="none"/>
              </w:rPr>
              <w:t xml:space="preserve"> </w:t>
            </w:r>
            <w:r>
              <w:rPr>
                <w:color w:val="auto"/>
                <w:spacing w:val="-2"/>
                <w:highlight w:val="none"/>
              </w:rPr>
              <w:t>通</w:t>
            </w:r>
            <w:r>
              <w:rPr>
                <w:color w:val="auto"/>
                <w:spacing w:val="-1"/>
                <w:highlight w:val="none"/>
              </w:rPr>
              <w:t>运</w:t>
            </w:r>
            <w:r>
              <w:rPr>
                <w:color w:val="auto"/>
                <w:spacing w:val="-35"/>
                <w:highlight w:val="none"/>
              </w:rPr>
              <w:t xml:space="preserve"> </w:t>
            </w:r>
            <w:r>
              <w:rPr>
                <w:color w:val="auto"/>
                <w:spacing w:val="-1"/>
                <w:highlight w:val="none"/>
              </w:rPr>
              <w:t>输</w:t>
            </w:r>
            <w:r>
              <w:rPr>
                <w:color w:val="auto"/>
                <w:spacing w:val="-33"/>
                <w:highlight w:val="none"/>
              </w:rPr>
              <w:t xml:space="preserve"> </w:t>
            </w:r>
            <w:r>
              <w:rPr>
                <w:color w:val="auto"/>
                <w:spacing w:val="-1"/>
                <w:highlight w:val="none"/>
              </w:rPr>
              <w:t>主</w:t>
            </w:r>
            <w:r>
              <w:rPr>
                <w:color w:val="auto"/>
                <w:spacing w:val="-29"/>
                <w:highlight w:val="none"/>
              </w:rPr>
              <w:t xml:space="preserve"> </w:t>
            </w:r>
            <w:r>
              <w:rPr>
                <w:color w:val="auto"/>
                <w:spacing w:val="-1"/>
                <w:highlight w:val="none"/>
              </w:rPr>
              <w:t>管</w:t>
            </w:r>
            <w:r>
              <w:rPr>
                <w:color w:val="auto"/>
                <w:spacing w:val="-7"/>
                <w:highlight w:val="none"/>
              </w:rPr>
              <w:t>部</w:t>
            </w:r>
            <w:r>
              <w:rPr>
                <w:color w:val="auto"/>
                <w:spacing w:val="-10"/>
                <w:highlight w:val="none"/>
              </w:rPr>
              <w:t xml:space="preserve"> </w:t>
            </w:r>
            <w:r>
              <w:rPr>
                <w:color w:val="auto"/>
                <w:spacing w:val="-7"/>
                <w:highlight w:val="none"/>
              </w:rPr>
              <w:t>门</w:t>
            </w:r>
            <w:r>
              <w:rPr>
                <w:color w:val="auto"/>
                <w:spacing w:val="-32"/>
                <w:highlight w:val="none"/>
              </w:rPr>
              <w:t xml:space="preserve"> </w:t>
            </w:r>
            <w:r>
              <w:rPr>
                <w:color w:val="auto"/>
                <w:spacing w:val="-7"/>
                <w:highlight w:val="none"/>
              </w:rPr>
              <w:t>核</w:t>
            </w:r>
            <w:r>
              <w:rPr>
                <w:color w:val="auto"/>
                <w:spacing w:val="-31"/>
                <w:highlight w:val="none"/>
              </w:rPr>
              <w:t xml:space="preserve"> </w:t>
            </w:r>
            <w:r>
              <w:rPr>
                <w:color w:val="auto"/>
                <w:spacing w:val="-7"/>
                <w:highlight w:val="none"/>
              </w:rPr>
              <w:t>发</w:t>
            </w:r>
            <w:r>
              <w:rPr>
                <w:color w:val="auto"/>
                <w:spacing w:val="-1"/>
                <w:highlight w:val="none"/>
              </w:rPr>
              <w:t>的</w:t>
            </w:r>
            <w:r>
              <w:rPr>
                <w:color w:val="auto"/>
                <w:spacing w:val="-34"/>
                <w:highlight w:val="none"/>
              </w:rPr>
              <w:t xml:space="preserve"> </w:t>
            </w:r>
            <w:r>
              <w:rPr>
                <w:color w:val="auto"/>
                <w:spacing w:val="-1"/>
                <w:highlight w:val="none"/>
              </w:rPr>
              <w:t>在</w:t>
            </w:r>
            <w:r>
              <w:rPr>
                <w:color w:val="auto"/>
                <w:spacing w:val="-34"/>
                <w:highlight w:val="none"/>
              </w:rPr>
              <w:t xml:space="preserve"> </w:t>
            </w:r>
            <w:r>
              <w:rPr>
                <w:color w:val="auto"/>
                <w:spacing w:val="-1"/>
                <w:highlight w:val="none"/>
              </w:rPr>
              <w:t>有</w:t>
            </w:r>
            <w:r>
              <w:rPr>
                <w:color w:val="auto"/>
                <w:spacing w:val="-29"/>
                <w:highlight w:val="none"/>
              </w:rPr>
              <w:t xml:space="preserve"> </w:t>
            </w:r>
            <w:r>
              <w:rPr>
                <w:color w:val="auto"/>
                <w:spacing w:val="-1"/>
                <w:highlight w:val="none"/>
              </w:rPr>
              <w:t>效</w:t>
            </w:r>
            <w:r>
              <w:rPr>
                <w:color w:val="auto"/>
                <w:spacing w:val="-11"/>
                <w:highlight w:val="none"/>
              </w:rPr>
              <w:t>期 内</w:t>
            </w:r>
            <w:r>
              <w:rPr>
                <w:color w:val="auto"/>
                <w:spacing w:val="-18"/>
                <w:highlight w:val="none"/>
              </w:rPr>
              <w:t xml:space="preserve"> </w:t>
            </w:r>
            <w:r>
              <w:rPr>
                <w:color w:val="auto"/>
                <w:spacing w:val="-11"/>
                <w:highlight w:val="none"/>
              </w:rPr>
              <w:t>的</w:t>
            </w:r>
            <w:r>
              <w:rPr>
                <w:color w:val="auto"/>
                <w:spacing w:val="-28"/>
                <w:highlight w:val="none"/>
              </w:rPr>
              <w:t xml:space="preserve"> </w:t>
            </w:r>
            <w:r>
              <w:rPr>
                <w:color w:val="auto"/>
                <w:spacing w:val="-11"/>
                <w:highlight w:val="none"/>
              </w:rPr>
              <w:t>公</w:t>
            </w:r>
            <w:r>
              <w:rPr>
                <w:color w:val="auto"/>
                <w:spacing w:val="12"/>
                <w:highlight w:val="none"/>
              </w:rPr>
              <w:t>路工程</w:t>
            </w:r>
            <w:r>
              <w:rPr>
                <w:color w:val="auto"/>
                <w:spacing w:val="53"/>
                <w:highlight w:val="none"/>
                <w:u w:val="single" w:color="auto"/>
              </w:rPr>
              <w:t xml:space="preserve"> </w:t>
            </w:r>
            <w:r>
              <w:rPr>
                <w:rFonts w:hint="eastAsia"/>
                <w:color w:val="auto"/>
                <w:spacing w:val="53"/>
                <w:highlight w:val="none"/>
                <w:u w:val="single" w:color="auto"/>
                <w:lang w:val="en-US" w:eastAsia="zh-CN"/>
              </w:rPr>
              <w:t>乙</w:t>
            </w:r>
            <w:r>
              <w:rPr>
                <w:color w:val="auto"/>
                <w:spacing w:val="12"/>
                <w:highlight w:val="none"/>
                <w:u w:val="single" w:color="auto"/>
              </w:rPr>
              <w:t>级</w:t>
            </w:r>
            <w:r>
              <w:rPr>
                <w:rFonts w:hint="eastAsia"/>
                <w:color w:val="auto"/>
                <w:spacing w:val="12"/>
                <w:highlight w:val="none"/>
                <w:u w:val="single" w:color="auto"/>
                <w:lang w:val="en-US" w:eastAsia="zh-CN"/>
              </w:rPr>
              <w:t>以上（含乙级）</w:t>
            </w:r>
            <w:r>
              <w:rPr>
                <w:color w:val="auto"/>
                <w:spacing w:val="-1"/>
                <w:highlight w:val="none"/>
              </w:rPr>
              <w:t>监</w:t>
            </w:r>
            <w:r>
              <w:rPr>
                <w:color w:val="auto"/>
                <w:spacing w:val="-31"/>
                <w:highlight w:val="none"/>
              </w:rPr>
              <w:t xml:space="preserve"> </w:t>
            </w:r>
            <w:r>
              <w:rPr>
                <w:color w:val="auto"/>
                <w:spacing w:val="-1"/>
                <w:highlight w:val="none"/>
              </w:rPr>
              <w:t>理</w:t>
            </w:r>
            <w:r>
              <w:rPr>
                <w:color w:val="auto"/>
                <w:spacing w:val="-31"/>
                <w:highlight w:val="none"/>
              </w:rPr>
              <w:t xml:space="preserve"> </w:t>
            </w:r>
            <w:r>
              <w:rPr>
                <w:color w:val="auto"/>
                <w:spacing w:val="-1"/>
                <w:highlight w:val="none"/>
              </w:rPr>
              <w:t>企</w:t>
            </w:r>
            <w:r>
              <w:rPr>
                <w:color w:val="auto"/>
                <w:spacing w:val="-35"/>
                <w:highlight w:val="none"/>
              </w:rPr>
              <w:t xml:space="preserve"> </w:t>
            </w:r>
            <w:r>
              <w:rPr>
                <w:color w:val="auto"/>
                <w:spacing w:val="-1"/>
                <w:highlight w:val="none"/>
              </w:rPr>
              <w:t>业</w:t>
            </w:r>
            <w:r>
              <w:rPr>
                <w:color w:val="auto"/>
                <w:spacing w:val="3"/>
                <w:highlight w:val="none"/>
              </w:rPr>
              <w:t>资质。</w:t>
            </w:r>
          </w:p>
        </w:tc>
      </w:tr>
    </w:tbl>
    <w:p w14:paraId="4DB7D4F4">
      <w:pPr>
        <w:spacing w:line="242" w:lineRule="auto"/>
        <w:rPr>
          <w:rFonts w:ascii="Arial"/>
          <w:color w:val="auto"/>
          <w:sz w:val="21"/>
          <w:highlight w:val="none"/>
        </w:rPr>
      </w:pPr>
    </w:p>
    <w:p w14:paraId="50C5958C">
      <w:pPr>
        <w:spacing w:line="242" w:lineRule="auto"/>
        <w:rPr>
          <w:rFonts w:ascii="Arial"/>
          <w:color w:val="auto"/>
          <w:sz w:val="21"/>
          <w:highlight w:val="none"/>
        </w:rPr>
      </w:pPr>
    </w:p>
    <w:p w14:paraId="49FDD517">
      <w:pPr>
        <w:spacing w:line="242" w:lineRule="auto"/>
        <w:rPr>
          <w:rFonts w:ascii="Arial"/>
          <w:color w:val="auto"/>
          <w:sz w:val="21"/>
          <w:highlight w:val="none"/>
        </w:rPr>
      </w:pPr>
    </w:p>
    <w:p w14:paraId="2A59B80E">
      <w:pPr>
        <w:rPr>
          <w:rFonts w:hint="eastAsia" w:ascii="宋体" w:hAnsi="宋体" w:cs="宋体"/>
          <w:color w:val="auto"/>
          <w:highlight w:val="none"/>
        </w:rPr>
      </w:pPr>
      <w:bookmarkStart w:id="19" w:name="_Toc20966"/>
      <w:r>
        <w:rPr>
          <w:rFonts w:hint="eastAsia" w:ascii="宋体" w:hAnsi="宋体" w:cs="宋体"/>
          <w:color w:val="auto"/>
          <w:highlight w:val="none"/>
        </w:rPr>
        <w:br w:type="page"/>
      </w:r>
    </w:p>
    <w:p w14:paraId="74CDE73E">
      <w:pPr>
        <w:pStyle w:val="2"/>
        <w:rPr>
          <w:rFonts w:hint="eastAsia" w:ascii="宋体" w:hAnsi="宋体" w:cs="宋体"/>
          <w:color w:val="auto"/>
          <w:highlight w:val="none"/>
        </w:rPr>
      </w:pPr>
      <w:bookmarkStart w:id="20" w:name="_Toc22423"/>
      <w:bookmarkStart w:id="21" w:name="_Toc8138"/>
      <w:bookmarkStart w:id="22" w:name="_Toc5637"/>
      <w:bookmarkStart w:id="23" w:name="_Toc2004"/>
      <w:bookmarkStart w:id="24" w:name="_Toc16593"/>
      <w:bookmarkStart w:id="25" w:name="_Toc2235"/>
      <w:r>
        <w:rPr>
          <w:rFonts w:hint="eastAsia" w:ascii="宋体" w:hAnsi="宋体" w:cs="宋体"/>
          <w:color w:val="auto"/>
          <w:highlight w:val="none"/>
        </w:rPr>
        <w:t>附件 2：重要事项时间地点一览表</w:t>
      </w:r>
      <w:bookmarkEnd w:id="19"/>
      <w:bookmarkEnd w:id="20"/>
      <w:bookmarkEnd w:id="21"/>
      <w:bookmarkEnd w:id="22"/>
      <w:bookmarkEnd w:id="23"/>
      <w:bookmarkEnd w:id="24"/>
      <w:bookmarkEnd w:id="25"/>
    </w:p>
    <w:tbl>
      <w:tblPr>
        <w:tblStyle w:val="17"/>
        <w:tblW w:w="945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3"/>
      </w:tblGrid>
      <w:tr w14:paraId="7DBFBA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F68ECD3">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566B3FD">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招标公告</w:t>
            </w:r>
          </w:p>
          <w:p w14:paraId="01F6999A">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发布时间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8B64FA2">
            <w:pPr>
              <w:widowControl/>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07</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24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18</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00</w:t>
            </w:r>
            <w:r>
              <w:rPr>
                <w:rFonts w:hint="eastAsia" w:ascii="宋体" w:hAnsi="宋体" w:cs="宋体"/>
                <w:color w:val="auto"/>
                <w:kern w:val="0"/>
                <w:sz w:val="22"/>
                <w:szCs w:val="22"/>
                <w:highlight w:val="none"/>
                <w:u w:val="none"/>
              </w:rPr>
              <w:t>分</w:t>
            </w:r>
          </w:p>
        </w:tc>
      </w:tr>
      <w:tr w14:paraId="0273AF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5B8E7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66CB968">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获取招标文件截止时间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5B4BDFD">
            <w:pPr>
              <w:widowControl/>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09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tc>
      </w:tr>
      <w:tr w14:paraId="5A9DCB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7261761">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AFA4FD7">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网上提问</w:t>
            </w:r>
          </w:p>
          <w:p w14:paraId="371ABD06">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C57609A">
            <w:pPr>
              <w:wordWrap w:val="0"/>
              <w:adjustRightInd w:val="0"/>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04</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16</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00</w:t>
            </w:r>
            <w:r>
              <w:rPr>
                <w:rFonts w:hint="eastAsia" w:ascii="宋体" w:hAnsi="宋体" w:cs="宋体"/>
                <w:color w:val="auto"/>
                <w:kern w:val="0"/>
                <w:sz w:val="22"/>
                <w:szCs w:val="22"/>
                <w:highlight w:val="none"/>
                <w:u w:val="none"/>
              </w:rPr>
              <w:t>分</w:t>
            </w:r>
          </w:p>
        </w:tc>
      </w:tr>
      <w:tr w14:paraId="40022F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7"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91221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6934D8B">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网上答疑</w:t>
            </w:r>
          </w:p>
          <w:p w14:paraId="5217A1EF">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6C02450">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w:t>
            </w:r>
            <w:r>
              <w:rPr>
                <w:rFonts w:hint="eastAsia" w:ascii="宋体" w:hAnsi="宋体" w:eastAsia="宋体" w:cs="宋体"/>
                <w:color w:val="auto"/>
                <w:kern w:val="0"/>
                <w:sz w:val="22"/>
                <w:szCs w:val="22"/>
                <w:highlight w:val="none"/>
                <w:u w:val="none"/>
                <w:lang w:val="en-US" w:eastAsia="zh-CN"/>
              </w:rPr>
              <w:t xml:space="preserve"> </w:t>
            </w:r>
            <w:r>
              <w:rPr>
                <w:rFonts w:hint="eastAsia" w:ascii="宋体" w:hAnsi="宋体" w:cs="宋体"/>
                <w:color w:val="auto"/>
                <w:kern w:val="0"/>
                <w:sz w:val="22"/>
                <w:szCs w:val="22"/>
                <w:highlight w:val="none"/>
                <w:u w:val="none"/>
              </w:rPr>
              <w:t>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04</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16</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分至2026年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07</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16</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00</w:t>
            </w:r>
            <w:r>
              <w:rPr>
                <w:rFonts w:hint="eastAsia" w:ascii="宋体" w:hAnsi="宋体" w:cs="宋体"/>
                <w:color w:val="auto"/>
                <w:kern w:val="0"/>
                <w:sz w:val="22"/>
                <w:szCs w:val="22"/>
                <w:highlight w:val="none"/>
                <w:u w:val="none"/>
              </w:rPr>
              <w:t>分</w:t>
            </w:r>
          </w:p>
        </w:tc>
      </w:tr>
      <w:tr w14:paraId="0CFDDD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4"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F6C3A4D">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4C92CC4">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投标保证缴</w:t>
            </w:r>
          </w:p>
          <w:p w14:paraId="36A0326E">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纳截止时间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17C3B91E">
            <w:pPr>
              <w:widowControl/>
              <w:snapToGrid w:val="0"/>
              <w:spacing w:before="156" w:beforeLines="50" w:line="360" w:lineRule="auto"/>
              <w:ind w:left="105" w:leftChars="50"/>
              <w:jc w:val="left"/>
              <w:rPr>
                <w:rFonts w:hint="eastAsia" w:ascii="宋体" w:hAnsi="宋体" w:cs="宋体"/>
                <w:color w:val="auto"/>
                <w:kern w:val="0"/>
                <w:sz w:val="22"/>
                <w:szCs w:val="22"/>
                <w:highlight w:val="none"/>
                <w:u w:val="none"/>
              </w:rPr>
            </w:pPr>
            <w:r>
              <w:rPr>
                <w:rFonts w:hint="eastAsia" w:ascii="宋体" w:hAnsi="宋体" w:cs="宋体"/>
                <w:color w:val="auto"/>
                <w:kern w:val="0"/>
                <w:sz w:val="22"/>
                <w:szCs w:val="22"/>
                <w:highlight w:val="none"/>
                <w:u w:val="none"/>
              </w:rPr>
              <w:t>投标保证金到账截止时间：2026年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13</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0</w:t>
            </w:r>
            <w:r>
              <w:rPr>
                <w:rFonts w:hint="eastAsia" w:ascii="宋体" w:hAnsi="宋体" w:cs="宋体"/>
                <w:color w:val="auto"/>
                <w:kern w:val="0"/>
                <w:sz w:val="22"/>
                <w:szCs w:val="22"/>
                <w:highlight w:val="none"/>
                <w:u w:val="none"/>
                <w:lang w:val="en-US" w:eastAsia="zh-CN"/>
              </w:rPr>
              <w:t>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p w14:paraId="5D143294">
            <w:pPr>
              <w:widowControl/>
              <w:snapToGrid w:val="0"/>
              <w:spacing w:line="360" w:lineRule="auto"/>
              <w:ind w:left="105" w:leftChars="50"/>
              <w:jc w:val="left"/>
              <w:rPr>
                <w:rFonts w:hint="eastAsia" w:ascii="宋体" w:hAnsi="宋体" w:cs="宋体"/>
                <w:color w:val="auto"/>
                <w:kern w:val="0"/>
                <w:sz w:val="22"/>
                <w:szCs w:val="22"/>
                <w:highlight w:val="none"/>
                <w:u w:val="none"/>
              </w:rPr>
            </w:pPr>
            <w:r>
              <w:rPr>
                <w:rFonts w:hint="eastAsia" w:ascii="宋体" w:hAnsi="宋体" w:cs="宋体"/>
                <w:color w:val="auto"/>
                <w:kern w:val="0"/>
                <w:sz w:val="22"/>
                <w:szCs w:val="22"/>
                <w:highlight w:val="none"/>
                <w:u w:val="none"/>
              </w:rPr>
              <w:t>投标保证担保上传截止时间：2026年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13</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0</w:t>
            </w:r>
            <w:r>
              <w:rPr>
                <w:rFonts w:hint="eastAsia" w:ascii="宋体" w:hAnsi="宋体" w:cs="宋体"/>
                <w:color w:val="auto"/>
                <w:kern w:val="0"/>
                <w:sz w:val="22"/>
                <w:szCs w:val="22"/>
                <w:highlight w:val="none"/>
                <w:u w:val="none"/>
                <w:lang w:val="en-US" w:eastAsia="zh-CN"/>
              </w:rPr>
              <w:t>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p w14:paraId="7E651DC4">
            <w:pPr>
              <w:widowControl/>
              <w:snapToGrid w:val="0"/>
              <w:spacing w:line="360" w:lineRule="auto"/>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投标保证保险投保截止时间：2026年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13</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0</w:t>
            </w:r>
            <w:r>
              <w:rPr>
                <w:rFonts w:hint="eastAsia" w:ascii="宋体" w:hAnsi="宋体" w:cs="宋体"/>
                <w:color w:val="auto"/>
                <w:kern w:val="0"/>
                <w:sz w:val="22"/>
                <w:szCs w:val="22"/>
                <w:highlight w:val="none"/>
                <w:u w:val="none"/>
                <w:lang w:val="en-US" w:eastAsia="zh-CN"/>
              </w:rPr>
              <w:t>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tc>
      </w:tr>
      <w:tr w14:paraId="1D1DD3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591622C">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8221787">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电子投标</w:t>
            </w:r>
          </w:p>
          <w:p w14:paraId="7F020CA0">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35200E74">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09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tc>
      </w:tr>
      <w:tr w14:paraId="457EF4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8AC4EB">
            <w:pPr>
              <w:wordWrap w:val="0"/>
              <w:adjustRightInd w:val="0"/>
              <w:snapToGrid w:val="0"/>
              <w:spacing w:line="360" w:lineRule="exact"/>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DE9B026">
            <w:pPr>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相关评审资料原件（如有）</w:t>
            </w:r>
          </w:p>
          <w:p w14:paraId="3724DDD2">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递交时间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A43E170">
            <w:pPr>
              <w:snapToGrid w:val="0"/>
              <w:ind w:left="105" w:leftChars="50"/>
              <w:jc w:val="left"/>
              <w:rPr>
                <w:rFonts w:hint="eastAsia" w:ascii="宋体" w:hAnsi="宋体" w:cs="Tahoma"/>
                <w:color w:val="auto"/>
                <w:sz w:val="22"/>
                <w:szCs w:val="22"/>
                <w:highlight w:val="none"/>
                <w:u w:val="none"/>
              </w:rPr>
            </w:pP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09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00</w:t>
            </w:r>
            <w:r>
              <w:rPr>
                <w:rFonts w:hint="eastAsia" w:ascii="宋体" w:hAnsi="宋体" w:cs="宋体"/>
                <w:color w:val="auto"/>
                <w:kern w:val="0"/>
                <w:sz w:val="22"/>
                <w:szCs w:val="22"/>
                <w:highlight w:val="none"/>
                <w:u w:val="none"/>
              </w:rPr>
              <w:t>分至2026年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14</w:t>
            </w:r>
            <w:r>
              <w:rPr>
                <w:rFonts w:hint="eastAsia" w:ascii="宋体" w:hAnsi="宋体" w:cs="宋体"/>
                <w:color w:val="auto"/>
                <w:kern w:val="0"/>
                <w:sz w:val="22"/>
                <w:szCs w:val="22"/>
                <w:highlight w:val="none"/>
                <w:u w:val="none"/>
              </w:rPr>
              <w:t>日</w:t>
            </w:r>
            <w:r>
              <w:rPr>
                <w:rFonts w:hint="eastAsia" w:ascii="宋体" w:hAnsi="宋体" w:cs="宋体"/>
                <w:color w:val="auto"/>
                <w:kern w:val="0"/>
                <w:sz w:val="22"/>
                <w:szCs w:val="22"/>
                <w:highlight w:val="none"/>
                <w:u w:val="none"/>
                <w:lang w:val="en-US" w:eastAsia="zh-CN"/>
              </w:rPr>
              <w:t>09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tc>
      </w:tr>
      <w:tr w14:paraId="3C6E0D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60D71DE">
            <w:pPr>
              <w:pStyle w:val="26"/>
              <w:wordWrap w:val="0"/>
              <w:adjustRightInd w:val="0"/>
              <w:snapToGrid w:val="0"/>
              <w:spacing w:line="360" w:lineRule="exact"/>
              <w:jc w:val="center"/>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F6FD16F">
            <w:pPr>
              <w:pStyle w:val="26"/>
              <w:wordWrap w:val="0"/>
              <w:adjustRightInd w:val="0"/>
              <w:snapToGrid w:val="0"/>
              <w:spacing w:line="36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投标评审原件（如有）</w:t>
            </w:r>
          </w:p>
          <w:p w14:paraId="4FDBBAEB">
            <w:pPr>
              <w:pStyle w:val="26"/>
              <w:wordWrap w:val="0"/>
              <w:adjustRightInd w:val="0"/>
              <w:snapToGrid w:val="0"/>
              <w:spacing w:line="360" w:lineRule="exact"/>
              <w:jc w:val="center"/>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递交地点</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84D8C0E">
            <w:pPr>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u w:val="none"/>
                <w:lang w:eastAsia="zh-CN"/>
              </w:rPr>
            </w:pPr>
            <w:r>
              <w:rPr>
                <w:rFonts w:hint="eastAsia" w:ascii="宋体" w:hAnsi="宋体" w:cs="宋体"/>
                <w:snapToGrid w:val="0"/>
                <w:color w:val="auto"/>
                <w:kern w:val="0"/>
                <w:sz w:val="22"/>
                <w:szCs w:val="22"/>
                <w:highlight w:val="none"/>
                <w:u w:val="none"/>
              </w:rPr>
              <w:t>递交场所：韶关市公共资源交易中心</w:t>
            </w:r>
            <w:r>
              <w:rPr>
                <w:rFonts w:hint="eastAsia" w:ascii="宋体" w:hAnsi="宋体" w:eastAsia="宋体" w:cs="宋体"/>
                <w:snapToGrid w:val="0"/>
                <w:color w:val="auto"/>
                <w:kern w:val="0"/>
                <w:sz w:val="22"/>
                <w:szCs w:val="22"/>
                <w:highlight w:val="none"/>
                <w:u w:val="none"/>
                <w:lang w:eastAsia="zh-CN"/>
              </w:rPr>
              <w:t>乐昌分中心</w:t>
            </w:r>
          </w:p>
          <w:p w14:paraId="7EE796F5">
            <w:pPr>
              <w:pStyle w:val="26"/>
              <w:wordWrap w:val="0"/>
              <w:adjustRightInd w:val="0"/>
              <w:snapToGrid w:val="0"/>
              <w:spacing w:line="400" w:lineRule="exact"/>
              <w:ind w:firstLine="220" w:firstLineChars="100"/>
              <w:jc w:val="left"/>
              <w:rPr>
                <w:rFonts w:hint="eastAsia" w:hAnsi="宋体" w:cs="宋体"/>
                <w:color w:val="auto"/>
                <w:kern w:val="0"/>
                <w:sz w:val="22"/>
                <w:szCs w:val="22"/>
                <w:highlight w:val="none"/>
                <w:u w:val="none"/>
              </w:rPr>
            </w:pPr>
            <w:r>
              <w:rPr>
                <w:rFonts w:hint="eastAsia" w:hAnsi="宋体" w:cs="宋体"/>
                <w:snapToGrid w:val="0"/>
                <w:color w:val="auto"/>
                <w:kern w:val="0"/>
                <w:sz w:val="22"/>
                <w:szCs w:val="22"/>
                <w:highlight w:val="none"/>
                <w:u w:val="none"/>
                <w:lang w:val="en-US" w:eastAsia="zh-CN"/>
              </w:rPr>
              <w:t>地址：乐昌市昌山北路23号行政服务中心大院内（韶关市公共资源交易中心乐昌分中心），具体房间号以当日现场通知为准。</w:t>
            </w:r>
          </w:p>
        </w:tc>
      </w:tr>
      <w:tr w14:paraId="5D0196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F26233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4ACE3F0">
            <w:pPr>
              <w:wordWrap w:val="0"/>
              <w:adjustRightInd w:val="0"/>
              <w:snapToGrid w:val="0"/>
              <w:spacing w:line="400" w:lineRule="exact"/>
              <w:jc w:val="center"/>
              <w:rPr>
                <w:rFonts w:hint="eastAsia" w:ascii="宋体" w:hAnsi="宋体" w:cs="Tahoma"/>
                <w:color w:val="auto"/>
                <w:sz w:val="20"/>
                <w:szCs w:val="22"/>
                <w:highlight w:val="none"/>
              </w:rPr>
            </w:pPr>
            <w:r>
              <w:rPr>
                <w:rFonts w:hint="eastAsia" w:ascii="宋体"/>
                <w:snapToGrid w:val="0"/>
                <w:color w:val="auto"/>
                <w:kern w:val="0"/>
                <w:sz w:val="22"/>
                <w:szCs w:val="22"/>
                <w:highlight w:val="none"/>
              </w:rPr>
              <w:t>开标时间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1004EB79">
            <w:pPr>
              <w:wordWrap w:val="0"/>
              <w:adjustRightInd w:val="0"/>
              <w:snapToGrid w:val="0"/>
              <w:ind w:left="105" w:leftChars="50"/>
              <w:rPr>
                <w:rFonts w:hint="eastAsia" w:ascii="宋体" w:hAnsi="宋体" w:cs="Tahoma"/>
                <w:color w:val="auto"/>
                <w:sz w:val="20"/>
                <w:szCs w:val="22"/>
                <w:highlight w:val="none"/>
              </w:rPr>
            </w:pPr>
            <w:r>
              <w:rPr>
                <w:rFonts w:hint="eastAsia" w:ascii="宋体" w:hAnsi="宋体" w:cs="宋体"/>
                <w:color w:val="auto"/>
                <w:kern w:val="0"/>
                <w:sz w:val="22"/>
                <w:szCs w:val="22"/>
                <w:highlight w:val="none"/>
                <w:u w:val="none"/>
              </w:rPr>
              <w:t>2026年</w:t>
            </w:r>
            <w:r>
              <w:rPr>
                <w:rFonts w:hint="eastAsia" w:ascii="宋体" w:hAnsi="宋体" w:eastAsia="宋体" w:cs="宋体"/>
                <w:color w:val="auto"/>
                <w:kern w:val="0"/>
                <w:sz w:val="22"/>
                <w:szCs w:val="22"/>
                <w:highlight w:val="none"/>
                <w:u w:val="none"/>
                <w:lang w:val="en-US" w:eastAsia="zh-CN"/>
              </w:rPr>
              <w:t>08</w:t>
            </w:r>
            <w:r>
              <w:rPr>
                <w:rFonts w:hint="eastAsia" w:ascii="宋体" w:hAnsi="宋体" w:cs="宋体"/>
                <w:color w:val="auto"/>
                <w:kern w:val="0"/>
                <w:sz w:val="22"/>
                <w:szCs w:val="22"/>
                <w:highlight w:val="none"/>
                <w:u w:val="none"/>
              </w:rPr>
              <w:t>月</w:t>
            </w:r>
            <w:r>
              <w:rPr>
                <w:rFonts w:hint="eastAsia" w:ascii="宋体" w:hAnsi="宋体" w:eastAsia="宋体" w:cs="宋体"/>
                <w:color w:val="auto"/>
                <w:kern w:val="0"/>
                <w:sz w:val="22"/>
                <w:szCs w:val="22"/>
                <w:highlight w:val="none"/>
                <w:u w:val="none"/>
                <w:lang w:val="en-US" w:eastAsia="zh-CN"/>
              </w:rPr>
              <w:t>14</w:t>
            </w:r>
            <w:r>
              <w:rPr>
                <w:rFonts w:hint="eastAsia" w:ascii="宋体" w:hAnsi="宋体" w:cs="宋体"/>
                <w:color w:val="auto"/>
                <w:kern w:val="0"/>
                <w:sz w:val="22"/>
                <w:szCs w:val="22"/>
                <w:highlight w:val="none"/>
                <w:u w:val="none"/>
              </w:rPr>
              <w:t>日</w:t>
            </w:r>
            <w:r>
              <w:rPr>
                <w:rFonts w:hint="eastAsia" w:ascii="宋体" w:hAnsi="宋体" w:eastAsia="宋体" w:cs="宋体"/>
                <w:color w:val="auto"/>
                <w:kern w:val="0"/>
                <w:sz w:val="22"/>
                <w:szCs w:val="22"/>
                <w:highlight w:val="none"/>
                <w:u w:val="none"/>
                <w:lang w:val="en-US" w:eastAsia="zh-CN"/>
              </w:rPr>
              <w:t>0</w:t>
            </w:r>
            <w:r>
              <w:rPr>
                <w:rFonts w:hint="eastAsia" w:ascii="宋体" w:hAnsi="宋体" w:cs="宋体"/>
                <w:color w:val="auto"/>
                <w:kern w:val="0"/>
                <w:sz w:val="22"/>
                <w:szCs w:val="22"/>
                <w:highlight w:val="none"/>
                <w:u w:val="none"/>
                <w:lang w:val="en-US" w:eastAsia="zh-CN"/>
              </w:rPr>
              <w:t>9</w:t>
            </w:r>
            <w:r>
              <w:rPr>
                <w:rFonts w:hint="eastAsia" w:ascii="宋体" w:hAnsi="宋体" w:cs="宋体"/>
                <w:color w:val="auto"/>
                <w:kern w:val="0"/>
                <w:sz w:val="22"/>
                <w:szCs w:val="22"/>
                <w:highlight w:val="none"/>
                <w:u w:val="none"/>
              </w:rPr>
              <w:t>时</w:t>
            </w:r>
            <w:r>
              <w:rPr>
                <w:rFonts w:hint="eastAsia" w:ascii="宋体" w:hAnsi="宋体" w:eastAsia="宋体" w:cs="宋体"/>
                <w:color w:val="auto"/>
                <w:kern w:val="0"/>
                <w:sz w:val="22"/>
                <w:szCs w:val="22"/>
                <w:highlight w:val="none"/>
                <w:u w:val="none"/>
                <w:lang w:val="en-US" w:eastAsia="zh-CN"/>
              </w:rPr>
              <w:t>30</w:t>
            </w:r>
            <w:r>
              <w:rPr>
                <w:rFonts w:hint="eastAsia" w:ascii="宋体" w:hAnsi="宋体" w:cs="宋体"/>
                <w:color w:val="auto"/>
                <w:kern w:val="0"/>
                <w:sz w:val="22"/>
                <w:szCs w:val="22"/>
                <w:highlight w:val="none"/>
                <w:u w:val="none"/>
              </w:rPr>
              <w:t>分</w:t>
            </w:r>
          </w:p>
        </w:tc>
      </w:tr>
      <w:tr w14:paraId="0EB975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2C3EB8E">
            <w:pPr>
              <w:wordWrap w:val="0"/>
              <w:adjustRightInd w:val="0"/>
              <w:snapToGrid w:val="0"/>
              <w:spacing w:line="360" w:lineRule="exact"/>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10</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85B43BD">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 xml:space="preserve">开标地点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FDA6CBC">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开标场所：韶关市公共资源交易中心</w:t>
            </w:r>
            <w:r>
              <w:rPr>
                <w:rFonts w:hint="eastAsia" w:ascii="宋体" w:hAnsi="宋体" w:cs="宋体"/>
                <w:color w:val="auto"/>
                <w:sz w:val="22"/>
                <w:szCs w:val="22"/>
                <w:highlight w:val="none"/>
                <w:lang w:eastAsia="zh-CN"/>
              </w:rPr>
              <w:t>乐昌分中心</w:t>
            </w:r>
          </w:p>
          <w:p w14:paraId="3B175999">
            <w:pPr>
              <w:wordWrap w:val="0"/>
              <w:adjustRightInd w:val="0"/>
              <w:snapToGrid w:val="0"/>
              <w:spacing w:line="400" w:lineRule="exact"/>
              <w:ind w:left="105" w:leftChars="50"/>
              <w:jc w:val="left"/>
              <w:rPr>
                <w:rFonts w:hint="eastAsia" w:ascii="宋体" w:hAnsi="宋体" w:cs="Tahoma"/>
                <w:color w:val="auto"/>
                <w:sz w:val="22"/>
                <w:szCs w:val="22"/>
                <w:highlight w:val="none"/>
              </w:rPr>
            </w:pPr>
            <w:r>
              <w:rPr>
                <w:rFonts w:hint="eastAsia" w:ascii="宋体" w:hAnsi="宋体" w:cs="宋体"/>
                <w:color w:val="auto"/>
                <w:sz w:val="22"/>
                <w:szCs w:val="22"/>
                <w:highlight w:val="none"/>
                <w:lang w:val="en-US" w:eastAsia="zh-CN"/>
              </w:rPr>
              <w:t>地址：乐昌市昌山北路23号行政服务中心大院内（韶关市公共资源交易中心乐昌分中心），具体房间号以当日现场通知为准。</w:t>
            </w:r>
          </w:p>
        </w:tc>
      </w:tr>
      <w:tr w14:paraId="3475D5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249"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163E9C">
            <w:pPr>
              <w:widowControl/>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37669F6">
            <w:pPr>
              <w:widowControl/>
              <w:snapToGrid w:val="0"/>
              <w:spacing w:line="360" w:lineRule="exact"/>
              <w:jc w:val="center"/>
              <w:rPr>
                <w:rFonts w:hint="eastAsia" w:hAnsi="宋体" w:cs="宋体"/>
                <w:color w:val="auto"/>
                <w:sz w:val="22"/>
                <w:szCs w:val="22"/>
                <w:highlight w:val="none"/>
              </w:rPr>
            </w:pPr>
            <w:r>
              <w:rPr>
                <w:rFonts w:hAnsi="宋体" w:cs="宋体"/>
                <w:color w:val="auto"/>
                <w:sz w:val="22"/>
                <w:szCs w:val="22"/>
                <w:highlight w:val="none"/>
              </w:rPr>
              <w:t>交易场所</w:t>
            </w:r>
          </w:p>
          <w:p w14:paraId="66BB577E">
            <w:pPr>
              <w:widowControl/>
              <w:snapToGrid w:val="0"/>
              <w:spacing w:line="360" w:lineRule="exact"/>
              <w:jc w:val="center"/>
              <w:rPr>
                <w:rFonts w:hint="eastAsia" w:hAnsi="宋体" w:cs="Tahoma"/>
                <w:color w:val="auto"/>
                <w:sz w:val="22"/>
                <w:szCs w:val="22"/>
                <w:highlight w:val="none"/>
              </w:rPr>
            </w:pPr>
            <w:r>
              <w:rPr>
                <w:rFonts w:hAnsi="宋体" w:cs="宋体"/>
                <w:color w:val="auto"/>
                <w:sz w:val="22"/>
                <w:szCs w:val="22"/>
                <w:highlight w:val="none"/>
              </w:rPr>
              <w:t xml:space="preserve">联系方式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22FEE70">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单位名称：韶关市公共资源交易中心</w:t>
            </w:r>
            <w:r>
              <w:rPr>
                <w:rFonts w:hint="eastAsia" w:ascii="宋体" w:hAnsi="宋体" w:cs="宋体"/>
                <w:color w:val="auto"/>
                <w:sz w:val="22"/>
                <w:szCs w:val="22"/>
                <w:highlight w:val="none"/>
                <w:lang w:eastAsia="zh-CN"/>
              </w:rPr>
              <w:t>乐昌分中心</w:t>
            </w:r>
          </w:p>
          <w:p w14:paraId="50350F1E">
            <w:pPr>
              <w:wordWrap w:val="0"/>
              <w:adjustRightInd w:val="0"/>
              <w:snapToGrid w:val="0"/>
              <w:spacing w:line="400" w:lineRule="exact"/>
              <w:ind w:left="105" w:leftChars="5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办公地址：</w:t>
            </w:r>
            <w:r>
              <w:rPr>
                <w:rFonts w:hint="eastAsia" w:ascii="宋体" w:hAnsi="宋体" w:cs="宋体"/>
                <w:color w:val="auto"/>
                <w:sz w:val="22"/>
                <w:szCs w:val="22"/>
                <w:highlight w:val="none"/>
                <w:lang w:val="en-US" w:eastAsia="zh-CN"/>
              </w:rPr>
              <w:t>乐昌市昌山北路23号行政服务中心大院内（韶关市公共资源交易中心乐昌分中心</w:t>
            </w:r>
            <w:r>
              <w:rPr>
                <w:rFonts w:hint="eastAsia" w:ascii="宋体" w:hAnsi="宋体" w:cs="宋体"/>
                <w:color w:val="auto"/>
                <w:sz w:val="22"/>
                <w:szCs w:val="22"/>
                <w:highlight w:val="none"/>
                <w:lang w:eastAsia="zh-CN"/>
              </w:rPr>
              <w:t>），具体房间号以当日现场通知为准。</w:t>
            </w:r>
          </w:p>
          <w:p w14:paraId="6C386D46">
            <w:pPr>
              <w:wordWrap w:val="0"/>
              <w:adjustRightInd w:val="0"/>
              <w:snapToGrid w:val="0"/>
              <w:spacing w:line="400" w:lineRule="exact"/>
              <w:ind w:left="105" w:leftChars="50"/>
              <w:jc w:val="lef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联系人（部门）：</w:t>
            </w:r>
            <w:r>
              <w:rPr>
                <w:rFonts w:hint="eastAsia" w:ascii="宋体" w:hAnsi="宋体" w:eastAsia="宋体" w:cs="宋体"/>
                <w:color w:val="auto"/>
                <w:sz w:val="22"/>
                <w:szCs w:val="22"/>
                <w:highlight w:val="none"/>
                <w:lang w:val="en-US" w:eastAsia="zh-CN"/>
              </w:rPr>
              <w:t>雷工</w:t>
            </w:r>
          </w:p>
          <w:p w14:paraId="51DB4255">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联系电话：</w:t>
            </w:r>
            <w:r>
              <w:rPr>
                <w:rFonts w:hint="eastAsia" w:ascii="宋体" w:hAnsi="宋体" w:cs="宋体"/>
                <w:color w:val="auto"/>
                <w:sz w:val="22"/>
                <w:szCs w:val="22"/>
                <w:highlight w:val="none"/>
                <w:lang w:val="en-US" w:eastAsia="zh-CN"/>
              </w:rPr>
              <w:t>0751-5570050</w:t>
            </w:r>
          </w:p>
        </w:tc>
      </w:tr>
      <w:tr w14:paraId="1A4659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1" w:hRule="exact"/>
          <w:jc w:val="center"/>
        </w:trPr>
        <w:tc>
          <w:tcPr>
            <w:tcW w:w="9458" w:type="dxa"/>
            <w:gridSpan w:val="3"/>
            <w:tcBorders>
              <w:top w:val="single" w:color="080000" w:sz="4" w:space="0"/>
              <w:left w:val="single" w:color="080000" w:sz="4" w:space="0"/>
              <w:bottom w:val="single" w:color="080000" w:sz="4" w:space="0"/>
              <w:right w:val="single" w:color="080000" w:sz="4" w:space="0"/>
            </w:tcBorders>
            <w:noWrap/>
            <w:vAlign w:val="center"/>
          </w:tcPr>
          <w:p w14:paraId="491FC3B8">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1BDFFAD">
      <w:pPr>
        <w:spacing w:line="228" w:lineRule="auto"/>
        <w:rPr>
          <w:rFonts w:ascii="宋体" w:hAnsi="宋体" w:eastAsia="宋体" w:cs="宋体"/>
          <w:color w:val="auto"/>
          <w:sz w:val="18"/>
          <w:szCs w:val="18"/>
          <w:highlight w:val="none"/>
        </w:rPr>
        <w:sectPr>
          <w:footerReference r:id="rId8" w:type="default"/>
          <w:pgSz w:w="11906" w:h="16839"/>
          <w:pgMar w:top="1416" w:right="1490" w:bottom="1297" w:left="1304" w:header="0" w:footer="1069" w:gutter="0"/>
          <w:pgBorders>
            <w:top w:val="none" w:sz="0" w:space="0"/>
            <w:left w:val="none" w:sz="0" w:space="0"/>
            <w:bottom w:val="none" w:sz="0" w:space="0"/>
            <w:right w:val="none" w:sz="0" w:space="0"/>
          </w:pgBorders>
          <w:pgNumType w:fmt="decimal"/>
          <w:cols w:space="720" w:num="1"/>
        </w:sectPr>
      </w:pPr>
    </w:p>
    <w:p w14:paraId="2744EE7C">
      <w:pPr>
        <w:spacing w:line="241" w:lineRule="auto"/>
        <w:rPr>
          <w:rFonts w:ascii="Arial"/>
          <w:color w:val="auto"/>
          <w:sz w:val="21"/>
          <w:highlight w:val="none"/>
        </w:rPr>
      </w:pPr>
    </w:p>
    <w:p w14:paraId="4FA69185">
      <w:pPr>
        <w:spacing w:line="241" w:lineRule="auto"/>
        <w:rPr>
          <w:rFonts w:ascii="Arial"/>
          <w:color w:val="auto"/>
          <w:sz w:val="21"/>
          <w:highlight w:val="none"/>
        </w:rPr>
      </w:pPr>
    </w:p>
    <w:p w14:paraId="7F010B8A">
      <w:pPr>
        <w:spacing w:line="242" w:lineRule="auto"/>
        <w:rPr>
          <w:rFonts w:ascii="Arial"/>
          <w:color w:val="auto"/>
          <w:sz w:val="21"/>
          <w:highlight w:val="none"/>
        </w:rPr>
      </w:pPr>
    </w:p>
    <w:p w14:paraId="1939F169">
      <w:pPr>
        <w:spacing w:line="242" w:lineRule="auto"/>
        <w:rPr>
          <w:rFonts w:ascii="Arial"/>
          <w:color w:val="auto"/>
          <w:sz w:val="21"/>
          <w:highlight w:val="none"/>
        </w:rPr>
      </w:pPr>
    </w:p>
    <w:p w14:paraId="3A2AC155">
      <w:pPr>
        <w:spacing w:line="242" w:lineRule="auto"/>
        <w:rPr>
          <w:rFonts w:ascii="Arial"/>
          <w:color w:val="auto"/>
          <w:sz w:val="21"/>
          <w:highlight w:val="none"/>
        </w:rPr>
      </w:pPr>
    </w:p>
    <w:p w14:paraId="38ED6237">
      <w:pPr>
        <w:spacing w:line="242" w:lineRule="auto"/>
        <w:rPr>
          <w:rFonts w:ascii="Arial"/>
          <w:color w:val="auto"/>
          <w:sz w:val="21"/>
          <w:highlight w:val="none"/>
        </w:rPr>
      </w:pPr>
    </w:p>
    <w:p w14:paraId="210A0954">
      <w:pPr>
        <w:spacing w:line="242" w:lineRule="auto"/>
        <w:rPr>
          <w:rFonts w:ascii="Arial"/>
          <w:color w:val="auto"/>
          <w:sz w:val="21"/>
          <w:highlight w:val="none"/>
        </w:rPr>
      </w:pPr>
    </w:p>
    <w:p w14:paraId="2ABFAAC2">
      <w:pPr>
        <w:spacing w:line="242" w:lineRule="auto"/>
        <w:rPr>
          <w:rFonts w:ascii="Arial"/>
          <w:color w:val="auto"/>
          <w:sz w:val="21"/>
          <w:highlight w:val="none"/>
        </w:rPr>
      </w:pPr>
    </w:p>
    <w:p w14:paraId="4F6BF8F1">
      <w:pPr>
        <w:spacing w:line="242" w:lineRule="auto"/>
        <w:rPr>
          <w:rFonts w:ascii="Arial"/>
          <w:color w:val="auto"/>
          <w:sz w:val="21"/>
          <w:highlight w:val="none"/>
        </w:rPr>
      </w:pPr>
    </w:p>
    <w:p w14:paraId="68349DC9">
      <w:pPr>
        <w:spacing w:line="242" w:lineRule="auto"/>
        <w:rPr>
          <w:rFonts w:ascii="Arial"/>
          <w:color w:val="auto"/>
          <w:sz w:val="21"/>
          <w:highlight w:val="none"/>
        </w:rPr>
      </w:pPr>
    </w:p>
    <w:p w14:paraId="2696A76D">
      <w:pPr>
        <w:spacing w:line="242" w:lineRule="auto"/>
        <w:rPr>
          <w:rFonts w:ascii="Arial"/>
          <w:color w:val="auto"/>
          <w:sz w:val="21"/>
          <w:highlight w:val="none"/>
        </w:rPr>
      </w:pPr>
    </w:p>
    <w:p w14:paraId="73E6B5C6">
      <w:pPr>
        <w:spacing w:line="242" w:lineRule="auto"/>
        <w:rPr>
          <w:rFonts w:ascii="Arial"/>
          <w:color w:val="auto"/>
          <w:sz w:val="21"/>
          <w:highlight w:val="none"/>
        </w:rPr>
      </w:pPr>
    </w:p>
    <w:p w14:paraId="4F810E44">
      <w:pPr>
        <w:spacing w:line="242" w:lineRule="auto"/>
        <w:rPr>
          <w:rFonts w:ascii="Arial"/>
          <w:color w:val="auto"/>
          <w:sz w:val="21"/>
          <w:highlight w:val="none"/>
        </w:rPr>
      </w:pPr>
    </w:p>
    <w:p w14:paraId="5D6D6D50">
      <w:pPr>
        <w:spacing w:line="242" w:lineRule="auto"/>
        <w:rPr>
          <w:rFonts w:ascii="Arial"/>
          <w:color w:val="auto"/>
          <w:sz w:val="21"/>
          <w:highlight w:val="none"/>
        </w:rPr>
      </w:pPr>
    </w:p>
    <w:p w14:paraId="4B937DC9">
      <w:pPr>
        <w:spacing w:line="242" w:lineRule="auto"/>
        <w:rPr>
          <w:rFonts w:ascii="Arial"/>
          <w:color w:val="auto"/>
          <w:sz w:val="21"/>
          <w:highlight w:val="none"/>
        </w:rPr>
      </w:pPr>
    </w:p>
    <w:p w14:paraId="31739AC1">
      <w:pPr>
        <w:spacing w:line="242" w:lineRule="auto"/>
        <w:rPr>
          <w:rFonts w:ascii="Arial"/>
          <w:color w:val="auto"/>
          <w:sz w:val="21"/>
          <w:highlight w:val="none"/>
        </w:rPr>
      </w:pPr>
    </w:p>
    <w:p w14:paraId="7D80C1F5">
      <w:pPr>
        <w:spacing w:line="242" w:lineRule="auto"/>
        <w:rPr>
          <w:rFonts w:ascii="Arial"/>
          <w:color w:val="auto"/>
          <w:sz w:val="21"/>
          <w:highlight w:val="none"/>
        </w:rPr>
      </w:pPr>
    </w:p>
    <w:p w14:paraId="401116EC">
      <w:pPr>
        <w:spacing w:before="169" w:line="219" w:lineRule="auto"/>
        <w:ind w:left="1839"/>
        <w:outlineLvl w:val="0"/>
        <w:rPr>
          <w:rFonts w:ascii="宋体" w:hAnsi="宋体" w:eastAsia="宋体" w:cs="宋体"/>
          <w:color w:val="auto"/>
          <w:sz w:val="52"/>
          <w:szCs w:val="52"/>
          <w:highlight w:val="none"/>
        </w:rPr>
      </w:pPr>
      <w:bookmarkStart w:id="26" w:name="_Toc17428"/>
      <w:bookmarkStart w:id="27" w:name="_Toc27511"/>
      <w:r>
        <w:rPr>
          <w:rFonts w:ascii="宋体" w:hAnsi="宋体" w:eastAsia="宋体" w:cs="宋体"/>
          <w:b/>
          <w:bCs/>
          <w:color w:val="auto"/>
          <w:spacing w:val="-5"/>
          <w:sz w:val="52"/>
          <w:szCs w:val="52"/>
          <w:highlight w:val="none"/>
        </w:rPr>
        <w:t>第二章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投标人须知</w:t>
      </w:r>
      <w:bookmarkEnd w:id="26"/>
      <w:bookmarkEnd w:id="27"/>
    </w:p>
    <w:p w14:paraId="5867C214">
      <w:pPr>
        <w:spacing w:line="219" w:lineRule="auto"/>
        <w:rPr>
          <w:rFonts w:ascii="宋体" w:hAnsi="宋体" w:eastAsia="宋体" w:cs="宋体"/>
          <w:color w:val="auto"/>
          <w:sz w:val="52"/>
          <w:szCs w:val="52"/>
          <w:highlight w:val="none"/>
        </w:rPr>
        <w:sectPr>
          <w:footerReference r:id="rId9" w:type="default"/>
          <w:pgSz w:w="11906" w:h="16839"/>
          <w:pgMar w:top="1431" w:right="1785" w:bottom="1297" w:left="1785" w:header="0" w:footer="1067" w:gutter="0"/>
          <w:pgBorders>
            <w:top w:val="none" w:sz="0" w:space="0"/>
            <w:left w:val="none" w:sz="0" w:space="0"/>
            <w:bottom w:val="none" w:sz="0" w:space="0"/>
            <w:right w:val="none" w:sz="0" w:space="0"/>
          </w:pgBorders>
          <w:pgNumType w:fmt="decimal"/>
          <w:cols w:space="720" w:num="1"/>
        </w:sectPr>
      </w:pPr>
    </w:p>
    <w:p w14:paraId="359DF199">
      <w:pPr>
        <w:spacing w:before="84" w:line="223" w:lineRule="auto"/>
        <w:ind w:left="2768"/>
        <w:outlineLvl w:val="0"/>
        <w:rPr>
          <w:rFonts w:ascii="宋体" w:hAnsi="宋体" w:eastAsia="宋体" w:cs="宋体"/>
          <w:color w:val="auto"/>
          <w:sz w:val="41"/>
          <w:szCs w:val="41"/>
          <w:highlight w:val="none"/>
        </w:rPr>
      </w:pPr>
      <w:bookmarkStart w:id="28" w:name="_Toc24392"/>
      <w:bookmarkStart w:id="29" w:name="_Toc23428"/>
      <w:bookmarkStart w:id="30" w:name="_Toc3600"/>
      <w:r>
        <w:rPr>
          <w:rFonts w:ascii="宋体" w:hAnsi="宋体" w:eastAsia="宋体" w:cs="宋体"/>
          <w:b/>
          <w:bCs/>
          <w:color w:val="auto"/>
          <w:spacing w:val="5"/>
          <w:sz w:val="41"/>
          <w:szCs w:val="41"/>
          <w:highlight w:val="none"/>
        </w:rPr>
        <w:t>第二章</w:t>
      </w:r>
      <w:r>
        <w:rPr>
          <w:rFonts w:ascii="宋体" w:hAnsi="宋体" w:eastAsia="宋体" w:cs="宋体"/>
          <w:color w:val="auto"/>
          <w:spacing w:val="5"/>
          <w:sz w:val="41"/>
          <w:szCs w:val="41"/>
          <w:highlight w:val="none"/>
        </w:rPr>
        <w:t xml:space="preserve">  </w:t>
      </w:r>
      <w:r>
        <w:rPr>
          <w:rFonts w:ascii="宋体" w:hAnsi="宋体" w:eastAsia="宋体" w:cs="宋体"/>
          <w:b/>
          <w:bCs/>
          <w:color w:val="auto"/>
          <w:spacing w:val="5"/>
          <w:sz w:val="41"/>
          <w:szCs w:val="41"/>
          <w:highlight w:val="none"/>
        </w:rPr>
        <w:t>投标人须知</w:t>
      </w:r>
      <w:bookmarkEnd w:id="28"/>
      <w:bookmarkEnd w:id="29"/>
      <w:bookmarkEnd w:id="30"/>
    </w:p>
    <w:p w14:paraId="02F49DE3">
      <w:pPr>
        <w:spacing w:line="284" w:lineRule="auto"/>
        <w:rPr>
          <w:rFonts w:ascii="Arial"/>
          <w:color w:val="auto"/>
          <w:sz w:val="21"/>
          <w:highlight w:val="none"/>
        </w:rPr>
      </w:pPr>
    </w:p>
    <w:p w14:paraId="21FDE75D">
      <w:pPr>
        <w:spacing w:line="284" w:lineRule="auto"/>
        <w:rPr>
          <w:rFonts w:ascii="Arial"/>
          <w:color w:val="auto"/>
          <w:sz w:val="21"/>
          <w:highlight w:val="none"/>
        </w:rPr>
      </w:pPr>
    </w:p>
    <w:p w14:paraId="187BD7EE">
      <w:pPr>
        <w:spacing w:before="78" w:line="226" w:lineRule="auto"/>
        <w:ind w:left="124"/>
        <w:outlineLvl w:val="0"/>
        <w:rPr>
          <w:rFonts w:ascii="宋体" w:hAnsi="宋体" w:eastAsia="宋体" w:cs="宋体"/>
          <w:color w:val="auto"/>
          <w:sz w:val="12"/>
          <w:szCs w:val="12"/>
          <w:highlight w:val="none"/>
        </w:rPr>
      </w:pPr>
      <w:bookmarkStart w:id="31" w:name="_Toc32468"/>
      <w:bookmarkStart w:id="32" w:name="_Toc13025"/>
      <w:r>
        <w:rPr>
          <w:rFonts w:ascii="宋体" w:hAnsi="宋体" w:eastAsia="宋体" w:cs="宋体"/>
          <w:b/>
          <w:bCs/>
          <w:color w:val="auto"/>
          <w:spacing w:val="-3"/>
          <w:sz w:val="24"/>
          <w:szCs w:val="24"/>
          <w:highlight w:val="none"/>
        </w:rPr>
        <w:t>投标人须知前附表</w:t>
      </w:r>
      <w:bookmarkEnd w:id="31"/>
      <w:bookmarkEnd w:id="32"/>
    </w:p>
    <w:tbl>
      <w:tblPr>
        <w:tblStyle w:val="22"/>
        <w:tblW w:w="92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5374"/>
      </w:tblGrid>
      <w:tr w14:paraId="04BA4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blHeader/>
        </w:trPr>
        <w:tc>
          <w:tcPr>
            <w:tcW w:w="1013" w:type="dxa"/>
            <w:vAlign w:val="center"/>
          </w:tcPr>
          <w:p w14:paraId="5F5DD5BB">
            <w:pPr>
              <w:pStyle w:val="23"/>
              <w:spacing w:line="240" w:lineRule="auto"/>
              <w:ind w:left="0"/>
              <w:jc w:val="center"/>
              <w:rPr>
                <w:color w:val="auto"/>
                <w:highlight w:val="none"/>
              </w:rPr>
            </w:pPr>
            <w:r>
              <w:rPr>
                <w:b/>
                <w:bCs/>
                <w:color w:val="auto"/>
                <w:spacing w:val="5"/>
                <w:highlight w:val="none"/>
              </w:rPr>
              <w:t>条款号</w:t>
            </w:r>
          </w:p>
        </w:tc>
        <w:tc>
          <w:tcPr>
            <w:tcW w:w="2877" w:type="dxa"/>
            <w:vAlign w:val="center"/>
          </w:tcPr>
          <w:p w14:paraId="420FA9E7">
            <w:pPr>
              <w:pStyle w:val="23"/>
              <w:spacing w:line="240" w:lineRule="auto"/>
              <w:ind w:left="0"/>
              <w:jc w:val="center"/>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5374" w:type="dxa"/>
            <w:vAlign w:val="center"/>
          </w:tcPr>
          <w:p w14:paraId="17F87BC4">
            <w:pPr>
              <w:pStyle w:val="23"/>
              <w:spacing w:line="240" w:lineRule="auto"/>
              <w:ind w:left="0"/>
              <w:jc w:val="center"/>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01C26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739EABE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1.1.2</w:t>
            </w:r>
          </w:p>
        </w:tc>
        <w:tc>
          <w:tcPr>
            <w:tcW w:w="2877" w:type="dxa"/>
            <w:vAlign w:val="center"/>
          </w:tcPr>
          <w:p w14:paraId="2EE7C8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招标人</w:t>
            </w:r>
          </w:p>
        </w:tc>
        <w:tc>
          <w:tcPr>
            <w:tcW w:w="5374" w:type="dxa"/>
            <w:vAlign w:val="center"/>
          </w:tcPr>
          <w:p w14:paraId="00539F5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color w:val="auto"/>
                <w:highlight w:val="none"/>
                <w:lang w:eastAsia="zh-CN"/>
              </w:rPr>
            </w:pPr>
            <w:r>
              <w:rPr>
                <w:rFonts w:hint="eastAsia"/>
                <w:color w:val="auto"/>
                <w:highlight w:val="none"/>
                <w:lang w:eastAsia="zh-CN"/>
              </w:rPr>
              <w:t>名称：乐昌市地方公路站</w:t>
            </w:r>
          </w:p>
          <w:p w14:paraId="6D8233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color w:val="auto"/>
                <w:highlight w:val="none"/>
                <w:lang w:eastAsia="zh-CN"/>
              </w:rPr>
            </w:pPr>
            <w:r>
              <w:rPr>
                <w:rFonts w:hint="eastAsia"/>
                <w:color w:val="auto"/>
                <w:highlight w:val="none"/>
                <w:lang w:eastAsia="zh-CN"/>
              </w:rPr>
              <w:t>地址：乐昌市公主下路62号</w:t>
            </w:r>
          </w:p>
          <w:p w14:paraId="2DA30C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eastAsia"/>
                <w:color w:val="auto"/>
                <w:highlight w:val="none"/>
                <w:lang w:eastAsia="zh-CN"/>
              </w:rPr>
              <w:t>联系人：</w:t>
            </w:r>
            <w:r>
              <w:rPr>
                <w:rFonts w:hint="eastAsia"/>
                <w:color w:val="auto"/>
                <w:highlight w:val="none"/>
                <w:lang w:val="en-US" w:eastAsia="zh-CN"/>
              </w:rPr>
              <w:t>扶工</w:t>
            </w:r>
          </w:p>
          <w:p w14:paraId="5C432A6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rPr>
            </w:pPr>
            <w:r>
              <w:rPr>
                <w:rFonts w:hint="eastAsia"/>
                <w:color w:val="auto"/>
                <w:highlight w:val="none"/>
                <w:lang w:eastAsia="zh-CN"/>
              </w:rPr>
              <w:t>联系电话：</w:t>
            </w:r>
            <w:r>
              <w:rPr>
                <w:rFonts w:hint="eastAsia"/>
                <w:color w:val="auto"/>
                <w:highlight w:val="none"/>
                <w:lang w:val="en-US" w:eastAsia="zh-CN"/>
              </w:rPr>
              <w:t>0751-5552728</w:t>
            </w:r>
          </w:p>
        </w:tc>
      </w:tr>
      <w:tr w14:paraId="3AF0F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221AE8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1.1.3</w:t>
            </w:r>
          </w:p>
        </w:tc>
        <w:tc>
          <w:tcPr>
            <w:tcW w:w="2877" w:type="dxa"/>
            <w:vAlign w:val="center"/>
          </w:tcPr>
          <w:p w14:paraId="2B4736D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招标代理机构</w:t>
            </w:r>
          </w:p>
        </w:tc>
        <w:tc>
          <w:tcPr>
            <w:tcW w:w="5374" w:type="dxa"/>
            <w:vAlign w:val="center"/>
          </w:tcPr>
          <w:p w14:paraId="2AE17B7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eastAsia"/>
                <w:color w:val="auto"/>
                <w:highlight w:val="none"/>
                <w:lang w:val="en-US" w:eastAsia="zh-CN"/>
              </w:rPr>
              <w:t>招标</w:t>
            </w:r>
            <w:r>
              <w:rPr>
                <w:rFonts w:hint="default"/>
                <w:color w:val="auto"/>
                <w:highlight w:val="none"/>
                <w:lang w:val="en-US" w:eastAsia="zh-CN"/>
              </w:rPr>
              <w:t>代理机构：</w:t>
            </w:r>
            <w:r>
              <w:rPr>
                <w:rFonts w:hint="eastAsia"/>
                <w:color w:val="auto"/>
                <w:highlight w:val="none"/>
                <w:lang w:val="en-US" w:eastAsia="zh-CN"/>
              </w:rPr>
              <w:t>韶关恒源招标代理有限公司</w:t>
            </w:r>
          </w:p>
          <w:p w14:paraId="2E7164C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default"/>
                <w:color w:val="auto"/>
                <w:highlight w:val="none"/>
                <w:lang w:val="en-US" w:eastAsia="zh-CN"/>
              </w:rPr>
              <w:t>地址：</w:t>
            </w:r>
            <w:r>
              <w:rPr>
                <w:rFonts w:hint="eastAsia"/>
                <w:color w:val="auto"/>
                <w:highlight w:val="none"/>
                <w:lang w:val="en-US" w:eastAsia="zh-CN"/>
              </w:rPr>
              <w:t>乐昌市乐城街道东环横路3号顺华雅苑6幢203号-5</w:t>
            </w:r>
          </w:p>
          <w:p w14:paraId="692B7B4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color w:val="auto"/>
                <w:highlight w:val="none"/>
                <w:lang w:val="en-US" w:eastAsia="zh-CN"/>
              </w:rPr>
            </w:pPr>
            <w:r>
              <w:rPr>
                <w:rFonts w:hint="default"/>
                <w:color w:val="auto"/>
                <w:highlight w:val="none"/>
                <w:lang w:val="en-US" w:eastAsia="zh-CN"/>
              </w:rPr>
              <w:t>联系人：</w:t>
            </w:r>
            <w:r>
              <w:rPr>
                <w:rFonts w:hint="eastAsia"/>
                <w:color w:val="auto"/>
                <w:highlight w:val="none"/>
                <w:lang w:val="en-US" w:eastAsia="zh-CN"/>
              </w:rPr>
              <w:t xml:space="preserve">李工 </w:t>
            </w:r>
          </w:p>
          <w:p w14:paraId="4DF6AF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default"/>
                <w:color w:val="auto"/>
                <w:highlight w:val="none"/>
                <w:lang w:val="en-US" w:eastAsia="zh-CN"/>
              </w:rPr>
              <w:t>联系电话：</w:t>
            </w:r>
            <w:r>
              <w:rPr>
                <w:rFonts w:hint="eastAsia"/>
                <w:color w:val="auto"/>
                <w:highlight w:val="none"/>
                <w:lang w:val="en-US" w:eastAsia="zh-CN"/>
              </w:rPr>
              <w:t xml:space="preserve">15820117508 </w:t>
            </w:r>
          </w:p>
        </w:tc>
      </w:tr>
      <w:tr w14:paraId="08F28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1013" w:type="dxa"/>
            <w:vAlign w:val="center"/>
          </w:tcPr>
          <w:p w14:paraId="57BC2B1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1.1.4</w:t>
            </w:r>
          </w:p>
        </w:tc>
        <w:tc>
          <w:tcPr>
            <w:tcW w:w="2877" w:type="dxa"/>
            <w:vAlign w:val="center"/>
          </w:tcPr>
          <w:p w14:paraId="0B97CA9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招标项目名称</w:t>
            </w:r>
          </w:p>
        </w:tc>
        <w:tc>
          <w:tcPr>
            <w:tcW w:w="5374" w:type="dxa"/>
            <w:vAlign w:val="center"/>
          </w:tcPr>
          <w:p w14:paraId="28B647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宋体" w:hAnsi="宋体" w:eastAsia="宋体" w:cs="宋体"/>
                <w:color w:val="auto"/>
                <w:spacing w:val="8"/>
                <w:highlight w:val="none"/>
                <w:lang w:val="en-US" w:eastAsia="zh-CN"/>
              </w:rPr>
            </w:pPr>
            <w:r>
              <w:rPr>
                <w:rFonts w:hint="eastAsia" w:cs="宋体"/>
                <w:color w:val="auto"/>
                <w:spacing w:val="8"/>
                <w:highlight w:val="none"/>
                <w:lang w:val="en-US" w:eastAsia="zh-CN"/>
              </w:rPr>
              <w:t>长征国家文化公园(乐昌段)旅游公路建设项目二期-X826线坪石至桃坪(K0+000-K21+000段)工程监理（第二次）</w:t>
            </w:r>
          </w:p>
        </w:tc>
      </w:tr>
      <w:tr w14:paraId="1F170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013" w:type="dxa"/>
            <w:vAlign w:val="center"/>
          </w:tcPr>
          <w:p w14:paraId="561410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1.1.5</w:t>
            </w:r>
          </w:p>
        </w:tc>
        <w:tc>
          <w:tcPr>
            <w:tcW w:w="2877" w:type="dxa"/>
            <w:vAlign w:val="center"/>
          </w:tcPr>
          <w:p w14:paraId="07B51C4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8"/>
                <w:highlight w:val="none"/>
              </w:rPr>
              <w:t>标段建设地点</w:t>
            </w:r>
          </w:p>
        </w:tc>
        <w:tc>
          <w:tcPr>
            <w:tcW w:w="5374" w:type="dxa"/>
            <w:vAlign w:val="center"/>
          </w:tcPr>
          <w:p w14:paraId="344D46B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宋体" w:hAnsi="宋体" w:eastAsia="宋体" w:cs="宋体"/>
                <w:color w:val="auto"/>
                <w:spacing w:val="8"/>
                <w:highlight w:val="none"/>
                <w:lang w:val="en-US" w:eastAsia="zh-CN"/>
              </w:rPr>
            </w:pPr>
            <w:r>
              <w:rPr>
                <w:rFonts w:hint="eastAsia" w:cs="宋体"/>
                <w:color w:val="auto"/>
                <w:spacing w:val="8"/>
                <w:highlight w:val="none"/>
                <w:lang w:val="en-US" w:eastAsia="zh-CN"/>
              </w:rPr>
              <w:t>韶关市乐昌市</w:t>
            </w:r>
          </w:p>
        </w:tc>
      </w:tr>
      <w:tr w14:paraId="2B03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1013" w:type="dxa"/>
            <w:vAlign w:val="center"/>
          </w:tcPr>
          <w:p w14:paraId="1C4D822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1.1.6</w:t>
            </w:r>
          </w:p>
        </w:tc>
        <w:tc>
          <w:tcPr>
            <w:tcW w:w="2877" w:type="dxa"/>
            <w:vAlign w:val="center"/>
          </w:tcPr>
          <w:p w14:paraId="18F1CDD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标段建设规模</w:t>
            </w:r>
          </w:p>
        </w:tc>
        <w:tc>
          <w:tcPr>
            <w:tcW w:w="5374" w:type="dxa"/>
            <w:vAlign w:val="center"/>
          </w:tcPr>
          <w:p w14:paraId="09D12DDB">
            <w:pPr>
              <w:pStyle w:val="23"/>
              <w:keepNext w:val="0"/>
              <w:keepLines w:val="0"/>
              <w:pageBreakBefore w:val="0"/>
              <w:widowControl/>
              <w:numPr>
                <w:ilvl w:val="0"/>
                <w:numId w:val="2"/>
              </w:numPr>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lang w:eastAsia="zh-CN"/>
              </w:rPr>
            </w:pPr>
            <w:r>
              <w:rPr>
                <w:rFonts w:hint="eastAsia" w:ascii="Arial"/>
                <w:color w:val="auto"/>
                <w:sz w:val="21"/>
                <w:highlight w:val="none"/>
              </w:rPr>
              <w:t>建设地点：</w:t>
            </w:r>
            <w:r>
              <w:rPr>
                <w:rFonts w:hint="eastAsia" w:ascii="Arial"/>
                <w:color w:val="auto"/>
                <w:sz w:val="21"/>
                <w:highlight w:val="none"/>
                <w:lang w:eastAsia="zh-CN"/>
              </w:rPr>
              <w:t>韶关市乐昌市</w:t>
            </w:r>
          </w:p>
          <w:p w14:paraId="4898394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rPr>
            </w:pPr>
            <w:r>
              <w:rPr>
                <w:rFonts w:hint="eastAsia" w:ascii="Arial"/>
                <w:color w:val="auto"/>
                <w:sz w:val="21"/>
                <w:highlight w:val="none"/>
              </w:rPr>
              <w:t>2.建设内容及规模：</w:t>
            </w:r>
          </w:p>
          <w:p w14:paraId="149878F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cs="宋体"/>
                <w:color w:val="auto"/>
                <w:spacing w:val="9"/>
                <w:highlight w:val="none"/>
                <w:lang w:eastAsia="zh-CN"/>
              </w:rPr>
              <w:t>本项目位于乐昌市坪石镇，起点与S248线呈T型平交，起点桩号K0+000，经过金鸡村、上下白沙、黄鹿冲、梓门塘、麦坪村、新岩下村、水口村、京口村、皈塘村、竹岗村、杨家等，至终点桃坪村（桩号:K25+565），路线全长25.565公里（本次实施范围为K0+000-K21+000段）。本项目技术标准为按三级公路技术标准建设，路基宽7.5米，采用水泥混凝土路面，局部困难路段维持原路标准。</w:t>
            </w:r>
          </w:p>
        </w:tc>
      </w:tr>
      <w:tr w14:paraId="0BDA6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013" w:type="dxa"/>
            <w:vAlign w:val="center"/>
          </w:tcPr>
          <w:p w14:paraId="349AC52C">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60B5E2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1.1.7</w:t>
            </w:r>
          </w:p>
        </w:tc>
        <w:tc>
          <w:tcPr>
            <w:tcW w:w="2877" w:type="dxa"/>
            <w:vAlign w:val="center"/>
          </w:tcPr>
          <w:p w14:paraId="58AB0F9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招标项目施工预计开工日期</w:t>
            </w:r>
          </w:p>
          <w:p w14:paraId="4CDB9C4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和建设周期</w:t>
            </w:r>
          </w:p>
        </w:tc>
        <w:tc>
          <w:tcPr>
            <w:tcW w:w="5374" w:type="dxa"/>
            <w:vAlign w:val="center"/>
          </w:tcPr>
          <w:p w14:paraId="110939F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计划开工日期：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51A9FFF0">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计划竣工日期：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2910D54F">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宋体" w:hAnsi="宋体" w:eastAsia="宋体" w:cs="宋体"/>
                <w:color w:val="auto"/>
                <w:sz w:val="20"/>
                <w:szCs w:val="20"/>
                <w:highlight w:val="none"/>
              </w:rPr>
              <w:t>建设周期：建设周期</w:t>
            </w:r>
            <w:r>
              <w:rPr>
                <w:rFonts w:hint="eastAsia" w:ascii="宋体" w:hAnsi="宋体" w:eastAsia="宋体" w:cs="宋体"/>
                <w:color w:val="auto"/>
                <w:sz w:val="20"/>
                <w:szCs w:val="20"/>
                <w:highlight w:val="none"/>
                <w:u w:val="single"/>
                <w:lang w:val="en-US" w:eastAsia="zh-CN"/>
              </w:rPr>
              <w:t xml:space="preserve"> 24 </w:t>
            </w:r>
            <w:r>
              <w:rPr>
                <w:rFonts w:hint="eastAsia" w:ascii="宋体" w:hAnsi="宋体" w:eastAsia="宋体" w:cs="宋体"/>
                <w:color w:val="auto"/>
                <w:sz w:val="20"/>
                <w:szCs w:val="20"/>
                <w:highlight w:val="none"/>
              </w:rPr>
              <w:t>个月</w:t>
            </w:r>
          </w:p>
        </w:tc>
      </w:tr>
      <w:tr w14:paraId="083A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2D578B7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1.1.8</w:t>
            </w:r>
          </w:p>
        </w:tc>
        <w:tc>
          <w:tcPr>
            <w:tcW w:w="2877" w:type="dxa"/>
            <w:vAlign w:val="center"/>
          </w:tcPr>
          <w:p w14:paraId="58DC29D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建筑安装工程费/工程</w:t>
            </w:r>
            <w:r>
              <w:rPr>
                <w:rFonts w:hint="eastAsia"/>
                <w:color w:val="auto"/>
                <w:spacing w:val="8"/>
                <w:highlight w:val="none"/>
                <w:lang w:val="en-US" w:eastAsia="zh-CN"/>
              </w:rPr>
              <w:t>预</w:t>
            </w:r>
            <w:r>
              <w:rPr>
                <w:color w:val="auto"/>
                <w:spacing w:val="8"/>
                <w:highlight w:val="none"/>
              </w:rPr>
              <w:t>算投</w:t>
            </w:r>
          </w:p>
          <w:p w14:paraId="4FE5EA5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资额</w:t>
            </w:r>
          </w:p>
        </w:tc>
        <w:tc>
          <w:tcPr>
            <w:tcW w:w="5374" w:type="dxa"/>
            <w:vAlign w:val="center"/>
          </w:tcPr>
          <w:p w14:paraId="28A2FE4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cs="宋体"/>
                <w:color w:val="auto"/>
                <w:spacing w:val="8"/>
                <w:highlight w:val="none"/>
                <w:lang w:val="en-US" w:eastAsia="zh-CN"/>
              </w:rPr>
              <w:t>建筑安装</w:t>
            </w:r>
            <w:r>
              <w:rPr>
                <w:rFonts w:hint="eastAsia" w:ascii="宋体" w:hAnsi="宋体" w:eastAsia="宋体" w:cs="宋体"/>
                <w:color w:val="auto"/>
                <w:spacing w:val="8"/>
                <w:highlight w:val="none"/>
                <w:lang w:val="en-US" w:eastAsia="zh-CN"/>
              </w:rPr>
              <w:t>工程费</w:t>
            </w:r>
            <w:r>
              <w:rPr>
                <w:rFonts w:hint="eastAsia" w:cs="宋体"/>
                <w:color w:val="auto"/>
                <w:spacing w:val="8"/>
                <w:highlight w:val="none"/>
                <w:lang w:val="en-US" w:eastAsia="zh-CN"/>
              </w:rPr>
              <w:t>3524.8546</w:t>
            </w:r>
            <w:r>
              <w:rPr>
                <w:rFonts w:hint="eastAsia" w:ascii="宋体" w:hAnsi="宋体" w:eastAsia="宋体" w:cs="宋体"/>
                <w:color w:val="auto"/>
                <w:spacing w:val="8"/>
                <w:highlight w:val="none"/>
                <w:lang w:val="en-US" w:eastAsia="zh-CN"/>
              </w:rPr>
              <w:t>万元</w:t>
            </w:r>
            <w:r>
              <w:rPr>
                <w:rFonts w:hint="eastAsia" w:cs="宋体"/>
                <w:color w:val="auto"/>
                <w:spacing w:val="8"/>
                <w:highlight w:val="none"/>
                <w:lang w:val="en-US" w:eastAsia="zh-CN"/>
              </w:rPr>
              <w:t>/工程预</w:t>
            </w:r>
            <w:r>
              <w:rPr>
                <w:rFonts w:hint="eastAsia" w:ascii="宋体" w:hAnsi="宋体" w:eastAsia="宋体" w:cs="宋体"/>
                <w:color w:val="auto"/>
                <w:spacing w:val="8"/>
                <w:highlight w:val="none"/>
                <w:lang w:val="en-US" w:eastAsia="zh-CN"/>
              </w:rPr>
              <w:t>算</w:t>
            </w:r>
            <w:r>
              <w:rPr>
                <w:rFonts w:hint="eastAsia" w:cs="宋体"/>
                <w:color w:val="auto"/>
                <w:spacing w:val="8"/>
                <w:highlight w:val="none"/>
                <w:lang w:val="en-US" w:eastAsia="zh-CN"/>
              </w:rPr>
              <w:t>投资额5666.314</w:t>
            </w:r>
            <w:r>
              <w:rPr>
                <w:rFonts w:hint="eastAsia" w:ascii="宋体" w:hAnsi="宋体" w:eastAsia="宋体" w:cs="宋体"/>
                <w:color w:val="auto"/>
                <w:spacing w:val="8"/>
                <w:highlight w:val="none"/>
                <w:lang w:val="en-US" w:eastAsia="zh-CN"/>
              </w:rPr>
              <w:t>万元</w:t>
            </w:r>
          </w:p>
        </w:tc>
      </w:tr>
      <w:tr w14:paraId="5CD63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013" w:type="dxa"/>
            <w:vAlign w:val="center"/>
          </w:tcPr>
          <w:p w14:paraId="084114C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1.2.1</w:t>
            </w:r>
          </w:p>
        </w:tc>
        <w:tc>
          <w:tcPr>
            <w:tcW w:w="2877" w:type="dxa"/>
            <w:vAlign w:val="center"/>
          </w:tcPr>
          <w:p w14:paraId="34968776">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资金来源及比例</w:t>
            </w:r>
          </w:p>
        </w:tc>
        <w:tc>
          <w:tcPr>
            <w:tcW w:w="5374" w:type="dxa"/>
            <w:vAlign w:val="center"/>
          </w:tcPr>
          <w:p w14:paraId="1CAF9E6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详见招标公告</w:t>
            </w:r>
          </w:p>
        </w:tc>
      </w:tr>
      <w:tr w14:paraId="43FBD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013" w:type="dxa"/>
            <w:vAlign w:val="center"/>
          </w:tcPr>
          <w:p w14:paraId="08CB385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1.2.2</w:t>
            </w:r>
          </w:p>
        </w:tc>
        <w:tc>
          <w:tcPr>
            <w:tcW w:w="2877" w:type="dxa"/>
            <w:vAlign w:val="center"/>
          </w:tcPr>
          <w:p w14:paraId="7A9FE40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资金落实情况</w:t>
            </w:r>
          </w:p>
        </w:tc>
        <w:tc>
          <w:tcPr>
            <w:tcW w:w="5374" w:type="dxa"/>
            <w:vAlign w:val="center"/>
          </w:tcPr>
          <w:p w14:paraId="7759A7B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宋体" w:hAnsi="宋体" w:eastAsia="宋体" w:cs="宋体"/>
                <w:color w:val="auto"/>
                <w:spacing w:val="7"/>
                <w:highlight w:val="none"/>
              </w:rPr>
              <w:t>资金已落实</w:t>
            </w:r>
          </w:p>
        </w:tc>
      </w:tr>
      <w:tr w14:paraId="13B3F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1EB997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1.3.1</w:t>
            </w:r>
          </w:p>
        </w:tc>
        <w:tc>
          <w:tcPr>
            <w:tcW w:w="2877" w:type="dxa"/>
            <w:vAlign w:val="center"/>
          </w:tcPr>
          <w:p w14:paraId="5782CDC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招标范围</w:t>
            </w:r>
          </w:p>
        </w:tc>
        <w:tc>
          <w:tcPr>
            <w:tcW w:w="5374" w:type="dxa"/>
            <w:vAlign w:val="center"/>
          </w:tcPr>
          <w:p w14:paraId="6111C72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7"/>
                <w:highlight w:val="none"/>
                <w:lang w:eastAsia="zh-CN"/>
              </w:rPr>
              <w:t>☑</w:t>
            </w:r>
            <w:r>
              <w:rPr>
                <w:color w:val="auto"/>
                <w:spacing w:val="7"/>
                <w:highlight w:val="none"/>
              </w:rPr>
              <w:t>总监理工程师办公室（含中心试验室）</w:t>
            </w:r>
          </w:p>
          <w:p w14:paraId="28444B0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□驻地监理工程师办公室（含监理试验室）</w:t>
            </w:r>
          </w:p>
          <w:p w14:paraId="06BF116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val="en-US" w:eastAsia="zh-CN"/>
              </w:rPr>
            </w:pPr>
            <w:r>
              <w:rPr>
                <w:rFonts w:hint="eastAsia"/>
                <w:color w:val="auto"/>
                <w:spacing w:val="2"/>
                <w:highlight w:val="none"/>
                <w:lang w:eastAsia="zh-CN"/>
              </w:rPr>
              <w:t>□</w:t>
            </w:r>
            <w:r>
              <w:rPr>
                <w:color w:val="auto"/>
                <w:spacing w:val="2"/>
                <w:highlight w:val="none"/>
              </w:rPr>
              <w:t>其他：</w:t>
            </w:r>
            <w:r>
              <w:rPr>
                <w:rFonts w:hint="eastAsia"/>
                <w:color w:val="auto"/>
                <w:spacing w:val="2"/>
                <w:highlight w:val="none"/>
                <w:lang w:val="en-US" w:eastAsia="zh-CN"/>
              </w:rPr>
              <w:t>/</w:t>
            </w:r>
          </w:p>
        </w:tc>
      </w:tr>
      <w:tr w14:paraId="753C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0982AA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1.3.2</w:t>
            </w:r>
          </w:p>
        </w:tc>
        <w:tc>
          <w:tcPr>
            <w:tcW w:w="2877" w:type="dxa"/>
            <w:vAlign w:val="center"/>
          </w:tcPr>
          <w:p w14:paraId="1891E6D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监理服务期限</w:t>
            </w:r>
          </w:p>
        </w:tc>
        <w:tc>
          <w:tcPr>
            <w:tcW w:w="5374" w:type="dxa"/>
            <w:vAlign w:val="center"/>
          </w:tcPr>
          <w:p w14:paraId="75A5095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7"/>
                <w:highlight w:val="none"/>
              </w:rPr>
            </w:pPr>
            <w:r>
              <w:rPr>
                <w:color w:val="auto"/>
                <w:spacing w:val="7"/>
                <w:highlight w:val="none"/>
              </w:rPr>
              <w:t>监理服务期：</w:t>
            </w:r>
            <w:r>
              <w:rPr>
                <w:rFonts w:hint="eastAsia"/>
                <w:color w:val="auto"/>
                <w:spacing w:val="5"/>
                <w:highlight w:val="none"/>
                <w:u w:val="single" w:color="auto"/>
                <w:lang w:val="en-US" w:eastAsia="zh-CN"/>
              </w:rPr>
              <w:t>49</w:t>
            </w:r>
            <w:r>
              <w:rPr>
                <w:color w:val="auto"/>
                <w:spacing w:val="7"/>
                <w:highlight w:val="none"/>
                <w:u w:val="single" w:color="auto"/>
              </w:rPr>
              <w:t>个</w:t>
            </w:r>
            <w:r>
              <w:rPr>
                <w:color w:val="auto"/>
                <w:spacing w:val="7"/>
                <w:highlight w:val="none"/>
              </w:rPr>
              <w:t>月</w:t>
            </w:r>
          </w:p>
          <w:p w14:paraId="5DFDFB3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其中：</w:t>
            </w:r>
          </w:p>
          <w:p w14:paraId="38DD231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6"/>
                <w:highlight w:val="none"/>
              </w:rPr>
            </w:pPr>
            <w:r>
              <w:rPr>
                <w:color w:val="auto"/>
                <w:spacing w:val="6"/>
                <w:highlight w:val="none"/>
              </w:rPr>
              <w:t>施工准备阶段：</w:t>
            </w:r>
            <w:r>
              <w:rPr>
                <w:rFonts w:hint="eastAsia"/>
                <w:color w:val="auto"/>
                <w:spacing w:val="6"/>
                <w:highlight w:val="none"/>
                <w:u w:val="single" w:color="auto"/>
                <w:lang w:val="en-US" w:eastAsia="zh-CN"/>
              </w:rPr>
              <w:t>1</w:t>
            </w:r>
            <w:r>
              <w:rPr>
                <w:color w:val="auto"/>
                <w:spacing w:val="6"/>
                <w:highlight w:val="none"/>
                <w:u w:val="single" w:color="auto"/>
              </w:rPr>
              <w:t>个</w:t>
            </w:r>
            <w:r>
              <w:rPr>
                <w:color w:val="auto"/>
                <w:spacing w:val="6"/>
                <w:highlight w:val="none"/>
              </w:rPr>
              <w:t>月</w:t>
            </w:r>
          </w:p>
          <w:p w14:paraId="5D87667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施工阶段：</w:t>
            </w:r>
            <w:r>
              <w:rPr>
                <w:color w:val="auto"/>
                <w:highlight w:val="none"/>
                <w:u w:val="single" w:color="auto"/>
              </w:rPr>
              <w:t xml:space="preserve"> </w:t>
            </w:r>
            <w:r>
              <w:rPr>
                <w:rFonts w:hint="eastAsia"/>
                <w:color w:val="auto"/>
                <w:highlight w:val="none"/>
                <w:u w:val="single" w:color="auto"/>
                <w:lang w:val="en-US" w:eastAsia="zh-CN"/>
              </w:rPr>
              <w:t>24</w:t>
            </w:r>
            <w:r>
              <w:rPr>
                <w:color w:val="auto"/>
                <w:spacing w:val="7"/>
                <w:highlight w:val="none"/>
                <w:u w:val="single" w:color="auto"/>
              </w:rPr>
              <w:t>个</w:t>
            </w:r>
            <w:r>
              <w:rPr>
                <w:color w:val="auto"/>
                <w:spacing w:val="7"/>
                <w:highlight w:val="none"/>
              </w:rPr>
              <w:t>月</w:t>
            </w:r>
          </w:p>
          <w:p w14:paraId="34783F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6"/>
                <w:highlight w:val="none"/>
              </w:rPr>
            </w:pPr>
            <w:r>
              <w:rPr>
                <w:color w:val="auto"/>
                <w:spacing w:val="7"/>
                <w:highlight w:val="none"/>
              </w:rPr>
              <w:t>交(竣)工验收及缺陷责任期：</w:t>
            </w:r>
            <w:r>
              <w:rPr>
                <w:color w:val="auto"/>
                <w:spacing w:val="7"/>
                <w:highlight w:val="none"/>
                <w:u w:val="single" w:color="auto"/>
              </w:rPr>
              <w:t xml:space="preserve"> </w:t>
            </w:r>
            <w:r>
              <w:rPr>
                <w:rFonts w:hint="eastAsia"/>
                <w:color w:val="auto"/>
                <w:spacing w:val="7"/>
                <w:highlight w:val="none"/>
                <w:u w:val="single" w:color="auto"/>
                <w:lang w:val="en-US" w:eastAsia="zh-CN"/>
              </w:rPr>
              <w:t>24</w:t>
            </w:r>
            <w:r>
              <w:rPr>
                <w:color w:val="auto"/>
                <w:spacing w:val="7"/>
                <w:highlight w:val="none"/>
                <w:u w:val="single" w:color="auto"/>
              </w:rPr>
              <w:t>个</w:t>
            </w:r>
            <w:r>
              <w:rPr>
                <w:color w:val="auto"/>
                <w:spacing w:val="7"/>
                <w:highlight w:val="none"/>
              </w:rPr>
              <w:t>月</w:t>
            </w:r>
          </w:p>
        </w:tc>
      </w:tr>
      <w:tr w14:paraId="2C09C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013" w:type="dxa"/>
            <w:vAlign w:val="center"/>
          </w:tcPr>
          <w:p w14:paraId="563F6C9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bookmarkStart w:id="33" w:name="bookmark47"/>
            <w:bookmarkEnd w:id="33"/>
            <w:r>
              <w:rPr>
                <w:color w:val="auto"/>
                <w:highlight w:val="none"/>
              </w:rPr>
              <w:t>1.3.3</w:t>
            </w:r>
          </w:p>
        </w:tc>
        <w:tc>
          <w:tcPr>
            <w:tcW w:w="2877" w:type="dxa"/>
            <w:vAlign w:val="center"/>
          </w:tcPr>
          <w:p w14:paraId="696ADBF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质量要求</w:t>
            </w:r>
          </w:p>
        </w:tc>
        <w:tc>
          <w:tcPr>
            <w:tcW w:w="5374" w:type="dxa"/>
            <w:vAlign w:val="center"/>
          </w:tcPr>
          <w:p w14:paraId="62A4258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pacing w:val="8"/>
                <w:highlight w:val="none"/>
              </w:rPr>
            </w:pPr>
            <w:r>
              <w:rPr>
                <w:color w:val="auto"/>
                <w:spacing w:val="8"/>
                <w:highlight w:val="none"/>
                <w:u w:val="single" w:color="auto"/>
              </w:rPr>
              <w:t>严格按照施工监理规范开展工作</w:t>
            </w:r>
            <w:r>
              <w:rPr>
                <w:color w:val="auto"/>
                <w:spacing w:val="8"/>
                <w:highlight w:val="none"/>
              </w:rPr>
              <w:t>。</w:t>
            </w:r>
          </w:p>
          <w:p w14:paraId="264E2CB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color w:val="auto"/>
                <w:spacing w:val="8"/>
                <w:highlight w:val="none"/>
              </w:rPr>
            </w:pPr>
            <w:r>
              <w:rPr>
                <w:rFonts w:hint="eastAsia"/>
                <w:color w:val="auto"/>
                <w:spacing w:val="8"/>
                <w:highlight w:val="none"/>
              </w:rPr>
              <w:t>工程交工验收的质量评定：质量评分≥75分；质量等级：合格；</w:t>
            </w:r>
          </w:p>
          <w:p w14:paraId="3870A60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8"/>
                <w:highlight w:val="none"/>
              </w:rPr>
              <w:t>竣工验收的质量评定：质量评分≥75分；质量等级：合格。</w:t>
            </w:r>
          </w:p>
        </w:tc>
      </w:tr>
      <w:tr w14:paraId="14826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013" w:type="dxa"/>
            <w:vAlign w:val="center"/>
          </w:tcPr>
          <w:p w14:paraId="487341F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highlight w:val="none"/>
              </w:rPr>
              <w:t>1.3.4</w:t>
            </w:r>
          </w:p>
        </w:tc>
        <w:tc>
          <w:tcPr>
            <w:tcW w:w="2877" w:type="dxa"/>
            <w:vAlign w:val="center"/>
          </w:tcPr>
          <w:p w14:paraId="0D05BC1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6"/>
                <w:highlight w:val="none"/>
              </w:rPr>
              <w:t>安全目标</w:t>
            </w:r>
          </w:p>
        </w:tc>
        <w:tc>
          <w:tcPr>
            <w:tcW w:w="5374" w:type="dxa"/>
            <w:vAlign w:val="center"/>
          </w:tcPr>
          <w:p w14:paraId="4E14109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u w:val="single" w:color="auto"/>
              </w:rPr>
              <w:t>严格执行有关安全生产的法律法规和规章制</w:t>
            </w:r>
            <w:r>
              <w:rPr>
                <w:color w:val="auto"/>
                <w:spacing w:val="8"/>
                <w:highlight w:val="none"/>
                <w:u w:val="single" w:color="auto"/>
              </w:rPr>
              <w:t>度</w:t>
            </w:r>
            <w:r>
              <w:rPr>
                <w:color w:val="auto"/>
                <w:spacing w:val="8"/>
                <w:highlight w:val="none"/>
              </w:rPr>
              <w:t>。</w:t>
            </w:r>
          </w:p>
        </w:tc>
      </w:tr>
      <w:tr w14:paraId="408E9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2" w:hRule="atLeast"/>
        </w:trPr>
        <w:tc>
          <w:tcPr>
            <w:tcW w:w="1013" w:type="dxa"/>
            <w:vAlign w:val="center"/>
          </w:tcPr>
          <w:p w14:paraId="67A0B0E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1.4.1</w:t>
            </w:r>
          </w:p>
        </w:tc>
        <w:tc>
          <w:tcPr>
            <w:tcW w:w="2877" w:type="dxa"/>
            <w:vAlign w:val="center"/>
          </w:tcPr>
          <w:p w14:paraId="036E715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投标人资质条件、能力和信</w:t>
            </w:r>
          </w:p>
          <w:p w14:paraId="469572F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highlight w:val="none"/>
              </w:rPr>
              <w:t>誉</w:t>
            </w:r>
          </w:p>
        </w:tc>
        <w:tc>
          <w:tcPr>
            <w:tcW w:w="5374" w:type="dxa"/>
            <w:vAlign w:val="center"/>
          </w:tcPr>
          <w:p w14:paraId="5FCE1F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资质要求：见附录</w:t>
            </w:r>
            <w:r>
              <w:rPr>
                <w:color w:val="auto"/>
                <w:spacing w:val="-16"/>
                <w:highlight w:val="none"/>
              </w:rPr>
              <w:t xml:space="preserve"> </w:t>
            </w:r>
            <w:r>
              <w:rPr>
                <w:color w:val="auto"/>
                <w:spacing w:val="6"/>
                <w:highlight w:val="none"/>
              </w:rPr>
              <w:t>1</w:t>
            </w:r>
          </w:p>
          <w:p w14:paraId="78771A6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业绩要求：见附录</w:t>
            </w:r>
            <w:r>
              <w:rPr>
                <w:color w:val="auto"/>
                <w:spacing w:val="-28"/>
                <w:highlight w:val="none"/>
              </w:rPr>
              <w:t xml:space="preserve"> </w:t>
            </w:r>
            <w:r>
              <w:rPr>
                <w:color w:val="auto"/>
                <w:spacing w:val="7"/>
                <w:highlight w:val="none"/>
              </w:rPr>
              <w:t>2</w:t>
            </w:r>
          </w:p>
          <w:p w14:paraId="24EEAAB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信誉要求：见附录</w:t>
            </w:r>
            <w:r>
              <w:rPr>
                <w:color w:val="auto"/>
                <w:spacing w:val="-28"/>
                <w:highlight w:val="none"/>
              </w:rPr>
              <w:t xml:space="preserve"> </w:t>
            </w:r>
            <w:r>
              <w:rPr>
                <w:color w:val="auto"/>
                <w:spacing w:val="7"/>
                <w:highlight w:val="none"/>
              </w:rPr>
              <w:t>3</w:t>
            </w:r>
          </w:p>
          <w:p w14:paraId="5812DF1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
              <w:jc w:val="both"/>
              <w:rPr>
                <w:color w:val="auto"/>
                <w:highlight w:val="none"/>
              </w:rPr>
            </w:pPr>
            <w:r>
              <w:rPr>
                <w:color w:val="auto"/>
                <w:spacing w:val="11"/>
                <w:highlight w:val="none"/>
              </w:rPr>
              <w:t>总监理工程师或驻地监理工程师资格：见附录4</w:t>
            </w:r>
            <w:r>
              <w:rPr>
                <w:color w:val="auto"/>
                <w:spacing w:val="-2"/>
                <w:highlight w:val="none"/>
              </w:rPr>
              <w:t>其他要求:</w:t>
            </w:r>
            <w:r>
              <w:rPr>
                <w:color w:val="auto"/>
                <w:spacing w:val="58"/>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57E20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1013" w:type="dxa"/>
            <w:vAlign w:val="center"/>
          </w:tcPr>
          <w:p w14:paraId="47E23DF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1.4.2</w:t>
            </w:r>
          </w:p>
        </w:tc>
        <w:tc>
          <w:tcPr>
            <w:tcW w:w="2877" w:type="dxa"/>
            <w:vAlign w:val="center"/>
          </w:tcPr>
          <w:p w14:paraId="48060D4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是否接受联合体投标</w:t>
            </w:r>
          </w:p>
        </w:tc>
        <w:tc>
          <w:tcPr>
            <w:tcW w:w="5374" w:type="dxa"/>
            <w:vAlign w:val="center"/>
          </w:tcPr>
          <w:p w14:paraId="319C7BE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2"/>
                <w:highlight w:val="none"/>
                <w:lang w:eastAsia="zh-CN"/>
              </w:rPr>
              <w:t>☑</w:t>
            </w:r>
            <w:r>
              <w:rPr>
                <w:color w:val="auto"/>
                <w:spacing w:val="2"/>
                <w:highlight w:val="none"/>
              </w:rPr>
              <w:t>不接受</w:t>
            </w:r>
          </w:p>
          <w:p w14:paraId="6E30B58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□接受，应满足下列要求：</w:t>
            </w:r>
          </w:p>
          <w:p w14:paraId="4CAF9A7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（1）联合体所有成员数量不得超过</w:t>
            </w:r>
            <w:r>
              <w:rPr>
                <w:color w:val="auto"/>
                <w:spacing w:val="-91"/>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9"/>
                <w:highlight w:val="none"/>
              </w:rPr>
              <w:t xml:space="preserve"> </w:t>
            </w:r>
            <w:r>
              <w:rPr>
                <w:color w:val="auto"/>
                <w:spacing w:val="7"/>
                <w:highlight w:val="none"/>
              </w:rPr>
              <w:t>家；</w:t>
            </w:r>
          </w:p>
          <w:p w14:paraId="5B8D689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5"/>
                <w:highlight w:val="none"/>
              </w:rPr>
              <w:t>（2）联合体牵头人应具有</w:t>
            </w:r>
            <w:r>
              <w:rPr>
                <w:color w:val="auto"/>
                <w:spacing w:val="-92"/>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2"/>
                <w:highlight w:val="none"/>
              </w:rPr>
              <w:t xml:space="preserve"> </w:t>
            </w:r>
            <w:r>
              <w:rPr>
                <w:color w:val="auto"/>
                <w:spacing w:val="5"/>
                <w:highlight w:val="none"/>
              </w:rPr>
              <w:t>资质；</w:t>
            </w:r>
            <w:r>
              <w:rPr>
                <w:color w:val="auto"/>
                <w:spacing w:val="-67"/>
                <w:highlight w:val="none"/>
              </w:rPr>
              <w:t xml:space="preserve"> </w:t>
            </w:r>
            <w:r>
              <w:rPr>
                <w:color w:val="auto"/>
                <w:spacing w:val="5"/>
                <w:highlight w:val="none"/>
              </w:rPr>
              <w:t>……</w:t>
            </w:r>
          </w:p>
        </w:tc>
      </w:tr>
      <w:tr w14:paraId="34528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013" w:type="dxa"/>
            <w:vAlign w:val="center"/>
          </w:tcPr>
          <w:p w14:paraId="643F3D0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1.4.3</w:t>
            </w:r>
          </w:p>
        </w:tc>
        <w:tc>
          <w:tcPr>
            <w:tcW w:w="2877" w:type="dxa"/>
            <w:vAlign w:val="center"/>
          </w:tcPr>
          <w:p w14:paraId="7229E0A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投标人不得存在的其他关联</w:t>
            </w:r>
          </w:p>
          <w:p w14:paraId="4B9E956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情形</w:t>
            </w:r>
          </w:p>
        </w:tc>
        <w:tc>
          <w:tcPr>
            <w:tcW w:w="5374" w:type="dxa"/>
            <w:vAlign w:val="center"/>
          </w:tcPr>
          <w:p w14:paraId="2E0095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10"/>
              <w:jc w:val="both"/>
              <w:rPr>
                <w:rFonts w:hint="eastAsia" w:eastAsia="宋体"/>
                <w:color w:val="auto"/>
                <w:highlight w:val="none"/>
                <w:lang w:eastAsia="zh-CN"/>
              </w:rPr>
            </w:pPr>
            <w:r>
              <w:rPr>
                <w:rFonts w:hint="eastAsia"/>
                <w:color w:val="auto"/>
                <w:spacing w:val="11"/>
                <w:highlight w:val="none"/>
                <w:lang w:val="en-US" w:eastAsia="zh-CN"/>
              </w:rPr>
              <w:t>/</w:t>
            </w:r>
          </w:p>
        </w:tc>
      </w:tr>
      <w:tr w14:paraId="0F446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013" w:type="dxa"/>
            <w:vAlign w:val="center"/>
          </w:tcPr>
          <w:p w14:paraId="7BA17F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highlight w:val="none"/>
              </w:rPr>
            </w:pPr>
          </w:p>
          <w:p w14:paraId="56BDBF43">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highlight w:val="none"/>
              </w:rPr>
            </w:pPr>
            <w:r>
              <w:rPr>
                <w:color w:val="auto"/>
                <w:position w:val="1"/>
                <w:highlight w:val="none"/>
              </w:rPr>
              <w:t>1.4.4</w:t>
            </w:r>
          </w:p>
        </w:tc>
        <w:tc>
          <w:tcPr>
            <w:tcW w:w="2877" w:type="dxa"/>
            <w:vAlign w:val="center"/>
          </w:tcPr>
          <w:p w14:paraId="57DC2790">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highlight w:val="none"/>
              </w:rPr>
            </w:pPr>
            <w:r>
              <w:rPr>
                <w:color w:val="auto"/>
                <w:spacing w:val="8"/>
                <w:highlight w:val="none"/>
              </w:rPr>
              <w:t>投标人不得存在的其他不良状况或不良信用记录</w:t>
            </w:r>
          </w:p>
        </w:tc>
        <w:tc>
          <w:tcPr>
            <w:tcW w:w="5374" w:type="dxa"/>
            <w:vAlign w:val="center"/>
          </w:tcPr>
          <w:p w14:paraId="6586BD9D">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0E3DE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013" w:type="dxa"/>
            <w:vAlign w:val="center"/>
          </w:tcPr>
          <w:p w14:paraId="77EF2E2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highlight w:val="none"/>
              </w:rPr>
            </w:pPr>
          </w:p>
          <w:p w14:paraId="4E6548FE">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10"/>
                <w:szCs w:val="10"/>
                <w:highlight w:val="none"/>
              </w:rPr>
            </w:pPr>
            <w:r>
              <w:rPr>
                <w:color w:val="auto"/>
                <w:spacing w:val="1"/>
                <w:highlight w:val="none"/>
              </w:rPr>
              <w:t>1.10.2</w:t>
            </w:r>
          </w:p>
        </w:tc>
        <w:tc>
          <w:tcPr>
            <w:tcW w:w="2877" w:type="dxa"/>
            <w:vAlign w:val="center"/>
          </w:tcPr>
          <w:p w14:paraId="0B48976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投标人在投标预备会前提出</w:t>
            </w:r>
          </w:p>
          <w:p w14:paraId="1B2E1CA6">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问题</w:t>
            </w:r>
          </w:p>
        </w:tc>
        <w:tc>
          <w:tcPr>
            <w:tcW w:w="5374" w:type="dxa"/>
            <w:vAlign w:val="center"/>
          </w:tcPr>
          <w:p w14:paraId="0218F2A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时间：投标预备会召开之日</w:t>
            </w:r>
            <w:r>
              <w:rPr>
                <w:color w:val="auto"/>
                <w:spacing w:val="-27"/>
                <w:highlight w:val="none"/>
              </w:rPr>
              <w:t xml:space="preserve"> </w:t>
            </w:r>
            <w:r>
              <w:rPr>
                <w:rFonts w:hint="eastAsia"/>
                <w:color w:val="auto"/>
                <w:spacing w:val="6"/>
                <w:highlight w:val="none"/>
                <w:u w:val="single" w:color="auto"/>
                <w:lang w:val="en-US" w:eastAsia="zh-CN"/>
              </w:rPr>
              <w:t xml:space="preserve"> /</w:t>
            </w:r>
            <w:r>
              <w:rPr>
                <w:color w:val="auto"/>
                <w:spacing w:val="-33"/>
                <w:highlight w:val="none"/>
                <w:u w:val="single" w:color="auto"/>
              </w:rPr>
              <w:t xml:space="preserve"> </w:t>
            </w:r>
            <w:r>
              <w:rPr>
                <w:color w:val="auto"/>
                <w:spacing w:val="6"/>
                <w:highlight w:val="none"/>
              </w:rPr>
              <w:t>天前</w:t>
            </w:r>
          </w:p>
          <w:p w14:paraId="766640B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5"/>
                <w:highlight w:val="none"/>
              </w:rPr>
              <w:t>形式：</w:t>
            </w:r>
            <w:r>
              <w:rPr>
                <w:rFonts w:hint="eastAsia"/>
                <w:color w:val="auto"/>
                <w:spacing w:val="6"/>
                <w:highlight w:val="none"/>
                <w:u w:val="single" w:color="auto"/>
                <w:lang w:val="en-US" w:eastAsia="zh-CN"/>
              </w:rPr>
              <w:t xml:space="preserve"> /</w:t>
            </w:r>
            <w:r>
              <w:rPr>
                <w:color w:val="auto"/>
                <w:spacing w:val="-33"/>
                <w:highlight w:val="none"/>
                <w:u w:val="single" w:color="auto"/>
              </w:rPr>
              <w:t xml:space="preserve"> </w:t>
            </w:r>
          </w:p>
        </w:tc>
      </w:tr>
      <w:tr w14:paraId="188F1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013" w:type="dxa"/>
            <w:vAlign w:val="center"/>
          </w:tcPr>
          <w:p w14:paraId="44E4D71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2.1</w:t>
            </w:r>
          </w:p>
        </w:tc>
        <w:tc>
          <w:tcPr>
            <w:tcW w:w="2877" w:type="dxa"/>
            <w:vAlign w:val="center"/>
          </w:tcPr>
          <w:p w14:paraId="1FB1DBC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构成招标文件的其他资料</w:t>
            </w:r>
          </w:p>
        </w:tc>
        <w:tc>
          <w:tcPr>
            <w:tcW w:w="5374" w:type="dxa"/>
            <w:vAlign w:val="center"/>
          </w:tcPr>
          <w:p w14:paraId="04579E8B">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Arial"/>
                <w:color w:val="auto"/>
                <w:sz w:val="21"/>
                <w:highlight w:val="none"/>
              </w:rPr>
              <w:t>招标文件所附的其他资料</w:t>
            </w:r>
          </w:p>
        </w:tc>
      </w:tr>
      <w:tr w14:paraId="4A794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13" w:type="dxa"/>
            <w:vMerge w:val="restart"/>
            <w:tcBorders>
              <w:bottom w:val="nil"/>
            </w:tcBorders>
            <w:vAlign w:val="center"/>
          </w:tcPr>
          <w:p w14:paraId="0CA60CEA">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highlight w:val="none"/>
              </w:rPr>
            </w:pPr>
            <w:r>
              <w:rPr>
                <w:color w:val="auto"/>
                <w:spacing w:val="2"/>
                <w:position w:val="1"/>
                <w:highlight w:val="none"/>
              </w:rPr>
              <w:t>2.2.1</w:t>
            </w:r>
          </w:p>
        </w:tc>
        <w:tc>
          <w:tcPr>
            <w:tcW w:w="2877" w:type="dxa"/>
            <w:vMerge w:val="restart"/>
            <w:tcBorders>
              <w:bottom w:val="nil"/>
            </w:tcBorders>
            <w:vAlign w:val="center"/>
          </w:tcPr>
          <w:p w14:paraId="2268E440">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p w14:paraId="506B7E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投标人要求澄清招标文件</w:t>
            </w:r>
          </w:p>
        </w:tc>
        <w:tc>
          <w:tcPr>
            <w:tcW w:w="5374" w:type="dxa"/>
            <w:vAlign w:val="center"/>
          </w:tcPr>
          <w:p w14:paraId="0F4BC634">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ascii="Arial"/>
                <w:color w:val="auto"/>
                <w:sz w:val="21"/>
                <w:highlight w:val="none"/>
                <w:lang w:val="en-US" w:eastAsia="zh-CN"/>
              </w:rPr>
            </w:pPr>
            <w:r>
              <w:rPr>
                <w:rFonts w:hint="eastAsia" w:ascii="Arial"/>
                <w:color w:val="auto"/>
                <w:sz w:val="21"/>
                <w:highlight w:val="none"/>
              </w:rPr>
              <w:t>时间：见“重要事项时间地点一览表”</w:t>
            </w:r>
          </w:p>
        </w:tc>
      </w:tr>
      <w:tr w14:paraId="64745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Merge w:val="continue"/>
            <w:tcBorders>
              <w:top w:val="nil"/>
            </w:tcBorders>
            <w:vAlign w:val="center"/>
          </w:tcPr>
          <w:p w14:paraId="7A9343AB">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2877" w:type="dxa"/>
            <w:vMerge w:val="continue"/>
            <w:tcBorders>
              <w:top w:val="nil"/>
            </w:tcBorders>
            <w:vAlign w:val="center"/>
          </w:tcPr>
          <w:p w14:paraId="37DA1C65">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5374" w:type="dxa"/>
            <w:vAlign w:val="center"/>
          </w:tcPr>
          <w:p w14:paraId="18CED218">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rPr>
            </w:pPr>
            <w:r>
              <w:rPr>
                <w:rFonts w:hint="eastAsia" w:ascii="Arial"/>
                <w:color w:val="auto"/>
                <w:sz w:val="21"/>
                <w:highlight w:val="none"/>
              </w:rPr>
              <w:t>形式：投标人对招标文件的疑问或要求澄清的内容以不署名的形式在</w:t>
            </w:r>
            <w:r>
              <w:rPr>
                <w:rFonts w:hint="eastAsia" w:ascii="Arial"/>
                <w:color w:val="auto"/>
                <w:sz w:val="21"/>
                <w:highlight w:val="none"/>
                <w:lang w:eastAsia="zh-CN"/>
              </w:rPr>
              <w:t>全国公共资源交易平台 （广东省 · 韶关市）</w:t>
            </w:r>
            <w:r>
              <w:rPr>
                <w:rFonts w:hint="eastAsia" w:ascii="Arial"/>
                <w:color w:val="auto"/>
                <w:sz w:val="21"/>
                <w:highlight w:val="none"/>
              </w:rPr>
              <w:t>建设工程交易系统提出。</w:t>
            </w:r>
          </w:p>
        </w:tc>
      </w:tr>
      <w:tr w14:paraId="563A5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E39D18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2.2.2</w:t>
            </w:r>
          </w:p>
        </w:tc>
        <w:tc>
          <w:tcPr>
            <w:tcW w:w="2877" w:type="dxa"/>
            <w:vAlign w:val="center"/>
          </w:tcPr>
          <w:p w14:paraId="4FB613B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招标文件澄清发出的形式</w:t>
            </w:r>
          </w:p>
        </w:tc>
        <w:tc>
          <w:tcPr>
            <w:tcW w:w="5374" w:type="dxa"/>
            <w:vAlign w:val="center"/>
          </w:tcPr>
          <w:p w14:paraId="46E4611C">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lang w:eastAsia="zh-CN"/>
              </w:rPr>
            </w:pPr>
            <w:r>
              <w:rPr>
                <w:rFonts w:hint="eastAsia" w:ascii="Arial"/>
                <w:color w:val="auto"/>
                <w:sz w:val="21"/>
                <w:highlight w:val="none"/>
                <w:lang w:eastAsia="zh-CN"/>
              </w:rPr>
              <w:t>在全国公共资源交易平台（广东省·韶关市）（https://ygp.gdzwfw.gov.cn/ggzy-portal/#/440200/index）发布</w:t>
            </w:r>
          </w:p>
        </w:tc>
      </w:tr>
      <w:tr w14:paraId="2D2A8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4E7E64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2.3.1</w:t>
            </w:r>
          </w:p>
        </w:tc>
        <w:tc>
          <w:tcPr>
            <w:tcW w:w="2877" w:type="dxa"/>
            <w:vAlign w:val="center"/>
          </w:tcPr>
          <w:p w14:paraId="3EA7C6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招标文件修改发出的形式</w:t>
            </w:r>
          </w:p>
        </w:tc>
        <w:tc>
          <w:tcPr>
            <w:tcW w:w="5374" w:type="dxa"/>
            <w:vAlign w:val="center"/>
          </w:tcPr>
          <w:p w14:paraId="79A34B33">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color w:val="auto"/>
                <w:sz w:val="21"/>
                <w:highlight w:val="none"/>
                <w:lang w:eastAsia="zh-CN"/>
              </w:rPr>
            </w:pPr>
            <w:r>
              <w:rPr>
                <w:rFonts w:hint="eastAsia" w:ascii="Arial"/>
                <w:color w:val="auto"/>
                <w:sz w:val="21"/>
                <w:highlight w:val="none"/>
                <w:lang w:eastAsia="zh-CN"/>
              </w:rPr>
              <w:t>在全国公共资源交易平台（广东省·韶关市）（https://ygp.gdzwfw.gov.cn/ggzy-portal/#/440200/index）发布</w:t>
            </w:r>
          </w:p>
        </w:tc>
      </w:tr>
      <w:tr w14:paraId="6502F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13" w:type="dxa"/>
            <w:vAlign w:val="center"/>
          </w:tcPr>
          <w:p w14:paraId="176732C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3.1.1</w:t>
            </w:r>
          </w:p>
        </w:tc>
        <w:tc>
          <w:tcPr>
            <w:tcW w:w="2877" w:type="dxa"/>
            <w:vAlign w:val="center"/>
          </w:tcPr>
          <w:p w14:paraId="5869118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构成投标文件的其他资料</w:t>
            </w:r>
          </w:p>
        </w:tc>
        <w:tc>
          <w:tcPr>
            <w:tcW w:w="5374" w:type="dxa"/>
            <w:vAlign w:val="center"/>
          </w:tcPr>
          <w:p w14:paraId="02C59880">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eastAsia="宋体"/>
                <w:color w:val="auto"/>
                <w:sz w:val="21"/>
                <w:highlight w:val="none"/>
                <w:lang w:val="en-US" w:eastAsia="zh-CN"/>
              </w:rPr>
              <w:t>/</w:t>
            </w:r>
          </w:p>
        </w:tc>
      </w:tr>
      <w:tr w14:paraId="59A38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013" w:type="dxa"/>
            <w:vAlign w:val="center"/>
          </w:tcPr>
          <w:p w14:paraId="3A35D58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3.2.1</w:t>
            </w:r>
          </w:p>
        </w:tc>
        <w:tc>
          <w:tcPr>
            <w:tcW w:w="2877" w:type="dxa"/>
            <w:vAlign w:val="center"/>
          </w:tcPr>
          <w:p w14:paraId="2237A49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增值税税金的计算方法</w:t>
            </w:r>
          </w:p>
        </w:tc>
        <w:tc>
          <w:tcPr>
            <w:tcW w:w="5374" w:type="dxa"/>
            <w:vAlign w:val="center"/>
          </w:tcPr>
          <w:p w14:paraId="10556CFA">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r>
              <w:rPr>
                <w:rFonts w:hint="eastAsia" w:ascii="Arial"/>
                <w:color w:val="auto"/>
                <w:sz w:val="21"/>
                <w:highlight w:val="none"/>
              </w:rPr>
              <w:t>按国家、省、市规定执行</w:t>
            </w:r>
            <w:r>
              <w:rPr>
                <w:rFonts w:hint="eastAsia" w:ascii="Arial"/>
                <w:color w:val="auto"/>
                <w:sz w:val="21"/>
                <w:highlight w:val="none"/>
                <w:lang w:eastAsia="zh-CN"/>
              </w:rPr>
              <w:t>。</w:t>
            </w:r>
          </w:p>
        </w:tc>
      </w:tr>
      <w:tr w14:paraId="14C0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013" w:type="dxa"/>
            <w:vMerge w:val="restart"/>
            <w:vAlign w:val="center"/>
          </w:tcPr>
          <w:p w14:paraId="0E906C6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宋体" w:hAnsi="宋体" w:eastAsia="宋体" w:cs="宋体"/>
                <w:color w:val="auto"/>
                <w:highlight w:val="none"/>
              </w:rPr>
            </w:pPr>
            <w:bookmarkStart w:id="34" w:name="bookmark51"/>
            <w:bookmarkEnd w:id="34"/>
            <w:r>
              <w:rPr>
                <w:rFonts w:ascii="宋体" w:hAnsi="宋体" w:eastAsia="宋体" w:cs="宋体"/>
                <w:color w:val="auto"/>
                <w:highlight w:val="none"/>
              </w:rPr>
              <w:t>3.2.3</w:t>
            </w:r>
          </w:p>
        </w:tc>
        <w:tc>
          <w:tcPr>
            <w:tcW w:w="2877" w:type="dxa"/>
            <w:vMerge w:val="restart"/>
            <w:vAlign w:val="center"/>
          </w:tcPr>
          <w:p w14:paraId="3AAE0D2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宋体" w:hAnsi="宋体" w:eastAsia="宋体" w:cs="宋体"/>
                <w:color w:val="auto"/>
                <w:highlight w:val="none"/>
              </w:rPr>
            </w:pPr>
            <w:r>
              <w:rPr>
                <w:rFonts w:ascii="宋体" w:hAnsi="宋体" w:eastAsia="宋体" w:cs="宋体"/>
                <w:color w:val="auto"/>
                <w:highlight w:val="none"/>
              </w:rPr>
              <w:t>报价方式</w:t>
            </w:r>
          </w:p>
        </w:tc>
        <w:tc>
          <w:tcPr>
            <w:tcW w:w="5374" w:type="dxa"/>
            <w:vAlign w:val="center"/>
          </w:tcPr>
          <w:p w14:paraId="4E869C0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1"/>
                <w:highlight w:val="none"/>
                <w:lang w:eastAsia="zh-CN"/>
              </w:rPr>
              <w:t>☑</w:t>
            </w:r>
            <w:r>
              <w:rPr>
                <w:color w:val="auto"/>
                <w:spacing w:val="-1"/>
                <w:highlight w:val="none"/>
              </w:rPr>
              <w:t>总价</w:t>
            </w:r>
          </w:p>
        </w:tc>
      </w:tr>
      <w:tr w14:paraId="27C3C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13" w:type="dxa"/>
            <w:vMerge w:val="continue"/>
            <w:vAlign w:val="center"/>
          </w:tcPr>
          <w:p w14:paraId="11CC5E86">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2877" w:type="dxa"/>
            <w:vMerge w:val="continue"/>
            <w:vAlign w:val="center"/>
          </w:tcPr>
          <w:p w14:paraId="1B441819">
            <w:pPr>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ascii="Arial"/>
                <w:color w:val="auto"/>
                <w:sz w:val="21"/>
                <w:highlight w:val="none"/>
              </w:rPr>
            </w:pPr>
          </w:p>
        </w:tc>
        <w:tc>
          <w:tcPr>
            <w:tcW w:w="5374" w:type="dxa"/>
            <w:vAlign w:val="center"/>
          </w:tcPr>
          <w:p w14:paraId="7AB5032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1"/>
                <w:highlight w:val="none"/>
              </w:rPr>
              <w:t>□单价</w:t>
            </w:r>
          </w:p>
        </w:tc>
      </w:tr>
      <w:tr w14:paraId="6FE61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013" w:type="dxa"/>
            <w:vAlign w:val="center"/>
          </w:tcPr>
          <w:p w14:paraId="222F3A0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3.2.4</w:t>
            </w:r>
          </w:p>
        </w:tc>
        <w:tc>
          <w:tcPr>
            <w:tcW w:w="2877" w:type="dxa"/>
            <w:vAlign w:val="center"/>
          </w:tcPr>
          <w:p w14:paraId="4F58D78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最高投标限价</w:t>
            </w:r>
          </w:p>
        </w:tc>
        <w:tc>
          <w:tcPr>
            <w:tcW w:w="5374" w:type="dxa"/>
            <w:vAlign w:val="center"/>
          </w:tcPr>
          <w:p w14:paraId="2C21723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8"/>
                <w:highlight w:val="none"/>
                <w:u w:val="single"/>
              </w:rPr>
              <w:t>最高投标限价</w:t>
            </w:r>
            <w:r>
              <w:rPr>
                <w:rFonts w:hint="eastAsia"/>
                <w:color w:val="auto"/>
                <w:spacing w:val="8"/>
                <w:highlight w:val="none"/>
                <w:u w:val="single"/>
                <w:lang w:val="en-US" w:eastAsia="zh-CN"/>
              </w:rPr>
              <w:t>531300.00</w:t>
            </w:r>
            <w:r>
              <w:rPr>
                <w:rFonts w:hint="eastAsia"/>
                <w:color w:val="auto"/>
                <w:spacing w:val="8"/>
                <w:highlight w:val="none"/>
                <w:u w:val="single"/>
              </w:rPr>
              <w:t>元（其中含暂列金额</w:t>
            </w:r>
            <w:r>
              <w:rPr>
                <w:rFonts w:hint="eastAsia"/>
                <w:color w:val="auto"/>
                <w:spacing w:val="8"/>
                <w:highlight w:val="none"/>
                <w:u w:val="single"/>
                <w:lang w:val="en-US" w:eastAsia="zh-CN"/>
              </w:rPr>
              <w:t>/</w:t>
            </w:r>
            <w:r>
              <w:rPr>
                <w:rFonts w:hint="eastAsia"/>
                <w:color w:val="auto"/>
                <w:spacing w:val="8"/>
                <w:highlight w:val="none"/>
                <w:u w:val="single"/>
              </w:rPr>
              <w:t>元）</w:t>
            </w:r>
          </w:p>
        </w:tc>
      </w:tr>
      <w:tr w14:paraId="7E285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013" w:type="dxa"/>
            <w:vAlign w:val="center"/>
          </w:tcPr>
          <w:p w14:paraId="1E57A1F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3.2.5</w:t>
            </w:r>
          </w:p>
        </w:tc>
        <w:tc>
          <w:tcPr>
            <w:tcW w:w="2877" w:type="dxa"/>
            <w:vAlign w:val="center"/>
          </w:tcPr>
          <w:p w14:paraId="0781891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投标报价的其他要求</w:t>
            </w:r>
          </w:p>
        </w:tc>
        <w:tc>
          <w:tcPr>
            <w:tcW w:w="5374" w:type="dxa"/>
            <w:vAlign w:val="center"/>
          </w:tcPr>
          <w:p w14:paraId="07D3DBFD">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7E46F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013" w:type="dxa"/>
            <w:vAlign w:val="center"/>
          </w:tcPr>
          <w:p w14:paraId="428BCA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highlight w:val="none"/>
              </w:rPr>
              <w:t>3.3.1</w:t>
            </w:r>
          </w:p>
        </w:tc>
        <w:tc>
          <w:tcPr>
            <w:tcW w:w="2877" w:type="dxa"/>
            <w:vAlign w:val="center"/>
          </w:tcPr>
          <w:p w14:paraId="0B10E82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投标有效期</w:t>
            </w:r>
          </w:p>
        </w:tc>
        <w:tc>
          <w:tcPr>
            <w:tcW w:w="5374" w:type="dxa"/>
            <w:vAlign w:val="center"/>
          </w:tcPr>
          <w:p w14:paraId="51B42F0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自投标人提交投标文件截止之日起计算</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90</w:t>
            </w:r>
            <w:r>
              <w:rPr>
                <w:color w:val="auto"/>
                <w:spacing w:val="4"/>
                <w:highlight w:val="none"/>
                <w:u w:val="single" w:color="auto"/>
              </w:rPr>
              <w:t xml:space="preserve"> </w:t>
            </w:r>
            <w:r>
              <w:rPr>
                <w:color w:val="auto"/>
                <w:spacing w:val="-54"/>
                <w:highlight w:val="none"/>
              </w:rPr>
              <w:t xml:space="preserve"> </w:t>
            </w:r>
            <w:r>
              <w:rPr>
                <w:color w:val="auto"/>
                <w:spacing w:val="7"/>
                <w:highlight w:val="none"/>
              </w:rPr>
              <w:t>日</w:t>
            </w:r>
          </w:p>
        </w:tc>
      </w:tr>
      <w:tr w14:paraId="07BBA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A1A1D1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3.4.1</w:t>
            </w:r>
          </w:p>
        </w:tc>
        <w:tc>
          <w:tcPr>
            <w:tcW w:w="2877" w:type="dxa"/>
            <w:vAlign w:val="center"/>
          </w:tcPr>
          <w:p w14:paraId="2C37453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7"/>
                <w:highlight w:val="none"/>
              </w:rPr>
              <w:t>投标保证金</w:t>
            </w:r>
          </w:p>
        </w:tc>
        <w:tc>
          <w:tcPr>
            <w:tcW w:w="5374" w:type="dxa"/>
            <w:vAlign w:val="center"/>
          </w:tcPr>
          <w:p w14:paraId="7211D40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8"/>
                <w:highlight w:val="none"/>
              </w:rPr>
              <w:t>是否要求投标人递交投标保证金：</w:t>
            </w:r>
          </w:p>
          <w:p w14:paraId="6F37761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pacing w:val="6"/>
                <w:position w:val="10"/>
                <w:sz w:val="10"/>
                <w:szCs w:val="10"/>
                <w:highlight w:val="none"/>
              </w:rPr>
            </w:pPr>
            <w:r>
              <w:rPr>
                <w:rFonts w:hint="eastAsia"/>
                <w:color w:val="auto"/>
                <w:spacing w:val="6"/>
                <w:highlight w:val="none"/>
                <w:lang w:eastAsia="zh-CN"/>
              </w:rPr>
              <w:t>☑</w:t>
            </w:r>
            <w:r>
              <w:rPr>
                <w:color w:val="auto"/>
                <w:spacing w:val="6"/>
                <w:highlight w:val="none"/>
              </w:rPr>
              <w:t>要求，投标保证金的金额：</w:t>
            </w:r>
            <w:r>
              <w:rPr>
                <w:b/>
                <w:bCs/>
                <w:color w:val="auto"/>
                <w:spacing w:val="6"/>
                <w:highlight w:val="none"/>
                <w:u w:val="single" w:color="auto"/>
              </w:rPr>
              <w:t xml:space="preserve"> </w:t>
            </w:r>
            <w:r>
              <w:rPr>
                <w:rFonts w:hint="eastAsia"/>
                <w:b/>
                <w:bCs/>
                <w:color w:val="auto"/>
                <w:spacing w:val="6"/>
                <w:highlight w:val="none"/>
                <w:u w:val="single" w:color="auto"/>
                <w:lang w:val="en-US" w:eastAsia="zh-CN"/>
              </w:rPr>
              <w:t>壹万元整</w:t>
            </w:r>
            <w:r>
              <w:rPr>
                <w:color w:val="auto"/>
                <w:spacing w:val="6"/>
                <w:highlight w:val="none"/>
                <w:u w:val="single" w:color="auto"/>
              </w:rPr>
              <w:t xml:space="preserve"> </w:t>
            </w:r>
          </w:p>
          <w:p w14:paraId="0BFC125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缴纳项目投标保证金截止时间(以资金到账时间或成功上传保函或成功上传保单时间为准)为投标截止时间前24小时，见“重要事项时间地点一览表”。</w:t>
            </w:r>
          </w:p>
          <w:p w14:paraId="35DCEB8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投标保证的形式包括投标保证金、投标保证担保、投标保证保险三种，由投标人自主选择。</w:t>
            </w:r>
          </w:p>
          <w:p w14:paraId="4569DB4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 xml:space="preserve">(1)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6050512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66305C2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6"/>
                <w:position w:val="10"/>
                <w:sz w:val="20"/>
                <w:szCs w:val="20"/>
                <w:highlight w:val="none"/>
              </w:rPr>
            </w:pPr>
            <w:r>
              <w:rPr>
                <w:rFonts w:hint="eastAsia"/>
                <w:color w:val="auto"/>
                <w:spacing w:val="6"/>
                <w:position w:val="10"/>
                <w:sz w:val="20"/>
                <w:szCs w:val="20"/>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 （广东省 · 韶关市）（https://ygp.gdzwfw.gov.cn/ggzy-portal/#/440200/index），在【服务指南】栏目中下载《韶关市公共资源建设工程交易系统-投标人操作指南》，了解网上投保具体操作流程。逾期投保的，其投标无效。</w:t>
            </w:r>
          </w:p>
          <w:p w14:paraId="268119E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pacing w:val="6"/>
                <w:position w:val="10"/>
                <w:sz w:val="10"/>
                <w:szCs w:val="10"/>
                <w:highlight w:val="none"/>
              </w:rPr>
            </w:pPr>
            <w:r>
              <w:rPr>
                <w:rFonts w:hint="eastAsia"/>
                <w:color w:val="auto"/>
                <w:spacing w:val="6"/>
                <w:position w:val="10"/>
                <w:sz w:val="20"/>
                <w:szCs w:val="2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AB4AE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8"/>
              <w:jc w:val="both"/>
              <w:textAlignment w:val="baseline"/>
              <w:rPr>
                <w:color w:val="auto"/>
                <w:highlight w:val="none"/>
              </w:rPr>
            </w:pPr>
            <w:r>
              <w:rPr>
                <w:color w:val="auto"/>
                <w:spacing w:val="8"/>
                <w:highlight w:val="none"/>
              </w:rPr>
              <w:t>□按投标人在广东省交通运输厅最新年度发布的广</w:t>
            </w:r>
            <w:r>
              <w:rPr>
                <w:color w:val="auto"/>
                <w:spacing w:val="9"/>
                <w:highlight w:val="none"/>
              </w:rPr>
              <w:t>东省公路工程从业单位信用等级（监理单位）减免</w:t>
            </w:r>
            <w:r>
              <w:rPr>
                <w:color w:val="auto"/>
                <w:spacing w:val="8"/>
                <w:highlight w:val="none"/>
              </w:rPr>
              <w:t>投标保证金，减免幅度如下:</w:t>
            </w:r>
          </w:p>
          <w:tbl>
            <w:tblPr>
              <w:tblStyle w:val="22"/>
              <w:tblW w:w="462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8"/>
              <w:gridCol w:w="1010"/>
              <w:gridCol w:w="886"/>
              <w:gridCol w:w="483"/>
              <w:gridCol w:w="488"/>
            </w:tblGrid>
            <w:tr w14:paraId="09922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758" w:type="dxa"/>
                  <w:vAlign w:val="top"/>
                </w:tcPr>
                <w:p w14:paraId="0CBC417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2"/>
                      <w:sz w:val="18"/>
                      <w:szCs w:val="18"/>
                      <w:highlight w:val="none"/>
                    </w:rPr>
                    <w:t>信用评价等级</w:t>
                  </w:r>
                </w:p>
              </w:tc>
              <w:tc>
                <w:tcPr>
                  <w:tcW w:w="1010" w:type="dxa"/>
                  <w:vAlign w:val="top"/>
                </w:tcPr>
                <w:p w14:paraId="7AF04B7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
                      <w:sz w:val="18"/>
                      <w:szCs w:val="18"/>
                      <w:highlight w:val="none"/>
                    </w:rPr>
                    <w:t>AA</w:t>
                  </w:r>
                </w:p>
              </w:tc>
              <w:tc>
                <w:tcPr>
                  <w:tcW w:w="886" w:type="dxa"/>
                  <w:vAlign w:val="top"/>
                </w:tcPr>
                <w:p w14:paraId="64C610F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A</w:t>
                  </w:r>
                </w:p>
              </w:tc>
              <w:tc>
                <w:tcPr>
                  <w:tcW w:w="483" w:type="dxa"/>
                  <w:vAlign w:val="top"/>
                </w:tcPr>
                <w:p w14:paraId="6C8AC6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B</w:t>
                  </w:r>
                </w:p>
              </w:tc>
              <w:tc>
                <w:tcPr>
                  <w:tcW w:w="488" w:type="dxa"/>
                  <w:vAlign w:val="top"/>
                </w:tcPr>
                <w:p w14:paraId="71DD83C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z w:val="18"/>
                      <w:szCs w:val="18"/>
                      <w:highlight w:val="none"/>
                    </w:rPr>
                    <w:t>C</w:t>
                  </w:r>
                </w:p>
              </w:tc>
            </w:tr>
            <w:tr w14:paraId="5CDEB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58" w:type="dxa"/>
                  <w:vAlign w:val="top"/>
                </w:tcPr>
                <w:p w14:paraId="337756E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558" w:leftChars="50" w:right="6" w:hanging="453"/>
                    <w:jc w:val="both"/>
                    <w:rPr>
                      <w:color w:val="auto"/>
                      <w:sz w:val="18"/>
                      <w:szCs w:val="18"/>
                      <w:highlight w:val="none"/>
                    </w:rPr>
                  </w:pPr>
                  <w:r>
                    <w:rPr>
                      <w:color w:val="auto"/>
                      <w:spacing w:val="-2"/>
                      <w:sz w:val="18"/>
                      <w:szCs w:val="18"/>
                      <w:highlight w:val="none"/>
                    </w:rPr>
                    <w:t>投标保证金减免</w:t>
                  </w:r>
                  <w:r>
                    <w:rPr>
                      <w:color w:val="auto"/>
                      <w:spacing w:val="-8"/>
                      <w:sz w:val="18"/>
                      <w:szCs w:val="18"/>
                      <w:highlight w:val="none"/>
                    </w:rPr>
                    <w:t>幅度</w:t>
                  </w:r>
                </w:p>
              </w:tc>
              <w:tc>
                <w:tcPr>
                  <w:tcW w:w="1010" w:type="dxa"/>
                  <w:vAlign w:val="top"/>
                </w:tcPr>
                <w:p w14:paraId="6545490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3"/>
                      <w:sz w:val="18"/>
                      <w:szCs w:val="18"/>
                      <w:highlight w:val="none"/>
                      <w:u w:val="single" w:color="auto"/>
                    </w:rPr>
                    <w:t>50%</w:t>
                  </w:r>
                  <w:r>
                    <w:rPr>
                      <w:rFonts w:hint="eastAsia"/>
                      <w:color w:val="auto"/>
                      <w:spacing w:val="13"/>
                      <w:sz w:val="18"/>
                      <w:szCs w:val="18"/>
                      <w:highlight w:val="none"/>
                      <w:u w:val="single" w:color="auto"/>
                      <w:lang w:val="en-US" w:eastAsia="zh-CN"/>
                    </w:rPr>
                    <w:t>~</w:t>
                  </w:r>
                  <w:r>
                    <w:rPr>
                      <w:color w:val="auto"/>
                      <w:spacing w:val="-5"/>
                      <w:sz w:val="18"/>
                      <w:szCs w:val="18"/>
                      <w:highlight w:val="none"/>
                      <w:u w:val="single" w:color="auto"/>
                    </w:rPr>
                    <w:t>100%</w:t>
                  </w:r>
                </w:p>
              </w:tc>
              <w:tc>
                <w:tcPr>
                  <w:tcW w:w="886" w:type="dxa"/>
                  <w:vAlign w:val="top"/>
                </w:tcPr>
                <w:p w14:paraId="1A93DD5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10"/>
                      <w:sz w:val="18"/>
                      <w:szCs w:val="18"/>
                      <w:highlight w:val="none"/>
                      <w:u w:val="single" w:color="auto"/>
                    </w:rPr>
                    <w:t>10%~</w:t>
                  </w:r>
                  <w:r>
                    <w:rPr>
                      <w:color w:val="auto"/>
                      <w:spacing w:val="-4"/>
                      <w:sz w:val="18"/>
                      <w:szCs w:val="18"/>
                      <w:highlight w:val="none"/>
                      <w:u w:val="single" w:color="auto"/>
                    </w:rPr>
                    <w:t>50%</w:t>
                  </w:r>
                </w:p>
              </w:tc>
              <w:tc>
                <w:tcPr>
                  <w:tcW w:w="483" w:type="dxa"/>
                  <w:vAlign w:val="top"/>
                </w:tcPr>
                <w:p w14:paraId="18C461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4"/>
                      <w:sz w:val="18"/>
                      <w:szCs w:val="18"/>
                      <w:highlight w:val="none"/>
                    </w:rPr>
                    <w:t>0%</w:t>
                  </w:r>
                </w:p>
              </w:tc>
              <w:tc>
                <w:tcPr>
                  <w:tcW w:w="488" w:type="dxa"/>
                  <w:vAlign w:val="top"/>
                </w:tcPr>
                <w:p w14:paraId="4F1EE7C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sz w:val="18"/>
                      <w:szCs w:val="18"/>
                      <w:highlight w:val="none"/>
                    </w:rPr>
                  </w:pPr>
                  <w:r>
                    <w:rPr>
                      <w:color w:val="auto"/>
                      <w:spacing w:val="-4"/>
                      <w:sz w:val="18"/>
                      <w:szCs w:val="18"/>
                      <w:highlight w:val="none"/>
                    </w:rPr>
                    <w:t>0%</w:t>
                  </w:r>
                </w:p>
              </w:tc>
            </w:tr>
            <w:tr w14:paraId="7F739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758" w:type="dxa"/>
                  <w:vAlign w:val="top"/>
                </w:tcPr>
                <w:p w14:paraId="033636F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373" w:leftChars="50" w:right="6" w:hanging="268"/>
                    <w:jc w:val="both"/>
                    <w:rPr>
                      <w:color w:val="auto"/>
                      <w:sz w:val="18"/>
                      <w:szCs w:val="18"/>
                      <w:highlight w:val="none"/>
                    </w:rPr>
                  </w:pPr>
                  <w:r>
                    <w:rPr>
                      <w:color w:val="auto"/>
                      <w:spacing w:val="-2"/>
                      <w:sz w:val="18"/>
                      <w:szCs w:val="18"/>
                      <w:highlight w:val="none"/>
                    </w:rPr>
                    <w:t>减免后的投标保证金金额</w:t>
                  </w:r>
                </w:p>
              </w:tc>
              <w:tc>
                <w:tcPr>
                  <w:tcW w:w="1010" w:type="dxa"/>
                  <w:vAlign w:val="top"/>
                </w:tcPr>
                <w:p w14:paraId="76F6B1FF">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886" w:type="dxa"/>
                  <w:vAlign w:val="top"/>
                </w:tcPr>
                <w:p w14:paraId="24A0428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483" w:type="dxa"/>
                  <w:vAlign w:val="top"/>
                </w:tcPr>
                <w:p w14:paraId="2C783A26">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c>
                <w:tcPr>
                  <w:tcW w:w="488" w:type="dxa"/>
                  <w:vAlign w:val="top"/>
                </w:tcPr>
                <w:p w14:paraId="716CCFD3">
                  <w:pPr>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ascii="Arial"/>
                      <w:color w:val="auto"/>
                      <w:sz w:val="21"/>
                      <w:highlight w:val="none"/>
                    </w:rPr>
                  </w:pPr>
                </w:p>
              </w:tc>
            </w:tr>
          </w:tbl>
          <w:p w14:paraId="4FDA2DC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19"/>
              <w:jc w:val="both"/>
              <w:rPr>
                <w:color w:val="auto"/>
                <w:highlight w:val="none"/>
              </w:rPr>
            </w:pPr>
            <w:r>
              <w:rPr>
                <w:rFonts w:hint="eastAsia"/>
                <w:color w:val="auto"/>
                <w:spacing w:val="11"/>
                <w:highlight w:val="none"/>
                <w:lang w:eastAsia="zh-CN"/>
              </w:rPr>
              <w:t>□</w:t>
            </w:r>
            <w:r>
              <w:rPr>
                <w:color w:val="auto"/>
                <w:spacing w:val="11"/>
                <w:highlight w:val="none"/>
              </w:rPr>
              <w:t>无失信记录的中小微企业</w:t>
            </w:r>
            <w:r>
              <w:rPr>
                <w:color w:val="auto"/>
                <w:spacing w:val="-17"/>
                <w:position w:val="10"/>
                <w:sz w:val="10"/>
                <w:szCs w:val="10"/>
                <w:highlight w:val="none"/>
              </w:rPr>
              <w:t xml:space="preserve"> </w:t>
            </w:r>
            <w:r>
              <w:rPr>
                <w:color w:val="auto"/>
                <w:spacing w:val="11"/>
                <w:highlight w:val="none"/>
              </w:rPr>
              <w:t>,</w:t>
            </w:r>
            <w:r>
              <w:rPr>
                <w:color w:val="auto"/>
                <w:spacing w:val="69"/>
                <w:highlight w:val="none"/>
              </w:rPr>
              <w:t xml:space="preserve"> </w:t>
            </w:r>
            <w:r>
              <w:rPr>
                <w:color w:val="auto"/>
                <w:spacing w:val="11"/>
                <w:highlight w:val="none"/>
              </w:rPr>
              <w:t>给予减免投标</w:t>
            </w:r>
            <w:r>
              <w:rPr>
                <w:color w:val="auto"/>
                <w:spacing w:val="10"/>
                <w:highlight w:val="none"/>
              </w:rPr>
              <w:t>保证金，减免</w:t>
            </w:r>
            <w:r>
              <w:rPr>
                <w:color w:val="auto"/>
                <w:spacing w:val="-83"/>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 xml:space="preserve">/ </w:t>
            </w:r>
            <w:r>
              <w:rPr>
                <w:color w:val="auto"/>
                <w:spacing w:val="7"/>
                <w:highlight w:val="none"/>
                <w:u w:val="single" w:color="auto"/>
              </w:rPr>
              <w:t xml:space="preserve"> </w:t>
            </w:r>
            <w:r>
              <w:rPr>
                <w:color w:val="auto"/>
                <w:spacing w:val="-96"/>
                <w:highlight w:val="none"/>
              </w:rPr>
              <w:t xml:space="preserve"> </w:t>
            </w:r>
            <w:r>
              <w:rPr>
                <w:color w:val="auto"/>
                <w:spacing w:val="10"/>
                <w:highlight w:val="none"/>
              </w:rPr>
              <w:t>%缴纳投标保证金，减免后投标保证</w:t>
            </w:r>
          </w:p>
          <w:p w14:paraId="19AADC1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rPr>
              <w:t>金金额：</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54"/>
                <w:highlight w:val="none"/>
              </w:rPr>
              <w:t xml:space="preserve"> </w:t>
            </w:r>
            <w:r>
              <w:rPr>
                <w:color w:val="auto"/>
                <w:spacing w:val="9"/>
                <w:highlight w:val="none"/>
              </w:rPr>
              <w:t>。如同时满足以上信用等级和中小微</w:t>
            </w:r>
            <w:r>
              <w:rPr>
                <w:color w:val="auto"/>
                <w:spacing w:val="12"/>
                <w:highlight w:val="none"/>
              </w:rPr>
              <w:t>企业减免投标保证金的情形，则以减免后投</w:t>
            </w:r>
            <w:r>
              <w:rPr>
                <w:color w:val="auto"/>
                <w:spacing w:val="11"/>
                <w:highlight w:val="none"/>
              </w:rPr>
              <w:t>标保证</w:t>
            </w:r>
            <w:r>
              <w:rPr>
                <w:color w:val="auto"/>
                <w:spacing w:val="8"/>
                <w:highlight w:val="none"/>
              </w:rPr>
              <w:t>金金额较少的为准。</w:t>
            </w:r>
            <w:r>
              <w:rPr>
                <w:color w:val="auto"/>
                <w:spacing w:val="-57"/>
                <w:highlight w:val="none"/>
              </w:rPr>
              <w:t xml:space="preserve"> </w:t>
            </w:r>
            <w:r>
              <w:rPr>
                <w:color w:val="auto"/>
                <w:spacing w:val="8"/>
                <w:highlight w:val="none"/>
              </w:rPr>
              <w:t>以联合体形式参加投标的，</w:t>
            </w:r>
            <w:r>
              <w:rPr>
                <w:color w:val="auto"/>
                <w:spacing w:val="-57"/>
                <w:highlight w:val="none"/>
              </w:rPr>
              <w:t xml:space="preserve"> </w:t>
            </w:r>
            <w:r>
              <w:rPr>
                <w:color w:val="auto"/>
                <w:spacing w:val="8"/>
                <w:highlight w:val="none"/>
              </w:rPr>
              <w:t>以上情形以联合体牵头人的企业性质为准。</w:t>
            </w:r>
          </w:p>
          <w:p w14:paraId="157BE586">
            <w:pPr>
              <w:pStyle w:val="23"/>
              <w:keepNext w:val="0"/>
              <w:keepLines w:val="0"/>
              <w:pageBreakBefore w:val="0"/>
              <w:widowControl/>
              <w:tabs>
                <w:tab w:val="left" w:pos="4776"/>
              </w:tabs>
              <w:kinsoku w:val="0"/>
              <w:wordWrap/>
              <w:overflowPunct/>
              <w:topLinePunct w:val="0"/>
              <w:autoSpaceDE w:val="0"/>
              <w:autoSpaceDN w:val="0"/>
              <w:bidi w:val="0"/>
              <w:adjustRightInd w:val="0"/>
              <w:snapToGrid w:val="0"/>
              <w:spacing w:line="340" w:lineRule="exact"/>
              <w:ind w:left="105" w:leftChars="50" w:right="6" w:firstLine="220"/>
              <w:jc w:val="both"/>
              <w:rPr>
                <w:rFonts w:hint="default" w:eastAsia="宋体"/>
                <w:color w:val="auto"/>
                <w:highlight w:val="none"/>
                <w:lang w:val="en-US" w:eastAsia="zh-CN"/>
              </w:rPr>
            </w:pPr>
            <w:r>
              <w:rPr>
                <w:color w:val="auto"/>
                <w:spacing w:val="5"/>
                <w:highlight w:val="none"/>
              </w:rPr>
              <w:t>投标保证金可采用的其他形式：</w:t>
            </w:r>
            <w:r>
              <w:rPr>
                <w:rFonts w:hint="eastAsia"/>
                <w:color w:val="auto"/>
                <w:spacing w:val="8"/>
                <w:highlight w:val="none"/>
                <w:u w:val="single"/>
                <w:lang w:val="en-US" w:eastAsia="zh-CN"/>
              </w:rPr>
              <w:t>以韶关市公共资源交易中心</w:t>
            </w:r>
            <w:r>
              <w:rPr>
                <w:rFonts w:hint="eastAsia"/>
                <w:color w:val="auto"/>
                <w:spacing w:val="8"/>
                <w:highlight w:val="none"/>
                <w:u w:val="single"/>
                <w:lang w:eastAsia="zh-CN"/>
              </w:rPr>
              <w:t>建设工程交易系统</w:t>
            </w:r>
            <w:r>
              <w:rPr>
                <w:rFonts w:hint="eastAsia"/>
                <w:color w:val="auto"/>
                <w:spacing w:val="8"/>
                <w:highlight w:val="none"/>
                <w:u w:val="single"/>
                <w:lang w:val="en-US" w:eastAsia="zh-CN"/>
              </w:rPr>
              <w:t>的</w:t>
            </w:r>
            <w:r>
              <w:rPr>
                <w:color w:val="auto"/>
                <w:spacing w:val="8"/>
                <w:highlight w:val="none"/>
                <w:u w:val="single" w:color="auto"/>
              </w:rPr>
              <w:t>形式</w:t>
            </w:r>
            <w:r>
              <w:rPr>
                <w:rFonts w:hint="eastAsia"/>
                <w:color w:val="auto"/>
                <w:spacing w:val="8"/>
                <w:highlight w:val="none"/>
                <w:u w:val="single" w:color="auto"/>
                <w:lang w:val="en-US" w:eastAsia="zh-CN"/>
              </w:rPr>
              <w:t>为准。</w:t>
            </w:r>
          </w:p>
          <w:p w14:paraId="74017C8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2" w:firstLineChars="200"/>
              <w:jc w:val="both"/>
              <w:rPr>
                <w:color w:val="auto"/>
                <w:spacing w:val="8"/>
                <w:highlight w:val="none"/>
              </w:rPr>
            </w:pPr>
            <w:r>
              <w:rPr>
                <w:color w:val="auto"/>
                <w:spacing w:val="8"/>
                <w:highlight w:val="none"/>
              </w:rPr>
              <w:t>招标人指定的开户银行及账号如下：</w:t>
            </w:r>
            <w:r>
              <w:rPr>
                <w:rFonts w:hint="eastAsia"/>
                <w:color w:val="auto"/>
                <w:spacing w:val="8"/>
                <w:highlight w:val="none"/>
                <w:u w:val="single"/>
                <w:lang w:eastAsia="zh-CN"/>
              </w:rPr>
              <w:t>在建设工程交易系统获取本次招标投标保证金缴纳账号。</w:t>
            </w:r>
          </w:p>
          <w:p w14:paraId="41EFD9A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9"/>
                <w:highlight w:val="none"/>
              </w:rPr>
              <w:t>采用其他形式时：</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p w14:paraId="2C56BB1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□不要求</w:t>
            </w:r>
          </w:p>
        </w:tc>
      </w:tr>
      <w:tr w14:paraId="4E95C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013" w:type="dxa"/>
            <w:vAlign w:val="center"/>
          </w:tcPr>
          <w:p w14:paraId="4297C66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3.4.3</w:t>
            </w:r>
          </w:p>
        </w:tc>
        <w:tc>
          <w:tcPr>
            <w:tcW w:w="2877" w:type="dxa"/>
            <w:vAlign w:val="center"/>
          </w:tcPr>
          <w:p w14:paraId="0ED803F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投标保证金的利息计算原则</w:t>
            </w:r>
          </w:p>
        </w:tc>
        <w:tc>
          <w:tcPr>
            <w:tcW w:w="5374" w:type="dxa"/>
            <w:vAlign w:val="center"/>
          </w:tcPr>
          <w:p w14:paraId="0B41CF1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6" w:leftChars="50" w:right="6" w:hanging="1"/>
              <w:jc w:val="both"/>
              <w:rPr>
                <w:color w:val="auto"/>
                <w:highlight w:val="none"/>
              </w:rPr>
            </w:pPr>
            <w:r>
              <w:rPr>
                <w:color w:val="auto"/>
                <w:spacing w:val="18"/>
                <w:highlight w:val="none"/>
              </w:rPr>
              <w:t>利息退还方式按</w:t>
            </w:r>
            <w:r>
              <w:rPr>
                <w:color w:val="auto"/>
                <w:spacing w:val="-75"/>
                <w:highlight w:val="none"/>
              </w:rPr>
              <w:t xml:space="preserve"> </w:t>
            </w:r>
            <w:r>
              <w:rPr>
                <w:color w:val="auto"/>
                <w:spacing w:val="16"/>
                <w:highlight w:val="none"/>
                <w:u w:val="single" w:color="auto"/>
              </w:rPr>
              <w:t xml:space="preserve"> </w:t>
            </w:r>
            <w:r>
              <w:rPr>
                <w:rFonts w:hint="eastAsia"/>
                <w:color w:val="auto"/>
                <w:spacing w:val="16"/>
                <w:highlight w:val="none"/>
                <w:u w:val="single" w:color="auto"/>
                <w:lang w:val="en-US" w:eastAsia="zh-CN"/>
              </w:rPr>
              <w:t>韶关市</w:t>
            </w:r>
            <w:r>
              <w:rPr>
                <w:color w:val="auto"/>
                <w:spacing w:val="18"/>
                <w:highlight w:val="none"/>
              </w:rPr>
              <w:t>公共资源交易中心规定办</w:t>
            </w:r>
            <w:r>
              <w:rPr>
                <w:color w:val="auto"/>
                <w:spacing w:val="-1"/>
                <w:highlight w:val="none"/>
              </w:rPr>
              <w:t>理。</w:t>
            </w:r>
          </w:p>
        </w:tc>
      </w:tr>
      <w:tr w14:paraId="429C2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trPr>
        <w:tc>
          <w:tcPr>
            <w:tcW w:w="1013" w:type="dxa"/>
            <w:vAlign w:val="center"/>
          </w:tcPr>
          <w:p w14:paraId="4FC228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3.4.4</w:t>
            </w:r>
          </w:p>
        </w:tc>
        <w:tc>
          <w:tcPr>
            <w:tcW w:w="2877" w:type="dxa"/>
            <w:vAlign w:val="center"/>
          </w:tcPr>
          <w:p w14:paraId="0FAE32A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其他可以不予退还投标保证</w:t>
            </w:r>
          </w:p>
          <w:p w14:paraId="02E9D6A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6"/>
                <w:highlight w:val="none"/>
              </w:rPr>
              <w:t>金的情形</w:t>
            </w:r>
          </w:p>
        </w:tc>
        <w:tc>
          <w:tcPr>
            <w:tcW w:w="5374" w:type="dxa"/>
            <w:vAlign w:val="center"/>
          </w:tcPr>
          <w:p w14:paraId="55FCE54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7"/>
                <w:highlight w:val="none"/>
              </w:rPr>
              <w:t>（4）串通投标；或</w:t>
            </w:r>
          </w:p>
          <w:p w14:paraId="1312B14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11" w:leftChars="50" w:right="6" w:hanging="6"/>
              <w:jc w:val="both"/>
              <w:rPr>
                <w:color w:val="auto"/>
                <w:highlight w:val="none"/>
              </w:rPr>
            </w:pPr>
            <w:r>
              <w:rPr>
                <w:color w:val="auto"/>
                <w:spacing w:val="14"/>
                <w:highlight w:val="none"/>
              </w:rPr>
              <w:t>（5）评标、</w:t>
            </w:r>
            <w:r>
              <w:rPr>
                <w:color w:val="auto"/>
                <w:spacing w:val="-57"/>
                <w:highlight w:val="none"/>
              </w:rPr>
              <w:t xml:space="preserve"> </w:t>
            </w:r>
            <w:r>
              <w:rPr>
                <w:rFonts w:hint="eastAsia"/>
                <w:color w:val="auto"/>
                <w:spacing w:val="14"/>
                <w:highlight w:val="none"/>
                <w:lang w:val="en-US" w:eastAsia="zh-CN"/>
              </w:rPr>
              <w:t>中</w:t>
            </w:r>
            <w:r>
              <w:rPr>
                <w:color w:val="auto"/>
                <w:spacing w:val="14"/>
                <w:highlight w:val="none"/>
              </w:rPr>
              <w:t>标候选人公示、签订合同前等环节</w:t>
            </w:r>
            <w:r>
              <w:rPr>
                <w:color w:val="auto"/>
                <w:spacing w:val="8"/>
                <w:highlight w:val="none"/>
              </w:rPr>
              <w:t>因作假而被取消中标资格；或</w:t>
            </w:r>
          </w:p>
          <w:p w14:paraId="6371DAF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8"/>
                <w:highlight w:val="none"/>
              </w:rPr>
              <w:t>（6）因投诉属实取消投标资格的；或</w:t>
            </w:r>
          </w:p>
          <w:p w14:paraId="558EEB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7"/>
              <w:jc w:val="both"/>
              <w:rPr>
                <w:color w:val="auto"/>
                <w:highlight w:val="none"/>
              </w:rPr>
            </w:pPr>
            <w:r>
              <w:rPr>
                <w:color w:val="auto"/>
                <w:spacing w:val="13"/>
                <w:highlight w:val="none"/>
              </w:rPr>
              <w:t>（7）其他违反规定、妨碍公平竞争准则的行为；</w:t>
            </w:r>
            <w:r>
              <w:rPr>
                <w:color w:val="auto"/>
                <w:highlight w:val="none"/>
              </w:rPr>
              <w:t>或</w:t>
            </w:r>
          </w:p>
          <w:p w14:paraId="5EB6A20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2"/>
                <w:highlight w:val="none"/>
              </w:rPr>
              <w:t>（8）</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5BDE1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13" w:type="dxa"/>
            <w:vAlign w:val="center"/>
          </w:tcPr>
          <w:p w14:paraId="61C673E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3.5</w:t>
            </w:r>
          </w:p>
        </w:tc>
        <w:tc>
          <w:tcPr>
            <w:tcW w:w="2877" w:type="dxa"/>
            <w:vAlign w:val="center"/>
          </w:tcPr>
          <w:p w14:paraId="17F0E99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资格审查资料的特殊要求</w:t>
            </w:r>
          </w:p>
        </w:tc>
        <w:tc>
          <w:tcPr>
            <w:tcW w:w="5374" w:type="dxa"/>
            <w:vAlign w:val="center"/>
          </w:tcPr>
          <w:p w14:paraId="6040B0E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5"/>
                <w:highlight w:val="none"/>
                <w:lang w:eastAsia="zh-CN"/>
              </w:rPr>
              <w:t>☑</w:t>
            </w:r>
            <w:r>
              <w:rPr>
                <w:color w:val="auto"/>
                <w:spacing w:val="-5"/>
                <w:highlight w:val="none"/>
              </w:rPr>
              <w:t>无</w:t>
            </w:r>
          </w:p>
          <w:p w14:paraId="2CF870F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□有，具体要求：</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215BB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4" w:hRule="atLeast"/>
        </w:trPr>
        <w:tc>
          <w:tcPr>
            <w:tcW w:w="1013" w:type="dxa"/>
            <w:vAlign w:val="center"/>
          </w:tcPr>
          <w:p w14:paraId="0B99A0C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3.5.2</w:t>
            </w:r>
          </w:p>
        </w:tc>
        <w:tc>
          <w:tcPr>
            <w:tcW w:w="2877" w:type="dxa"/>
            <w:vAlign w:val="center"/>
          </w:tcPr>
          <w:p w14:paraId="6313172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近年完成的类似项目情况的</w:t>
            </w:r>
          </w:p>
          <w:p w14:paraId="26130AF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时间要求</w:t>
            </w:r>
          </w:p>
        </w:tc>
        <w:tc>
          <w:tcPr>
            <w:tcW w:w="5374" w:type="dxa"/>
            <w:vAlign w:val="center"/>
          </w:tcPr>
          <w:p w14:paraId="1DF6D825">
            <w:pPr>
              <w:pStyle w:val="23"/>
              <w:keepNext w:val="0"/>
              <w:keepLines w:val="0"/>
              <w:pageBreakBefore w:val="0"/>
              <w:widowControl/>
              <w:tabs>
                <w:tab w:val="left" w:pos="840"/>
              </w:tabs>
              <w:kinsoku w:val="0"/>
              <w:wordWrap/>
              <w:overflowPunct/>
              <w:topLinePunct w:val="0"/>
              <w:autoSpaceDE w:val="0"/>
              <w:autoSpaceDN w:val="0"/>
              <w:bidi w:val="0"/>
              <w:adjustRightInd w:val="0"/>
              <w:snapToGrid w:val="0"/>
              <w:spacing w:line="340" w:lineRule="exact"/>
              <w:ind w:left="105" w:leftChars="50" w:right="6" w:firstLine="411"/>
              <w:jc w:val="both"/>
              <w:rPr>
                <w:color w:val="auto"/>
                <w:highlight w:val="none"/>
              </w:rPr>
            </w:pPr>
            <w:r>
              <w:rPr>
                <w:rFonts w:hint="eastAsia"/>
                <w:color w:val="auto"/>
                <w:highlight w:val="none"/>
                <w:u w:val="single" w:color="auto"/>
                <w:lang w:val="en-US" w:eastAsia="zh-CN"/>
              </w:rPr>
              <w:t>2021</w:t>
            </w:r>
            <w:r>
              <w:rPr>
                <w:color w:val="auto"/>
                <w:spacing w:val="-80"/>
                <w:highlight w:val="none"/>
              </w:rPr>
              <w:t xml:space="preserve"> </w:t>
            </w:r>
            <w:r>
              <w:rPr>
                <w:color w:val="auto"/>
                <w:spacing w:val="4"/>
                <w:highlight w:val="none"/>
              </w:rPr>
              <w:t>年</w:t>
            </w:r>
            <w:r>
              <w:rPr>
                <w:color w:val="auto"/>
                <w:spacing w:val="4"/>
                <w:highlight w:val="none"/>
                <w:u w:val="single" w:color="auto"/>
              </w:rPr>
              <w:t xml:space="preserve"> </w:t>
            </w:r>
            <w:r>
              <w:rPr>
                <w:rFonts w:hint="eastAsia"/>
                <w:color w:val="auto"/>
                <w:spacing w:val="4"/>
                <w:highlight w:val="none"/>
                <w:u w:val="single" w:color="auto"/>
                <w:lang w:val="en-US" w:eastAsia="zh-CN"/>
              </w:rPr>
              <w:t>6</w:t>
            </w:r>
            <w:r>
              <w:rPr>
                <w:color w:val="auto"/>
                <w:spacing w:val="4"/>
                <w:highlight w:val="none"/>
                <w:u w:val="single" w:color="auto"/>
              </w:rPr>
              <w:t xml:space="preserve"> </w:t>
            </w:r>
            <w:r>
              <w:rPr>
                <w:color w:val="auto"/>
                <w:spacing w:val="4"/>
                <w:highlight w:val="none"/>
              </w:rPr>
              <w:t>月</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53"/>
                <w:highlight w:val="none"/>
              </w:rPr>
              <w:t xml:space="preserve"> </w:t>
            </w:r>
            <w:r>
              <w:rPr>
                <w:color w:val="auto"/>
                <w:spacing w:val="4"/>
                <w:highlight w:val="none"/>
              </w:rPr>
              <w:t>日至投标文件递交截止日（近</w:t>
            </w:r>
            <w:r>
              <w:rPr>
                <w:color w:val="auto"/>
                <w:spacing w:val="-35"/>
                <w:highlight w:val="none"/>
              </w:rPr>
              <w:t xml:space="preserve"> </w:t>
            </w:r>
            <w:r>
              <w:rPr>
                <w:color w:val="auto"/>
                <w:spacing w:val="4"/>
                <w:highlight w:val="none"/>
              </w:rPr>
              <w:t>5</w:t>
            </w:r>
            <w:r>
              <w:rPr>
                <w:color w:val="auto"/>
                <w:highlight w:val="none"/>
              </w:rPr>
              <w:t>年</w:t>
            </w:r>
            <w:r>
              <w:rPr>
                <w:color w:val="auto"/>
                <w:spacing w:val="6"/>
                <w:highlight w:val="none"/>
              </w:rPr>
              <w:t>），</w:t>
            </w:r>
            <w:r>
              <w:rPr>
                <w:color w:val="auto"/>
                <w:spacing w:val="-60"/>
                <w:highlight w:val="none"/>
              </w:rPr>
              <w:t xml:space="preserve"> </w:t>
            </w:r>
            <w:r>
              <w:rPr>
                <w:color w:val="auto"/>
                <w:highlight w:val="none"/>
              </w:rPr>
              <w:t>以</w:t>
            </w:r>
          </w:p>
          <w:p w14:paraId="57F963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8"/>
              <w:jc w:val="both"/>
              <w:rPr>
                <w:color w:val="auto"/>
                <w:highlight w:val="none"/>
              </w:rPr>
            </w:pPr>
            <w:r>
              <w:rPr>
                <w:rFonts w:hint="eastAsia"/>
                <w:color w:val="auto"/>
                <w:spacing w:val="7"/>
                <w:highlight w:val="none"/>
                <w:lang w:eastAsia="zh-CN"/>
              </w:rPr>
              <w:t>□</w:t>
            </w:r>
            <w:r>
              <w:rPr>
                <w:color w:val="auto"/>
                <w:spacing w:val="7"/>
                <w:highlight w:val="none"/>
                <w:u w:val="single" w:color="auto"/>
              </w:rPr>
              <w:t>“全国公路建设市场监督管理系统</w:t>
            </w:r>
            <w:r>
              <w:rPr>
                <w:color w:val="auto"/>
                <w:spacing w:val="-70"/>
                <w:highlight w:val="none"/>
                <w:u w:val="single" w:color="auto"/>
              </w:rPr>
              <w:t xml:space="preserve"> </w:t>
            </w:r>
            <w:r>
              <w:rPr>
                <w:color w:val="auto"/>
                <w:spacing w:val="7"/>
                <w:highlight w:val="none"/>
                <w:u w:val="single" w:color="auto"/>
              </w:rPr>
              <w:t>”上的交</w:t>
            </w:r>
            <w:r>
              <w:rPr>
                <w:color w:val="auto"/>
                <w:spacing w:val="9"/>
                <w:highlight w:val="none"/>
                <w:u w:val="single" w:color="auto"/>
              </w:rPr>
              <w:t>工验收或未交工验收一次性竣工验收的时间为准。</w:t>
            </w:r>
          </w:p>
          <w:p w14:paraId="3FE12D9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firstLine="439"/>
              <w:jc w:val="both"/>
              <w:rPr>
                <w:color w:val="auto"/>
                <w:highlight w:val="none"/>
              </w:rPr>
            </w:pPr>
            <w:r>
              <w:rPr>
                <w:rFonts w:hint="eastAsia"/>
                <w:color w:val="auto"/>
                <w:spacing w:val="9"/>
                <w:highlight w:val="none"/>
                <w:lang w:eastAsia="zh-CN"/>
              </w:rPr>
              <w:t>☑</w:t>
            </w:r>
            <w:r>
              <w:rPr>
                <w:color w:val="auto"/>
                <w:spacing w:val="9"/>
                <w:highlight w:val="none"/>
                <w:u w:val="single" w:color="auto"/>
              </w:rPr>
              <w:t>“全国公路建设市场监督管理系统</w:t>
            </w:r>
            <w:r>
              <w:rPr>
                <w:color w:val="auto"/>
                <w:spacing w:val="-58"/>
                <w:highlight w:val="none"/>
                <w:u w:val="single" w:color="auto"/>
              </w:rPr>
              <w:t xml:space="preserve"> </w:t>
            </w:r>
            <w:r>
              <w:rPr>
                <w:color w:val="auto"/>
                <w:spacing w:val="9"/>
                <w:highlight w:val="none"/>
                <w:u w:val="single" w:color="auto"/>
              </w:rPr>
              <w:t>”或省级</w:t>
            </w:r>
            <w:r>
              <w:rPr>
                <w:color w:val="auto"/>
                <w:spacing w:val="15"/>
                <w:highlight w:val="none"/>
                <w:u w:val="single" w:color="auto"/>
              </w:rPr>
              <w:t>交通运输主管部门“公路建设市场监督管理系统</w:t>
            </w:r>
            <w:r>
              <w:rPr>
                <w:color w:val="auto"/>
                <w:spacing w:val="-68"/>
                <w:highlight w:val="none"/>
                <w:u w:val="single" w:color="auto"/>
              </w:rPr>
              <w:t xml:space="preserve"> </w:t>
            </w:r>
            <w:r>
              <w:rPr>
                <w:color w:val="auto"/>
                <w:spacing w:val="15"/>
                <w:highlight w:val="none"/>
                <w:u w:val="single" w:color="auto"/>
              </w:rPr>
              <w:t>”</w:t>
            </w:r>
            <w:r>
              <w:rPr>
                <w:color w:val="auto"/>
                <w:spacing w:val="12"/>
                <w:highlight w:val="none"/>
                <w:u w:val="single" w:color="auto"/>
              </w:rPr>
              <w:t>上的交工验收或未交工验收一次性竣工验收</w:t>
            </w:r>
            <w:r>
              <w:rPr>
                <w:color w:val="auto"/>
                <w:spacing w:val="11"/>
                <w:highlight w:val="none"/>
                <w:u w:val="single" w:color="auto"/>
              </w:rPr>
              <w:t>的时间</w:t>
            </w:r>
            <w:r>
              <w:rPr>
                <w:color w:val="auto"/>
                <w:spacing w:val="2"/>
                <w:highlight w:val="none"/>
                <w:u w:val="single" w:color="auto"/>
              </w:rPr>
              <w:t>为准</w:t>
            </w:r>
            <w:r>
              <w:rPr>
                <w:color w:val="auto"/>
                <w:spacing w:val="2"/>
                <w:highlight w:val="none"/>
              </w:rPr>
              <w:t>。</w:t>
            </w:r>
          </w:p>
          <w:p w14:paraId="7442050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color w:val="auto"/>
                <w:spacing w:val="6"/>
                <w:highlight w:val="none"/>
              </w:rPr>
              <w:t>□</w:t>
            </w:r>
            <w:r>
              <w:rPr>
                <w:rFonts w:ascii="MingLiU-ExtB" w:hAnsi="MingLiU-ExtB" w:eastAsia="MingLiU-ExtB" w:cs="MingLiU-ExtB"/>
                <w:color w:val="auto"/>
                <w:highlight w:val="none"/>
                <w:u w:val="single" w:color="auto"/>
              </w:rPr>
              <w:t>XX</w:t>
            </w:r>
            <w:r>
              <w:rPr>
                <w:rFonts w:ascii="MingLiU-ExtB" w:hAnsi="MingLiU-ExtB" w:eastAsia="MingLiU-ExtB" w:cs="MingLiU-ExtB"/>
                <w:color w:val="auto"/>
                <w:spacing w:val="-32"/>
                <w:highlight w:val="none"/>
                <w:u w:val="single" w:color="auto"/>
              </w:rPr>
              <w:t xml:space="preserve"> </w:t>
            </w:r>
            <w:r>
              <w:rPr>
                <w:color w:val="auto"/>
                <w:spacing w:val="6"/>
                <w:highlight w:val="none"/>
                <w:u w:val="single" w:color="auto"/>
              </w:rPr>
              <w:t>证明材料签发时间为准</w:t>
            </w:r>
            <w:r>
              <w:rPr>
                <w:color w:val="auto"/>
                <w:spacing w:val="6"/>
                <w:highlight w:val="none"/>
              </w:rPr>
              <w:t>。</w:t>
            </w:r>
          </w:p>
        </w:tc>
      </w:tr>
      <w:tr w14:paraId="1BB3F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013" w:type="dxa"/>
            <w:vAlign w:val="center"/>
          </w:tcPr>
          <w:p w14:paraId="3EF25C8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3.6.1</w:t>
            </w:r>
          </w:p>
        </w:tc>
        <w:tc>
          <w:tcPr>
            <w:tcW w:w="2877" w:type="dxa"/>
            <w:vAlign w:val="center"/>
          </w:tcPr>
          <w:p w14:paraId="07DA9CF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是否允许递交备选投标方案</w:t>
            </w:r>
          </w:p>
        </w:tc>
        <w:tc>
          <w:tcPr>
            <w:tcW w:w="5374" w:type="dxa"/>
            <w:vAlign w:val="center"/>
          </w:tcPr>
          <w:p w14:paraId="399D72B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color w:val="auto"/>
                <w:highlight w:val="none"/>
              </w:rPr>
            </w:pPr>
            <w:r>
              <w:rPr>
                <w:rFonts w:hint="eastAsia"/>
                <w:color w:val="auto"/>
                <w:spacing w:val="2"/>
                <w:highlight w:val="none"/>
                <w:lang w:eastAsia="zh-CN"/>
              </w:rPr>
              <w:t>☑</w:t>
            </w:r>
            <w:r>
              <w:rPr>
                <w:color w:val="auto"/>
                <w:spacing w:val="2"/>
                <w:highlight w:val="none"/>
              </w:rPr>
              <w:t>不允许</w:t>
            </w:r>
            <w:r>
              <w:rPr>
                <w:color w:val="auto"/>
                <w:spacing w:val="-1"/>
                <w:highlight w:val="none"/>
              </w:rPr>
              <w:t>□允许</w:t>
            </w:r>
          </w:p>
        </w:tc>
      </w:tr>
      <w:tr w14:paraId="12EB2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98DBA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3.7.4</w:t>
            </w:r>
          </w:p>
        </w:tc>
        <w:tc>
          <w:tcPr>
            <w:tcW w:w="2877" w:type="dxa"/>
            <w:vAlign w:val="center"/>
          </w:tcPr>
          <w:p w14:paraId="37059A3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投标文件其他要求</w:t>
            </w:r>
          </w:p>
        </w:tc>
        <w:tc>
          <w:tcPr>
            <w:tcW w:w="5374" w:type="dxa"/>
            <w:vAlign w:val="center"/>
          </w:tcPr>
          <w:p w14:paraId="3365023E">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投标文件包括盖有电子公章的加密电子投标文件。</w:t>
            </w:r>
          </w:p>
          <w:p w14:paraId="7D929A3F">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（1）投标文件的页码起始从封面开始。</w:t>
            </w:r>
          </w:p>
          <w:p w14:paraId="1433D5A0">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（2）电子投标解密失败及突发情况的补救</w:t>
            </w:r>
          </w:p>
          <w:p w14:paraId="7C6C634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xml:space="preserve">按照交易平台关于全流程电子化项目的相关指引进行操作。详见：全国公共资源交易平台（广东省·韶关市）（https://ygp.gdzwfw.gov.cn/ggzy-portal/#/440200/index）交易指引栏目发布的最新版操作指引。  </w:t>
            </w:r>
          </w:p>
          <w:p w14:paraId="35D14B9E">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6E61F80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7008B2B">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spacing w:val="11"/>
                <w:highlight w:val="none"/>
              </w:rPr>
            </w:pPr>
            <w:r>
              <w:rPr>
                <w:rFonts w:hint="eastAsia" w:ascii="宋体" w:hAnsi="宋体" w:eastAsia="宋体" w:cs="宋体"/>
                <w:color w:val="auto"/>
                <w:highlight w:val="none"/>
              </w:rPr>
              <w:t>（3）除发生上述情况外，开标评标均以投标人通过交易平台网上递交的电子投标文件为准。</w:t>
            </w:r>
          </w:p>
        </w:tc>
      </w:tr>
      <w:tr w14:paraId="240E8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D0D75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position w:val="1"/>
                <w:highlight w:val="none"/>
              </w:rPr>
              <w:t>5.1</w:t>
            </w:r>
          </w:p>
        </w:tc>
        <w:tc>
          <w:tcPr>
            <w:tcW w:w="2877" w:type="dxa"/>
            <w:vAlign w:val="center"/>
          </w:tcPr>
          <w:p w14:paraId="2AA4A61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开标时间和地点</w:t>
            </w:r>
          </w:p>
        </w:tc>
        <w:tc>
          <w:tcPr>
            <w:tcW w:w="5374" w:type="dxa"/>
            <w:vAlign w:val="center"/>
          </w:tcPr>
          <w:p w14:paraId="408445E3">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投标文件第一个信封（商务及技术文件）开标时间：同电子投标截止时间。</w:t>
            </w:r>
          </w:p>
          <w:p w14:paraId="1D5B9E49">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投标文件第一个信封（商务及技术文件）开标地点：详见“重要事项时间地点一览表”。</w:t>
            </w:r>
          </w:p>
          <w:p w14:paraId="6B4E83D5">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投标文件第二个信封（报价文件）开标时间：第一个信封（商务及技术文件）评审结束后，另行通知。</w:t>
            </w:r>
          </w:p>
          <w:p w14:paraId="3FD621E9">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投标文件第二个信封（报价文件）开标地点：详见“重要事项时间地点一览表”。</w:t>
            </w:r>
          </w:p>
        </w:tc>
      </w:tr>
      <w:tr w14:paraId="0486C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49BF2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5.2.1</w:t>
            </w:r>
          </w:p>
        </w:tc>
        <w:tc>
          <w:tcPr>
            <w:tcW w:w="2877" w:type="dxa"/>
            <w:vAlign w:val="center"/>
          </w:tcPr>
          <w:p w14:paraId="5558407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180" w:firstLine="0" w:firstLineChars="0"/>
              <w:jc w:val="center"/>
              <w:textAlignment w:val="baseline"/>
              <w:rPr>
                <w:color w:val="auto"/>
                <w:highlight w:val="none"/>
              </w:rPr>
            </w:pPr>
            <w:r>
              <w:rPr>
                <w:color w:val="auto"/>
                <w:spacing w:val="8"/>
                <w:highlight w:val="none"/>
              </w:rPr>
              <w:t>投标文件第一个信封（商务及技术文件）开标</w:t>
            </w:r>
          </w:p>
        </w:tc>
        <w:tc>
          <w:tcPr>
            <w:tcW w:w="5374" w:type="dxa"/>
            <w:vAlign w:val="center"/>
          </w:tcPr>
          <w:p w14:paraId="12669158">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（6）密封情况检查：</w:t>
            </w:r>
          </w:p>
          <w:p w14:paraId="5A7CDC07">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本项目采用全流程电子投标，不需要检查密封情况</w:t>
            </w:r>
          </w:p>
          <w:p w14:paraId="0C68AEC4">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highlight w:val="none"/>
              </w:rPr>
            </w:pPr>
            <w:r>
              <w:rPr>
                <w:rFonts w:hint="eastAsia"/>
                <w:color w:val="auto"/>
                <w:highlight w:val="none"/>
              </w:rPr>
              <w:t>开标顺序：随机启封、逐一公布</w:t>
            </w:r>
          </w:p>
        </w:tc>
      </w:tr>
      <w:tr w14:paraId="43BD8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090F7EB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5.2.3</w:t>
            </w:r>
          </w:p>
        </w:tc>
        <w:tc>
          <w:tcPr>
            <w:tcW w:w="2877" w:type="dxa"/>
            <w:vAlign w:val="center"/>
          </w:tcPr>
          <w:p w14:paraId="02448EE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投标文件第二个信封（报价</w:t>
            </w:r>
          </w:p>
          <w:p w14:paraId="762C4F7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文件）开标</w:t>
            </w:r>
          </w:p>
        </w:tc>
        <w:tc>
          <w:tcPr>
            <w:tcW w:w="5374" w:type="dxa"/>
            <w:vAlign w:val="center"/>
          </w:tcPr>
          <w:p w14:paraId="648702A1">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（7）密封情况检查：</w:t>
            </w:r>
          </w:p>
          <w:p w14:paraId="08BDC660">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rFonts w:hint="eastAsia"/>
                <w:color w:val="auto"/>
                <w:highlight w:val="none"/>
              </w:rPr>
            </w:pPr>
            <w:r>
              <w:rPr>
                <w:rFonts w:hint="eastAsia"/>
                <w:color w:val="auto"/>
                <w:highlight w:val="none"/>
              </w:rPr>
              <w:t>本项目采用全流程电子投标，不需要检查密封情况</w:t>
            </w:r>
          </w:p>
          <w:p w14:paraId="3344D893">
            <w:pPr>
              <w:pStyle w:val="23"/>
              <w:keepNext w:val="0"/>
              <w:keepLines w:val="0"/>
              <w:pageBreakBefore w:val="0"/>
              <w:widowControl/>
              <w:tabs>
                <w:tab w:val="left" w:pos="4840"/>
              </w:tabs>
              <w:kinsoku w:val="0"/>
              <w:wordWrap/>
              <w:overflowPunct/>
              <w:topLinePunct w:val="0"/>
              <w:autoSpaceDE w:val="0"/>
              <w:autoSpaceDN w:val="0"/>
              <w:bidi w:val="0"/>
              <w:adjustRightInd w:val="0"/>
              <w:snapToGrid w:val="0"/>
              <w:spacing w:line="380" w:lineRule="exact"/>
              <w:ind w:left="0" w:leftChars="0" w:right="0" w:rightChars="0" w:firstLine="100" w:firstLineChars="50"/>
              <w:jc w:val="both"/>
              <w:textAlignment w:val="baseline"/>
              <w:rPr>
                <w:color w:val="auto"/>
                <w:highlight w:val="none"/>
              </w:rPr>
            </w:pPr>
            <w:r>
              <w:rPr>
                <w:rFonts w:hint="eastAsia"/>
                <w:color w:val="auto"/>
                <w:highlight w:val="none"/>
              </w:rPr>
              <w:t>开标顺序：随机启封、逐一公布</w:t>
            </w:r>
          </w:p>
        </w:tc>
      </w:tr>
      <w:tr w14:paraId="0D126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3" w:type="dxa"/>
            <w:vAlign w:val="center"/>
          </w:tcPr>
          <w:p w14:paraId="2411D70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6.1.1</w:t>
            </w:r>
          </w:p>
        </w:tc>
        <w:tc>
          <w:tcPr>
            <w:tcW w:w="2877" w:type="dxa"/>
            <w:vAlign w:val="center"/>
          </w:tcPr>
          <w:p w14:paraId="39EE77E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sz w:val="10"/>
                <w:szCs w:val="10"/>
                <w:highlight w:val="none"/>
              </w:rPr>
            </w:pPr>
            <w:r>
              <w:rPr>
                <w:color w:val="auto"/>
                <w:spacing w:val="8"/>
                <w:highlight w:val="none"/>
              </w:rPr>
              <w:t>评标委员会的组建</w:t>
            </w:r>
          </w:p>
        </w:tc>
        <w:tc>
          <w:tcPr>
            <w:tcW w:w="5374" w:type="dxa"/>
            <w:vAlign w:val="center"/>
          </w:tcPr>
          <w:p w14:paraId="3777D59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color w:val="auto"/>
                <w:spacing w:val="12"/>
                <w:sz w:val="20"/>
                <w:szCs w:val="20"/>
                <w:highlight w:val="none"/>
                <w:lang w:eastAsia="zh-CN"/>
              </w:rPr>
            </w:pPr>
            <w:r>
              <w:rPr>
                <w:rFonts w:hint="eastAsia"/>
                <w:color w:val="auto"/>
                <w:spacing w:val="12"/>
                <w:sz w:val="20"/>
                <w:szCs w:val="20"/>
                <w:highlight w:val="none"/>
                <w:lang w:eastAsia="zh-CN"/>
              </w:rPr>
              <w:t>评标委员会构成：</w:t>
            </w:r>
            <w:r>
              <w:rPr>
                <w:rFonts w:hint="eastAsia"/>
                <w:color w:val="auto"/>
                <w:spacing w:val="12"/>
                <w:sz w:val="20"/>
                <w:szCs w:val="20"/>
                <w:highlight w:val="none"/>
                <w:u w:val="single"/>
                <w:lang w:eastAsia="zh-CN"/>
              </w:rPr>
              <w:t xml:space="preserve">  7  </w:t>
            </w:r>
            <w:r>
              <w:rPr>
                <w:rFonts w:hint="eastAsia"/>
                <w:color w:val="auto"/>
                <w:spacing w:val="12"/>
                <w:sz w:val="20"/>
                <w:szCs w:val="20"/>
                <w:highlight w:val="none"/>
                <w:lang w:eastAsia="zh-CN"/>
              </w:rPr>
              <w:t>人，评标委员会由招标人代表和有关专家组成，其中招标人代表</w:t>
            </w:r>
            <w:r>
              <w:rPr>
                <w:rFonts w:hint="eastAsia"/>
                <w:color w:val="auto"/>
                <w:spacing w:val="12"/>
                <w:sz w:val="20"/>
                <w:szCs w:val="20"/>
                <w:highlight w:val="none"/>
                <w:u w:val="single"/>
                <w:lang w:val="en-US" w:eastAsia="zh-CN"/>
              </w:rPr>
              <w:t>0</w:t>
            </w:r>
            <w:r>
              <w:rPr>
                <w:rFonts w:hint="eastAsia"/>
                <w:color w:val="auto"/>
                <w:spacing w:val="12"/>
                <w:sz w:val="20"/>
                <w:szCs w:val="20"/>
                <w:highlight w:val="none"/>
                <w:lang w:eastAsia="zh-CN"/>
              </w:rPr>
              <w:t>人，评标专家</w:t>
            </w:r>
            <w:r>
              <w:rPr>
                <w:rFonts w:hint="eastAsia"/>
                <w:color w:val="auto"/>
                <w:spacing w:val="12"/>
                <w:sz w:val="20"/>
                <w:szCs w:val="20"/>
                <w:highlight w:val="none"/>
                <w:u w:val="single"/>
                <w:lang w:eastAsia="zh-CN"/>
              </w:rPr>
              <w:t>7</w:t>
            </w:r>
            <w:r>
              <w:rPr>
                <w:rFonts w:hint="eastAsia"/>
                <w:color w:val="auto"/>
                <w:spacing w:val="12"/>
                <w:sz w:val="20"/>
                <w:szCs w:val="20"/>
                <w:highlight w:val="none"/>
                <w:lang w:eastAsia="zh-CN"/>
              </w:rPr>
              <w:t>人；其中技术、经济等方面的专家不得少于成员总数的三分之二。</w:t>
            </w:r>
          </w:p>
          <w:p w14:paraId="568C393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rFonts w:hint="eastAsia" w:eastAsia="宋体"/>
                <w:color w:val="auto"/>
                <w:highlight w:val="none"/>
                <w:lang w:eastAsia="zh-CN"/>
              </w:rPr>
            </w:pPr>
            <w:r>
              <w:rPr>
                <w:rFonts w:hint="eastAsia"/>
                <w:color w:val="auto"/>
                <w:spacing w:val="12"/>
                <w:sz w:val="20"/>
                <w:szCs w:val="20"/>
                <w:highlight w:val="none"/>
                <w:lang w:eastAsia="zh-CN"/>
              </w:rPr>
              <w:t>评标专家确定方式：</w:t>
            </w:r>
            <w:r>
              <w:rPr>
                <w:color w:val="auto"/>
                <w:spacing w:val="12"/>
                <w:sz w:val="20"/>
                <w:szCs w:val="20"/>
                <w:highlight w:val="none"/>
              </w:rPr>
              <w:t>依法从</w:t>
            </w:r>
            <w:r>
              <w:rPr>
                <w:rFonts w:hint="eastAsia"/>
                <w:color w:val="auto"/>
                <w:spacing w:val="12"/>
                <w:sz w:val="20"/>
                <w:szCs w:val="20"/>
                <w:highlight w:val="none"/>
              </w:rPr>
              <w:t>广东省综合评标评审专家库</w:t>
            </w:r>
            <w:r>
              <w:rPr>
                <w:color w:val="auto"/>
                <w:spacing w:val="12"/>
                <w:sz w:val="20"/>
                <w:szCs w:val="20"/>
                <w:highlight w:val="none"/>
              </w:rPr>
              <w:t>中随机抽取</w:t>
            </w:r>
            <w:r>
              <w:rPr>
                <w:rFonts w:hint="eastAsia"/>
                <w:color w:val="auto"/>
                <w:spacing w:val="12"/>
                <w:sz w:val="20"/>
                <w:szCs w:val="20"/>
                <w:highlight w:val="none"/>
                <w:lang w:eastAsia="zh-CN"/>
              </w:rPr>
              <w:t>。</w:t>
            </w:r>
          </w:p>
        </w:tc>
      </w:tr>
      <w:tr w14:paraId="5D602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C00E8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bookmarkStart w:id="35" w:name="bookmark63"/>
            <w:bookmarkEnd w:id="35"/>
            <w:r>
              <w:rPr>
                <w:color w:val="auto"/>
                <w:spacing w:val="2"/>
                <w:position w:val="1"/>
                <w:highlight w:val="none"/>
              </w:rPr>
              <w:t>6.3.2</w:t>
            </w:r>
          </w:p>
        </w:tc>
        <w:tc>
          <w:tcPr>
            <w:tcW w:w="2877" w:type="dxa"/>
            <w:vAlign w:val="center"/>
          </w:tcPr>
          <w:p w14:paraId="1BF5336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9"/>
                <w:highlight w:val="none"/>
              </w:rPr>
              <w:t>评标委员会推荐</w:t>
            </w:r>
            <w:r>
              <w:rPr>
                <w:rFonts w:hint="eastAsia"/>
                <w:color w:val="auto"/>
                <w:spacing w:val="9"/>
                <w:highlight w:val="none"/>
                <w:lang w:val="en-US" w:eastAsia="zh-CN"/>
              </w:rPr>
              <w:t>定</w:t>
            </w:r>
            <w:r>
              <w:rPr>
                <w:color w:val="auto"/>
                <w:spacing w:val="9"/>
                <w:highlight w:val="none"/>
              </w:rPr>
              <w:t>标候选人</w:t>
            </w:r>
          </w:p>
          <w:p w14:paraId="040BC42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1"/>
                <w:highlight w:val="none"/>
              </w:rPr>
              <w:t>的人数</w:t>
            </w:r>
          </w:p>
        </w:tc>
        <w:tc>
          <w:tcPr>
            <w:tcW w:w="5374" w:type="dxa"/>
            <w:vAlign w:val="center"/>
          </w:tcPr>
          <w:p w14:paraId="19BAF9A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5"/>
              <w:jc w:val="both"/>
              <w:textAlignment w:val="baseline"/>
              <w:rPr>
                <w:color w:val="auto"/>
                <w:highlight w:val="none"/>
              </w:rPr>
            </w:pPr>
            <w:r>
              <w:rPr>
                <w:rFonts w:hint="eastAsia"/>
                <w:color w:val="auto"/>
                <w:spacing w:val="-21"/>
                <w:highlight w:val="none"/>
                <w:lang w:val="en-US" w:eastAsia="zh-CN"/>
              </w:rPr>
              <w:t>5</w:t>
            </w:r>
            <w:r>
              <w:rPr>
                <w:color w:val="auto"/>
                <w:spacing w:val="-29"/>
                <w:highlight w:val="none"/>
              </w:rPr>
              <w:t xml:space="preserve"> </w:t>
            </w:r>
            <w:r>
              <w:rPr>
                <w:color w:val="auto"/>
                <w:spacing w:val="14"/>
                <w:highlight w:val="none"/>
              </w:rPr>
              <w:t>名（评标办法规定的特殊情况按实际数</w:t>
            </w:r>
            <w:r>
              <w:rPr>
                <w:color w:val="auto"/>
                <w:spacing w:val="5"/>
                <w:highlight w:val="none"/>
              </w:rPr>
              <w:t>量推荐）</w:t>
            </w:r>
          </w:p>
        </w:tc>
      </w:tr>
      <w:tr w14:paraId="1099D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FDCE98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position w:val="1"/>
                <w:highlight w:val="none"/>
              </w:rPr>
              <w:t>7.1</w:t>
            </w:r>
          </w:p>
        </w:tc>
        <w:tc>
          <w:tcPr>
            <w:tcW w:w="2877" w:type="dxa"/>
            <w:vAlign w:val="center"/>
          </w:tcPr>
          <w:p w14:paraId="724A236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rFonts w:hint="eastAsia"/>
                <w:color w:val="auto"/>
                <w:spacing w:val="7"/>
                <w:highlight w:val="none"/>
                <w:lang w:val="en-US" w:eastAsia="zh-CN"/>
              </w:rPr>
              <w:t>定</w:t>
            </w:r>
            <w:r>
              <w:rPr>
                <w:color w:val="auto"/>
                <w:spacing w:val="7"/>
                <w:highlight w:val="none"/>
              </w:rPr>
              <w:t>标候选人公示媒介及期限</w:t>
            </w:r>
          </w:p>
        </w:tc>
        <w:tc>
          <w:tcPr>
            <w:tcW w:w="5374" w:type="dxa"/>
            <w:vAlign w:val="center"/>
          </w:tcPr>
          <w:p w14:paraId="5AA444B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7"/>
              <w:jc w:val="both"/>
              <w:textAlignment w:val="baseline"/>
              <w:rPr>
                <w:color w:val="auto"/>
                <w:highlight w:val="none"/>
              </w:rPr>
            </w:pPr>
            <w:r>
              <w:rPr>
                <w:color w:val="auto"/>
                <w:spacing w:val="15"/>
                <w:highlight w:val="none"/>
              </w:rPr>
              <w:t>公示媒介：广东省招标投标监管网、</w:t>
            </w:r>
            <w:r>
              <w:rPr>
                <w:rFonts w:hint="eastAsia"/>
                <w:color w:val="auto"/>
                <w:spacing w:val="15"/>
                <w:highlight w:val="none"/>
              </w:rPr>
              <w:t>全国公共资源交易平台（广东省·韶关市）</w:t>
            </w:r>
            <w:r>
              <w:rPr>
                <w:color w:val="auto"/>
                <w:spacing w:val="8"/>
                <w:highlight w:val="none"/>
                <w:u w:val="none" w:color="auto"/>
              </w:rPr>
              <w:t>网站</w:t>
            </w:r>
          </w:p>
          <w:p w14:paraId="76742A1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sz w:val="10"/>
                <w:szCs w:val="10"/>
                <w:highlight w:val="none"/>
              </w:rPr>
            </w:pPr>
            <w:r>
              <w:rPr>
                <w:color w:val="auto"/>
                <w:highlight w:val="none"/>
              </w:rPr>
              <w:t>公示期限：</w:t>
            </w:r>
            <w:r>
              <w:rPr>
                <w:color w:val="auto"/>
                <w:spacing w:val="18"/>
                <w:highlight w:val="none"/>
                <w:u w:val="single" w:color="auto"/>
              </w:rPr>
              <w:t xml:space="preserve"> </w:t>
            </w:r>
            <w:r>
              <w:rPr>
                <w:color w:val="auto"/>
                <w:highlight w:val="none"/>
                <w:u w:val="single" w:color="auto"/>
              </w:rPr>
              <w:t>3</w:t>
            </w:r>
            <w:r>
              <w:rPr>
                <w:color w:val="auto"/>
                <w:spacing w:val="-49"/>
                <w:highlight w:val="none"/>
                <w:u w:val="single" w:color="auto"/>
              </w:rPr>
              <w:t xml:space="preserve"> </w:t>
            </w:r>
            <w:r>
              <w:rPr>
                <w:color w:val="auto"/>
                <w:spacing w:val="-55"/>
                <w:highlight w:val="none"/>
              </w:rPr>
              <w:t xml:space="preserve"> </w:t>
            </w:r>
            <w:r>
              <w:rPr>
                <w:color w:val="auto"/>
                <w:highlight w:val="none"/>
              </w:rPr>
              <w:t>日</w:t>
            </w:r>
          </w:p>
          <w:p w14:paraId="346A5DD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2"/>
              <w:jc w:val="both"/>
              <w:textAlignment w:val="baseline"/>
              <w:rPr>
                <w:color w:val="auto"/>
                <w:highlight w:val="none"/>
              </w:rPr>
            </w:pPr>
            <w:r>
              <w:rPr>
                <w:color w:val="auto"/>
                <w:spacing w:val="14"/>
                <w:highlight w:val="none"/>
              </w:rPr>
              <w:t>公示的其他内容：</w:t>
            </w:r>
            <w:r>
              <w:rPr>
                <w:color w:val="auto"/>
                <w:spacing w:val="-49"/>
                <w:highlight w:val="none"/>
              </w:rPr>
              <w:t xml:space="preserve"> </w:t>
            </w:r>
            <w:r>
              <w:rPr>
                <w:rFonts w:hint="eastAsia"/>
                <w:color w:val="auto"/>
                <w:spacing w:val="14"/>
                <w:highlight w:val="none"/>
                <w:u w:val="single" w:color="auto"/>
                <w:lang w:val="en-US" w:eastAsia="zh-CN"/>
              </w:rPr>
              <w:t>定</w:t>
            </w:r>
            <w:r>
              <w:rPr>
                <w:color w:val="auto"/>
                <w:spacing w:val="14"/>
                <w:highlight w:val="none"/>
                <w:u w:val="single" w:color="auto"/>
              </w:rPr>
              <w:t>标候选人的投标文件、</w:t>
            </w:r>
            <w:r>
              <w:rPr>
                <w:color w:val="auto"/>
                <w:spacing w:val="13"/>
                <w:highlight w:val="none"/>
                <w:u w:val="single" w:color="auto"/>
              </w:rPr>
              <w:t>评标</w:t>
            </w:r>
            <w:r>
              <w:rPr>
                <w:color w:val="auto"/>
                <w:spacing w:val="11"/>
                <w:highlight w:val="none"/>
                <w:u w:val="single" w:color="auto"/>
              </w:rPr>
              <w:t>报告（含资审结果）、最新一年度</w:t>
            </w:r>
            <w:r>
              <w:rPr>
                <w:color w:val="auto"/>
                <w:spacing w:val="-29"/>
                <w:highlight w:val="none"/>
                <w:u w:val="single" w:color="auto"/>
              </w:rPr>
              <w:t xml:space="preserve"> </w:t>
            </w:r>
            <w:r>
              <w:rPr>
                <w:color w:val="auto"/>
                <w:highlight w:val="none"/>
                <w:u w:val="single" w:color="auto"/>
              </w:rPr>
              <w:t>AA</w:t>
            </w:r>
            <w:r>
              <w:rPr>
                <w:color w:val="auto"/>
                <w:spacing w:val="11"/>
                <w:highlight w:val="none"/>
                <w:u w:val="single" w:color="auto"/>
              </w:rPr>
              <w:t>、A</w:t>
            </w:r>
            <w:r>
              <w:rPr>
                <w:color w:val="auto"/>
                <w:spacing w:val="-32"/>
                <w:highlight w:val="none"/>
                <w:u w:val="single" w:color="auto"/>
              </w:rPr>
              <w:t xml:space="preserve"> </w:t>
            </w:r>
            <w:r>
              <w:rPr>
                <w:color w:val="auto"/>
                <w:spacing w:val="11"/>
                <w:highlight w:val="none"/>
                <w:u w:val="single" w:color="auto"/>
              </w:rPr>
              <w:t>级投标人</w:t>
            </w:r>
            <w:r>
              <w:rPr>
                <w:color w:val="auto"/>
                <w:spacing w:val="22"/>
                <w:highlight w:val="none"/>
                <w:u w:val="single" w:color="auto"/>
              </w:rPr>
              <w:t>的信用等级使用情况及所有承诺使用最新一年度</w:t>
            </w:r>
            <w:r>
              <w:rPr>
                <w:color w:val="auto"/>
                <w:highlight w:val="none"/>
                <w:u w:val="single" w:color="auto"/>
              </w:rPr>
              <w:t>AA</w:t>
            </w:r>
            <w:r>
              <w:rPr>
                <w:color w:val="auto"/>
                <w:spacing w:val="8"/>
                <w:highlight w:val="none"/>
                <w:u w:val="single" w:color="auto"/>
              </w:rPr>
              <w:t>、A</w:t>
            </w:r>
            <w:r>
              <w:rPr>
                <w:color w:val="auto"/>
                <w:spacing w:val="-20"/>
                <w:highlight w:val="none"/>
                <w:u w:val="single" w:color="auto"/>
              </w:rPr>
              <w:t xml:space="preserve"> </w:t>
            </w:r>
            <w:r>
              <w:rPr>
                <w:color w:val="auto"/>
                <w:spacing w:val="8"/>
                <w:highlight w:val="none"/>
                <w:u w:val="single" w:color="auto"/>
              </w:rPr>
              <w:t>级投标人的年度信用等级使用情况</w:t>
            </w:r>
            <w:r>
              <w:rPr>
                <w:color w:val="auto"/>
                <w:spacing w:val="8"/>
                <w:highlight w:val="none"/>
              </w:rPr>
              <w:t>。</w:t>
            </w:r>
          </w:p>
        </w:tc>
      </w:tr>
      <w:tr w14:paraId="16D60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5733EE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3</w:t>
            </w:r>
          </w:p>
        </w:tc>
        <w:tc>
          <w:tcPr>
            <w:tcW w:w="2877" w:type="dxa"/>
            <w:vAlign w:val="center"/>
          </w:tcPr>
          <w:p w14:paraId="4353D94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8"/>
                <w:highlight w:val="none"/>
              </w:rPr>
              <w:t>是否授权评标委员会确定中</w:t>
            </w:r>
          </w:p>
          <w:p w14:paraId="53A0B71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4"/>
                <w:highlight w:val="none"/>
              </w:rPr>
              <w:t>标人</w:t>
            </w:r>
          </w:p>
        </w:tc>
        <w:tc>
          <w:tcPr>
            <w:tcW w:w="5374" w:type="dxa"/>
            <w:vAlign w:val="center"/>
          </w:tcPr>
          <w:p w14:paraId="5A5A9E9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5"/>
                <w:highlight w:val="none"/>
              </w:rPr>
              <w:t>□是</w:t>
            </w:r>
          </w:p>
          <w:p w14:paraId="2ED9EB2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rFonts w:hint="eastAsia"/>
                <w:color w:val="auto"/>
                <w:spacing w:val="-5"/>
                <w:highlight w:val="none"/>
                <w:lang w:eastAsia="zh-CN"/>
              </w:rPr>
              <w:t>☑</w:t>
            </w:r>
            <w:r>
              <w:rPr>
                <w:color w:val="auto"/>
                <w:spacing w:val="-5"/>
                <w:highlight w:val="none"/>
              </w:rPr>
              <w:t>否</w:t>
            </w:r>
            <w:r>
              <w:rPr>
                <w:rFonts w:hint="eastAsia"/>
                <w:color w:val="auto"/>
                <w:spacing w:val="-5"/>
                <w:highlight w:val="none"/>
              </w:rPr>
              <w:t>，由定标委员会确定中标人。</w:t>
            </w:r>
          </w:p>
        </w:tc>
      </w:tr>
      <w:tr w14:paraId="6771A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B14D015">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7.3.1</w:t>
            </w:r>
          </w:p>
        </w:tc>
        <w:tc>
          <w:tcPr>
            <w:tcW w:w="2877" w:type="dxa"/>
            <w:vAlign w:val="center"/>
          </w:tcPr>
          <w:p w14:paraId="1FC2A9CE">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定标时间和地点</w:t>
            </w:r>
          </w:p>
        </w:tc>
        <w:tc>
          <w:tcPr>
            <w:tcW w:w="5374" w:type="dxa"/>
            <w:vAlign w:val="center"/>
          </w:tcPr>
          <w:p w14:paraId="6B70B923">
            <w:pPr>
              <w:keepNext w:val="0"/>
              <w:keepLines w:val="0"/>
              <w:pageBreakBefore w:val="0"/>
              <w:widowControl/>
              <w:tabs>
                <w:tab w:val="left" w:pos="6040"/>
              </w:tabs>
              <w:kinsoku w:val="0"/>
              <w:wordWrap/>
              <w:overflowPunct/>
              <w:topLinePunct w:val="0"/>
              <w:autoSpaceDE w:val="0"/>
              <w:autoSpaceDN w:val="0"/>
              <w:bidi w:val="0"/>
              <w:adjustRightInd w:val="0"/>
              <w:snapToGrid w:val="0"/>
              <w:spacing w:line="360" w:lineRule="exact"/>
              <w:ind w:left="147" w:leftChars="70" w:right="111" w:rightChars="53"/>
              <w:jc w:val="left"/>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定标时间：定标候选人公示结束后5个工作日内。</w:t>
            </w:r>
          </w:p>
          <w:p w14:paraId="54EF2F92">
            <w:pPr>
              <w:keepNext w:val="0"/>
              <w:keepLines w:val="0"/>
              <w:pageBreakBefore w:val="0"/>
              <w:widowControl/>
              <w:tabs>
                <w:tab w:val="left" w:pos="6040"/>
              </w:tabs>
              <w:kinsoku w:val="0"/>
              <w:wordWrap/>
              <w:overflowPunct/>
              <w:topLinePunct w:val="0"/>
              <w:autoSpaceDE w:val="0"/>
              <w:autoSpaceDN w:val="0"/>
              <w:bidi w:val="0"/>
              <w:adjustRightInd w:val="0"/>
              <w:snapToGrid w:val="0"/>
              <w:spacing w:line="360" w:lineRule="exact"/>
              <w:ind w:left="147" w:leftChars="70" w:right="111" w:rightChars="53"/>
              <w:jc w:val="left"/>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lang w:val="en-US" w:eastAsia="zh-CN"/>
              </w:rPr>
              <w:t>定标地点：同开标地点。</w:t>
            </w:r>
          </w:p>
        </w:tc>
      </w:tr>
      <w:tr w14:paraId="69800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EDA438D">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7.3.2.1</w:t>
            </w:r>
          </w:p>
        </w:tc>
        <w:tc>
          <w:tcPr>
            <w:tcW w:w="2877" w:type="dxa"/>
            <w:vAlign w:val="center"/>
          </w:tcPr>
          <w:p w14:paraId="676B9C07">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招标监督小组的组建</w:t>
            </w:r>
          </w:p>
        </w:tc>
        <w:tc>
          <w:tcPr>
            <w:tcW w:w="5374" w:type="dxa"/>
            <w:vAlign w:val="center"/>
          </w:tcPr>
          <w:p w14:paraId="089E6E09">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left="145" w:leftChars="69" w:right="71" w:rightChars="34"/>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2"/>
                <w:sz w:val="20"/>
                <w:szCs w:val="20"/>
                <w:highlight w:val="none"/>
                <w:u w:val="none"/>
                <w:lang w:val="en-US" w:eastAsia="zh-CN" w:bidi="ar-SA"/>
              </w:rPr>
              <w:t>监督小组构成：</w:t>
            </w:r>
            <w:r>
              <w:rPr>
                <w:rFonts w:hint="eastAsia" w:ascii="宋体" w:hAnsi="宋体" w:eastAsia="宋体" w:cs="宋体"/>
                <w:color w:val="auto"/>
                <w:kern w:val="2"/>
                <w:sz w:val="20"/>
                <w:szCs w:val="20"/>
                <w:highlight w:val="none"/>
                <w:u w:val="single"/>
                <w:lang w:val="en-US" w:eastAsia="zh-CN" w:bidi="ar-SA"/>
              </w:rPr>
              <w:t xml:space="preserve"> 3 </w:t>
            </w:r>
            <w:r>
              <w:rPr>
                <w:rFonts w:hint="eastAsia" w:ascii="宋体" w:hAnsi="宋体" w:eastAsia="宋体" w:cs="宋体"/>
                <w:color w:val="auto"/>
                <w:kern w:val="2"/>
                <w:sz w:val="20"/>
                <w:szCs w:val="20"/>
                <w:highlight w:val="none"/>
                <w:u w:val="none"/>
                <w:lang w:val="en-US" w:eastAsia="zh-CN" w:bidi="ar-SA"/>
              </w:rPr>
              <w:t>人，监督小组成员</w:t>
            </w:r>
            <w:r>
              <w:rPr>
                <w:rFonts w:hint="eastAsia" w:ascii="宋体" w:hAnsi="宋体" w:eastAsia="宋体" w:cs="宋体"/>
                <w:color w:val="auto"/>
                <w:kern w:val="0"/>
                <w:sz w:val="20"/>
                <w:szCs w:val="20"/>
                <w:highlight w:val="none"/>
                <w:lang w:val="en-US" w:eastAsia="zh-CN"/>
              </w:rPr>
              <w:t>由招标人直接委派，并确定一名组长负责统筹监督工作。</w:t>
            </w:r>
          </w:p>
        </w:tc>
      </w:tr>
      <w:tr w14:paraId="472E5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6A84E9">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7.3.3.1</w:t>
            </w:r>
          </w:p>
        </w:tc>
        <w:tc>
          <w:tcPr>
            <w:tcW w:w="2877" w:type="dxa"/>
            <w:vAlign w:val="center"/>
          </w:tcPr>
          <w:p w14:paraId="58D1F193">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rPr>
              <w:t>定标委员会</w:t>
            </w:r>
            <w:r>
              <w:rPr>
                <w:rFonts w:hint="eastAsia" w:ascii="宋体" w:hAnsi="宋体" w:eastAsia="宋体" w:cs="宋体"/>
                <w:color w:val="auto"/>
                <w:sz w:val="20"/>
                <w:szCs w:val="20"/>
                <w:highlight w:val="none"/>
                <w:lang w:eastAsia="zh-CN"/>
              </w:rPr>
              <w:t>的</w:t>
            </w:r>
            <w:r>
              <w:rPr>
                <w:rFonts w:hint="eastAsia" w:ascii="宋体" w:hAnsi="宋体" w:eastAsia="宋体" w:cs="宋体"/>
                <w:color w:val="auto"/>
                <w:sz w:val="20"/>
                <w:szCs w:val="20"/>
                <w:highlight w:val="none"/>
              </w:rPr>
              <w:t>组建</w:t>
            </w:r>
          </w:p>
        </w:tc>
        <w:tc>
          <w:tcPr>
            <w:tcW w:w="5374" w:type="dxa"/>
            <w:vAlign w:val="center"/>
          </w:tcPr>
          <w:p w14:paraId="154A3075">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5" w:leftChars="69"/>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u w:val="none"/>
                <w:lang w:val="en-US" w:eastAsia="zh-CN"/>
              </w:rPr>
              <w:t>定标委员会构成：</w:t>
            </w:r>
            <w:r>
              <w:rPr>
                <w:rFonts w:hint="eastAsia" w:ascii="宋体" w:hAnsi="宋体" w:eastAsia="宋体" w:cs="宋体"/>
                <w:color w:val="auto"/>
                <w:sz w:val="20"/>
                <w:szCs w:val="20"/>
                <w:highlight w:val="none"/>
                <w:u w:val="single"/>
                <w:lang w:val="en-US" w:eastAsia="zh-CN"/>
              </w:rPr>
              <w:t>7</w:t>
            </w:r>
            <w:r>
              <w:rPr>
                <w:rFonts w:hint="eastAsia" w:ascii="宋体" w:hAnsi="宋体" w:eastAsia="宋体" w:cs="宋体"/>
                <w:color w:val="auto"/>
                <w:sz w:val="20"/>
                <w:szCs w:val="20"/>
                <w:highlight w:val="none"/>
                <w:u w:val="none"/>
                <w:lang w:val="en-US" w:eastAsia="zh-CN"/>
              </w:rPr>
              <w:t>人。定标委员会由招标人组建，从招标人的领导班子成员、经营管理人员，或具备中级及以上职称、具有注册执业资格证的工程技术（经济）人员中产生，以上人员难以满足时从广东省综合评标评审专家库（全省区域）抽取专家补足。</w:t>
            </w:r>
          </w:p>
        </w:tc>
      </w:tr>
      <w:tr w14:paraId="3262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0D50B4D5">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7.3.4.2</w:t>
            </w:r>
          </w:p>
        </w:tc>
        <w:tc>
          <w:tcPr>
            <w:tcW w:w="2877" w:type="dxa"/>
            <w:vAlign w:val="center"/>
          </w:tcPr>
          <w:p w14:paraId="0A1EEEB6">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kern w:val="2"/>
                <w:sz w:val="20"/>
                <w:szCs w:val="20"/>
                <w:highlight w:val="none"/>
                <w:lang w:val="en-US" w:eastAsia="zh-CN" w:bidi="ar-SA"/>
              </w:rPr>
              <w:t>定标委员会推荐的中标候选人的人数</w:t>
            </w:r>
          </w:p>
        </w:tc>
        <w:tc>
          <w:tcPr>
            <w:tcW w:w="5374" w:type="dxa"/>
            <w:vAlign w:val="center"/>
          </w:tcPr>
          <w:p w14:paraId="4091F0B2">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right="71" w:rightChars="34"/>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2"/>
                <w:sz w:val="20"/>
                <w:szCs w:val="20"/>
                <w:highlight w:val="none"/>
                <w:u w:val="none"/>
                <w:lang w:val="en-US" w:eastAsia="zh-CN" w:bidi="ar-SA"/>
              </w:rPr>
              <w:t xml:space="preserve">  </w:t>
            </w:r>
            <w:r>
              <w:rPr>
                <w:rFonts w:hint="eastAsia" w:ascii="宋体" w:hAnsi="宋体" w:eastAsia="宋体" w:cs="宋体"/>
                <w:color w:val="auto"/>
                <w:kern w:val="2"/>
                <w:sz w:val="20"/>
                <w:szCs w:val="20"/>
                <w:highlight w:val="none"/>
                <w:u w:val="single"/>
                <w:lang w:val="en-US" w:eastAsia="zh-CN" w:bidi="ar-SA"/>
              </w:rPr>
              <w:t xml:space="preserve"> 3  </w:t>
            </w:r>
            <w:r>
              <w:rPr>
                <w:rFonts w:hint="eastAsia" w:ascii="宋体" w:hAnsi="宋体" w:eastAsia="宋体" w:cs="宋体"/>
                <w:color w:val="auto"/>
                <w:kern w:val="2"/>
                <w:sz w:val="20"/>
                <w:szCs w:val="20"/>
                <w:highlight w:val="none"/>
                <w:u w:val="none"/>
                <w:lang w:val="en-US" w:eastAsia="zh-CN" w:bidi="ar-SA"/>
              </w:rPr>
              <w:t>名</w:t>
            </w:r>
          </w:p>
        </w:tc>
      </w:tr>
      <w:tr w14:paraId="3D3DD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DE12134">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sz w:val="20"/>
                <w:szCs w:val="20"/>
                <w:highlight w:val="none"/>
                <w:lang w:val="en-US" w:eastAsia="zh-CN"/>
              </w:rPr>
              <w:t>7.4.1</w:t>
            </w:r>
          </w:p>
        </w:tc>
        <w:tc>
          <w:tcPr>
            <w:tcW w:w="2877" w:type="dxa"/>
            <w:vAlign w:val="center"/>
          </w:tcPr>
          <w:p w14:paraId="7C46B7CB">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pacing w:val="4"/>
                <w:sz w:val="20"/>
                <w:szCs w:val="20"/>
                <w:highlight w:val="none"/>
              </w:rPr>
            </w:pP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w:t>
            </w:r>
            <w:r>
              <w:rPr>
                <w:rFonts w:hint="eastAsia" w:ascii="宋体" w:hAnsi="宋体" w:eastAsia="宋体" w:cs="宋体"/>
                <w:color w:val="auto"/>
                <w:sz w:val="20"/>
                <w:szCs w:val="20"/>
                <w:highlight w:val="none"/>
                <w:lang w:eastAsia="zh-CN"/>
              </w:rPr>
              <w:t>结果</w:t>
            </w:r>
            <w:r>
              <w:rPr>
                <w:rFonts w:hint="eastAsia" w:ascii="宋体" w:hAnsi="宋体" w:eastAsia="宋体" w:cs="宋体"/>
                <w:color w:val="auto"/>
                <w:sz w:val="20"/>
                <w:szCs w:val="20"/>
                <w:highlight w:val="none"/>
              </w:rPr>
              <w:t>公示媒介及期限</w:t>
            </w:r>
          </w:p>
        </w:tc>
        <w:tc>
          <w:tcPr>
            <w:tcW w:w="5374" w:type="dxa"/>
            <w:vAlign w:val="center"/>
          </w:tcPr>
          <w:p w14:paraId="5D821796">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7" w:leftChars="70"/>
              <w:jc w:val="left"/>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公示媒介：广东省招标投标监管网、全国公共资源交易平台（广东省·韶关市）</w:t>
            </w:r>
          </w:p>
          <w:p w14:paraId="647C7D7B">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7" w:leftChars="70"/>
              <w:textAlignment w:val="baseline"/>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sz w:val="20"/>
                <w:szCs w:val="20"/>
                <w:highlight w:val="none"/>
              </w:rPr>
              <w:t>公示期限：</w:t>
            </w:r>
            <w:r>
              <w:rPr>
                <w:rFonts w:hint="eastAsia" w:ascii="宋体" w:hAnsi="宋体" w:eastAsia="宋体" w:cs="宋体"/>
                <w:color w:val="auto"/>
                <w:sz w:val="20"/>
                <w:szCs w:val="20"/>
                <w:highlight w:val="none"/>
                <w:u w:val="single"/>
              </w:rPr>
              <w:t xml:space="preserve"> 3 </w:t>
            </w:r>
            <w:r>
              <w:rPr>
                <w:rFonts w:hint="eastAsia" w:ascii="宋体" w:hAnsi="宋体" w:eastAsia="宋体" w:cs="宋体"/>
                <w:color w:val="auto"/>
                <w:sz w:val="20"/>
                <w:szCs w:val="20"/>
                <w:highlight w:val="none"/>
              </w:rPr>
              <w:t>日</w:t>
            </w:r>
          </w:p>
        </w:tc>
      </w:tr>
      <w:tr w14:paraId="6269F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013" w:type="dxa"/>
            <w:vAlign w:val="center"/>
          </w:tcPr>
          <w:p w14:paraId="0609B78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6</w:t>
            </w:r>
          </w:p>
        </w:tc>
        <w:tc>
          <w:tcPr>
            <w:tcW w:w="2877" w:type="dxa"/>
            <w:vAlign w:val="center"/>
          </w:tcPr>
          <w:p w14:paraId="3647135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0" w:firstLineChars="0"/>
              <w:jc w:val="center"/>
              <w:textAlignment w:val="baseline"/>
              <w:rPr>
                <w:color w:val="auto"/>
                <w:highlight w:val="none"/>
              </w:rPr>
            </w:pPr>
            <w:r>
              <w:rPr>
                <w:color w:val="auto"/>
                <w:spacing w:val="7"/>
                <w:highlight w:val="none"/>
              </w:rPr>
              <w:t>中标通知书和中标结果通知发出的形式</w:t>
            </w:r>
          </w:p>
        </w:tc>
        <w:tc>
          <w:tcPr>
            <w:tcW w:w="5374" w:type="dxa"/>
            <w:vAlign w:val="center"/>
          </w:tcPr>
          <w:p w14:paraId="6DF636F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18"/>
              <w:jc w:val="both"/>
              <w:textAlignment w:val="baseline"/>
              <w:rPr>
                <w:color w:val="auto"/>
                <w:highlight w:val="none"/>
              </w:rPr>
            </w:pPr>
            <w:r>
              <w:rPr>
                <w:color w:val="auto"/>
                <w:spacing w:val="9"/>
                <w:highlight w:val="none"/>
              </w:rPr>
              <w:t>中标通知书以书</w:t>
            </w:r>
            <w:r>
              <w:rPr>
                <w:rFonts w:ascii="宋体" w:hAnsi="宋体" w:eastAsia="宋体" w:cs="宋体"/>
                <w:color w:val="auto"/>
                <w:spacing w:val="14"/>
                <w:highlight w:val="none"/>
              </w:rPr>
              <w:t xml:space="preserve">面或电子形式发出； 中标结果在广东省招标投标监管网及 </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网站发布。</w:t>
            </w:r>
          </w:p>
        </w:tc>
      </w:tr>
      <w:tr w14:paraId="64A98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B192523">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rFonts w:hint="eastAsia" w:eastAsia="宋体"/>
                <w:color w:val="auto"/>
                <w:highlight w:val="none"/>
                <w:lang w:eastAsia="zh-CN"/>
              </w:rPr>
            </w:pPr>
            <w:r>
              <w:rPr>
                <w:color w:val="auto"/>
                <w:position w:val="1"/>
                <w:highlight w:val="none"/>
              </w:rPr>
              <w:t>7.</w:t>
            </w:r>
            <w:r>
              <w:rPr>
                <w:rFonts w:hint="eastAsia"/>
                <w:color w:val="auto"/>
                <w:position w:val="1"/>
                <w:highlight w:val="none"/>
                <w:lang w:val="en-US" w:eastAsia="zh-CN"/>
              </w:rPr>
              <w:t>7</w:t>
            </w:r>
          </w:p>
        </w:tc>
        <w:tc>
          <w:tcPr>
            <w:tcW w:w="2877" w:type="dxa"/>
            <w:vAlign w:val="center"/>
          </w:tcPr>
          <w:p w14:paraId="65C67D7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中标结果公告媒介及期限</w:t>
            </w:r>
          </w:p>
        </w:tc>
        <w:tc>
          <w:tcPr>
            <w:tcW w:w="5374" w:type="dxa"/>
            <w:vAlign w:val="center"/>
          </w:tcPr>
          <w:p w14:paraId="4C234BF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firstLine="7"/>
              <w:jc w:val="both"/>
              <w:textAlignment w:val="baseline"/>
              <w:rPr>
                <w:color w:val="auto"/>
                <w:highlight w:val="none"/>
              </w:rPr>
            </w:pPr>
            <w:r>
              <w:rPr>
                <w:color w:val="auto"/>
                <w:spacing w:val="15"/>
                <w:highlight w:val="none"/>
              </w:rPr>
              <w:t>公告媒介：广东省招标投标监管网、</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w:t>
            </w:r>
          </w:p>
          <w:p w14:paraId="2ECE53E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6"/>
              <w:jc w:val="both"/>
              <w:textAlignment w:val="baseline"/>
              <w:rPr>
                <w:color w:val="auto"/>
                <w:highlight w:val="none"/>
              </w:rPr>
            </w:pPr>
            <w:r>
              <w:rPr>
                <w:color w:val="auto"/>
                <w:spacing w:val="5"/>
                <w:highlight w:val="none"/>
              </w:rPr>
              <w:t>公告期限：</w:t>
            </w:r>
            <w:r>
              <w:rPr>
                <w:color w:val="auto"/>
                <w:spacing w:val="5"/>
                <w:highlight w:val="none"/>
                <w:u w:val="single" w:color="auto"/>
              </w:rPr>
              <w:t xml:space="preserve"> </w:t>
            </w:r>
            <w:r>
              <w:rPr>
                <w:rFonts w:hint="eastAsia"/>
                <w:color w:val="auto"/>
                <w:spacing w:val="5"/>
                <w:highlight w:val="none"/>
                <w:u w:val="single" w:color="auto"/>
                <w:lang w:val="en-US" w:eastAsia="zh-CN"/>
              </w:rPr>
              <w:t>1</w:t>
            </w:r>
            <w:r>
              <w:rPr>
                <w:color w:val="auto"/>
                <w:spacing w:val="5"/>
                <w:highlight w:val="none"/>
                <w:u w:val="single" w:color="auto"/>
              </w:rPr>
              <w:t xml:space="preserve"> </w:t>
            </w:r>
            <w:r>
              <w:rPr>
                <w:color w:val="auto"/>
                <w:spacing w:val="-51"/>
                <w:highlight w:val="none"/>
              </w:rPr>
              <w:t xml:space="preserve"> </w:t>
            </w:r>
            <w:r>
              <w:rPr>
                <w:color w:val="auto"/>
                <w:spacing w:val="5"/>
                <w:highlight w:val="none"/>
              </w:rPr>
              <w:t>日</w:t>
            </w:r>
          </w:p>
        </w:tc>
      </w:tr>
      <w:tr w14:paraId="5C2FB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DF4B698">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2"/>
                <w:position w:val="1"/>
                <w:highlight w:val="none"/>
              </w:rPr>
              <w:t>7.</w:t>
            </w:r>
            <w:r>
              <w:rPr>
                <w:rFonts w:hint="eastAsia"/>
                <w:color w:val="auto"/>
                <w:spacing w:val="2"/>
                <w:position w:val="1"/>
                <w:highlight w:val="none"/>
                <w:lang w:val="en-US" w:eastAsia="zh-CN"/>
              </w:rPr>
              <w:t>8</w:t>
            </w:r>
            <w:r>
              <w:rPr>
                <w:color w:val="auto"/>
                <w:spacing w:val="2"/>
                <w:position w:val="1"/>
                <w:highlight w:val="none"/>
              </w:rPr>
              <w:t>.1</w:t>
            </w:r>
          </w:p>
        </w:tc>
        <w:tc>
          <w:tcPr>
            <w:tcW w:w="2877" w:type="dxa"/>
            <w:vAlign w:val="center"/>
          </w:tcPr>
          <w:p w14:paraId="34A382AE">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履约保证金</w:t>
            </w:r>
          </w:p>
        </w:tc>
        <w:tc>
          <w:tcPr>
            <w:tcW w:w="5374" w:type="dxa"/>
            <w:vAlign w:val="center"/>
          </w:tcPr>
          <w:p w14:paraId="101D9A57">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8"/>
                <w:highlight w:val="none"/>
              </w:rPr>
              <w:t>是否要求中标人提交履约保证金：</w:t>
            </w:r>
          </w:p>
          <w:p w14:paraId="5D1C4AF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spacing w:val="9"/>
                <w:highlight w:val="none"/>
                <w:u w:val="single" w:color="auto"/>
              </w:rPr>
            </w:pPr>
            <w:r>
              <w:rPr>
                <w:rFonts w:hint="eastAsia"/>
                <w:color w:val="auto"/>
                <w:spacing w:val="8"/>
                <w:highlight w:val="none"/>
                <w:lang w:eastAsia="zh-CN"/>
              </w:rPr>
              <w:t>☑</w:t>
            </w:r>
            <w:r>
              <w:rPr>
                <w:color w:val="auto"/>
                <w:spacing w:val="8"/>
                <w:highlight w:val="none"/>
              </w:rPr>
              <w:t>要求，履约保证金的形式：</w:t>
            </w:r>
            <w:r>
              <w:rPr>
                <w:color w:val="auto"/>
                <w:spacing w:val="-34"/>
                <w:highlight w:val="none"/>
              </w:rPr>
              <w:t xml:space="preserve"> </w:t>
            </w:r>
            <w:r>
              <w:rPr>
                <w:color w:val="auto"/>
                <w:spacing w:val="8"/>
                <w:highlight w:val="none"/>
              </w:rPr>
              <w:t>由投标人自主选择</w:t>
            </w:r>
            <w:r>
              <w:rPr>
                <w:color w:val="auto"/>
                <w:spacing w:val="8"/>
                <w:highlight w:val="none"/>
                <w:u w:val="single" w:color="auto"/>
              </w:rPr>
              <w:t>采</w:t>
            </w:r>
            <w:r>
              <w:rPr>
                <w:color w:val="auto"/>
                <w:spacing w:val="9"/>
                <w:highlight w:val="none"/>
                <w:u w:val="single" w:color="auto"/>
              </w:rPr>
              <w:t>用现金（或支票）或银行保函、或其他合法形式</w:t>
            </w:r>
          </w:p>
          <w:p w14:paraId="504059D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highlight w:val="none"/>
              </w:rPr>
            </w:pPr>
            <w:r>
              <w:rPr>
                <w:color w:val="auto"/>
                <w:spacing w:val="11"/>
                <w:highlight w:val="none"/>
              </w:rPr>
              <w:t>履约保证金的金额：</w:t>
            </w:r>
            <w:r>
              <w:rPr>
                <w:color w:val="auto"/>
                <w:spacing w:val="8"/>
                <w:highlight w:val="none"/>
                <w:u w:val="single" w:color="auto"/>
              </w:rPr>
              <w:t xml:space="preserve"> </w:t>
            </w:r>
            <w:r>
              <w:rPr>
                <w:rFonts w:hint="eastAsia"/>
                <w:color w:val="auto"/>
                <w:spacing w:val="8"/>
                <w:highlight w:val="none"/>
                <w:u w:val="single" w:color="auto"/>
                <w:lang w:val="en-US" w:eastAsia="zh-CN"/>
              </w:rPr>
              <w:t>5</w:t>
            </w:r>
            <w:r>
              <w:rPr>
                <w:color w:val="auto"/>
                <w:spacing w:val="8"/>
                <w:highlight w:val="none"/>
                <w:u w:val="single" w:color="auto"/>
              </w:rPr>
              <w:t xml:space="preserve"> </w:t>
            </w:r>
            <w:r>
              <w:rPr>
                <w:color w:val="auto"/>
                <w:spacing w:val="-67"/>
                <w:highlight w:val="none"/>
              </w:rPr>
              <w:t xml:space="preserve"> </w:t>
            </w:r>
            <w:r>
              <w:rPr>
                <w:color w:val="auto"/>
                <w:spacing w:val="11"/>
                <w:highlight w:val="none"/>
              </w:rPr>
              <w:t>%</w:t>
            </w:r>
            <w:r>
              <w:rPr>
                <w:color w:val="auto"/>
                <w:spacing w:val="-71"/>
                <w:highlight w:val="none"/>
              </w:rPr>
              <w:t xml:space="preserve"> </w:t>
            </w:r>
            <w:r>
              <w:rPr>
                <w:color w:val="auto"/>
                <w:spacing w:val="11"/>
                <w:highlight w:val="none"/>
              </w:rPr>
              <w:t>签约合同价</w:t>
            </w:r>
          </w:p>
          <w:p w14:paraId="335C9101">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8"/>
              <w:jc w:val="both"/>
              <w:textAlignment w:val="baseline"/>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最新年度在广东省公路工程从业单位信用评价（监理单位）等级</w:t>
            </w:r>
            <w:r>
              <w:rPr>
                <w:color w:val="auto"/>
                <w:spacing w:val="-44"/>
                <w:highlight w:val="none"/>
              </w:rPr>
              <w:t xml:space="preserve"> </w:t>
            </w:r>
            <w:r>
              <w:rPr>
                <w:color w:val="auto"/>
                <w:highlight w:val="none"/>
              </w:rPr>
              <w:t>AA</w:t>
            </w:r>
            <w:r>
              <w:rPr>
                <w:color w:val="auto"/>
                <w:spacing w:val="-49"/>
                <w:highlight w:val="none"/>
              </w:rPr>
              <w:t xml:space="preserve"> </w:t>
            </w:r>
            <w:r>
              <w:rPr>
                <w:color w:val="auto"/>
                <w:spacing w:val="1"/>
                <w:highlight w:val="none"/>
              </w:rPr>
              <w:t>级的投标人，给予减少履约保证</w:t>
            </w:r>
          </w:p>
          <w:p w14:paraId="27FEBA2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3"/>
                <w:highlight w:val="none"/>
              </w:rPr>
              <w:t>金，履约保证金金额:</w:t>
            </w:r>
            <w:r>
              <w:rPr>
                <w:color w:val="auto"/>
                <w:spacing w:val="55"/>
                <w:highlight w:val="none"/>
              </w:rPr>
              <w:t xml:space="preserve"> </w:t>
            </w:r>
            <w:r>
              <w:rPr>
                <w:color w:val="auto"/>
                <w:highlight w:val="none"/>
                <w:u w:val="single" w:color="auto"/>
              </w:rPr>
              <w:t xml:space="preserve">  </w:t>
            </w:r>
            <w:r>
              <w:rPr>
                <w:rFonts w:hint="eastAsia"/>
                <w:color w:val="auto"/>
                <w:highlight w:val="none"/>
                <w:u w:val="single" w:color="auto"/>
                <w:lang w:val="en-US" w:eastAsia="zh-CN"/>
              </w:rPr>
              <w:t xml:space="preserve"> /</w:t>
            </w:r>
            <w:r>
              <w:rPr>
                <w:color w:val="auto"/>
                <w:highlight w:val="none"/>
                <w:u w:val="single" w:color="auto"/>
              </w:rPr>
              <w:t xml:space="preserve">  </w:t>
            </w:r>
            <w:r>
              <w:rPr>
                <w:color w:val="auto"/>
                <w:spacing w:val="11"/>
                <w:highlight w:val="none"/>
              </w:rPr>
              <w:t>签约合同价</w:t>
            </w:r>
          </w:p>
          <w:p w14:paraId="1D2499D4">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20"/>
              <w:jc w:val="both"/>
              <w:textAlignment w:val="baseline"/>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最新年度在广东省公路工程从业单位信用评价（监理单位）A</w:t>
            </w:r>
            <w:r>
              <w:rPr>
                <w:color w:val="auto"/>
                <w:spacing w:val="-37"/>
                <w:highlight w:val="none"/>
              </w:rPr>
              <w:t xml:space="preserve"> </w:t>
            </w:r>
            <w:r>
              <w:rPr>
                <w:color w:val="auto"/>
                <w:spacing w:val="1"/>
                <w:highlight w:val="none"/>
              </w:rPr>
              <w:t>级的投标人，给予减少履约保证金，履约</w:t>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color w:val="auto"/>
                <w:spacing w:val="1"/>
                <w:highlight w:val="none"/>
              </w:rPr>
              <w:t>保证金金额</w:t>
            </w:r>
            <w:r>
              <w:rPr>
                <w:color w:val="auto"/>
                <w:spacing w:val="1"/>
                <w:position w:val="10"/>
                <w:sz w:val="10"/>
                <w:szCs w:val="10"/>
                <w:highlight w:val="none"/>
              </w:rPr>
              <w:fldChar w:fldCharType="end"/>
            </w:r>
            <w:r>
              <w:rPr>
                <w:color w:val="auto"/>
                <w:spacing w:val="-24"/>
                <w:position w:val="10"/>
                <w:sz w:val="10"/>
                <w:szCs w:val="10"/>
                <w:highlight w:val="none"/>
              </w:rPr>
              <w:t xml:space="preserve"> </w:t>
            </w:r>
            <w:r>
              <w:rPr>
                <w:color w:val="auto"/>
                <w:spacing w:val="-70"/>
                <w:highlight w:val="none"/>
              </w:rPr>
              <w:t>:</w:t>
            </w:r>
            <w:r>
              <w:rPr>
                <w:color w:val="auto"/>
                <w:spacing w:val="52"/>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r>
              <w:rPr>
                <w:color w:val="auto"/>
                <w:spacing w:val="11"/>
                <w:highlight w:val="none"/>
              </w:rPr>
              <w:t>签约合同价</w:t>
            </w:r>
          </w:p>
          <w:p w14:paraId="234D0F1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403"/>
              <w:jc w:val="both"/>
              <w:textAlignment w:val="baseline"/>
              <w:rPr>
                <w:color w:val="auto"/>
                <w:highlight w:val="none"/>
              </w:rPr>
            </w:pPr>
            <w:r>
              <w:rPr>
                <w:color w:val="auto"/>
                <w:spacing w:val="13"/>
                <w:highlight w:val="none"/>
              </w:rPr>
              <w:t>采用银行保函时，出具保函的银行级别：</w:t>
            </w:r>
            <w:r>
              <w:rPr>
                <w:color w:val="auto"/>
                <w:spacing w:val="13"/>
                <w:highlight w:val="none"/>
                <w:u w:val="single" w:color="auto"/>
              </w:rPr>
              <w:t>投标</w:t>
            </w:r>
            <w:r>
              <w:rPr>
                <w:color w:val="auto"/>
                <w:spacing w:val="11"/>
                <w:highlight w:val="none"/>
                <w:u w:val="single" w:color="auto"/>
              </w:rPr>
              <w:t>人公司注册所在地的股份制商业银行或城市商业银</w:t>
            </w:r>
            <w:r>
              <w:rPr>
                <w:color w:val="auto"/>
                <w:spacing w:val="12"/>
                <w:highlight w:val="none"/>
                <w:u w:val="single" w:color="auto"/>
              </w:rPr>
              <w:t>行或农村商业银行或全国性国有商业银行的分</w:t>
            </w:r>
            <w:r>
              <w:rPr>
                <w:color w:val="auto"/>
                <w:spacing w:val="11"/>
                <w:highlight w:val="none"/>
                <w:u w:val="single" w:color="auto"/>
              </w:rPr>
              <w:t>支机</w:t>
            </w:r>
            <w:r>
              <w:rPr>
                <w:color w:val="auto"/>
                <w:spacing w:val="13"/>
                <w:highlight w:val="none"/>
                <w:u w:val="single" w:color="auto"/>
              </w:rPr>
              <w:t>构。</w:t>
            </w:r>
          </w:p>
          <w:p w14:paraId="52D3E76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2"/>
                <w:highlight w:val="none"/>
              </w:rPr>
              <w:t>□不要求</w:t>
            </w:r>
          </w:p>
        </w:tc>
      </w:tr>
      <w:tr w14:paraId="3DB5C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71E86BB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3"/>
                <w:position w:val="1"/>
                <w:highlight w:val="none"/>
              </w:rPr>
              <w:t>8.</w:t>
            </w:r>
            <w:r>
              <w:rPr>
                <w:rFonts w:hint="eastAsia"/>
                <w:color w:val="auto"/>
                <w:spacing w:val="3"/>
                <w:position w:val="1"/>
                <w:highlight w:val="none"/>
                <w:lang w:val="en-US" w:eastAsia="zh-CN"/>
              </w:rPr>
              <w:t>7</w:t>
            </w:r>
            <w:r>
              <w:rPr>
                <w:color w:val="auto"/>
                <w:spacing w:val="3"/>
                <w:position w:val="1"/>
                <w:highlight w:val="none"/>
              </w:rPr>
              <w:t>.1</w:t>
            </w:r>
          </w:p>
        </w:tc>
        <w:tc>
          <w:tcPr>
            <w:tcW w:w="2877" w:type="dxa"/>
            <w:vAlign w:val="center"/>
          </w:tcPr>
          <w:p w14:paraId="7671806A">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0"/>
              <w:jc w:val="center"/>
              <w:textAlignment w:val="baseline"/>
              <w:rPr>
                <w:color w:val="auto"/>
                <w:highlight w:val="none"/>
              </w:rPr>
            </w:pPr>
            <w:r>
              <w:rPr>
                <w:color w:val="auto"/>
                <w:spacing w:val="7"/>
                <w:highlight w:val="none"/>
              </w:rPr>
              <w:t>监督部门</w:t>
            </w:r>
          </w:p>
        </w:tc>
        <w:tc>
          <w:tcPr>
            <w:tcW w:w="5374" w:type="dxa"/>
            <w:vAlign w:val="center"/>
          </w:tcPr>
          <w:p w14:paraId="5B0E45A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监督部门：</w:t>
            </w:r>
            <w:r>
              <w:rPr>
                <w:rFonts w:hint="eastAsia"/>
                <w:color w:val="auto"/>
                <w:highlight w:val="none"/>
                <w:lang w:eastAsia="zh-CN"/>
              </w:rPr>
              <w:t>乐昌市交通运输局</w:t>
            </w:r>
            <w:r>
              <w:rPr>
                <w:rFonts w:hint="eastAsia" w:eastAsia="宋体"/>
                <w:color w:val="auto"/>
                <w:highlight w:val="none"/>
                <w:lang w:eastAsia="zh-CN"/>
              </w:rPr>
              <w:t xml:space="preserve"> </w:t>
            </w:r>
          </w:p>
          <w:p w14:paraId="4597CB7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w:t>
            </w:r>
            <w:r>
              <w:rPr>
                <w:rFonts w:hint="eastAsia" w:eastAsia="宋体"/>
                <w:color w:val="auto"/>
                <w:highlight w:val="none"/>
                <w:lang w:val="en-US" w:eastAsia="zh-CN"/>
              </w:rPr>
              <w:t>0751-5574986</w:t>
            </w:r>
          </w:p>
          <w:p w14:paraId="0D12CB1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通信地址：广东省韶关市乐昌市公园路7号</w:t>
            </w:r>
          </w:p>
          <w:p w14:paraId="7C5BEFB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邮政编码：512200</w:t>
            </w:r>
          </w:p>
          <w:p w14:paraId="5181E7D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08530FC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交通运输 主 管 部 门（或 项 目 上 级 管 理 单</w:t>
            </w:r>
          </w:p>
          <w:p w14:paraId="6176E7D0">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位）：乐昌市交通运输局</w:t>
            </w:r>
          </w:p>
          <w:p w14:paraId="3C1E088F">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eastAsia="宋体"/>
                <w:color w:val="auto"/>
                <w:highlight w:val="none"/>
                <w:lang w:val="en-US" w:eastAsia="zh-CN"/>
              </w:rPr>
            </w:pPr>
            <w:r>
              <w:rPr>
                <w:rFonts w:hint="eastAsia" w:eastAsia="宋体"/>
                <w:color w:val="auto"/>
                <w:highlight w:val="none"/>
                <w:lang w:eastAsia="zh-CN"/>
              </w:rPr>
              <w:t>电 话：</w:t>
            </w:r>
            <w:r>
              <w:rPr>
                <w:rFonts w:hint="eastAsia"/>
                <w:color w:val="auto"/>
                <w:highlight w:val="none"/>
                <w:lang w:val="en-US" w:eastAsia="zh-CN"/>
              </w:rPr>
              <w:t>0751-5574986</w:t>
            </w:r>
          </w:p>
          <w:p w14:paraId="239AA83C">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通信地址：广东省韶关市乐昌市公园路7号</w:t>
            </w:r>
          </w:p>
          <w:p w14:paraId="2388D265">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邮政编码：512200</w:t>
            </w:r>
          </w:p>
          <w:p w14:paraId="7758A6F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122AD78D">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项目管理单位：</w:t>
            </w:r>
            <w:r>
              <w:rPr>
                <w:rFonts w:hint="eastAsia"/>
                <w:color w:val="auto"/>
                <w:highlight w:val="none"/>
                <w:lang w:eastAsia="zh-CN"/>
              </w:rPr>
              <w:t>乐昌市地方公路站（</w:t>
            </w:r>
            <w:r>
              <w:rPr>
                <w:rFonts w:hint="eastAsia"/>
                <w:color w:val="auto"/>
                <w:highlight w:val="none"/>
                <w:lang w:val="en-US" w:eastAsia="zh-CN"/>
              </w:rPr>
              <w:t>监督小组</w:t>
            </w:r>
            <w:r>
              <w:rPr>
                <w:rFonts w:hint="eastAsia"/>
                <w:color w:val="auto"/>
                <w:highlight w:val="none"/>
                <w:lang w:eastAsia="zh-CN"/>
              </w:rPr>
              <w:t>）</w:t>
            </w:r>
          </w:p>
          <w:p w14:paraId="00DE82AB">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default" w:eastAsia="宋体"/>
                <w:color w:val="auto"/>
                <w:highlight w:val="none"/>
                <w:lang w:val="en-US" w:eastAsia="zh-CN"/>
              </w:rPr>
            </w:pPr>
            <w:r>
              <w:rPr>
                <w:rFonts w:hint="eastAsia" w:eastAsia="宋体"/>
                <w:color w:val="auto"/>
                <w:highlight w:val="none"/>
                <w:lang w:eastAsia="zh-CN"/>
              </w:rPr>
              <w:t>电    话：</w:t>
            </w:r>
            <w:r>
              <w:rPr>
                <w:rFonts w:hint="eastAsia"/>
                <w:color w:val="auto"/>
                <w:highlight w:val="none"/>
                <w:lang w:val="en-US" w:eastAsia="zh-CN"/>
              </w:rPr>
              <w:t>0751-5552728</w:t>
            </w:r>
          </w:p>
          <w:p w14:paraId="1E3D5CB9">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w:t>
            </w:r>
            <w:r>
              <w:rPr>
                <w:rFonts w:hint="eastAsia"/>
                <w:color w:val="auto"/>
                <w:highlight w:val="none"/>
                <w:lang w:eastAsia="zh-CN"/>
              </w:rPr>
              <w:t>乐昌市公主下路62号</w:t>
            </w:r>
          </w:p>
          <w:p w14:paraId="0407A0A2">
            <w:pPr>
              <w:pStyle w:val="23"/>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邮政编码：512200</w:t>
            </w:r>
          </w:p>
        </w:tc>
      </w:tr>
      <w:tr w14:paraId="6958D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2077071">
            <w:pPr>
              <w:pStyle w:val="23"/>
              <w:keepNext w:val="0"/>
              <w:keepLines w:val="0"/>
              <w:pageBreakBefore w:val="0"/>
              <w:widowControl/>
              <w:kinsoku w:val="0"/>
              <w:wordWrap/>
              <w:overflowPunct/>
              <w:topLinePunct w:val="0"/>
              <w:autoSpaceDE w:val="0"/>
              <w:autoSpaceDN w:val="0"/>
              <w:bidi w:val="0"/>
              <w:adjustRightInd w:val="0"/>
              <w:snapToGrid w:val="0"/>
              <w:spacing w:line="269" w:lineRule="exact"/>
              <w:ind w:left="0"/>
              <w:jc w:val="center"/>
              <w:textAlignment w:val="baseline"/>
              <w:rPr>
                <w:color w:val="auto"/>
                <w:highlight w:val="none"/>
              </w:rPr>
            </w:pPr>
            <w:r>
              <w:rPr>
                <w:color w:val="auto"/>
                <w:position w:val="1"/>
                <w:highlight w:val="none"/>
              </w:rPr>
              <w:t>9</w:t>
            </w:r>
          </w:p>
        </w:tc>
        <w:tc>
          <w:tcPr>
            <w:tcW w:w="2877" w:type="dxa"/>
            <w:vAlign w:val="center"/>
          </w:tcPr>
          <w:p w14:paraId="35DCDBFC">
            <w:pPr>
              <w:pStyle w:val="23"/>
              <w:keepNext w:val="0"/>
              <w:keepLines w:val="0"/>
              <w:pageBreakBefore w:val="0"/>
              <w:widowControl/>
              <w:kinsoku w:val="0"/>
              <w:wordWrap/>
              <w:overflowPunct/>
              <w:topLinePunct w:val="0"/>
              <w:autoSpaceDE w:val="0"/>
              <w:autoSpaceDN w:val="0"/>
              <w:bidi w:val="0"/>
              <w:adjustRightInd w:val="0"/>
              <w:snapToGrid w:val="0"/>
              <w:spacing w:line="227" w:lineRule="auto"/>
              <w:ind w:left="0"/>
              <w:jc w:val="center"/>
              <w:textAlignment w:val="baseline"/>
              <w:rPr>
                <w:color w:val="auto"/>
                <w:highlight w:val="none"/>
              </w:rPr>
            </w:pPr>
            <w:r>
              <w:rPr>
                <w:color w:val="auto"/>
                <w:spacing w:val="8"/>
                <w:highlight w:val="none"/>
              </w:rPr>
              <w:t>是否采用电子招标投标</w:t>
            </w:r>
          </w:p>
        </w:tc>
        <w:tc>
          <w:tcPr>
            <w:tcW w:w="5374" w:type="dxa"/>
            <w:vAlign w:val="center"/>
          </w:tcPr>
          <w:p w14:paraId="0C26AA7C">
            <w:pPr>
              <w:pStyle w:val="23"/>
              <w:keepNext w:val="0"/>
              <w:keepLines w:val="0"/>
              <w:pageBreakBefore w:val="0"/>
              <w:widowControl/>
              <w:kinsoku w:val="0"/>
              <w:wordWrap/>
              <w:overflowPunct/>
              <w:topLinePunct w:val="0"/>
              <w:autoSpaceDE w:val="0"/>
              <w:autoSpaceDN w:val="0"/>
              <w:bidi w:val="0"/>
              <w:adjustRightInd w:val="0"/>
              <w:snapToGrid w:val="0"/>
              <w:spacing w:before="141" w:line="228" w:lineRule="auto"/>
              <w:ind w:left="105" w:leftChars="50" w:right="6"/>
              <w:jc w:val="both"/>
              <w:rPr>
                <w:color w:val="auto"/>
                <w:highlight w:val="none"/>
              </w:rPr>
            </w:pPr>
            <w:r>
              <w:rPr>
                <w:color w:val="auto"/>
                <w:spacing w:val="-5"/>
                <w:highlight w:val="none"/>
              </w:rPr>
              <w:t>□否</w:t>
            </w:r>
          </w:p>
          <w:p w14:paraId="623B1991">
            <w:pPr>
              <w:pStyle w:val="23"/>
              <w:keepNext w:val="0"/>
              <w:keepLines w:val="0"/>
              <w:pageBreakBefore w:val="0"/>
              <w:widowControl/>
              <w:kinsoku w:val="0"/>
              <w:wordWrap/>
              <w:overflowPunct/>
              <w:topLinePunct w:val="0"/>
              <w:autoSpaceDE w:val="0"/>
              <w:autoSpaceDN w:val="0"/>
              <w:bidi w:val="0"/>
              <w:adjustRightInd w:val="0"/>
              <w:snapToGrid w:val="0"/>
              <w:spacing w:before="153" w:line="228" w:lineRule="auto"/>
              <w:ind w:left="105" w:leftChars="50" w:right="6"/>
              <w:jc w:val="both"/>
              <w:rPr>
                <w:color w:val="auto"/>
                <w:highlight w:val="none"/>
              </w:rPr>
            </w:pPr>
            <w:r>
              <w:rPr>
                <w:rFonts w:ascii="MS Gothic" w:hAnsi="MS Gothic" w:eastAsia="MS Gothic" w:cs="MS Gothic"/>
                <w:color w:val="auto"/>
                <w:spacing w:val="6"/>
                <w:highlight w:val="none"/>
              </w:rPr>
              <w:t>☑</w:t>
            </w:r>
            <w:r>
              <w:rPr>
                <w:color w:val="auto"/>
                <w:spacing w:val="6"/>
                <w:highlight w:val="none"/>
              </w:rPr>
              <w:t>是，</w:t>
            </w:r>
            <w:r>
              <w:rPr>
                <w:color w:val="auto"/>
                <w:spacing w:val="-57"/>
                <w:highlight w:val="none"/>
              </w:rPr>
              <w:t xml:space="preserve"> </w:t>
            </w:r>
            <w:r>
              <w:rPr>
                <w:color w:val="auto"/>
                <w:spacing w:val="6"/>
                <w:highlight w:val="none"/>
              </w:rPr>
              <w:t>电子招标投标的其他要求：</w:t>
            </w:r>
            <w:r>
              <w:rPr>
                <w:rFonts w:hint="eastAsia" w:ascii="宋体" w:hAnsi="宋体" w:eastAsia="宋体" w:cs="宋体"/>
                <w:b/>
                <w:color w:val="auto"/>
                <w:sz w:val="20"/>
                <w:szCs w:val="20"/>
                <w:highlight w:val="none"/>
                <w:u w:val="double"/>
              </w:rPr>
              <w:t>投标人必须在规定的截止时间前使用建设工程交易系统完成电子投标(包括缴纳投标保证金)，只有满足以上所有条件，方为有效投标。</w:t>
            </w:r>
          </w:p>
        </w:tc>
      </w:tr>
      <w:tr w14:paraId="1076C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264" w:type="dxa"/>
            <w:gridSpan w:val="3"/>
            <w:vAlign w:val="top"/>
          </w:tcPr>
          <w:p w14:paraId="1D00B51F">
            <w:pPr>
              <w:pStyle w:val="23"/>
              <w:spacing w:before="142" w:line="228" w:lineRule="auto"/>
              <w:ind w:left="126"/>
              <w:rPr>
                <w:color w:val="auto"/>
                <w:highlight w:val="none"/>
              </w:rPr>
            </w:pPr>
            <w:r>
              <w:rPr>
                <w:b/>
                <w:bCs/>
                <w:color w:val="auto"/>
                <w:spacing w:val="6"/>
                <w:highlight w:val="none"/>
              </w:rPr>
              <w:t>需要补充的其他内容</w:t>
            </w:r>
          </w:p>
        </w:tc>
      </w:tr>
      <w:tr w14:paraId="2414E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A3027B6">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position w:val="1"/>
                <w:highlight w:val="none"/>
              </w:rPr>
              <w:t>1.4.4</w:t>
            </w:r>
          </w:p>
        </w:tc>
        <w:tc>
          <w:tcPr>
            <w:tcW w:w="8251" w:type="dxa"/>
            <w:gridSpan w:val="2"/>
            <w:vAlign w:val="center"/>
          </w:tcPr>
          <w:p w14:paraId="15B8908F">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投标人须知正文</w:t>
            </w:r>
          </w:p>
          <w:p w14:paraId="61F47878">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第 1.4.4 项中 (1) 目中的“招标项目所在地”指“广东省”。</w:t>
            </w:r>
          </w:p>
          <w:p w14:paraId="22F7CFD6">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第 1.4.4 (6) 目内容细化如下：</w:t>
            </w:r>
          </w:p>
          <w:p w14:paraId="3D1D7BDE">
            <w:pPr>
              <w:pStyle w:val="23"/>
              <w:keepNext w:val="0"/>
              <w:keepLines w:val="0"/>
              <w:pageBreakBefore w:val="0"/>
              <w:widowControl/>
              <w:kinsoku w:val="0"/>
              <w:wordWrap/>
              <w:overflowPunct/>
              <w:topLinePunct w:val="0"/>
              <w:autoSpaceDE w:val="0"/>
              <w:autoSpaceDN w:val="0"/>
              <w:bidi w:val="0"/>
              <w:adjustRightInd w:val="0"/>
              <w:snapToGrid w:val="0"/>
              <w:spacing w:line="370" w:lineRule="auto"/>
              <w:ind w:left="42" w:leftChars="20" w:right="42" w:rightChars="20" w:firstLine="16"/>
              <w:jc w:val="both"/>
              <w:textAlignment w:val="baseline"/>
              <w:rPr>
                <w:color w:val="auto"/>
                <w:highlight w:val="none"/>
              </w:rPr>
            </w:pPr>
            <w:r>
              <w:rPr>
                <w:rFonts w:hint="eastAsia" w:ascii="宋体" w:hAnsi="宋体" w:eastAsia="宋体" w:cs="宋体"/>
                <w:color w:val="auto"/>
                <w:spacing w:val="11"/>
                <w:highlight w:val="none"/>
              </w:rPr>
              <w:t>投标人及其法定代表人、拟委任的总监理工程师（含备选，如有）或驻地监理工程师（含备选，如有）在近三年内有行贿犯罪行为的（以投标人投标函中的承诺为准）。</w:t>
            </w:r>
          </w:p>
        </w:tc>
      </w:tr>
      <w:tr w14:paraId="03ADD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3E03B72">
            <w:pPr>
              <w:spacing w:line="380" w:lineRule="exact"/>
              <w:jc w:val="center"/>
              <w:rPr>
                <w:rFonts w:hint="eastAsia" w:ascii="宋体" w:hAnsi="宋体" w:eastAsia="宋体" w:cs="宋体"/>
                <w:color w:val="auto"/>
                <w:spacing w:val="2"/>
                <w:position w:val="1"/>
                <w:sz w:val="20"/>
                <w:szCs w:val="20"/>
                <w:highlight w:val="none"/>
              </w:rPr>
            </w:pPr>
            <w:r>
              <w:rPr>
                <w:rFonts w:hint="eastAsia" w:ascii="宋体" w:hAnsi="宋体" w:eastAsia="宋体" w:cs="宋体"/>
                <w:color w:val="auto"/>
                <w:sz w:val="20"/>
                <w:szCs w:val="20"/>
                <w:highlight w:val="none"/>
              </w:rPr>
              <w:t>2.2</w:t>
            </w:r>
          </w:p>
        </w:tc>
        <w:tc>
          <w:tcPr>
            <w:tcW w:w="8251" w:type="dxa"/>
            <w:gridSpan w:val="2"/>
            <w:vAlign w:val="center"/>
          </w:tcPr>
          <w:p w14:paraId="66674BAA">
            <w:pPr>
              <w:pStyle w:val="24"/>
              <w:keepNext w:val="0"/>
              <w:keepLines w:val="0"/>
              <w:pageBreakBefore w:val="0"/>
              <w:wordWrap/>
              <w:overflowPunct/>
              <w:topLinePunct w:val="0"/>
              <w:bidi w:val="0"/>
              <w:spacing w:line="360" w:lineRule="exact"/>
              <w:jc w:val="both"/>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rPr>
              <w:t>投标人须知</w:t>
            </w:r>
            <w:r>
              <w:rPr>
                <w:rFonts w:hint="eastAsia" w:ascii="宋体" w:hAnsi="宋体" w:eastAsia="宋体" w:cs="宋体"/>
                <w:color w:val="auto"/>
                <w:sz w:val="20"/>
                <w:szCs w:val="20"/>
                <w:highlight w:val="none"/>
              </w:rPr>
              <w:t>正文</w:t>
            </w:r>
            <w:r>
              <w:rPr>
                <w:rFonts w:hint="eastAsia" w:ascii="宋体" w:hAnsi="宋体" w:eastAsia="宋体" w:cs="宋体"/>
                <w:color w:val="auto"/>
                <w:kern w:val="2"/>
                <w:sz w:val="20"/>
                <w:szCs w:val="20"/>
                <w:highlight w:val="none"/>
              </w:rPr>
              <w:t>2.2款增加内容如下：</w:t>
            </w:r>
          </w:p>
          <w:p w14:paraId="139967AC">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pacing w:val="11"/>
                <w:sz w:val="20"/>
                <w:szCs w:val="20"/>
                <w:highlight w:val="none"/>
              </w:rPr>
            </w:pPr>
            <w:r>
              <w:rPr>
                <w:rFonts w:hint="eastAsia" w:ascii="宋体" w:hAnsi="宋体" w:eastAsia="宋体" w:cs="宋体"/>
                <w:color w:val="auto"/>
                <w:sz w:val="20"/>
                <w:szCs w:val="20"/>
                <w:highlight w:val="none"/>
              </w:rPr>
              <w:t>澄清和修改内容将以编号的补遗书</w:t>
            </w:r>
            <w:r>
              <w:rPr>
                <w:rFonts w:hint="eastAsia" w:ascii="宋体" w:hAnsi="宋体" w:eastAsia="宋体" w:cs="宋体"/>
                <w:color w:val="auto"/>
                <w:sz w:val="20"/>
                <w:szCs w:val="20"/>
                <w:highlight w:val="none"/>
                <w:shd w:val="clear" w:color="auto" w:fill="auto"/>
              </w:rPr>
              <w:t>或补充公告</w:t>
            </w:r>
            <w:r>
              <w:rPr>
                <w:rFonts w:hint="eastAsia" w:ascii="宋体" w:hAnsi="宋体" w:eastAsia="宋体" w:cs="宋体"/>
                <w:color w:val="auto"/>
                <w:sz w:val="20"/>
                <w:szCs w:val="20"/>
                <w:highlight w:val="none"/>
              </w:rPr>
              <w:t>形式在全国公共资源交易平台 （广东省· 韶关市）（https://ygp.gdzwfw.gov.cn/ggzy-portal/#/440200/index）建设工程栏目的公告公示上发布。补遗书</w:t>
            </w:r>
            <w:r>
              <w:rPr>
                <w:rFonts w:hint="eastAsia" w:ascii="宋体" w:hAnsi="宋体" w:eastAsia="宋体" w:cs="宋体"/>
                <w:color w:val="auto"/>
                <w:sz w:val="20"/>
                <w:szCs w:val="20"/>
                <w:highlight w:val="none"/>
                <w:shd w:val="clear" w:color="auto" w:fill="auto"/>
              </w:rPr>
              <w:t>或补充公告</w:t>
            </w:r>
            <w:r>
              <w:rPr>
                <w:rFonts w:hint="eastAsia" w:ascii="宋体" w:hAnsi="宋体" w:eastAsia="宋体" w:cs="宋体"/>
                <w:color w:val="auto"/>
                <w:sz w:val="20"/>
                <w:szCs w:val="20"/>
                <w:highlight w:val="none"/>
              </w:rPr>
              <w:t>作为招标文件的组成部分，对所有投标人均具有约束力。</w:t>
            </w:r>
          </w:p>
        </w:tc>
      </w:tr>
      <w:tr w14:paraId="25CB8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013134A8">
            <w:pPr>
              <w:autoSpaceDE w:val="0"/>
              <w:autoSpaceDN w:val="0"/>
              <w:spacing w:line="480" w:lineRule="auto"/>
              <w:jc w:val="center"/>
              <w:rPr>
                <w:rFonts w:hint="eastAsia" w:ascii="宋体" w:hAnsi="宋体" w:eastAsia="宋体" w:cs="宋体"/>
                <w:color w:val="auto"/>
                <w:spacing w:val="2"/>
                <w:position w:val="1"/>
                <w:sz w:val="20"/>
                <w:szCs w:val="20"/>
                <w:highlight w:val="none"/>
              </w:rPr>
            </w:pPr>
            <w:r>
              <w:rPr>
                <w:rFonts w:hint="eastAsia" w:ascii="宋体" w:hAnsi="宋体" w:eastAsia="宋体" w:cs="宋体"/>
                <w:bCs/>
                <w:color w:val="auto"/>
                <w:kern w:val="0"/>
                <w:sz w:val="20"/>
                <w:szCs w:val="20"/>
                <w:highlight w:val="none"/>
              </w:rPr>
              <w:t>2.3</w:t>
            </w:r>
          </w:p>
        </w:tc>
        <w:tc>
          <w:tcPr>
            <w:tcW w:w="8251" w:type="dxa"/>
            <w:gridSpan w:val="2"/>
            <w:vAlign w:val="center"/>
          </w:tcPr>
          <w:p w14:paraId="28519BF3">
            <w:pPr>
              <w:keepNext w:val="0"/>
              <w:keepLines w:val="0"/>
              <w:pageBreakBefore w:val="0"/>
              <w:wordWrap/>
              <w:overflowPunct/>
              <w:topLinePunct w:val="0"/>
              <w:autoSpaceDE w:val="0"/>
              <w:autoSpaceDN w:val="0"/>
              <w:bidi w:val="0"/>
              <w:adjustRightInd w:val="0"/>
              <w:spacing w:line="360" w:lineRule="exact"/>
              <w:ind w:right="176"/>
              <w:jc w:val="left"/>
              <w:rPr>
                <w:rFonts w:hint="eastAsia" w:ascii="宋体" w:hAnsi="宋体" w:eastAsia="宋体" w:cs="宋体"/>
                <w:b w:val="0"/>
                <w:bCs w:val="0"/>
                <w:color w:val="auto"/>
                <w:kern w:val="2"/>
                <w:sz w:val="20"/>
                <w:szCs w:val="20"/>
                <w:highlight w:val="none"/>
                <w:lang w:val="en-US" w:eastAsia="zh-CN" w:bidi="ar-SA"/>
              </w:rPr>
            </w:pPr>
            <w:r>
              <w:rPr>
                <w:rFonts w:hint="eastAsia" w:ascii="宋体" w:hAnsi="宋体" w:eastAsia="宋体" w:cs="宋体"/>
                <w:b w:val="0"/>
                <w:bCs w:val="0"/>
                <w:color w:val="auto"/>
                <w:kern w:val="2"/>
                <w:sz w:val="20"/>
                <w:szCs w:val="20"/>
                <w:highlight w:val="none"/>
                <w:lang w:val="en-US" w:eastAsia="zh-CN" w:bidi="ar-SA"/>
              </w:rPr>
              <w:t>投标人须知正文第2.3款内容修改如下：</w:t>
            </w:r>
          </w:p>
          <w:p w14:paraId="69702D6A">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2.3.1在投标人须知前附表规定的截止投标时间15天前，招标人可以书面修改招标文件，并在全国公共资源交易平台 （广东省·韶关市）网站上发布。如果修改招标文件的时间超出规定的截止时间，相应延长投标截止时间。</w:t>
            </w:r>
          </w:p>
          <w:p w14:paraId="37E650F4">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pacing w:val="11"/>
                <w:sz w:val="20"/>
                <w:szCs w:val="20"/>
                <w:highlight w:val="none"/>
              </w:rPr>
            </w:pPr>
            <w:r>
              <w:rPr>
                <w:rFonts w:hint="eastAsia" w:ascii="宋体" w:hAnsi="宋体" w:eastAsia="宋体" w:cs="宋体"/>
                <w:color w:val="auto"/>
                <w:kern w:val="2"/>
                <w:sz w:val="20"/>
                <w:szCs w:val="20"/>
                <w:highlight w:val="none"/>
                <w:lang w:val="en-US" w:eastAsia="zh-CN" w:bidi="ar-SA"/>
              </w:rPr>
              <w:t>2.3.2招标文件的修改及有关补充通知一经在全国公共资源交易平台 （广东省·韶关市）网站上发布，视作已发放给所有投标人。</w:t>
            </w:r>
            <w:r>
              <w:rPr>
                <w:rFonts w:hint="eastAsia" w:ascii="宋体" w:hAnsi="宋体" w:eastAsia="宋体" w:cs="宋体"/>
                <w:strike w:val="0"/>
                <w:dstrike w:val="0"/>
                <w:color w:val="auto"/>
                <w:kern w:val="2"/>
                <w:sz w:val="20"/>
                <w:szCs w:val="20"/>
                <w:highlight w:val="none"/>
                <w:lang w:val="en-US" w:eastAsia="zh-CN" w:bidi="ar-SA"/>
              </w:rPr>
              <w:t>投标人应注意及时浏览网上发出的修改，因投标人自身原因未及时获知修改内容而导致的任何后果将由投标人自行承担。</w:t>
            </w:r>
          </w:p>
        </w:tc>
      </w:tr>
      <w:tr w14:paraId="0BCB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250149A">
            <w:pPr>
              <w:spacing w:line="380" w:lineRule="exact"/>
              <w:jc w:val="center"/>
              <w:rPr>
                <w:rFonts w:hint="eastAsia" w:ascii="宋体" w:hAnsi="宋体" w:eastAsia="宋体" w:cs="宋体"/>
                <w:color w:val="auto"/>
                <w:spacing w:val="2"/>
                <w:position w:val="1"/>
                <w:sz w:val="20"/>
                <w:szCs w:val="20"/>
                <w:highlight w:val="none"/>
              </w:rPr>
            </w:pPr>
            <w:r>
              <w:rPr>
                <w:rFonts w:hint="eastAsia" w:ascii="宋体" w:hAnsi="宋体" w:eastAsia="宋体" w:cs="宋体"/>
                <w:color w:val="auto"/>
                <w:sz w:val="20"/>
                <w:szCs w:val="20"/>
                <w:highlight w:val="none"/>
              </w:rPr>
              <w:t>3.1.1</w:t>
            </w:r>
          </w:p>
        </w:tc>
        <w:tc>
          <w:tcPr>
            <w:tcW w:w="8251" w:type="dxa"/>
            <w:gridSpan w:val="2"/>
            <w:vAlign w:val="center"/>
          </w:tcPr>
          <w:p w14:paraId="005D11F5">
            <w:pPr>
              <w:keepNext w:val="0"/>
              <w:keepLines w:val="0"/>
              <w:pageBreakBefore w:val="0"/>
              <w:wordWrap/>
              <w:overflowPunct/>
              <w:topLinePunct w:val="0"/>
              <w:bidi w:val="0"/>
              <w:spacing w:line="360" w:lineRule="exac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将投标人须知原文3.1.1款修改如下：</w:t>
            </w:r>
          </w:p>
          <w:p w14:paraId="59B5E3F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3.1.1 投标文件应采用双信封形式，包括下列内容：</w:t>
            </w:r>
          </w:p>
          <w:p w14:paraId="7E54091B">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第一个信封（商务及技术文件）：</w:t>
            </w:r>
          </w:p>
          <w:p w14:paraId="54FB788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（1）投标函；</w:t>
            </w:r>
          </w:p>
          <w:p w14:paraId="03F87A3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（2）授权委托书或法定代表人身份证明；</w:t>
            </w:r>
          </w:p>
          <w:p w14:paraId="6C50FF44">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（3）联合体协议书；</w:t>
            </w:r>
          </w:p>
          <w:p w14:paraId="6A342A8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（4）投标保证金；</w:t>
            </w:r>
          </w:p>
          <w:p w14:paraId="2834322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（5）资格审查资料；</w:t>
            </w:r>
          </w:p>
          <w:p w14:paraId="03121C2E">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（6）投标人须知前附表规定的其他资料；</w:t>
            </w:r>
          </w:p>
          <w:p w14:paraId="5E4F95C2">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（7）技术建议书。</w:t>
            </w:r>
          </w:p>
          <w:p w14:paraId="11C351B5">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第二个信封（报价文件）：</w:t>
            </w:r>
          </w:p>
          <w:p w14:paraId="7D35E0C7">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（1）投标函</w:t>
            </w:r>
          </w:p>
          <w:p w14:paraId="47A12C99">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监理服务费用清单</w:t>
            </w:r>
          </w:p>
          <w:p w14:paraId="466720F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（3）定标佐证资料（另册，格式自拟）</w:t>
            </w:r>
          </w:p>
          <w:p w14:paraId="033BE885">
            <w:pPr>
              <w:pStyle w:val="21"/>
              <w:keepNext w:val="0"/>
              <w:keepLines w:val="0"/>
              <w:pageBreakBefore w:val="0"/>
              <w:wordWrap/>
              <w:overflowPunct/>
              <w:topLinePunct w:val="0"/>
              <w:bidi w:val="0"/>
              <w:spacing w:line="360" w:lineRule="exact"/>
              <w:ind w:firstLine="561" w:firstLineChars="0"/>
              <w:rPr>
                <w:rFonts w:hint="eastAsia" w:ascii="宋体" w:hAnsi="宋体" w:eastAsia="宋体" w:cs="宋体"/>
                <w:color w:val="auto"/>
                <w:spacing w:val="11"/>
                <w:sz w:val="20"/>
                <w:szCs w:val="20"/>
                <w:highlight w:val="none"/>
              </w:rPr>
            </w:pPr>
            <w:r>
              <w:rPr>
                <w:rFonts w:hint="eastAsia" w:ascii="宋体" w:hAnsi="宋体" w:eastAsia="宋体" w:cs="宋体"/>
                <w:color w:val="auto"/>
                <w:sz w:val="20"/>
                <w:szCs w:val="20"/>
                <w:highlight w:val="none"/>
              </w:rPr>
              <w:t>投标人在评标过程中作出的符合法律法规和招标文件规定的澄清确认，构成投标文件的组成部分。</w:t>
            </w:r>
          </w:p>
        </w:tc>
      </w:tr>
      <w:tr w14:paraId="5B91E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6192AE4">
            <w:pPr>
              <w:spacing w:line="38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zh-CN"/>
              </w:rPr>
              <w:t>3.4</w:t>
            </w:r>
            <w:r>
              <w:rPr>
                <w:rFonts w:hint="eastAsia" w:ascii="宋体" w:hAnsi="宋体" w:eastAsia="宋体" w:cs="宋体"/>
                <w:color w:val="auto"/>
                <w:sz w:val="20"/>
                <w:szCs w:val="20"/>
                <w:highlight w:val="none"/>
              </w:rPr>
              <w:t>.3</w:t>
            </w:r>
          </w:p>
        </w:tc>
        <w:tc>
          <w:tcPr>
            <w:tcW w:w="8251" w:type="dxa"/>
            <w:gridSpan w:val="2"/>
            <w:vAlign w:val="top"/>
          </w:tcPr>
          <w:p w14:paraId="4377D6C5">
            <w:pPr>
              <w:keepNext w:val="0"/>
              <w:keepLines w:val="0"/>
              <w:pageBreakBefore w:val="0"/>
              <w:wordWrap/>
              <w:overflowPunct/>
              <w:topLinePunct w:val="0"/>
              <w:bidi w:val="0"/>
              <w:spacing w:line="360" w:lineRule="exact"/>
              <w:rPr>
                <w:rFonts w:hint="eastAsia" w:ascii="宋体" w:hAnsi="宋体" w:eastAsia="宋体" w:cs="宋体"/>
                <w:color w:val="auto"/>
                <w:sz w:val="20"/>
                <w:szCs w:val="20"/>
                <w:highlight w:val="none"/>
                <w:lang w:val="zh-CN"/>
              </w:rPr>
            </w:pPr>
            <w:r>
              <w:rPr>
                <w:rFonts w:hint="eastAsia" w:ascii="宋体" w:hAnsi="宋体" w:eastAsia="宋体" w:cs="宋体"/>
                <w:color w:val="auto"/>
                <w:sz w:val="20"/>
                <w:szCs w:val="20"/>
                <w:highlight w:val="none"/>
                <w:lang w:val="zh-CN"/>
              </w:rPr>
              <w:t xml:space="preserve">投标人须知正文第3.4.3款项修改如下：     </w:t>
            </w:r>
          </w:p>
          <w:p w14:paraId="01D14D87">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zh-CN"/>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6957E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13" w:type="dxa"/>
            <w:vAlign w:val="center"/>
          </w:tcPr>
          <w:p w14:paraId="31DC9207">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spacing w:val="2"/>
                <w:position w:val="1"/>
                <w:highlight w:val="none"/>
              </w:rPr>
              <w:t>3.5.2</w:t>
            </w:r>
          </w:p>
        </w:tc>
        <w:tc>
          <w:tcPr>
            <w:tcW w:w="8251" w:type="dxa"/>
            <w:gridSpan w:val="2"/>
            <w:vAlign w:val="center"/>
          </w:tcPr>
          <w:p w14:paraId="4904BC66">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default" w:ascii="宋体" w:hAnsi="宋体" w:eastAsia="宋体" w:cs="宋体"/>
                <w:color w:val="auto"/>
                <w:spacing w:val="11"/>
                <w:highlight w:val="none"/>
                <w:lang w:val="en-US" w:eastAsia="zh-CN"/>
              </w:rPr>
            </w:pPr>
            <w:r>
              <w:rPr>
                <w:rFonts w:hint="eastAsia" w:ascii="宋体" w:hAnsi="宋体" w:eastAsia="宋体" w:cs="宋体"/>
                <w:color w:val="auto"/>
                <w:spacing w:val="11"/>
                <w:highlight w:val="none"/>
              </w:rPr>
              <w:t>本项目使用投标人须知 3.5.2 (</w:t>
            </w:r>
            <w:r>
              <w:rPr>
                <w:rFonts w:hint="eastAsia" w:ascii="宋体" w:hAnsi="宋体" w:eastAsia="宋体" w:cs="宋体"/>
                <w:color w:val="auto"/>
                <w:spacing w:val="11"/>
                <w:highlight w:val="none"/>
                <w:lang w:val="en-US" w:eastAsia="zh-CN"/>
              </w:rPr>
              <w:t xml:space="preserve"> </w:t>
            </w:r>
            <w:r>
              <w:rPr>
                <w:rFonts w:hint="eastAsia" w:cs="宋体"/>
                <w:color w:val="auto"/>
                <w:spacing w:val="11"/>
                <w:highlight w:val="none"/>
                <w:lang w:val="en-US" w:eastAsia="zh-CN"/>
              </w:rPr>
              <w:t xml:space="preserve">B </w:t>
            </w:r>
            <w:r>
              <w:rPr>
                <w:rFonts w:hint="eastAsia" w:ascii="宋体" w:hAnsi="宋体" w:eastAsia="宋体" w:cs="宋体"/>
                <w:color w:val="auto"/>
                <w:spacing w:val="11"/>
                <w:highlight w:val="none"/>
              </w:rPr>
              <w:t>) 款正文内容。</w:t>
            </w:r>
          </w:p>
        </w:tc>
      </w:tr>
      <w:tr w14:paraId="35676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013" w:type="dxa"/>
            <w:vAlign w:val="center"/>
          </w:tcPr>
          <w:p w14:paraId="0D0982BD">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jc w:val="center"/>
              <w:textAlignment w:val="baseline"/>
              <w:rPr>
                <w:color w:val="auto"/>
                <w:highlight w:val="none"/>
              </w:rPr>
            </w:pPr>
            <w:r>
              <w:rPr>
                <w:color w:val="auto"/>
                <w:spacing w:val="2"/>
                <w:position w:val="1"/>
                <w:highlight w:val="none"/>
              </w:rPr>
              <w:t>3.5.4</w:t>
            </w:r>
          </w:p>
        </w:tc>
        <w:tc>
          <w:tcPr>
            <w:tcW w:w="8251" w:type="dxa"/>
            <w:gridSpan w:val="2"/>
            <w:vAlign w:val="center"/>
          </w:tcPr>
          <w:p w14:paraId="2B1F2E5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本项目使用投标人须知 3.5.4</w:t>
            </w:r>
            <w:r>
              <w:rPr>
                <w:rFonts w:hint="eastAsia" w:ascii="宋体" w:hAnsi="宋体" w:eastAsia="宋体" w:cs="宋体"/>
                <w:color w:val="auto"/>
                <w:spacing w:val="11"/>
                <w:highlight w:val="none"/>
                <w:lang w:val="en-US" w:eastAsia="zh-CN"/>
              </w:rPr>
              <w:t xml:space="preserve"> </w:t>
            </w:r>
            <w:r>
              <w:rPr>
                <w:rFonts w:hint="eastAsia" w:ascii="宋体" w:hAnsi="宋体" w:eastAsia="宋体" w:cs="宋体"/>
                <w:color w:val="auto"/>
                <w:spacing w:val="11"/>
                <w:highlight w:val="none"/>
              </w:rPr>
              <w:t xml:space="preserve">( </w:t>
            </w:r>
            <w:r>
              <w:rPr>
                <w:rFonts w:hint="eastAsia" w:cs="宋体"/>
                <w:color w:val="auto"/>
                <w:spacing w:val="11"/>
                <w:highlight w:val="none"/>
                <w:lang w:val="en-US" w:eastAsia="zh-CN"/>
              </w:rPr>
              <w:t>B</w:t>
            </w:r>
            <w:r>
              <w:rPr>
                <w:rFonts w:hint="eastAsia" w:ascii="宋体" w:hAnsi="宋体" w:eastAsia="宋体" w:cs="宋体"/>
                <w:color w:val="auto"/>
                <w:spacing w:val="11"/>
                <w:highlight w:val="none"/>
              </w:rPr>
              <w:t xml:space="preserve"> ) 款正文内容。</w:t>
            </w:r>
          </w:p>
        </w:tc>
      </w:tr>
      <w:tr w14:paraId="01E41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5C6D5D26">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color w:val="auto"/>
                <w:sz w:val="10"/>
                <w:szCs w:val="10"/>
                <w:highlight w:val="none"/>
              </w:rPr>
            </w:pPr>
            <w:r>
              <w:rPr>
                <w:color w:val="auto"/>
                <w:spacing w:val="3"/>
                <w:highlight w:val="none"/>
              </w:rPr>
              <w:t>3.5.5</w:t>
            </w:r>
          </w:p>
        </w:tc>
        <w:tc>
          <w:tcPr>
            <w:tcW w:w="8251" w:type="dxa"/>
            <w:gridSpan w:val="2"/>
            <w:vAlign w:val="center"/>
          </w:tcPr>
          <w:p w14:paraId="17D5A77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16"/>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删除原 3.5.5 条款内容。</w:t>
            </w:r>
          </w:p>
        </w:tc>
      </w:tr>
      <w:tr w14:paraId="7B851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7AE117B">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rFonts w:hint="default" w:eastAsia="宋体"/>
                <w:color w:val="auto"/>
                <w:spacing w:val="3"/>
                <w:highlight w:val="none"/>
                <w:lang w:val="en-US" w:eastAsia="zh-CN"/>
              </w:rPr>
            </w:pPr>
            <w:r>
              <w:rPr>
                <w:rFonts w:hint="eastAsia"/>
                <w:color w:val="auto"/>
                <w:spacing w:val="3"/>
                <w:highlight w:val="none"/>
                <w:lang w:val="en-US" w:eastAsia="zh-CN"/>
              </w:rPr>
              <w:t>3.7.3</w:t>
            </w:r>
          </w:p>
        </w:tc>
        <w:tc>
          <w:tcPr>
            <w:tcW w:w="8251" w:type="dxa"/>
            <w:gridSpan w:val="2"/>
            <w:vAlign w:val="center"/>
          </w:tcPr>
          <w:p w14:paraId="52F87E5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right="42" w:rightChars="20"/>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投标人须知正文3.7.3项内容修改如下：</w:t>
            </w:r>
          </w:p>
          <w:p w14:paraId="0AF900B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1</w:t>
            </w:r>
            <w:r>
              <w:rPr>
                <w:rFonts w:hint="eastAsia" w:ascii="宋体" w:hAnsi="宋体" w:eastAsia="宋体" w:cs="宋体"/>
                <w:color w:val="auto"/>
                <w:spacing w:val="11"/>
                <w:highlight w:val="none"/>
              </w:rPr>
              <w:t>）投标人在编制投标文件时应建立分级目录。</w:t>
            </w:r>
          </w:p>
          <w:p w14:paraId="4C21611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2</w:t>
            </w:r>
            <w:r>
              <w:rPr>
                <w:rFonts w:hint="eastAsia" w:ascii="宋体" w:hAnsi="宋体" w:eastAsia="宋体" w:cs="宋体"/>
                <w:color w:val="auto"/>
                <w:spacing w:val="11"/>
                <w:highlight w:val="none"/>
              </w:rPr>
              <w:t>）投标文件中的已标价报价清单数据文件应与招标人提供的报价清单数据文件格式一致。</w:t>
            </w:r>
          </w:p>
          <w:p w14:paraId="77E309F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3</w:t>
            </w:r>
            <w:r>
              <w:rPr>
                <w:rFonts w:hint="eastAsia" w:ascii="宋体" w:hAnsi="宋体" w:eastAsia="宋体" w:cs="宋体"/>
                <w:color w:val="auto"/>
                <w:spacing w:val="11"/>
                <w:highlight w:val="none"/>
              </w:rPr>
              <w:t>）投标文件中需签名(签字)的，投标人应按要求使用个人电子签名章进行签名。如投标人法定代表人或其委托代理人或总监理工程师（含备选，如有）或驻地监理工程师（含备选，如有）未办理个人电子签名章的，投标人应打印需要签名的相关页面，本人亲笔签名后扫描上传至投标文件相应位置中。</w:t>
            </w:r>
          </w:p>
          <w:p w14:paraId="082106B6">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（4）定标佐证资料加盖投标人单位公章。</w:t>
            </w:r>
          </w:p>
          <w:p w14:paraId="36AF334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5</w:t>
            </w:r>
            <w:r>
              <w:rPr>
                <w:rFonts w:hint="eastAsia" w:ascii="宋体" w:hAnsi="宋体" w:eastAsia="宋体" w:cs="宋体"/>
                <w:color w:val="auto"/>
                <w:spacing w:val="11"/>
                <w:highlight w:val="none"/>
              </w:rPr>
              <w:t>）投标文件（含定标佐证资料）制作完成后，投标人应使用 CA 数字证书对投标文件进行文件加密进行加密并上传到建设工程交易系统。</w:t>
            </w:r>
          </w:p>
        </w:tc>
      </w:tr>
      <w:tr w14:paraId="1E4A0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50C3DAA0">
            <w:pPr>
              <w:pStyle w:val="23"/>
              <w:keepNext w:val="0"/>
              <w:keepLines w:val="0"/>
              <w:pageBreakBefore w:val="0"/>
              <w:widowControl/>
              <w:kinsoku w:val="0"/>
              <w:wordWrap/>
              <w:overflowPunct/>
              <w:topLinePunct w:val="0"/>
              <w:autoSpaceDE w:val="0"/>
              <w:autoSpaceDN w:val="0"/>
              <w:bidi w:val="0"/>
              <w:adjustRightInd w:val="0"/>
              <w:snapToGrid w:val="0"/>
              <w:spacing w:line="285" w:lineRule="exact"/>
              <w:ind w:left="0" w:right="0"/>
              <w:jc w:val="center"/>
              <w:textAlignment w:val="baseline"/>
              <w:rPr>
                <w:rFonts w:hint="default"/>
                <w:color w:val="auto"/>
                <w:spacing w:val="3"/>
                <w:highlight w:val="none"/>
                <w:lang w:val="en-US" w:eastAsia="zh-CN"/>
              </w:rPr>
            </w:pPr>
            <w:r>
              <w:rPr>
                <w:rFonts w:hint="eastAsia"/>
                <w:color w:val="auto"/>
                <w:spacing w:val="3"/>
                <w:highlight w:val="none"/>
                <w:lang w:val="en-US" w:eastAsia="zh-CN"/>
              </w:rPr>
              <w:t>4.2</w:t>
            </w:r>
          </w:p>
        </w:tc>
        <w:tc>
          <w:tcPr>
            <w:tcW w:w="8251" w:type="dxa"/>
            <w:gridSpan w:val="2"/>
            <w:vAlign w:val="center"/>
          </w:tcPr>
          <w:p w14:paraId="49A02AC5">
            <w:pPr>
              <w:pStyle w:val="27"/>
              <w:keepNext w:val="0"/>
              <w:keepLines w:val="0"/>
              <w:pageBreakBefore w:val="0"/>
              <w:widowControl w:val="0"/>
              <w:kinsoku/>
              <w:wordWrap/>
              <w:overflowPunct/>
              <w:topLinePunct w:val="0"/>
              <w:bidi w:val="0"/>
              <w:snapToGrid/>
              <w:spacing w:line="360" w:lineRule="exact"/>
              <w:ind w:left="105" w:leftChars="50" w:right="283" w:rightChars="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4.2.1</w:t>
            </w:r>
            <w:r>
              <w:rPr>
                <w:rFonts w:hint="eastAsia" w:ascii="宋体" w:hAnsi="宋体" w:eastAsia="宋体" w:cs="宋体"/>
                <w:color w:val="auto"/>
                <w:sz w:val="20"/>
                <w:szCs w:val="20"/>
                <w:highlight w:val="none"/>
              </w:rPr>
              <w:t>项内容修改如下</w:t>
            </w:r>
          </w:p>
          <w:p w14:paraId="4A3E82CB">
            <w:pPr>
              <w:pStyle w:val="27"/>
              <w:keepNext w:val="0"/>
              <w:keepLines w:val="0"/>
              <w:pageBreakBefore w:val="0"/>
              <w:widowControl w:val="0"/>
              <w:kinsoku/>
              <w:wordWrap/>
              <w:overflowPunct/>
              <w:topLinePunct w:val="0"/>
              <w:bidi w:val="0"/>
              <w:snapToGrid/>
              <w:spacing w:line="360" w:lineRule="exact"/>
              <w:ind w:left="105" w:leftChars="50" w:right="283" w:rightChars="0" w:firstLine="420" w:firstLineChars="0"/>
              <w:textAlignment w:val="auto"/>
              <w:rPr>
                <w:rFonts w:hint="eastAsia" w:ascii="宋体" w:hAnsi="宋体" w:eastAsia="宋体" w:cs="宋体"/>
                <w:color w:val="auto"/>
                <w:spacing w:val="11"/>
                <w:highlight w:val="none"/>
              </w:rPr>
            </w:pP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2.</w:t>
            </w:r>
            <w:r>
              <w:rPr>
                <w:rFonts w:hint="eastAsia" w:ascii="宋体" w:hAnsi="宋体" w:eastAsia="宋体" w:cs="宋体"/>
                <w:color w:val="auto"/>
                <w:sz w:val="20"/>
                <w:szCs w:val="20"/>
                <w:highlight w:val="none"/>
                <w:shd w:val="clear" w:color="auto" w:fill="auto"/>
              </w:rPr>
              <w:t>1 在建设工程交易系统上传加盖了电子印章的投标文件、录入相关信息及标书页码信息，（页码起始从封面开始）并提交投标标书。提交标书为已加密投标文件。具体操作参照全国公共资源交易平台（广东省·韶关市）（https://ygp.gdzwfw.gov.cn/ggzy-portal/#/440200/index），在【服务指引】栏目中发布的最新操作指引。本项目评标采用全流程电子化进行招标投标（投标人应根据全国公共资源交易平台（广东省·韶关市）交易平台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tc>
      </w:tr>
      <w:tr w14:paraId="1A919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F81F9B0">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4.3</w:t>
            </w:r>
          </w:p>
        </w:tc>
        <w:tc>
          <w:tcPr>
            <w:tcW w:w="8251" w:type="dxa"/>
            <w:gridSpan w:val="2"/>
            <w:vAlign w:val="center"/>
          </w:tcPr>
          <w:p w14:paraId="087B975A">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4.3.1</w:t>
            </w:r>
            <w:r>
              <w:rPr>
                <w:rFonts w:hint="eastAsia" w:ascii="宋体" w:hAnsi="宋体" w:eastAsia="宋体" w:cs="宋体"/>
                <w:color w:val="auto"/>
                <w:sz w:val="20"/>
                <w:szCs w:val="20"/>
                <w:highlight w:val="none"/>
              </w:rPr>
              <w:t>项内容修改如下：</w:t>
            </w:r>
          </w:p>
          <w:p w14:paraId="71045DB0">
            <w:pPr>
              <w:pStyle w:val="27"/>
              <w:keepNext w:val="0"/>
              <w:keepLines w:val="0"/>
              <w:pageBreakBefore w:val="0"/>
              <w:widowControl w:val="0"/>
              <w:kinsoku/>
              <w:wordWrap/>
              <w:overflowPunct/>
              <w:topLinePunct w:val="0"/>
              <w:autoSpaceDE w:val="0"/>
              <w:autoSpaceDN w:val="0"/>
              <w:bidi w:val="0"/>
              <w:adjustRightInd w:val="0"/>
              <w:snapToGrid/>
              <w:spacing w:line="360" w:lineRule="exact"/>
              <w:ind w:left="105" w:leftChars="50" w:right="283" w:rightChars="0" w:firstLine="420" w:firstLineChars="0"/>
              <w:jc w:val="both"/>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lang w:val="en-US" w:eastAsia="zh-CN"/>
              </w:rPr>
              <w:t>4.3.1</w:t>
            </w:r>
            <w:r>
              <w:rPr>
                <w:rFonts w:hint="eastAsia" w:ascii="宋体" w:hAnsi="宋体" w:eastAsia="宋体" w:cs="宋体"/>
                <w:color w:val="auto"/>
                <w:sz w:val="20"/>
                <w:szCs w:val="20"/>
                <w:highlight w:val="none"/>
                <w:shd w:val="clear" w:color="auto" w:fill="auto"/>
              </w:rPr>
              <w:t xml:space="preserve"> 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tc>
      </w:tr>
      <w:tr w14:paraId="5981E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1819B5F4">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5.2.1</w:t>
            </w:r>
          </w:p>
        </w:tc>
        <w:tc>
          <w:tcPr>
            <w:tcW w:w="8251" w:type="dxa"/>
            <w:gridSpan w:val="2"/>
            <w:vAlign w:val="center"/>
          </w:tcPr>
          <w:p w14:paraId="08EF291B">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5.2.1</w:t>
            </w:r>
            <w:r>
              <w:rPr>
                <w:rFonts w:hint="eastAsia" w:ascii="宋体" w:hAnsi="宋体" w:eastAsia="宋体" w:cs="宋体"/>
                <w:color w:val="auto"/>
                <w:sz w:val="20"/>
                <w:szCs w:val="20"/>
                <w:highlight w:val="none"/>
              </w:rPr>
              <w:t>项内容修改如下：</w:t>
            </w:r>
          </w:p>
          <w:p w14:paraId="4EA12DCF">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default"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lang w:val="en-US" w:eastAsia="zh-CN"/>
              </w:rPr>
              <w:t>5.2.1 投标文件第一个信封（商务及技术文件）开标</w:t>
            </w:r>
          </w:p>
          <w:p w14:paraId="191D1B7C">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rPr>
              <w:t>主持人</w:t>
            </w:r>
            <w:r>
              <w:rPr>
                <w:rFonts w:hint="eastAsia" w:ascii="宋体" w:hAnsi="宋体" w:eastAsia="宋体" w:cs="宋体"/>
                <w:color w:val="auto"/>
                <w:sz w:val="20"/>
                <w:szCs w:val="20"/>
                <w:highlight w:val="none"/>
                <w:shd w:val="clear" w:color="auto" w:fill="auto"/>
                <w:lang w:val="en-US" w:eastAsia="zh-CN"/>
              </w:rPr>
              <w:t>按下列程序对投标文件第一个信封（商务及技术文件）进行开标：</w:t>
            </w:r>
          </w:p>
          <w:p w14:paraId="4C930602">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6994395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（2）主持人宣布唱标人、记录人、见证人、监督人等有关人员姓名。</w:t>
            </w:r>
          </w:p>
          <w:p w14:paraId="7A206878">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）在公共资源交易场所工作人员见证下由招标代理机构对投标人的电子投标信息进行解密，建设工程交易系统自动生成《投标保证缴纳情况表》和《开标一览表》。</w:t>
            </w:r>
          </w:p>
          <w:p w14:paraId="3E03183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）唱标人检查《投标保证缴纳情况表》中各投标人所缴纳投标保证的金额、有效期是否符合招标文件规定。若不符合规定，该投标人的投标</w:t>
            </w:r>
            <w:r>
              <w:rPr>
                <w:rFonts w:hint="eastAsia" w:ascii="宋体" w:hAnsi="宋体" w:eastAsia="宋体" w:cs="宋体"/>
                <w:color w:val="auto"/>
                <w:sz w:val="20"/>
                <w:szCs w:val="20"/>
                <w:highlight w:val="none"/>
                <w:shd w:val="clear" w:color="auto" w:fill="auto"/>
                <w:lang w:eastAsia="zh-CN"/>
              </w:rPr>
              <w:t>保证金</w:t>
            </w:r>
            <w:r>
              <w:rPr>
                <w:rFonts w:hint="eastAsia" w:ascii="宋体" w:hAnsi="宋体" w:eastAsia="宋体" w:cs="宋体"/>
                <w:color w:val="auto"/>
                <w:sz w:val="20"/>
                <w:szCs w:val="20"/>
                <w:highlight w:val="none"/>
                <w:shd w:val="clear" w:color="auto" w:fill="auto"/>
              </w:rPr>
              <w:t>无效。将有关情形在《投标保证缴纳情况表》“备注”栏中注明。</w:t>
            </w:r>
          </w:p>
          <w:p w14:paraId="59FC4CDD">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5</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、工期是否符合招标文件规定。若不符合规定，招标代理机构应将有关情形在《开标一览表》“备注”栏中注明。</w:t>
            </w:r>
          </w:p>
          <w:p w14:paraId="3325EFB3">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6</w:t>
            </w:r>
            <w:r>
              <w:rPr>
                <w:rFonts w:hint="eastAsia" w:ascii="宋体" w:hAnsi="宋体" w:eastAsia="宋体" w:cs="宋体"/>
                <w:color w:val="auto"/>
                <w:sz w:val="20"/>
                <w:szCs w:val="20"/>
                <w:highlight w:val="none"/>
                <w:shd w:val="clear" w:color="auto" w:fill="auto"/>
              </w:rPr>
              <w:t>）招标人代表、唱标人、记录人等有关人员在《投标保证缴纳情况表》以及《</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开标一览表》上签字确认。</w:t>
            </w:r>
          </w:p>
          <w:p w14:paraId="195F24DE">
            <w:pPr>
              <w:pStyle w:val="27"/>
              <w:keepNext w:val="0"/>
              <w:keepLines w:val="0"/>
              <w:pageBreakBefore w:val="0"/>
              <w:widowControl w:val="0"/>
              <w:kinsoku/>
              <w:wordWrap/>
              <w:overflowPunct/>
              <w:topLinePunct w:val="0"/>
              <w:bidi w:val="0"/>
              <w:snapToGrid/>
              <w:spacing w:line="360" w:lineRule="exact"/>
              <w:ind w:left="4" w:leftChars="0" w:right="225" w:rightChars="0" w:firstLine="420" w:firstLineChars="0"/>
              <w:textAlignment w:val="auto"/>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7</w:t>
            </w:r>
            <w:r>
              <w:rPr>
                <w:rFonts w:hint="eastAsia" w:ascii="宋体" w:hAnsi="宋体" w:eastAsia="宋体" w:cs="宋体"/>
                <w:color w:val="auto"/>
                <w:sz w:val="20"/>
                <w:szCs w:val="20"/>
                <w:highlight w:val="none"/>
                <w:shd w:val="clear" w:color="auto" w:fill="auto"/>
              </w:rPr>
              <w:t>）主持人宣布有关注意事项后，宣布</w:t>
            </w:r>
            <w:r>
              <w:rPr>
                <w:rFonts w:hint="eastAsia" w:ascii="宋体" w:hAnsi="宋体" w:eastAsia="宋体" w:cs="宋体"/>
                <w:color w:val="auto"/>
                <w:sz w:val="20"/>
                <w:szCs w:val="20"/>
                <w:highlight w:val="none"/>
                <w:shd w:val="clear" w:color="auto" w:fill="auto"/>
                <w:lang w:val="en-US" w:eastAsia="zh-CN"/>
              </w:rPr>
              <w:t>第一个信封（商务及技术文件）</w:t>
            </w:r>
            <w:r>
              <w:rPr>
                <w:rFonts w:hint="eastAsia" w:ascii="宋体" w:hAnsi="宋体" w:eastAsia="宋体" w:cs="宋体"/>
                <w:color w:val="auto"/>
                <w:sz w:val="20"/>
                <w:szCs w:val="20"/>
                <w:highlight w:val="none"/>
                <w:shd w:val="clear" w:color="auto" w:fill="auto"/>
              </w:rPr>
              <w:t>开标结束。</w:t>
            </w:r>
          </w:p>
        </w:tc>
      </w:tr>
      <w:tr w14:paraId="69E3A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D717549">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5.2.3</w:t>
            </w:r>
          </w:p>
        </w:tc>
        <w:tc>
          <w:tcPr>
            <w:tcW w:w="8251" w:type="dxa"/>
            <w:gridSpan w:val="2"/>
            <w:vAlign w:val="center"/>
          </w:tcPr>
          <w:p w14:paraId="7B78F10E">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5.2.3</w:t>
            </w:r>
            <w:r>
              <w:rPr>
                <w:rFonts w:hint="eastAsia" w:ascii="宋体" w:hAnsi="宋体" w:eastAsia="宋体" w:cs="宋体"/>
                <w:color w:val="auto"/>
                <w:sz w:val="20"/>
                <w:szCs w:val="20"/>
                <w:highlight w:val="none"/>
              </w:rPr>
              <w:t>项内容修改如下：</w:t>
            </w:r>
          </w:p>
          <w:p w14:paraId="056E86F0">
            <w:pPr>
              <w:pStyle w:val="28"/>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shd w:val="clear" w:color="auto" w:fill="auto"/>
                <w:lang w:val="en-US" w:eastAsia="zh-CN"/>
              </w:rPr>
              <w:t>5.2.3招标人将按照本章5.1款规定的时间和地点对</w:t>
            </w:r>
            <w:r>
              <w:rPr>
                <w:rFonts w:hint="eastAsia" w:ascii="宋体" w:hAnsi="宋体" w:eastAsia="宋体" w:cs="宋体"/>
                <w:color w:val="auto"/>
                <w:sz w:val="20"/>
                <w:szCs w:val="20"/>
                <w:highlight w:val="none"/>
              </w:rPr>
              <w:t>通过投标文件第一个信封（商务及技术文件）评审的</w:t>
            </w:r>
            <w:r>
              <w:rPr>
                <w:rFonts w:hint="eastAsia" w:ascii="宋体" w:hAnsi="宋体" w:eastAsia="宋体" w:cs="宋体"/>
                <w:color w:val="auto"/>
                <w:sz w:val="20"/>
                <w:szCs w:val="20"/>
                <w:highlight w:val="none"/>
                <w:shd w:val="clear" w:color="auto" w:fill="auto"/>
                <w:lang w:val="en-US" w:eastAsia="zh-CN"/>
              </w:rPr>
              <w:t>投标文件第二个信封（报价文件）进行开标。主持人按下列程序进行开标：</w:t>
            </w:r>
          </w:p>
          <w:p w14:paraId="4E446E1B">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1E8F3CD2">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w:t>
            </w:r>
            <w:r>
              <w:rPr>
                <w:rFonts w:hint="eastAsia" w:ascii="宋体" w:hAnsi="宋体" w:eastAsia="宋体" w:cs="宋体"/>
                <w:color w:val="auto"/>
                <w:sz w:val="20"/>
                <w:szCs w:val="20"/>
                <w:highlight w:val="none"/>
                <w:shd w:val="clear" w:color="auto" w:fill="auto"/>
                <w:lang w:val="en-US" w:eastAsia="zh-CN"/>
              </w:rPr>
              <w:t>通过第一个信封（商务及技术文件）评审的投标人名单</w:t>
            </w:r>
            <w:r>
              <w:rPr>
                <w:rFonts w:hint="eastAsia" w:ascii="宋体" w:hAnsi="宋体" w:eastAsia="宋体" w:cs="宋体"/>
                <w:color w:val="auto"/>
                <w:sz w:val="20"/>
                <w:szCs w:val="20"/>
                <w:highlight w:val="none"/>
                <w:shd w:val="clear" w:color="auto" w:fill="auto"/>
              </w:rPr>
              <w:t>。</w:t>
            </w:r>
          </w:p>
          <w:p w14:paraId="3AACBBD7">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）主持人宣布唱标人、记录人、见证人、监督人等有关人员姓名。</w:t>
            </w:r>
          </w:p>
          <w:p w14:paraId="36F43B49">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第二个信封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、投标</w:t>
            </w:r>
            <w:r>
              <w:rPr>
                <w:rFonts w:hint="eastAsia" w:ascii="宋体" w:hAnsi="宋体" w:eastAsia="宋体" w:cs="宋体"/>
                <w:color w:val="auto"/>
                <w:sz w:val="20"/>
                <w:szCs w:val="20"/>
                <w:highlight w:val="none"/>
                <w:shd w:val="clear" w:color="auto" w:fill="auto"/>
                <w:lang w:val="en-US" w:eastAsia="zh-CN"/>
              </w:rPr>
              <w:t>报价</w:t>
            </w:r>
            <w:r>
              <w:rPr>
                <w:rFonts w:hint="eastAsia" w:ascii="宋体" w:hAnsi="宋体" w:eastAsia="宋体" w:cs="宋体"/>
                <w:color w:val="auto"/>
                <w:sz w:val="20"/>
                <w:szCs w:val="20"/>
                <w:highlight w:val="none"/>
                <w:shd w:val="clear" w:color="auto" w:fill="auto"/>
              </w:rPr>
              <w:t>是否符合招标文件规定。若不符合规定，招标代理机构应将有关情形在《开标一览表》“备注”栏中注明。</w:t>
            </w:r>
          </w:p>
          <w:p w14:paraId="47236238">
            <w:pPr>
              <w:pStyle w:val="27"/>
              <w:keepNext w:val="0"/>
              <w:keepLines w:val="0"/>
              <w:pageBreakBefore w:val="0"/>
              <w:widowControl w:val="0"/>
              <w:kinsoku/>
              <w:wordWrap/>
              <w:overflowPunct/>
              <w:topLinePunct w:val="0"/>
              <w:bidi w:val="0"/>
              <w:snapToGrid/>
              <w:spacing w:line="36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5</w:t>
            </w:r>
            <w:r>
              <w:rPr>
                <w:rFonts w:hint="eastAsia" w:ascii="宋体" w:hAnsi="宋体" w:eastAsia="宋体" w:cs="宋体"/>
                <w:color w:val="auto"/>
                <w:sz w:val="20"/>
                <w:szCs w:val="20"/>
                <w:highlight w:val="none"/>
                <w:shd w:val="clear" w:color="auto" w:fill="auto"/>
              </w:rPr>
              <w:t>）招标人代表、唱标人、记录人等有关人员在《</w:t>
            </w:r>
            <w:r>
              <w:rPr>
                <w:rFonts w:hint="eastAsia" w:ascii="宋体" w:hAnsi="宋体" w:eastAsia="宋体" w:cs="宋体"/>
                <w:color w:val="auto"/>
                <w:sz w:val="20"/>
                <w:szCs w:val="20"/>
                <w:highlight w:val="none"/>
                <w:shd w:val="clear" w:color="auto" w:fill="auto"/>
                <w:lang w:val="en-US" w:eastAsia="zh-CN"/>
              </w:rPr>
              <w:t>第二个信封</w:t>
            </w:r>
            <w:r>
              <w:rPr>
                <w:rFonts w:hint="eastAsia" w:ascii="宋体" w:hAnsi="宋体" w:eastAsia="宋体" w:cs="宋体"/>
                <w:color w:val="auto"/>
                <w:sz w:val="20"/>
                <w:szCs w:val="20"/>
                <w:highlight w:val="none"/>
                <w:shd w:val="clear" w:color="auto" w:fill="auto"/>
              </w:rPr>
              <w:t>开标一览表》上签字确认。</w:t>
            </w:r>
          </w:p>
          <w:p w14:paraId="53369069">
            <w:pPr>
              <w:pStyle w:val="24"/>
              <w:keepNext w:val="0"/>
              <w:keepLines w:val="0"/>
              <w:pageBreakBefore w:val="0"/>
              <w:wordWrap/>
              <w:overflowPunct/>
              <w:topLinePunct w:val="0"/>
              <w:bidi w:val="0"/>
              <w:spacing w:line="360" w:lineRule="exact"/>
              <w:ind w:firstLine="400" w:firstLineChars="200"/>
              <w:jc w:val="both"/>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7</w:t>
            </w:r>
            <w:r>
              <w:rPr>
                <w:rFonts w:hint="eastAsia" w:ascii="宋体" w:hAnsi="宋体" w:eastAsia="宋体" w:cs="宋体"/>
                <w:color w:val="auto"/>
                <w:sz w:val="20"/>
                <w:szCs w:val="20"/>
                <w:highlight w:val="none"/>
                <w:shd w:val="clear" w:color="auto" w:fill="auto"/>
              </w:rPr>
              <w:t>）宣布</w:t>
            </w:r>
            <w:r>
              <w:rPr>
                <w:rFonts w:hint="eastAsia" w:ascii="宋体" w:hAnsi="宋体" w:eastAsia="宋体" w:cs="宋体"/>
                <w:color w:val="auto"/>
                <w:sz w:val="20"/>
                <w:szCs w:val="20"/>
                <w:highlight w:val="none"/>
                <w:shd w:val="clear" w:color="auto" w:fill="auto"/>
                <w:lang w:val="en-US" w:eastAsia="zh-CN"/>
              </w:rPr>
              <w:t>第二个信封（报价文件）</w:t>
            </w:r>
            <w:r>
              <w:rPr>
                <w:rFonts w:hint="eastAsia" w:ascii="宋体" w:hAnsi="宋体" w:eastAsia="宋体" w:cs="宋体"/>
                <w:color w:val="auto"/>
                <w:sz w:val="20"/>
                <w:szCs w:val="20"/>
                <w:highlight w:val="none"/>
                <w:shd w:val="clear" w:color="auto" w:fill="auto"/>
              </w:rPr>
              <w:t>开标结束。</w:t>
            </w:r>
          </w:p>
        </w:tc>
      </w:tr>
      <w:tr w14:paraId="13546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5EB5E27">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w:t>
            </w:r>
          </w:p>
        </w:tc>
        <w:tc>
          <w:tcPr>
            <w:tcW w:w="8251" w:type="dxa"/>
            <w:gridSpan w:val="2"/>
            <w:vAlign w:val="center"/>
          </w:tcPr>
          <w:p w14:paraId="4568931E">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投标人须知正文5.4项内容修改如下：</w:t>
            </w:r>
          </w:p>
          <w:p w14:paraId="47065AD9">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5.4开标补救措施</w:t>
            </w:r>
          </w:p>
          <w:p w14:paraId="739864B1">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400"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5.4.1 按照交易平台关于全流程电子化项目的相关指引进行操作。详见：全国公共资源交易平台（广东省·韶关市）（https://ygp.gdzwfw.gov.cn/ggzy-portal/#/440200/index）交易指引栏目发布的最新版操作指引。  </w:t>
            </w:r>
          </w:p>
          <w:p w14:paraId="07626D6F">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376"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6"/>
                <w:sz w:val="20"/>
                <w:szCs w:val="20"/>
                <w:highlight w:val="none"/>
                <w:lang w:val="en-US" w:eastAsia="zh-CN"/>
              </w:rPr>
              <w:t>5.4.2 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r>
              <w:rPr>
                <w:rFonts w:hint="eastAsia" w:ascii="宋体" w:hAnsi="宋体" w:eastAsia="宋体" w:cs="宋体"/>
                <w:color w:val="auto"/>
                <w:sz w:val="20"/>
                <w:szCs w:val="20"/>
                <w:highlight w:val="none"/>
                <w:lang w:val="en-US" w:eastAsia="zh-CN"/>
              </w:rPr>
              <w:t>。</w:t>
            </w:r>
          </w:p>
          <w:p w14:paraId="3D56C235">
            <w:pPr>
              <w:pStyle w:val="24"/>
              <w:keepNext w:val="0"/>
              <w:keepLines w:val="0"/>
              <w:pageBreakBefore w:val="0"/>
              <w:widowControl w:val="0"/>
              <w:kinsoku w:val="0"/>
              <w:wordWrap/>
              <w:overflowPunct/>
              <w:topLinePunct w:val="0"/>
              <w:autoSpaceDE w:val="0"/>
              <w:autoSpaceDN w:val="0"/>
              <w:bidi w:val="0"/>
              <w:adjustRightInd w:val="0"/>
              <w:snapToGrid w:val="0"/>
              <w:spacing w:line="360" w:lineRule="exact"/>
              <w:ind w:left="105" w:leftChars="50" w:right="105" w:rightChars="50" w:firstLine="400"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除发生上述情况外，开标均以投标人通过交易平台网上递交的电子投标文件为准。</w:t>
            </w:r>
          </w:p>
        </w:tc>
      </w:tr>
      <w:tr w14:paraId="5A6D0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45F50313">
            <w:pPr>
              <w:pStyle w:val="24"/>
              <w:spacing w:line="380" w:lineRule="exact"/>
              <w:ind w:firstLine="0" w:firstLineChars="0"/>
              <w:rPr>
                <w:rFonts w:hint="eastAsia" w:ascii="宋体" w:hAnsi="宋体" w:eastAsia="宋体" w:cs="宋体"/>
                <w:color w:val="auto"/>
                <w:spacing w:val="-1"/>
                <w:position w:val="1"/>
                <w:sz w:val="20"/>
                <w:szCs w:val="20"/>
                <w:highlight w:val="none"/>
              </w:rPr>
            </w:pPr>
            <w:r>
              <w:rPr>
                <w:rFonts w:hint="eastAsia" w:ascii="宋体" w:hAnsi="宋体" w:eastAsia="宋体" w:cs="宋体"/>
                <w:color w:val="auto"/>
                <w:sz w:val="20"/>
                <w:szCs w:val="20"/>
                <w:highlight w:val="none"/>
                <w:lang w:val="en-US" w:eastAsia="zh-CN"/>
              </w:rPr>
              <w:t>6.3.2</w:t>
            </w:r>
          </w:p>
        </w:tc>
        <w:tc>
          <w:tcPr>
            <w:tcW w:w="8251" w:type="dxa"/>
            <w:gridSpan w:val="2"/>
            <w:vAlign w:val="center"/>
          </w:tcPr>
          <w:p w14:paraId="3EB6B252">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项内容修改如下：</w:t>
            </w:r>
          </w:p>
          <w:p w14:paraId="6CCB8B60">
            <w:pPr>
              <w:pStyle w:val="24"/>
              <w:keepNext w:val="0"/>
              <w:keepLines w:val="0"/>
              <w:pageBreakBefore w:val="0"/>
              <w:wordWrap/>
              <w:overflowPunct/>
              <w:topLinePunct w:val="0"/>
              <w:bidi w:val="0"/>
              <w:spacing w:line="360" w:lineRule="exact"/>
              <w:ind w:firstLine="400" w:firstLineChars="200"/>
              <w:jc w:val="both"/>
              <w:rPr>
                <w:rFonts w:hint="eastAsia" w:ascii="宋体" w:hAnsi="宋体" w:eastAsia="宋体" w:cs="宋体"/>
                <w:color w:val="auto"/>
                <w:spacing w:val="12"/>
                <w:sz w:val="20"/>
                <w:szCs w:val="20"/>
                <w:highlight w:val="none"/>
              </w:rPr>
            </w:pP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评标完成后，评标委员会应向招标人提交书面评标报告和</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标候选人名单。评标委员会推荐</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标候选人的人数见投标人须知前附表。</w:t>
            </w:r>
          </w:p>
        </w:tc>
      </w:tr>
      <w:tr w14:paraId="34469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339C09B7">
            <w:pPr>
              <w:pStyle w:val="24"/>
              <w:spacing w:line="380" w:lineRule="exact"/>
              <w:ind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6.3.3</w:t>
            </w:r>
          </w:p>
        </w:tc>
        <w:tc>
          <w:tcPr>
            <w:tcW w:w="8251" w:type="dxa"/>
            <w:gridSpan w:val="2"/>
            <w:vAlign w:val="center"/>
          </w:tcPr>
          <w:p w14:paraId="322C711E">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6.3.3</w:t>
            </w:r>
            <w:r>
              <w:rPr>
                <w:rFonts w:hint="eastAsia" w:ascii="宋体" w:hAnsi="宋体" w:eastAsia="宋体" w:cs="宋体"/>
                <w:color w:val="auto"/>
                <w:sz w:val="20"/>
                <w:szCs w:val="20"/>
                <w:highlight w:val="none"/>
              </w:rPr>
              <w:t>项内容修改如下：</w:t>
            </w:r>
          </w:p>
          <w:p w14:paraId="215B5320">
            <w:pPr>
              <w:pStyle w:val="24"/>
              <w:keepNext w:val="0"/>
              <w:keepLines w:val="0"/>
              <w:pageBreakBefore w:val="0"/>
              <w:widowControl w:val="0"/>
              <w:wordWrap/>
              <w:overflowPunct/>
              <w:topLinePunct w:val="0"/>
              <w:bidi w:val="0"/>
              <w:spacing w:line="360" w:lineRule="exact"/>
              <w:ind w:left="105" w:leftChars="50" w:right="105" w:rightChars="5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6.3.3评标补救措施</w:t>
            </w:r>
          </w:p>
          <w:p w14:paraId="3B69F143">
            <w:pPr>
              <w:pStyle w:val="24"/>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841275E">
            <w:pPr>
              <w:pStyle w:val="24"/>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除发生上述情况外，评标均以投标人通过交易平台网上递交的电子投标文件为准。</w:t>
            </w:r>
          </w:p>
        </w:tc>
      </w:tr>
      <w:tr w14:paraId="5EAAD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647809E0">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right="0"/>
              <w:jc w:val="center"/>
              <w:textAlignment w:val="baseline"/>
              <w:rPr>
                <w:color w:val="auto"/>
                <w:highlight w:val="none"/>
              </w:rPr>
            </w:pPr>
            <w:r>
              <w:rPr>
                <w:color w:val="auto"/>
                <w:spacing w:val="-1"/>
                <w:position w:val="1"/>
                <w:highlight w:val="none"/>
              </w:rPr>
              <w:t>10.2</w:t>
            </w:r>
          </w:p>
        </w:tc>
        <w:tc>
          <w:tcPr>
            <w:tcW w:w="8251" w:type="dxa"/>
            <w:gridSpan w:val="2"/>
            <w:vAlign w:val="center"/>
          </w:tcPr>
          <w:p w14:paraId="7FE62D1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right="42" w:rightChars="20"/>
              <w:jc w:val="both"/>
              <w:textAlignment w:val="baseline"/>
              <w:rPr>
                <w:color w:val="auto"/>
                <w:highlight w:val="none"/>
              </w:rPr>
            </w:pPr>
            <w:r>
              <w:rPr>
                <w:color w:val="auto"/>
                <w:spacing w:val="5"/>
                <w:highlight w:val="none"/>
              </w:rPr>
              <w:t>增加</w:t>
            </w:r>
            <w:r>
              <w:rPr>
                <w:color w:val="auto"/>
                <w:spacing w:val="-19"/>
                <w:highlight w:val="none"/>
              </w:rPr>
              <w:t xml:space="preserve"> </w:t>
            </w:r>
            <w:r>
              <w:rPr>
                <w:color w:val="auto"/>
                <w:spacing w:val="5"/>
                <w:highlight w:val="none"/>
              </w:rPr>
              <w:t>10.2、10.3、10.4、10.5、10.6、10.7、10.8</w:t>
            </w:r>
            <w:r>
              <w:rPr>
                <w:color w:val="auto"/>
                <w:spacing w:val="-37"/>
                <w:highlight w:val="none"/>
              </w:rPr>
              <w:t xml:space="preserve"> </w:t>
            </w:r>
            <w:r>
              <w:rPr>
                <w:color w:val="auto"/>
                <w:spacing w:val="5"/>
                <w:highlight w:val="none"/>
              </w:rPr>
              <w:t>款如下：</w:t>
            </w:r>
          </w:p>
          <w:p w14:paraId="1D2A53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0" w:firstLineChars="200"/>
              <w:jc w:val="both"/>
              <w:textAlignment w:val="baseline"/>
              <w:rPr>
                <w:color w:val="auto"/>
                <w:highlight w:val="none"/>
              </w:rPr>
            </w:pPr>
            <w:r>
              <w:rPr>
                <w:color w:val="auto"/>
                <w:spacing w:val="5"/>
                <w:highlight w:val="none"/>
              </w:rPr>
              <w:t>10.2  信用等级的确定原则：</w:t>
            </w:r>
          </w:p>
          <w:p w14:paraId="1AE9B67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10.2.1 招标文件中的信用等级指的是广东省交通运输厅最新年度发布的</w:t>
            </w:r>
            <w:r>
              <w:rPr>
                <w:color w:val="auto"/>
                <w:spacing w:val="10"/>
                <w:highlight w:val="none"/>
              </w:rPr>
              <w:t>公路工程</w:t>
            </w:r>
            <w:r>
              <w:rPr>
                <w:color w:val="auto"/>
                <w:spacing w:val="14"/>
                <w:highlight w:val="none"/>
              </w:rPr>
              <w:t>从业单位信用评价等级（监理单位）</w:t>
            </w:r>
            <w:r>
              <w:rPr>
                <w:color w:val="auto"/>
                <w:spacing w:val="-49"/>
                <w:highlight w:val="none"/>
              </w:rPr>
              <w:t xml:space="preserve"> </w:t>
            </w:r>
            <w:r>
              <w:rPr>
                <w:color w:val="auto"/>
                <w:spacing w:val="14"/>
                <w:highlight w:val="none"/>
              </w:rPr>
              <w:t>。如无广东省最新年度信用等级而有上</w:t>
            </w:r>
            <w:r>
              <w:rPr>
                <w:color w:val="auto"/>
                <w:spacing w:val="13"/>
                <w:highlight w:val="none"/>
              </w:rPr>
              <w:t>一年</w:t>
            </w:r>
            <w:r>
              <w:rPr>
                <w:color w:val="auto"/>
                <w:spacing w:val="15"/>
                <w:highlight w:val="none"/>
              </w:rPr>
              <w:t>度广东省信用等级的，则其原信用等级可延续一年，但在递交投标文件时信用等级的使用次数应按上一年度公布的信用评价结果顺延上一年度的使用次数。具体</w:t>
            </w:r>
            <w:r>
              <w:rPr>
                <w:color w:val="auto"/>
                <w:spacing w:val="8"/>
                <w:highlight w:val="none"/>
              </w:rPr>
              <w:t>使用次数有关规定如下：</w:t>
            </w:r>
          </w:p>
          <w:p w14:paraId="1A670BC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4" w:firstLineChars="200"/>
              <w:jc w:val="both"/>
              <w:textAlignment w:val="baseline"/>
              <w:rPr>
                <w:color w:val="auto"/>
                <w:highlight w:val="none"/>
              </w:rPr>
            </w:pPr>
            <w:r>
              <w:rPr>
                <w:color w:val="auto"/>
                <w:spacing w:val="6"/>
                <w:highlight w:val="none"/>
              </w:rPr>
              <w:t>1.对于信用等级为</w:t>
            </w:r>
            <w:r>
              <w:rPr>
                <w:color w:val="auto"/>
                <w:spacing w:val="-34"/>
                <w:highlight w:val="none"/>
              </w:rPr>
              <w:t xml:space="preserve"> </w:t>
            </w:r>
            <w:r>
              <w:rPr>
                <w:color w:val="auto"/>
                <w:highlight w:val="none"/>
              </w:rPr>
              <w:t>AA</w:t>
            </w:r>
            <w:r>
              <w:rPr>
                <w:color w:val="auto"/>
                <w:spacing w:val="-35"/>
                <w:highlight w:val="none"/>
              </w:rPr>
              <w:t xml:space="preserve"> </w:t>
            </w:r>
            <w:r>
              <w:rPr>
                <w:color w:val="auto"/>
                <w:spacing w:val="6"/>
                <w:highlight w:val="none"/>
              </w:rPr>
              <w:t>级的从业单位</w:t>
            </w:r>
            <w:r>
              <w:rPr>
                <w:color w:val="auto"/>
                <w:spacing w:val="-58"/>
                <w:highlight w:val="none"/>
              </w:rPr>
              <w:t xml:space="preserve"> </w:t>
            </w:r>
            <w:r>
              <w:rPr>
                <w:color w:val="auto"/>
                <w:spacing w:val="6"/>
                <w:highlight w:val="none"/>
              </w:rPr>
              <w:t>:</w:t>
            </w:r>
          </w:p>
          <w:p w14:paraId="2D9AB11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6" w:firstLineChars="200"/>
              <w:jc w:val="both"/>
              <w:textAlignment w:val="baseline"/>
              <w:rPr>
                <w:color w:val="auto"/>
                <w:highlight w:val="none"/>
              </w:rPr>
            </w:pPr>
            <w:r>
              <w:rPr>
                <w:color w:val="auto"/>
                <w:spacing w:val="14"/>
                <w:highlight w:val="none"/>
              </w:rPr>
              <w:t>(1)仅最新一年度信用等级为</w:t>
            </w:r>
            <w:r>
              <w:rPr>
                <w:color w:val="auto"/>
                <w:spacing w:val="-41"/>
                <w:highlight w:val="none"/>
              </w:rPr>
              <w:t xml:space="preserve"> </w:t>
            </w:r>
            <w:r>
              <w:rPr>
                <w:color w:val="auto"/>
                <w:highlight w:val="none"/>
              </w:rPr>
              <w:t>AA</w:t>
            </w:r>
            <w:r>
              <w:rPr>
                <w:color w:val="auto"/>
                <w:spacing w:val="-30"/>
                <w:highlight w:val="none"/>
              </w:rPr>
              <w:t xml:space="preserve"> </w:t>
            </w:r>
            <w:r>
              <w:rPr>
                <w:color w:val="auto"/>
                <w:spacing w:val="14"/>
                <w:highlight w:val="none"/>
              </w:rPr>
              <w:t>级的从业单位</w:t>
            </w:r>
            <w:r>
              <w:rPr>
                <w:color w:val="auto"/>
                <w:spacing w:val="13"/>
                <w:highlight w:val="none"/>
              </w:rPr>
              <w:t>在参加广东省公路工程建设项目投</w:t>
            </w:r>
            <w:r>
              <w:rPr>
                <w:color w:val="auto"/>
                <w:spacing w:val="12"/>
                <w:highlight w:val="none"/>
              </w:rPr>
              <w:t>标活动（以递交投标文件时间为准）时，可申请使用</w:t>
            </w:r>
            <w:r>
              <w:rPr>
                <w:color w:val="auto"/>
                <w:highlight w:val="none"/>
              </w:rPr>
              <w:t>AA</w:t>
            </w:r>
            <w:r>
              <w:rPr>
                <w:color w:val="auto"/>
                <w:spacing w:val="-33"/>
                <w:highlight w:val="none"/>
              </w:rPr>
              <w:t xml:space="preserve"> </w:t>
            </w:r>
            <w:r>
              <w:rPr>
                <w:color w:val="auto"/>
                <w:spacing w:val="12"/>
                <w:highlight w:val="none"/>
              </w:rPr>
              <w:t>级分值</w:t>
            </w:r>
            <w:r>
              <w:rPr>
                <w:color w:val="auto"/>
                <w:spacing w:val="-33"/>
                <w:highlight w:val="none"/>
              </w:rPr>
              <w:t xml:space="preserve"> </w:t>
            </w:r>
            <w:r>
              <w:rPr>
                <w:color w:val="auto"/>
                <w:spacing w:val="12"/>
                <w:highlight w:val="none"/>
              </w:rPr>
              <w:t>8</w:t>
            </w:r>
            <w:r>
              <w:rPr>
                <w:color w:val="auto"/>
                <w:spacing w:val="-33"/>
                <w:highlight w:val="none"/>
              </w:rPr>
              <w:t xml:space="preserve"> </w:t>
            </w:r>
            <w:r>
              <w:rPr>
                <w:color w:val="auto"/>
                <w:spacing w:val="12"/>
                <w:highlight w:val="none"/>
              </w:rPr>
              <w:t>次，</w:t>
            </w:r>
            <w:r>
              <w:rPr>
                <w:color w:val="auto"/>
                <w:spacing w:val="11"/>
                <w:highlight w:val="none"/>
              </w:rPr>
              <w:t>用完</w:t>
            </w:r>
            <w:r>
              <w:rPr>
                <w:color w:val="auto"/>
                <w:spacing w:val="-33"/>
                <w:highlight w:val="none"/>
              </w:rPr>
              <w:t xml:space="preserve"> </w:t>
            </w:r>
            <w:r>
              <w:rPr>
                <w:color w:val="auto"/>
                <w:spacing w:val="11"/>
                <w:highlight w:val="none"/>
              </w:rPr>
              <w:t>8</w:t>
            </w:r>
            <w:r>
              <w:rPr>
                <w:color w:val="auto"/>
                <w:spacing w:val="-30"/>
                <w:highlight w:val="none"/>
              </w:rPr>
              <w:t xml:space="preserve"> </w:t>
            </w:r>
            <w:r>
              <w:rPr>
                <w:color w:val="auto"/>
                <w:spacing w:val="11"/>
                <w:highlight w:val="none"/>
              </w:rPr>
              <w:t>次后</w:t>
            </w:r>
            <w:r>
              <w:rPr>
                <w:color w:val="auto"/>
                <w:spacing w:val="7"/>
                <w:highlight w:val="none"/>
              </w:rPr>
              <w:t>信用等级分值将按</w:t>
            </w:r>
            <w:r>
              <w:rPr>
                <w:color w:val="auto"/>
                <w:spacing w:val="-42"/>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级分值取定；</w:t>
            </w:r>
          </w:p>
          <w:p w14:paraId="7E9D72A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76" w:firstLineChars="200"/>
              <w:jc w:val="both"/>
              <w:textAlignment w:val="baseline"/>
              <w:rPr>
                <w:color w:val="auto"/>
                <w:highlight w:val="none"/>
              </w:rPr>
            </w:pPr>
            <w:r>
              <w:rPr>
                <w:color w:val="auto"/>
                <w:spacing w:val="19"/>
                <w:highlight w:val="none"/>
              </w:rPr>
              <w:t>(2)连续最近两个年度信用等级为</w:t>
            </w:r>
            <w:r>
              <w:rPr>
                <w:color w:val="auto"/>
                <w:spacing w:val="-19"/>
                <w:highlight w:val="none"/>
              </w:rPr>
              <w:t xml:space="preserve"> </w:t>
            </w:r>
            <w:r>
              <w:rPr>
                <w:color w:val="auto"/>
                <w:highlight w:val="none"/>
              </w:rPr>
              <w:t>AA</w:t>
            </w:r>
            <w:r>
              <w:rPr>
                <w:color w:val="auto"/>
                <w:spacing w:val="-23"/>
                <w:highlight w:val="none"/>
              </w:rPr>
              <w:t xml:space="preserve"> </w:t>
            </w:r>
            <w:r>
              <w:rPr>
                <w:color w:val="auto"/>
                <w:spacing w:val="19"/>
                <w:highlight w:val="none"/>
              </w:rPr>
              <w:t>级的单位在参加广东省公路工程投标活动</w:t>
            </w:r>
            <w:r>
              <w:rPr>
                <w:color w:val="auto"/>
                <w:spacing w:val="10"/>
                <w:highlight w:val="none"/>
              </w:rPr>
              <w:t>（以递交投标文件时间为准）时，可申请使用</w:t>
            </w:r>
            <w:r>
              <w:rPr>
                <w:color w:val="auto"/>
                <w:highlight w:val="none"/>
              </w:rPr>
              <w:t>AA</w:t>
            </w:r>
            <w:r>
              <w:rPr>
                <w:color w:val="auto"/>
                <w:spacing w:val="-21"/>
                <w:highlight w:val="none"/>
              </w:rPr>
              <w:t xml:space="preserve"> </w:t>
            </w:r>
            <w:r>
              <w:rPr>
                <w:color w:val="auto"/>
                <w:spacing w:val="10"/>
                <w:highlight w:val="none"/>
              </w:rPr>
              <w:t>级分值</w:t>
            </w:r>
            <w:r>
              <w:rPr>
                <w:color w:val="auto"/>
                <w:spacing w:val="-17"/>
                <w:highlight w:val="none"/>
              </w:rPr>
              <w:t xml:space="preserve"> </w:t>
            </w:r>
            <w:r>
              <w:rPr>
                <w:color w:val="auto"/>
                <w:spacing w:val="10"/>
                <w:highlight w:val="none"/>
              </w:rPr>
              <w:t>12</w:t>
            </w:r>
            <w:r>
              <w:rPr>
                <w:color w:val="auto"/>
                <w:spacing w:val="-32"/>
                <w:highlight w:val="none"/>
              </w:rPr>
              <w:t xml:space="preserve"> </w:t>
            </w:r>
            <w:r>
              <w:rPr>
                <w:color w:val="auto"/>
                <w:spacing w:val="10"/>
                <w:highlight w:val="none"/>
              </w:rPr>
              <w:t>次，用完</w:t>
            </w:r>
            <w:r>
              <w:rPr>
                <w:color w:val="auto"/>
                <w:spacing w:val="-19"/>
                <w:highlight w:val="none"/>
              </w:rPr>
              <w:t xml:space="preserve"> </w:t>
            </w:r>
            <w:r>
              <w:rPr>
                <w:color w:val="auto"/>
                <w:spacing w:val="10"/>
                <w:highlight w:val="none"/>
              </w:rPr>
              <w:t>12</w:t>
            </w:r>
            <w:r>
              <w:rPr>
                <w:color w:val="auto"/>
                <w:spacing w:val="-30"/>
                <w:highlight w:val="none"/>
              </w:rPr>
              <w:t xml:space="preserve"> </w:t>
            </w:r>
            <w:r>
              <w:rPr>
                <w:color w:val="auto"/>
                <w:spacing w:val="10"/>
                <w:highlight w:val="none"/>
              </w:rPr>
              <w:t>次后信用</w:t>
            </w:r>
            <w:r>
              <w:rPr>
                <w:color w:val="auto"/>
                <w:spacing w:val="6"/>
                <w:highlight w:val="none"/>
              </w:rPr>
              <w:t>等级分值将按</w:t>
            </w:r>
            <w:r>
              <w:rPr>
                <w:color w:val="auto"/>
                <w:spacing w:val="-45"/>
                <w:highlight w:val="none"/>
              </w:rPr>
              <w:t xml:space="preserve"> </w:t>
            </w:r>
            <w:r>
              <w:rPr>
                <w:color w:val="auto"/>
                <w:spacing w:val="6"/>
                <w:highlight w:val="none"/>
              </w:rPr>
              <w:t>A</w:t>
            </w:r>
            <w:r>
              <w:rPr>
                <w:color w:val="auto"/>
                <w:spacing w:val="-35"/>
                <w:highlight w:val="none"/>
              </w:rPr>
              <w:t xml:space="preserve"> </w:t>
            </w:r>
            <w:r>
              <w:rPr>
                <w:color w:val="auto"/>
                <w:spacing w:val="6"/>
                <w:highlight w:val="none"/>
              </w:rPr>
              <w:t>级取定；</w:t>
            </w:r>
          </w:p>
          <w:p w14:paraId="175D21D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0" w:firstLineChars="200"/>
              <w:jc w:val="both"/>
              <w:textAlignment w:val="baseline"/>
              <w:rPr>
                <w:color w:val="auto"/>
                <w:highlight w:val="none"/>
              </w:rPr>
            </w:pPr>
            <w:r>
              <w:rPr>
                <w:color w:val="auto"/>
                <w:spacing w:val="10"/>
                <w:highlight w:val="none"/>
              </w:rPr>
              <w:t>2.对于信用等级为</w:t>
            </w:r>
            <w:r>
              <w:rPr>
                <w:color w:val="auto"/>
                <w:spacing w:val="-24"/>
                <w:highlight w:val="none"/>
              </w:rPr>
              <w:t xml:space="preserve"> </w:t>
            </w:r>
            <w:r>
              <w:rPr>
                <w:color w:val="auto"/>
                <w:spacing w:val="10"/>
                <w:highlight w:val="none"/>
              </w:rPr>
              <w:t>A</w:t>
            </w:r>
            <w:r>
              <w:rPr>
                <w:color w:val="auto"/>
                <w:spacing w:val="-35"/>
                <w:highlight w:val="none"/>
              </w:rPr>
              <w:t xml:space="preserve"> </w:t>
            </w:r>
            <w:r>
              <w:rPr>
                <w:color w:val="auto"/>
                <w:spacing w:val="10"/>
                <w:highlight w:val="none"/>
              </w:rPr>
              <w:t>级的从业单位:当年度信用等级</w:t>
            </w:r>
            <w:r>
              <w:rPr>
                <w:color w:val="auto"/>
                <w:spacing w:val="-40"/>
                <w:highlight w:val="none"/>
              </w:rPr>
              <w:t xml:space="preserve"> </w:t>
            </w:r>
            <w:r>
              <w:rPr>
                <w:color w:val="auto"/>
                <w:spacing w:val="10"/>
                <w:highlight w:val="none"/>
              </w:rPr>
              <w:t>A</w:t>
            </w:r>
            <w:r>
              <w:rPr>
                <w:color w:val="auto"/>
                <w:spacing w:val="-33"/>
                <w:highlight w:val="none"/>
              </w:rPr>
              <w:t xml:space="preserve"> </w:t>
            </w:r>
            <w:r>
              <w:rPr>
                <w:color w:val="auto"/>
                <w:spacing w:val="10"/>
                <w:highlight w:val="none"/>
              </w:rPr>
              <w:t>级单位在参加广东省公路工</w:t>
            </w:r>
            <w:r>
              <w:rPr>
                <w:color w:val="auto"/>
                <w:spacing w:val="14"/>
                <w:highlight w:val="none"/>
              </w:rPr>
              <w:t>程建设项目招投标活动（以递交投标文件时间为</w:t>
            </w:r>
            <w:r>
              <w:rPr>
                <w:color w:val="auto"/>
                <w:spacing w:val="13"/>
                <w:highlight w:val="none"/>
              </w:rPr>
              <w:t>准）时，可申请使用A</w:t>
            </w:r>
            <w:r>
              <w:rPr>
                <w:color w:val="auto"/>
                <w:spacing w:val="-30"/>
                <w:highlight w:val="none"/>
              </w:rPr>
              <w:t xml:space="preserve"> </w:t>
            </w:r>
            <w:r>
              <w:rPr>
                <w:color w:val="auto"/>
                <w:spacing w:val="13"/>
                <w:highlight w:val="none"/>
              </w:rPr>
              <w:t>级分值</w:t>
            </w:r>
            <w:r>
              <w:rPr>
                <w:color w:val="auto"/>
                <w:spacing w:val="-19"/>
                <w:highlight w:val="none"/>
              </w:rPr>
              <w:t xml:space="preserve"> </w:t>
            </w:r>
            <w:r>
              <w:rPr>
                <w:color w:val="auto"/>
                <w:spacing w:val="13"/>
                <w:highlight w:val="none"/>
              </w:rPr>
              <w:t>12</w:t>
            </w:r>
            <w:r>
              <w:rPr>
                <w:color w:val="auto"/>
                <w:spacing w:val="6"/>
                <w:highlight w:val="none"/>
              </w:rPr>
              <w:t>次，用完</w:t>
            </w:r>
            <w:r>
              <w:rPr>
                <w:color w:val="auto"/>
                <w:spacing w:val="-24"/>
                <w:highlight w:val="none"/>
              </w:rPr>
              <w:t xml:space="preserve"> </w:t>
            </w:r>
            <w:r>
              <w:rPr>
                <w:color w:val="auto"/>
                <w:spacing w:val="6"/>
                <w:highlight w:val="none"/>
              </w:rPr>
              <w:t>12</w:t>
            </w:r>
            <w:r>
              <w:rPr>
                <w:color w:val="auto"/>
                <w:spacing w:val="-32"/>
                <w:highlight w:val="none"/>
              </w:rPr>
              <w:t xml:space="preserve"> </w:t>
            </w:r>
            <w:r>
              <w:rPr>
                <w:color w:val="auto"/>
                <w:spacing w:val="6"/>
                <w:highlight w:val="none"/>
              </w:rPr>
              <w:t>次后信用等级分值将按</w:t>
            </w:r>
            <w:r>
              <w:rPr>
                <w:color w:val="auto"/>
                <w:spacing w:val="-42"/>
                <w:highlight w:val="none"/>
              </w:rPr>
              <w:t xml:space="preserve"> </w:t>
            </w:r>
            <w:r>
              <w:rPr>
                <w:color w:val="auto"/>
                <w:spacing w:val="6"/>
                <w:highlight w:val="none"/>
              </w:rPr>
              <w:t>B</w:t>
            </w:r>
            <w:r>
              <w:rPr>
                <w:color w:val="auto"/>
                <w:spacing w:val="-34"/>
                <w:highlight w:val="none"/>
              </w:rPr>
              <w:t xml:space="preserve"> </w:t>
            </w:r>
            <w:r>
              <w:rPr>
                <w:color w:val="auto"/>
                <w:spacing w:val="6"/>
                <w:highlight w:val="none"/>
              </w:rPr>
              <w:t>级分值取定。</w:t>
            </w:r>
          </w:p>
          <w:p w14:paraId="2471831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2" w:firstLineChars="200"/>
              <w:jc w:val="both"/>
              <w:textAlignment w:val="baseline"/>
              <w:rPr>
                <w:color w:val="auto"/>
                <w:highlight w:val="none"/>
              </w:rPr>
            </w:pPr>
            <w:r>
              <w:rPr>
                <w:color w:val="auto"/>
                <w:spacing w:val="13"/>
                <w:highlight w:val="none"/>
              </w:rPr>
              <w:t>3.当年度信用等级为</w:t>
            </w:r>
            <w:r>
              <w:rPr>
                <w:color w:val="auto"/>
                <w:spacing w:val="-41"/>
                <w:highlight w:val="none"/>
              </w:rPr>
              <w:t xml:space="preserve"> </w:t>
            </w:r>
            <w:r>
              <w:rPr>
                <w:color w:val="auto"/>
                <w:highlight w:val="none"/>
              </w:rPr>
              <w:t>AA</w:t>
            </w:r>
            <w:r>
              <w:rPr>
                <w:color w:val="auto"/>
                <w:spacing w:val="13"/>
                <w:highlight w:val="none"/>
              </w:rPr>
              <w:t>、A</w:t>
            </w:r>
            <w:r>
              <w:rPr>
                <w:color w:val="auto"/>
                <w:spacing w:val="-32"/>
                <w:highlight w:val="none"/>
              </w:rPr>
              <w:t xml:space="preserve"> </w:t>
            </w:r>
            <w:r>
              <w:rPr>
                <w:color w:val="auto"/>
                <w:spacing w:val="13"/>
                <w:highlight w:val="none"/>
              </w:rPr>
              <w:t>级的从业单位未承诺使用的信用等级分值的，</w:t>
            </w:r>
            <w:r>
              <w:rPr>
                <w:color w:val="auto"/>
                <w:highlight w:val="none"/>
              </w:rPr>
              <w:t>AA</w:t>
            </w:r>
            <w:r>
              <w:rPr>
                <w:color w:val="auto"/>
                <w:spacing w:val="-33"/>
                <w:highlight w:val="none"/>
              </w:rPr>
              <w:t xml:space="preserve"> </w:t>
            </w:r>
            <w:r>
              <w:rPr>
                <w:color w:val="auto"/>
                <w:spacing w:val="12"/>
                <w:highlight w:val="none"/>
              </w:rPr>
              <w:t>级信</w:t>
            </w:r>
            <w:r>
              <w:rPr>
                <w:color w:val="auto"/>
                <w:spacing w:val="6"/>
                <w:highlight w:val="none"/>
              </w:rPr>
              <w:t>用等级企业按</w:t>
            </w:r>
            <w:r>
              <w:rPr>
                <w:color w:val="auto"/>
                <w:spacing w:val="-29"/>
                <w:highlight w:val="none"/>
              </w:rPr>
              <w:t xml:space="preserve"> </w:t>
            </w:r>
            <w:r>
              <w:rPr>
                <w:color w:val="auto"/>
                <w:spacing w:val="6"/>
                <w:highlight w:val="none"/>
              </w:rPr>
              <w:t>A</w:t>
            </w:r>
            <w:r>
              <w:rPr>
                <w:color w:val="auto"/>
                <w:spacing w:val="-34"/>
                <w:highlight w:val="none"/>
              </w:rPr>
              <w:t xml:space="preserve"> </w:t>
            </w:r>
            <w:r>
              <w:rPr>
                <w:color w:val="auto"/>
                <w:spacing w:val="6"/>
                <w:highlight w:val="none"/>
              </w:rPr>
              <w:t>级对待、A</w:t>
            </w:r>
            <w:r>
              <w:rPr>
                <w:color w:val="auto"/>
                <w:spacing w:val="-35"/>
                <w:highlight w:val="none"/>
              </w:rPr>
              <w:t xml:space="preserve"> </w:t>
            </w:r>
            <w:r>
              <w:rPr>
                <w:color w:val="auto"/>
                <w:spacing w:val="6"/>
                <w:highlight w:val="none"/>
              </w:rPr>
              <w:t>级信用等级企业按</w:t>
            </w:r>
            <w:r>
              <w:rPr>
                <w:color w:val="auto"/>
                <w:spacing w:val="-41"/>
                <w:highlight w:val="none"/>
              </w:rPr>
              <w:t xml:space="preserve"> </w:t>
            </w:r>
            <w:r>
              <w:rPr>
                <w:color w:val="auto"/>
                <w:spacing w:val="6"/>
                <w:highlight w:val="none"/>
              </w:rPr>
              <w:t>B</w:t>
            </w:r>
            <w:r>
              <w:rPr>
                <w:color w:val="auto"/>
                <w:spacing w:val="-37"/>
                <w:highlight w:val="none"/>
              </w:rPr>
              <w:t xml:space="preserve"> </w:t>
            </w:r>
            <w:r>
              <w:rPr>
                <w:color w:val="auto"/>
                <w:spacing w:val="6"/>
                <w:highlight w:val="none"/>
              </w:rPr>
              <w:t>级对待。</w:t>
            </w:r>
          </w:p>
          <w:p w14:paraId="2118144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4.若从业企业在信用评价年度信用等级由</w:t>
            </w:r>
            <w:r>
              <w:rPr>
                <w:color w:val="auto"/>
                <w:spacing w:val="-33"/>
                <w:highlight w:val="none"/>
              </w:rPr>
              <w:t xml:space="preserve"> </w:t>
            </w:r>
            <w:r>
              <w:rPr>
                <w:color w:val="auto"/>
                <w:highlight w:val="none"/>
              </w:rPr>
              <w:t>AA</w:t>
            </w:r>
            <w:r>
              <w:rPr>
                <w:color w:val="auto"/>
                <w:spacing w:val="-21"/>
                <w:highlight w:val="none"/>
              </w:rPr>
              <w:t xml:space="preserve"> </w:t>
            </w:r>
            <w:r>
              <w:rPr>
                <w:color w:val="auto"/>
                <w:spacing w:val="9"/>
                <w:highlight w:val="none"/>
              </w:rPr>
              <w:t>降级为</w:t>
            </w:r>
            <w:r>
              <w:rPr>
                <w:color w:val="auto"/>
                <w:spacing w:val="-44"/>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级时，</w:t>
            </w:r>
            <w:r>
              <w:rPr>
                <w:color w:val="auto"/>
                <w:highlight w:val="none"/>
              </w:rPr>
              <w:t>AA</w:t>
            </w:r>
            <w:r>
              <w:rPr>
                <w:color w:val="auto"/>
                <w:spacing w:val="-35"/>
                <w:highlight w:val="none"/>
              </w:rPr>
              <w:t xml:space="preserve"> </w:t>
            </w:r>
            <w:r>
              <w:rPr>
                <w:color w:val="auto"/>
                <w:spacing w:val="9"/>
                <w:highlight w:val="none"/>
              </w:rPr>
              <w:t>级信用等级已使用</w:t>
            </w:r>
            <w:r>
              <w:rPr>
                <w:color w:val="auto"/>
                <w:spacing w:val="7"/>
                <w:highlight w:val="none"/>
              </w:rPr>
              <w:t>次数纳入</w:t>
            </w:r>
            <w:r>
              <w:rPr>
                <w:color w:val="auto"/>
                <w:spacing w:val="-36"/>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级信用等级使用次数合并累计。</w:t>
            </w:r>
          </w:p>
          <w:p w14:paraId="22AFA46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10.2.2</w:t>
            </w:r>
            <w:r>
              <w:rPr>
                <w:color w:val="auto"/>
                <w:spacing w:val="-35"/>
                <w:highlight w:val="none"/>
              </w:rPr>
              <w:t xml:space="preserve"> </w:t>
            </w:r>
            <w:r>
              <w:rPr>
                <w:color w:val="auto"/>
                <w:spacing w:val="11"/>
                <w:highlight w:val="none"/>
              </w:rPr>
              <w:t>信用等级延续</w:t>
            </w:r>
            <w:r>
              <w:rPr>
                <w:color w:val="auto"/>
                <w:spacing w:val="-19"/>
                <w:highlight w:val="none"/>
              </w:rPr>
              <w:t xml:space="preserve"> </w:t>
            </w:r>
            <w:r>
              <w:rPr>
                <w:color w:val="auto"/>
                <w:spacing w:val="11"/>
                <w:highlight w:val="none"/>
              </w:rPr>
              <w:t>1</w:t>
            </w:r>
            <w:r>
              <w:rPr>
                <w:color w:val="auto"/>
                <w:spacing w:val="-33"/>
                <w:highlight w:val="none"/>
              </w:rPr>
              <w:t xml:space="preserve"> </w:t>
            </w:r>
            <w:r>
              <w:rPr>
                <w:color w:val="auto"/>
                <w:spacing w:val="11"/>
                <w:highlight w:val="none"/>
              </w:rPr>
              <w:t>年后仍无信用评价等级的，按照初次进入广</w:t>
            </w:r>
            <w:r>
              <w:rPr>
                <w:color w:val="auto"/>
                <w:spacing w:val="10"/>
                <w:highlight w:val="none"/>
              </w:rPr>
              <w:t>东省确定，原</w:t>
            </w:r>
            <w:r>
              <w:rPr>
                <w:color w:val="auto"/>
                <w:spacing w:val="14"/>
                <w:highlight w:val="none"/>
              </w:rPr>
              <w:t>则上按</w:t>
            </w:r>
            <w:r>
              <w:rPr>
                <w:color w:val="auto"/>
                <w:spacing w:val="-40"/>
                <w:highlight w:val="none"/>
              </w:rPr>
              <w:t xml:space="preserve"> </w:t>
            </w:r>
            <w:r>
              <w:rPr>
                <w:color w:val="auto"/>
                <w:spacing w:val="14"/>
                <w:highlight w:val="none"/>
              </w:rPr>
              <w:t>B</w:t>
            </w:r>
            <w:r>
              <w:rPr>
                <w:color w:val="auto"/>
                <w:spacing w:val="-30"/>
                <w:highlight w:val="none"/>
              </w:rPr>
              <w:t xml:space="preserve"> </w:t>
            </w:r>
            <w:r>
              <w:rPr>
                <w:color w:val="auto"/>
                <w:spacing w:val="14"/>
                <w:highlight w:val="none"/>
              </w:rPr>
              <w:t>级对待，但下列情况除外：最新年度的全国公路从业单位（监理单位）</w:t>
            </w:r>
            <w:r>
              <w:rPr>
                <w:color w:val="auto"/>
                <w:spacing w:val="13"/>
                <w:highlight w:val="none"/>
              </w:rPr>
              <w:t>信用评价结果为</w:t>
            </w:r>
            <w:r>
              <w:rPr>
                <w:color w:val="auto"/>
                <w:spacing w:val="-36"/>
                <w:highlight w:val="none"/>
              </w:rPr>
              <w:t xml:space="preserve"> </w:t>
            </w:r>
            <w:r>
              <w:rPr>
                <w:color w:val="auto"/>
                <w:spacing w:val="13"/>
                <w:highlight w:val="none"/>
              </w:rPr>
              <w:t>C</w:t>
            </w:r>
            <w:r>
              <w:rPr>
                <w:color w:val="auto"/>
                <w:spacing w:val="-30"/>
                <w:highlight w:val="none"/>
              </w:rPr>
              <w:t xml:space="preserve"> </w:t>
            </w:r>
            <w:r>
              <w:rPr>
                <w:color w:val="auto"/>
                <w:spacing w:val="13"/>
                <w:highlight w:val="none"/>
              </w:rPr>
              <w:t>级或</w:t>
            </w:r>
            <w:r>
              <w:rPr>
                <w:color w:val="auto"/>
                <w:spacing w:val="-36"/>
                <w:highlight w:val="none"/>
              </w:rPr>
              <w:t xml:space="preserve"> </w:t>
            </w:r>
            <w:r>
              <w:rPr>
                <w:color w:val="auto"/>
                <w:spacing w:val="13"/>
                <w:highlight w:val="none"/>
              </w:rPr>
              <w:t>D</w:t>
            </w:r>
            <w:r>
              <w:rPr>
                <w:color w:val="auto"/>
                <w:spacing w:val="-30"/>
                <w:highlight w:val="none"/>
              </w:rPr>
              <w:t xml:space="preserve"> </w:t>
            </w:r>
            <w:r>
              <w:rPr>
                <w:color w:val="auto"/>
                <w:spacing w:val="13"/>
                <w:highlight w:val="none"/>
              </w:rPr>
              <w:t>级的，则按最新年度的全国公路从业单位（监理</w:t>
            </w:r>
            <w:r>
              <w:rPr>
                <w:color w:val="auto"/>
                <w:spacing w:val="12"/>
                <w:highlight w:val="none"/>
              </w:rPr>
              <w:t>单位）</w:t>
            </w:r>
            <w:r>
              <w:rPr>
                <w:color w:val="auto"/>
                <w:spacing w:val="15"/>
                <w:highlight w:val="none"/>
              </w:rPr>
              <w:t>信用评价结果对待；或最新年度的全国公路从业单位（监理单位）信用评价结果</w:t>
            </w:r>
            <w:r>
              <w:rPr>
                <w:color w:val="auto"/>
                <w:spacing w:val="11"/>
                <w:highlight w:val="none"/>
              </w:rPr>
              <w:t>未被评为</w:t>
            </w:r>
            <w:r>
              <w:rPr>
                <w:color w:val="auto"/>
                <w:spacing w:val="-19"/>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级或</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级的，但在广东省最近年度原评价等级为</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级的，则按</w:t>
            </w:r>
            <w:r>
              <w:rPr>
                <w:color w:val="auto"/>
                <w:spacing w:val="-33"/>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级对</w:t>
            </w:r>
            <w:r>
              <w:rPr>
                <w:color w:val="auto"/>
                <w:highlight w:val="none"/>
              </w:rPr>
              <w:t>待。</w:t>
            </w:r>
          </w:p>
          <w:p w14:paraId="43B015B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 xml:space="preserve">10.2.3 </w:t>
            </w:r>
            <w:r>
              <w:rPr>
                <w:color w:val="auto"/>
                <w:highlight w:val="none"/>
              </w:rPr>
              <w:t>AA</w:t>
            </w:r>
            <w:r>
              <w:rPr>
                <w:color w:val="auto"/>
                <w:spacing w:val="12"/>
                <w:highlight w:val="none"/>
              </w:rPr>
              <w:t>、A</w:t>
            </w:r>
            <w:r>
              <w:rPr>
                <w:color w:val="auto"/>
                <w:spacing w:val="-30"/>
                <w:highlight w:val="none"/>
              </w:rPr>
              <w:t xml:space="preserve"> </w:t>
            </w:r>
            <w:r>
              <w:rPr>
                <w:color w:val="auto"/>
                <w:spacing w:val="12"/>
                <w:highlight w:val="none"/>
              </w:rPr>
              <w:t>级单位是指使用广东省信用评价等级申请承诺书的单位。提</w:t>
            </w:r>
            <w:r>
              <w:rPr>
                <w:color w:val="auto"/>
                <w:spacing w:val="11"/>
                <w:highlight w:val="none"/>
              </w:rPr>
              <w:t>交申请</w:t>
            </w:r>
            <w:r>
              <w:rPr>
                <w:color w:val="auto"/>
                <w:spacing w:val="13"/>
                <w:highlight w:val="none"/>
              </w:rPr>
              <w:t>承诺书未使用</w:t>
            </w:r>
            <w:r>
              <w:rPr>
                <w:color w:val="auto"/>
                <w:spacing w:val="-37"/>
                <w:highlight w:val="none"/>
              </w:rPr>
              <w:t xml:space="preserve"> </w:t>
            </w:r>
            <w:r>
              <w:rPr>
                <w:color w:val="auto"/>
                <w:highlight w:val="none"/>
              </w:rPr>
              <w:t>AA</w:t>
            </w:r>
            <w:r>
              <w:rPr>
                <w:color w:val="auto"/>
                <w:spacing w:val="13"/>
                <w:highlight w:val="none"/>
              </w:rPr>
              <w:t>、A</w:t>
            </w:r>
            <w:r>
              <w:rPr>
                <w:color w:val="auto"/>
                <w:spacing w:val="-23"/>
                <w:highlight w:val="none"/>
              </w:rPr>
              <w:t xml:space="preserve"> </w:t>
            </w:r>
            <w:r>
              <w:rPr>
                <w:color w:val="auto"/>
                <w:spacing w:val="13"/>
                <w:highlight w:val="none"/>
              </w:rPr>
              <w:t>时，在评标过程中，</w:t>
            </w:r>
            <w:r>
              <w:rPr>
                <w:color w:val="auto"/>
                <w:highlight w:val="none"/>
              </w:rPr>
              <w:t>AA</w:t>
            </w:r>
            <w:r>
              <w:rPr>
                <w:color w:val="auto"/>
                <w:spacing w:val="-30"/>
                <w:highlight w:val="none"/>
              </w:rPr>
              <w:t xml:space="preserve"> </w:t>
            </w:r>
            <w:r>
              <w:rPr>
                <w:color w:val="auto"/>
                <w:spacing w:val="13"/>
                <w:highlight w:val="none"/>
              </w:rPr>
              <w:t>级信用等级企业按</w:t>
            </w:r>
            <w:r>
              <w:rPr>
                <w:color w:val="auto"/>
                <w:spacing w:val="-38"/>
                <w:highlight w:val="none"/>
              </w:rPr>
              <w:t xml:space="preserve"> </w:t>
            </w:r>
            <w:r>
              <w:rPr>
                <w:color w:val="auto"/>
                <w:spacing w:val="13"/>
                <w:highlight w:val="none"/>
              </w:rPr>
              <w:t>A</w:t>
            </w:r>
            <w:r>
              <w:rPr>
                <w:color w:val="auto"/>
                <w:spacing w:val="-30"/>
                <w:highlight w:val="none"/>
              </w:rPr>
              <w:t xml:space="preserve"> </w:t>
            </w:r>
            <w:r>
              <w:rPr>
                <w:color w:val="auto"/>
                <w:spacing w:val="13"/>
                <w:highlight w:val="none"/>
              </w:rPr>
              <w:t>级对待、A</w:t>
            </w:r>
            <w:r>
              <w:rPr>
                <w:color w:val="auto"/>
                <w:spacing w:val="-30"/>
                <w:highlight w:val="none"/>
              </w:rPr>
              <w:t xml:space="preserve"> </w:t>
            </w:r>
            <w:r>
              <w:rPr>
                <w:color w:val="auto"/>
                <w:spacing w:val="13"/>
                <w:highlight w:val="none"/>
              </w:rPr>
              <w:t>级信</w:t>
            </w:r>
            <w:r>
              <w:rPr>
                <w:color w:val="auto"/>
                <w:spacing w:val="6"/>
                <w:highlight w:val="none"/>
              </w:rPr>
              <w:t>用等级企业按</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级对待。</w:t>
            </w:r>
          </w:p>
          <w:p w14:paraId="31513CA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10.2.4 在招标评标中，信用评价等级采用按次、按标段或标类申请使</w:t>
            </w:r>
            <w:r>
              <w:rPr>
                <w:color w:val="auto"/>
                <w:spacing w:val="10"/>
                <w:highlight w:val="none"/>
              </w:rPr>
              <w:t>用的原则，</w:t>
            </w:r>
            <w:r>
              <w:rPr>
                <w:color w:val="auto"/>
                <w:spacing w:val="14"/>
                <w:highlight w:val="none"/>
              </w:rPr>
              <w:t>即在同一次招标中的多个标段的投标，可自愿对其中部分或全部标段申请使用</w:t>
            </w:r>
            <w:r>
              <w:rPr>
                <w:color w:val="auto"/>
                <w:spacing w:val="-37"/>
                <w:highlight w:val="none"/>
              </w:rPr>
              <w:t xml:space="preserve"> </w:t>
            </w:r>
            <w:r>
              <w:rPr>
                <w:color w:val="auto"/>
                <w:highlight w:val="none"/>
              </w:rPr>
              <w:t>AA</w:t>
            </w:r>
            <w:r>
              <w:rPr>
                <w:color w:val="auto"/>
                <w:spacing w:val="15"/>
                <w:highlight w:val="none"/>
              </w:rPr>
              <w:t>或</w:t>
            </w:r>
            <w:r>
              <w:rPr>
                <w:color w:val="auto"/>
                <w:spacing w:val="-41"/>
                <w:highlight w:val="none"/>
              </w:rPr>
              <w:t xml:space="preserve"> </w:t>
            </w:r>
            <w:r>
              <w:rPr>
                <w:color w:val="auto"/>
                <w:spacing w:val="15"/>
                <w:highlight w:val="none"/>
              </w:rPr>
              <w:t>A</w:t>
            </w:r>
            <w:r>
              <w:rPr>
                <w:color w:val="auto"/>
                <w:spacing w:val="-33"/>
                <w:highlight w:val="none"/>
              </w:rPr>
              <w:t xml:space="preserve"> </w:t>
            </w:r>
            <w:r>
              <w:rPr>
                <w:color w:val="auto"/>
                <w:spacing w:val="15"/>
                <w:highlight w:val="none"/>
              </w:rPr>
              <w:t>信用等级，无论中标与否，均应根据申请递交</w:t>
            </w:r>
            <w:r>
              <w:rPr>
                <w:color w:val="auto"/>
                <w:spacing w:val="14"/>
                <w:highlight w:val="none"/>
              </w:rPr>
              <w:t>投标（或申请）文件情况按标</w:t>
            </w:r>
            <w:r>
              <w:rPr>
                <w:color w:val="auto"/>
                <w:spacing w:val="9"/>
                <w:highlight w:val="none"/>
              </w:rPr>
              <w:t>段计算使用次数（非投标人原因导致招标失败的情</w:t>
            </w:r>
            <w:r>
              <w:rPr>
                <w:color w:val="auto"/>
                <w:spacing w:val="8"/>
                <w:highlight w:val="none"/>
              </w:rPr>
              <w:t>况除外）。</w:t>
            </w:r>
          </w:p>
          <w:p w14:paraId="4381F9B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10.2.5</w:t>
            </w:r>
            <w:r>
              <w:rPr>
                <w:color w:val="auto"/>
                <w:spacing w:val="-12"/>
                <w:highlight w:val="none"/>
              </w:rPr>
              <w:t xml:space="preserve"> </w:t>
            </w:r>
            <w:r>
              <w:rPr>
                <w:color w:val="auto"/>
                <w:spacing w:val="12"/>
                <w:highlight w:val="none"/>
              </w:rPr>
              <w:t>以联合体形式投标的，信用等</w:t>
            </w:r>
            <w:r>
              <w:rPr>
                <w:color w:val="auto"/>
                <w:spacing w:val="11"/>
                <w:highlight w:val="none"/>
              </w:rPr>
              <w:t>级以联合体中信用等级较低的为准。如联合</w:t>
            </w:r>
            <w:r>
              <w:rPr>
                <w:color w:val="auto"/>
                <w:spacing w:val="15"/>
                <w:highlight w:val="none"/>
              </w:rPr>
              <w:t>体成员中存在不属于广东省公路工程从业企业信用评价体系的参评范围的单位，</w:t>
            </w:r>
            <w:r>
              <w:rPr>
                <w:color w:val="auto"/>
                <w:spacing w:val="6"/>
                <w:highlight w:val="none"/>
              </w:rPr>
              <w:t>其信用评价等级视为</w:t>
            </w:r>
            <w:r>
              <w:rPr>
                <w:color w:val="auto"/>
                <w:spacing w:val="-38"/>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w:t>
            </w:r>
          </w:p>
          <w:p w14:paraId="0141C1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10.3 如果推荐的第一中标候选人放弃中标、因不可抗力提出不能履行合同或因被</w:t>
            </w:r>
            <w:r>
              <w:rPr>
                <w:color w:val="auto"/>
                <w:spacing w:val="15"/>
                <w:highlight w:val="none"/>
              </w:rPr>
              <w:t>投诉经查证属实取消中标资格的，或者招标文件规定应当提交履约保证金而在规</w:t>
            </w:r>
            <w:r>
              <w:rPr>
                <w:color w:val="auto"/>
                <w:spacing w:val="12"/>
                <w:highlight w:val="none"/>
              </w:rPr>
              <w:t>定的期限内未能提交的，招标人可以</w:t>
            </w:r>
            <w:r>
              <w:rPr>
                <w:rFonts w:hint="eastAsia"/>
                <w:color w:val="auto"/>
                <w:spacing w:val="12"/>
                <w:highlight w:val="none"/>
                <w:lang w:val="en-US" w:eastAsia="zh-CN"/>
              </w:rPr>
              <w:t>重新定标</w:t>
            </w:r>
            <w:r>
              <w:rPr>
                <w:color w:val="auto"/>
                <w:spacing w:val="12"/>
                <w:highlight w:val="none"/>
              </w:rPr>
              <w:t>,或重新</w:t>
            </w:r>
            <w:r>
              <w:rPr>
                <w:color w:val="auto"/>
                <w:spacing w:val="7"/>
                <w:highlight w:val="none"/>
              </w:rPr>
              <w:t>组织招标。</w:t>
            </w:r>
          </w:p>
          <w:p w14:paraId="3558239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10.4 如果开标后至中标通知书发出前</w:t>
            </w:r>
            <w:r>
              <w:rPr>
                <w:color w:val="auto"/>
                <w:spacing w:val="8"/>
                <w:highlight w:val="none"/>
              </w:rPr>
              <w:t>，中标候选人发生投标人须知</w:t>
            </w:r>
            <w:r>
              <w:rPr>
                <w:color w:val="auto"/>
                <w:spacing w:val="-22"/>
                <w:highlight w:val="none"/>
              </w:rPr>
              <w:t xml:space="preserve"> </w:t>
            </w:r>
            <w:r>
              <w:rPr>
                <w:color w:val="auto"/>
                <w:spacing w:val="8"/>
                <w:highlight w:val="none"/>
              </w:rPr>
              <w:t>1.4.4（1）至</w:t>
            </w:r>
            <w:r>
              <w:rPr>
                <w:color w:val="auto"/>
                <w:spacing w:val="10"/>
                <w:highlight w:val="none"/>
              </w:rPr>
              <w:t>（7）</w:t>
            </w:r>
            <w:r>
              <w:rPr>
                <w:color w:val="auto"/>
                <w:spacing w:val="-51"/>
                <w:highlight w:val="none"/>
              </w:rPr>
              <w:t xml:space="preserve"> </w:t>
            </w:r>
            <w:r>
              <w:rPr>
                <w:color w:val="auto"/>
                <w:spacing w:val="10"/>
                <w:highlight w:val="none"/>
              </w:rPr>
              <w:t>的情形及中标候选人信用等级被广东省交通运输厅直接降为</w:t>
            </w:r>
            <w:r>
              <w:rPr>
                <w:color w:val="auto"/>
                <w:spacing w:val="-38"/>
                <w:highlight w:val="none"/>
              </w:rPr>
              <w:t xml:space="preserve"> </w:t>
            </w:r>
            <w:r>
              <w:rPr>
                <w:color w:val="auto"/>
                <w:spacing w:val="10"/>
                <w:highlight w:val="none"/>
              </w:rPr>
              <w:t>D</w:t>
            </w:r>
            <w:r>
              <w:rPr>
                <w:color w:val="auto"/>
                <w:spacing w:val="-33"/>
                <w:highlight w:val="none"/>
              </w:rPr>
              <w:t xml:space="preserve"> </w:t>
            </w:r>
            <w:r>
              <w:rPr>
                <w:color w:val="auto"/>
                <w:spacing w:val="10"/>
                <w:highlight w:val="none"/>
              </w:rPr>
              <w:t>级的情形，则</w:t>
            </w:r>
            <w:r>
              <w:rPr>
                <w:color w:val="auto"/>
                <w:spacing w:val="8"/>
                <w:highlight w:val="none"/>
              </w:rPr>
              <w:t>取消其中标资格，按否决其投标处理；</w:t>
            </w:r>
          </w:p>
          <w:p w14:paraId="272847F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60" w:firstLineChars="200"/>
              <w:jc w:val="both"/>
              <w:textAlignment w:val="baseline"/>
              <w:rPr>
                <w:color w:val="auto"/>
                <w:spacing w:val="15"/>
                <w:highlight w:val="none"/>
              </w:rPr>
            </w:pPr>
            <w:r>
              <w:rPr>
                <w:color w:val="auto"/>
                <w:spacing w:val="15"/>
                <w:highlight w:val="none"/>
              </w:rPr>
              <w:t>发生以上情况时，招标人</w:t>
            </w:r>
            <w:r>
              <w:rPr>
                <w:color w:val="auto"/>
                <w:spacing w:val="12"/>
                <w:highlight w:val="none"/>
              </w:rPr>
              <w:t>可以</w:t>
            </w:r>
            <w:r>
              <w:rPr>
                <w:rFonts w:hint="eastAsia"/>
                <w:color w:val="auto"/>
                <w:spacing w:val="12"/>
                <w:highlight w:val="none"/>
                <w:lang w:val="en-US" w:eastAsia="zh-CN"/>
              </w:rPr>
              <w:t>重新定标</w:t>
            </w:r>
            <w:r>
              <w:rPr>
                <w:color w:val="auto"/>
                <w:spacing w:val="12"/>
                <w:highlight w:val="none"/>
              </w:rPr>
              <w:t>,或重新</w:t>
            </w:r>
            <w:r>
              <w:rPr>
                <w:color w:val="auto"/>
                <w:spacing w:val="7"/>
                <w:highlight w:val="none"/>
              </w:rPr>
              <w:t>组织招标</w:t>
            </w:r>
            <w:r>
              <w:rPr>
                <w:color w:val="auto"/>
                <w:spacing w:val="4"/>
                <w:highlight w:val="none"/>
              </w:rPr>
              <w:t>。</w:t>
            </w:r>
          </w:p>
          <w:p w14:paraId="5B89129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8" w:firstLineChars="200"/>
              <w:jc w:val="both"/>
              <w:textAlignment w:val="baseline"/>
              <w:rPr>
                <w:color w:val="auto"/>
                <w:sz w:val="10"/>
                <w:szCs w:val="10"/>
                <w:highlight w:val="none"/>
              </w:rPr>
            </w:pPr>
            <w:r>
              <w:rPr>
                <w:color w:val="auto"/>
                <w:spacing w:val="7"/>
                <w:highlight w:val="none"/>
              </w:rPr>
              <w:t>10.5</w:t>
            </w:r>
            <w:r>
              <w:rPr>
                <w:rFonts w:hint="eastAsia"/>
                <w:color w:val="auto"/>
                <w:spacing w:val="7"/>
                <w:highlight w:val="none"/>
                <w:lang w:val="en-US" w:eastAsia="zh-CN"/>
              </w:rPr>
              <w:t xml:space="preserve"> </w:t>
            </w:r>
            <w:r>
              <w:rPr>
                <w:color w:val="auto"/>
                <w:spacing w:val="7"/>
                <w:highlight w:val="none"/>
              </w:rPr>
              <w:t>本招标文件中所有 “类似工程</w:t>
            </w:r>
            <w:r>
              <w:rPr>
                <w:color w:val="auto"/>
                <w:spacing w:val="-58"/>
                <w:highlight w:val="none"/>
              </w:rPr>
              <w:t xml:space="preserve"> </w:t>
            </w:r>
            <w:r>
              <w:rPr>
                <w:color w:val="auto"/>
                <w:spacing w:val="7"/>
                <w:highlight w:val="none"/>
              </w:rPr>
              <w:t>”均指</w:t>
            </w:r>
            <w:r>
              <w:rPr>
                <w:b/>
                <w:bCs/>
                <w:color w:val="auto"/>
                <w:spacing w:val="7"/>
                <w:highlight w:val="none"/>
                <w:u w:val="single" w:color="auto"/>
              </w:rPr>
              <w:t>新建或改、扩建</w:t>
            </w:r>
            <w:r>
              <w:rPr>
                <w:rFonts w:hint="eastAsia"/>
                <w:b/>
                <w:bCs/>
                <w:color w:val="auto"/>
                <w:spacing w:val="7"/>
                <w:highlight w:val="none"/>
                <w:u w:val="single" w:color="auto"/>
                <w:lang w:val="en-US" w:eastAsia="zh-CN"/>
              </w:rPr>
              <w:t>三级以上</w:t>
            </w:r>
            <w:r>
              <w:rPr>
                <w:color w:val="auto"/>
                <w:spacing w:val="-36"/>
                <w:highlight w:val="none"/>
                <w:u w:val="single" w:color="auto"/>
              </w:rPr>
              <w:t xml:space="preserve"> </w:t>
            </w:r>
            <w:r>
              <w:rPr>
                <w:b/>
                <w:bCs/>
                <w:color w:val="auto"/>
                <w:spacing w:val="7"/>
                <w:highlight w:val="none"/>
                <w:u w:val="single" w:color="auto"/>
              </w:rPr>
              <w:t>(</w:t>
            </w:r>
            <w:r>
              <w:rPr>
                <w:rFonts w:hint="eastAsia"/>
                <w:b/>
                <w:bCs/>
                <w:color w:val="auto"/>
                <w:spacing w:val="7"/>
                <w:highlight w:val="none"/>
                <w:u w:val="single" w:color="auto"/>
                <w:lang w:val="en-US" w:eastAsia="zh-CN"/>
              </w:rPr>
              <w:t>含三级</w:t>
            </w:r>
            <w:r>
              <w:rPr>
                <w:b/>
                <w:bCs/>
                <w:color w:val="auto"/>
                <w:spacing w:val="7"/>
                <w:highlight w:val="none"/>
                <w:u w:val="single" w:color="auto"/>
              </w:rPr>
              <w:t>)</w:t>
            </w:r>
            <w:r>
              <w:rPr>
                <w:color w:val="auto"/>
                <w:spacing w:val="15"/>
                <w:highlight w:val="none"/>
                <w:u w:val="single" w:color="auto"/>
              </w:rPr>
              <w:t>公路工程</w:t>
            </w:r>
            <w:r>
              <w:rPr>
                <w:color w:val="auto"/>
                <w:spacing w:val="15"/>
                <w:highlight w:val="none"/>
              </w:rPr>
              <w:t>项目。</w:t>
            </w:r>
            <w:r>
              <w:rPr>
                <w:color w:val="auto"/>
                <w:spacing w:val="15"/>
                <w:highlight w:val="none"/>
                <w:u w:val="single" w:color="auto"/>
              </w:rPr>
              <w:t>在采用新建的公路项目完工业绩时，对于同等公路等级改、扩建</w:t>
            </w:r>
            <w:r>
              <w:rPr>
                <w:color w:val="auto"/>
                <w:spacing w:val="9"/>
                <w:highlight w:val="none"/>
                <w:u w:val="single" w:color="auto"/>
              </w:rPr>
              <w:t>中的新建桥梁或隧道工程业绩也应认可</w:t>
            </w:r>
            <w:r>
              <w:rPr>
                <w:color w:val="auto"/>
                <w:spacing w:val="9"/>
                <w:highlight w:val="none"/>
              </w:rPr>
              <w:t>。</w:t>
            </w:r>
          </w:p>
          <w:p w14:paraId="0D58E82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0" w:firstLineChars="200"/>
              <w:jc w:val="both"/>
              <w:textAlignment w:val="baseline"/>
              <w:rPr>
                <w:color w:val="auto"/>
                <w:highlight w:val="none"/>
              </w:rPr>
            </w:pPr>
            <w:r>
              <w:rPr>
                <w:color w:val="auto"/>
                <w:spacing w:val="5"/>
                <w:highlight w:val="none"/>
              </w:rPr>
              <w:t>10.6 有关业绩的说明</w:t>
            </w:r>
            <w:r>
              <w:rPr>
                <w:color w:val="auto"/>
                <w:spacing w:val="1"/>
                <w:highlight w:val="none"/>
              </w:rPr>
              <w:t>10.6.1</w:t>
            </w:r>
          </w:p>
          <w:p w14:paraId="3CE90DC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36" w:firstLineChars="200"/>
              <w:jc w:val="both"/>
              <w:textAlignment w:val="baseline"/>
              <w:rPr>
                <w:color w:val="auto"/>
                <w:highlight w:val="none"/>
              </w:rPr>
            </w:pPr>
            <w:r>
              <w:rPr>
                <w:color w:val="auto"/>
                <w:spacing w:val="9"/>
                <w:highlight w:val="none"/>
              </w:rPr>
              <w:t>a、特大桥及大桥按国家最新颁布的标准进行</w:t>
            </w:r>
            <w:r>
              <w:rPr>
                <w:color w:val="auto"/>
                <w:spacing w:val="8"/>
                <w:highlight w:val="none"/>
              </w:rPr>
              <w:t>划分；</w:t>
            </w:r>
          </w:p>
          <w:p w14:paraId="6CEC5B5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b、完成整座桥梁的半幅或整座桥梁其中的一部分工作内容达到特大桥或大桥对应</w:t>
            </w:r>
            <w:r>
              <w:rPr>
                <w:color w:val="auto"/>
                <w:spacing w:val="6"/>
                <w:highlight w:val="none"/>
              </w:rPr>
              <w:t>技术标准的，按相应标标准以</w:t>
            </w:r>
            <w:r>
              <w:rPr>
                <w:color w:val="auto"/>
                <w:spacing w:val="-13"/>
                <w:highlight w:val="none"/>
              </w:rPr>
              <w:t xml:space="preserve"> </w:t>
            </w:r>
            <w:r>
              <w:rPr>
                <w:color w:val="auto"/>
                <w:spacing w:val="6"/>
                <w:highlight w:val="none"/>
              </w:rPr>
              <w:t>1</w:t>
            </w:r>
            <w:r>
              <w:rPr>
                <w:color w:val="auto"/>
                <w:spacing w:val="-37"/>
                <w:highlight w:val="none"/>
              </w:rPr>
              <w:t xml:space="preserve"> </w:t>
            </w:r>
            <w:r>
              <w:rPr>
                <w:color w:val="auto"/>
                <w:spacing w:val="6"/>
                <w:highlight w:val="none"/>
              </w:rPr>
              <w:t>座计算；</w:t>
            </w:r>
          </w:p>
          <w:p w14:paraId="2A4411A2">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c、同一投标人的单座桥梁仅能计一次，只完成整个工程部分分部工程不参与计算</w:t>
            </w:r>
            <w:r>
              <w:rPr>
                <w:color w:val="auto"/>
                <w:spacing w:val="3"/>
                <w:highlight w:val="none"/>
              </w:rPr>
              <w:t>业绩。</w:t>
            </w:r>
          </w:p>
          <w:p w14:paraId="348BFFF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04" w:firstLineChars="200"/>
              <w:jc w:val="both"/>
              <w:textAlignment w:val="baseline"/>
              <w:rPr>
                <w:color w:val="auto"/>
                <w:highlight w:val="none"/>
              </w:rPr>
            </w:pPr>
            <w:r>
              <w:rPr>
                <w:color w:val="auto"/>
                <w:spacing w:val="1"/>
                <w:position w:val="1"/>
                <w:highlight w:val="none"/>
              </w:rPr>
              <w:t>10.6.2</w:t>
            </w:r>
          </w:p>
          <w:p w14:paraId="21FF642E">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0" w:firstLineChars="200"/>
              <w:jc w:val="both"/>
              <w:textAlignment w:val="baseline"/>
              <w:rPr>
                <w:color w:val="auto"/>
                <w:highlight w:val="none"/>
              </w:rPr>
            </w:pPr>
            <w:r>
              <w:rPr>
                <w:color w:val="auto"/>
                <w:spacing w:val="10"/>
                <w:highlight w:val="none"/>
              </w:rPr>
              <w:t>a、特长隧道：单座隧道单洞（即左洞加右洞）总长大于</w:t>
            </w:r>
            <w:r>
              <w:rPr>
                <w:color w:val="auto"/>
                <w:spacing w:val="-22"/>
                <w:highlight w:val="none"/>
              </w:rPr>
              <w:t xml:space="preserve"> </w:t>
            </w:r>
            <w:r>
              <w:rPr>
                <w:color w:val="auto"/>
                <w:spacing w:val="10"/>
                <w:highlight w:val="none"/>
              </w:rPr>
              <w:t>6000m</w:t>
            </w:r>
            <w:r>
              <w:rPr>
                <w:color w:val="auto"/>
                <w:spacing w:val="-18"/>
                <w:highlight w:val="none"/>
              </w:rPr>
              <w:t xml:space="preserve"> </w:t>
            </w:r>
            <w:r>
              <w:rPr>
                <w:color w:val="auto"/>
                <w:spacing w:val="10"/>
                <w:highlight w:val="none"/>
              </w:rPr>
              <w:t>的，或完成单座隧</w:t>
            </w:r>
            <w:r>
              <w:rPr>
                <w:color w:val="auto"/>
                <w:spacing w:val="12"/>
                <w:highlight w:val="none"/>
              </w:rPr>
              <w:t>道的一部分且该部分的单洞累计长度大于</w:t>
            </w:r>
            <w:r>
              <w:rPr>
                <w:color w:val="auto"/>
                <w:spacing w:val="-31"/>
                <w:highlight w:val="none"/>
              </w:rPr>
              <w:t xml:space="preserve"> </w:t>
            </w:r>
            <w:r>
              <w:rPr>
                <w:color w:val="auto"/>
                <w:spacing w:val="12"/>
                <w:highlight w:val="none"/>
              </w:rPr>
              <w:t>6000m</w:t>
            </w:r>
            <w:r>
              <w:rPr>
                <w:color w:val="auto"/>
                <w:spacing w:val="-16"/>
                <w:highlight w:val="none"/>
              </w:rPr>
              <w:t xml:space="preserve"> </w:t>
            </w:r>
            <w:r>
              <w:rPr>
                <w:color w:val="auto"/>
                <w:spacing w:val="12"/>
                <w:highlight w:val="none"/>
              </w:rPr>
              <w:t>的，均按</w:t>
            </w:r>
            <w:r>
              <w:rPr>
                <w:color w:val="auto"/>
                <w:spacing w:val="-16"/>
                <w:highlight w:val="none"/>
              </w:rPr>
              <w:t xml:space="preserve"> </w:t>
            </w:r>
            <w:r>
              <w:rPr>
                <w:color w:val="auto"/>
                <w:spacing w:val="11"/>
                <w:highlight w:val="none"/>
              </w:rPr>
              <w:t>1</w:t>
            </w:r>
            <w:r>
              <w:rPr>
                <w:color w:val="auto"/>
                <w:spacing w:val="-29"/>
                <w:highlight w:val="none"/>
              </w:rPr>
              <w:t xml:space="preserve"> </w:t>
            </w:r>
            <w:r>
              <w:rPr>
                <w:color w:val="auto"/>
                <w:spacing w:val="11"/>
                <w:highlight w:val="none"/>
              </w:rPr>
              <w:t>座计；完成单座特长</w:t>
            </w:r>
            <w:r>
              <w:rPr>
                <w:color w:val="auto"/>
                <w:spacing w:val="12"/>
                <w:highlight w:val="none"/>
              </w:rPr>
              <w:t>隧道的一部分</w:t>
            </w:r>
            <w:r>
              <w:rPr>
                <w:color w:val="auto"/>
                <w:spacing w:val="-58"/>
                <w:highlight w:val="none"/>
              </w:rPr>
              <w:t xml:space="preserve"> </w:t>
            </w:r>
            <w:r>
              <w:rPr>
                <w:color w:val="auto"/>
                <w:spacing w:val="12"/>
                <w:highlight w:val="none"/>
              </w:rPr>
              <w:t>，该部分单洞累计长度大于</w:t>
            </w:r>
            <w:r>
              <w:rPr>
                <w:color w:val="auto"/>
                <w:spacing w:val="-20"/>
                <w:highlight w:val="none"/>
              </w:rPr>
              <w:t xml:space="preserve"> </w:t>
            </w:r>
            <w:r>
              <w:rPr>
                <w:color w:val="auto"/>
                <w:spacing w:val="12"/>
                <w:highlight w:val="none"/>
              </w:rPr>
              <w:t>3000m</w:t>
            </w:r>
            <w:r>
              <w:rPr>
                <w:color w:val="auto"/>
                <w:spacing w:val="-24"/>
                <w:highlight w:val="none"/>
              </w:rPr>
              <w:t xml:space="preserve"> </w:t>
            </w:r>
            <w:r>
              <w:rPr>
                <w:color w:val="auto"/>
                <w:spacing w:val="12"/>
                <w:highlight w:val="none"/>
              </w:rPr>
              <w:t>且不大于</w:t>
            </w:r>
            <w:r>
              <w:rPr>
                <w:color w:val="auto"/>
                <w:spacing w:val="-23"/>
                <w:highlight w:val="none"/>
              </w:rPr>
              <w:t xml:space="preserve"> </w:t>
            </w:r>
            <w:r>
              <w:rPr>
                <w:color w:val="auto"/>
                <w:spacing w:val="12"/>
                <w:highlight w:val="none"/>
              </w:rPr>
              <w:t>600</w:t>
            </w:r>
            <w:r>
              <w:rPr>
                <w:color w:val="auto"/>
                <w:spacing w:val="11"/>
                <w:highlight w:val="none"/>
              </w:rPr>
              <w:t>0m 的</w:t>
            </w:r>
            <w:r>
              <w:rPr>
                <w:color w:val="auto"/>
                <w:spacing w:val="-58"/>
                <w:highlight w:val="none"/>
              </w:rPr>
              <w:t xml:space="preserve"> </w:t>
            </w:r>
            <w:r>
              <w:rPr>
                <w:color w:val="auto"/>
                <w:spacing w:val="11"/>
                <w:highlight w:val="none"/>
              </w:rPr>
              <w:t>，按</w:t>
            </w:r>
            <w:r>
              <w:rPr>
                <w:color w:val="auto"/>
                <w:spacing w:val="-23"/>
                <w:highlight w:val="none"/>
              </w:rPr>
              <w:t xml:space="preserve"> </w:t>
            </w:r>
            <w:r>
              <w:rPr>
                <w:color w:val="auto"/>
                <w:spacing w:val="11"/>
                <w:highlight w:val="none"/>
              </w:rPr>
              <w:t>0.5</w:t>
            </w:r>
            <w:r>
              <w:rPr>
                <w:color w:val="auto"/>
                <w:spacing w:val="-22"/>
                <w:highlight w:val="none"/>
              </w:rPr>
              <w:t xml:space="preserve"> </w:t>
            </w:r>
            <w:r>
              <w:rPr>
                <w:color w:val="auto"/>
                <w:spacing w:val="11"/>
                <w:highlight w:val="none"/>
              </w:rPr>
              <w:t>座</w:t>
            </w:r>
            <w:r>
              <w:rPr>
                <w:color w:val="auto"/>
                <w:spacing w:val="9"/>
                <w:highlight w:val="none"/>
              </w:rPr>
              <w:t>计，完成</w:t>
            </w:r>
            <w:r>
              <w:rPr>
                <w:color w:val="auto"/>
                <w:spacing w:val="-44"/>
                <w:highlight w:val="none"/>
              </w:rPr>
              <w:t xml:space="preserve"> </w:t>
            </w:r>
            <w:r>
              <w:rPr>
                <w:color w:val="auto"/>
                <w:spacing w:val="9"/>
                <w:highlight w:val="none"/>
              </w:rPr>
              <w:t>N</w:t>
            </w:r>
            <w:r>
              <w:rPr>
                <w:color w:val="auto"/>
                <w:spacing w:val="-36"/>
                <w:highlight w:val="none"/>
              </w:rPr>
              <w:t xml:space="preserve"> </w:t>
            </w:r>
            <w:r>
              <w:rPr>
                <w:color w:val="auto"/>
                <w:spacing w:val="9"/>
                <w:highlight w:val="none"/>
              </w:rPr>
              <w:t>座该类隧道按N×0.5</w:t>
            </w:r>
            <w:r>
              <w:rPr>
                <w:color w:val="auto"/>
                <w:spacing w:val="-36"/>
                <w:highlight w:val="none"/>
              </w:rPr>
              <w:t xml:space="preserve"> </w:t>
            </w:r>
            <w:r>
              <w:rPr>
                <w:color w:val="auto"/>
                <w:spacing w:val="9"/>
                <w:highlight w:val="none"/>
              </w:rPr>
              <w:t>座计；</w:t>
            </w:r>
          </w:p>
          <w:p w14:paraId="222627C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52" w:firstLineChars="200"/>
              <w:jc w:val="both"/>
              <w:textAlignment w:val="baseline"/>
              <w:rPr>
                <w:color w:val="auto"/>
                <w:highlight w:val="none"/>
              </w:rPr>
            </w:pPr>
            <w:r>
              <w:rPr>
                <w:color w:val="auto"/>
                <w:spacing w:val="13"/>
                <w:highlight w:val="none"/>
              </w:rPr>
              <w:t>b、长隧道：单座隧道单洞（即左洞加右洞）总长大于</w:t>
            </w:r>
            <w:r>
              <w:rPr>
                <w:color w:val="auto"/>
                <w:spacing w:val="-29"/>
                <w:highlight w:val="none"/>
              </w:rPr>
              <w:t xml:space="preserve"> </w:t>
            </w:r>
            <w:r>
              <w:rPr>
                <w:color w:val="auto"/>
                <w:spacing w:val="12"/>
                <w:highlight w:val="none"/>
              </w:rPr>
              <w:t>2000 米且不大于</w:t>
            </w:r>
            <w:r>
              <w:rPr>
                <w:color w:val="auto"/>
                <w:spacing w:val="-31"/>
                <w:highlight w:val="none"/>
              </w:rPr>
              <w:t xml:space="preserve"> </w:t>
            </w:r>
            <w:r>
              <w:rPr>
                <w:color w:val="auto"/>
                <w:spacing w:val="12"/>
                <w:highlight w:val="none"/>
              </w:rPr>
              <w:t>6000 米</w:t>
            </w:r>
            <w:r>
              <w:rPr>
                <w:color w:val="auto"/>
                <w:spacing w:val="20"/>
                <w:highlight w:val="none"/>
              </w:rPr>
              <w:t>的</w:t>
            </w:r>
            <w:r>
              <w:rPr>
                <w:color w:val="auto"/>
                <w:spacing w:val="-58"/>
                <w:highlight w:val="none"/>
              </w:rPr>
              <w:t xml:space="preserve"> </w:t>
            </w:r>
            <w:r>
              <w:rPr>
                <w:color w:val="auto"/>
                <w:spacing w:val="20"/>
                <w:highlight w:val="none"/>
              </w:rPr>
              <w:t>，或完成单座隧道的一部分且该部分的单洞累计长度大于</w:t>
            </w:r>
            <w:r>
              <w:rPr>
                <w:color w:val="auto"/>
                <w:spacing w:val="-20"/>
                <w:highlight w:val="none"/>
              </w:rPr>
              <w:t xml:space="preserve"> </w:t>
            </w:r>
            <w:r>
              <w:rPr>
                <w:color w:val="auto"/>
                <w:spacing w:val="20"/>
                <w:highlight w:val="none"/>
              </w:rPr>
              <w:t>2000 米且</w:t>
            </w:r>
            <w:r>
              <w:rPr>
                <w:color w:val="auto"/>
                <w:spacing w:val="19"/>
                <w:highlight w:val="none"/>
              </w:rPr>
              <w:t>不大于</w:t>
            </w:r>
            <w:r>
              <w:rPr>
                <w:color w:val="auto"/>
                <w:spacing w:val="3"/>
                <w:highlight w:val="none"/>
              </w:rPr>
              <w:t>6000 米的，均按</w:t>
            </w:r>
            <w:r>
              <w:rPr>
                <w:color w:val="auto"/>
                <w:spacing w:val="-14"/>
                <w:highlight w:val="none"/>
              </w:rPr>
              <w:t xml:space="preserve"> </w:t>
            </w:r>
            <w:r>
              <w:rPr>
                <w:color w:val="auto"/>
                <w:spacing w:val="3"/>
                <w:highlight w:val="none"/>
              </w:rPr>
              <w:t>1</w:t>
            </w:r>
            <w:r>
              <w:rPr>
                <w:color w:val="auto"/>
                <w:spacing w:val="-36"/>
                <w:highlight w:val="none"/>
              </w:rPr>
              <w:t xml:space="preserve"> </w:t>
            </w:r>
            <w:r>
              <w:rPr>
                <w:color w:val="auto"/>
                <w:spacing w:val="3"/>
                <w:highlight w:val="none"/>
              </w:rPr>
              <w:t>座计；</w:t>
            </w:r>
          </w:p>
          <w:p w14:paraId="378E4A2F">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c、同一座隧道同时满足条件的，同一投标人只计算一次业绩；特长隧道可计为长</w:t>
            </w:r>
            <w:r>
              <w:rPr>
                <w:color w:val="auto"/>
                <w:spacing w:val="-1"/>
                <w:highlight w:val="none"/>
              </w:rPr>
              <w:t>隧道。</w:t>
            </w:r>
          </w:p>
          <w:p w14:paraId="4E93073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28" w:firstLineChars="200"/>
              <w:jc w:val="both"/>
              <w:textAlignment w:val="baseline"/>
              <w:rPr>
                <w:rFonts w:ascii="Arial"/>
                <w:color w:val="auto"/>
                <w:sz w:val="21"/>
                <w:highlight w:val="none"/>
              </w:rPr>
            </w:pPr>
            <w:r>
              <w:rPr>
                <w:color w:val="auto"/>
                <w:spacing w:val="7"/>
                <w:highlight w:val="none"/>
              </w:rPr>
              <w:t>10.6.3</w:t>
            </w:r>
            <w:r>
              <w:rPr>
                <w:color w:val="auto"/>
                <w:spacing w:val="-33"/>
                <w:highlight w:val="none"/>
              </w:rPr>
              <w:t xml:space="preserve"> </w:t>
            </w:r>
            <w:r>
              <w:rPr>
                <w:color w:val="auto"/>
                <w:spacing w:val="7"/>
                <w:highlight w:val="none"/>
              </w:rPr>
              <w:t>一般互通式立交和枢纽互通式立交按国家最新颁布的标准进行划分。</w:t>
            </w:r>
            <w:r>
              <w:rPr>
                <w:color w:val="auto"/>
                <w:highlight w:val="none"/>
              </w:rPr>
              <w:t>或</w:t>
            </w:r>
          </w:p>
          <w:p w14:paraId="16B58B1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68" w:firstLineChars="200"/>
              <w:jc w:val="both"/>
              <w:textAlignment w:val="baseline"/>
              <w:rPr>
                <w:color w:val="auto"/>
                <w:highlight w:val="none"/>
              </w:rPr>
            </w:pPr>
            <w:r>
              <w:rPr>
                <w:color w:val="auto"/>
                <w:spacing w:val="17"/>
                <w:highlight w:val="none"/>
              </w:rPr>
              <w:t>10.6.3</w:t>
            </w:r>
            <w:r>
              <w:rPr>
                <w:color w:val="auto"/>
                <w:spacing w:val="-25"/>
                <w:highlight w:val="none"/>
              </w:rPr>
              <w:t xml:space="preserve"> </w:t>
            </w:r>
            <w:r>
              <w:rPr>
                <w:color w:val="auto"/>
                <w:spacing w:val="17"/>
                <w:highlight w:val="none"/>
              </w:rPr>
              <w:t>一般互通式立交和枢纽互通式立</w:t>
            </w:r>
            <w:r>
              <w:rPr>
                <w:color w:val="auto"/>
                <w:spacing w:val="16"/>
                <w:highlight w:val="none"/>
              </w:rPr>
              <w:t>交按《公路路线设计标准》</w:t>
            </w:r>
            <w:r>
              <w:rPr>
                <w:color w:val="auto"/>
                <w:spacing w:val="-60"/>
                <w:highlight w:val="none"/>
              </w:rPr>
              <w:t xml:space="preserve"> </w:t>
            </w:r>
            <w:r>
              <w:rPr>
                <w:color w:val="auto"/>
                <w:spacing w:val="16"/>
                <w:highlight w:val="none"/>
              </w:rPr>
              <w:t>（</w:t>
            </w:r>
            <w:r>
              <w:rPr>
                <w:color w:val="auto"/>
                <w:highlight w:val="none"/>
              </w:rPr>
              <w:t>JTG</w:t>
            </w:r>
            <w:r>
              <w:rPr>
                <w:color w:val="auto"/>
                <w:spacing w:val="16"/>
                <w:highlight w:val="none"/>
              </w:rPr>
              <w:t xml:space="preserve"> </w:t>
            </w:r>
            <w:r>
              <w:rPr>
                <w:color w:val="auto"/>
                <w:highlight w:val="none"/>
              </w:rPr>
              <w:t>D</w:t>
            </w:r>
            <w:r>
              <w:rPr>
                <w:color w:val="auto"/>
                <w:spacing w:val="16"/>
                <w:highlight w:val="none"/>
              </w:rPr>
              <w:t>20-</w:t>
            </w:r>
            <w:r>
              <w:rPr>
                <w:color w:val="auto"/>
                <w:highlight w:val="none"/>
              </w:rPr>
              <w:t xml:space="preserve"> </w:t>
            </w:r>
            <w:r>
              <w:rPr>
                <w:color w:val="auto"/>
                <w:spacing w:val="5"/>
                <w:highlight w:val="none"/>
              </w:rPr>
              <w:t>2017）进行划分。</w:t>
            </w:r>
          </w:p>
          <w:p w14:paraId="200D027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4" w:firstLineChars="200"/>
              <w:jc w:val="both"/>
              <w:textAlignment w:val="baseline"/>
              <w:rPr>
                <w:color w:val="auto"/>
                <w:highlight w:val="none"/>
              </w:rPr>
            </w:pPr>
            <w:r>
              <w:rPr>
                <w:color w:val="auto"/>
                <w:spacing w:val="11"/>
                <w:highlight w:val="none"/>
              </w:rPr>
              <w:t>10.7 招标文件中如无特别说明，土建工程路基、路面里程长度均不扣除桥隧等构</w:t>
            </w:r>
            <w:r>
              <w:rPr>
                <w:color w:val="auto"/>
                <w:spacing w:val="6"/>
                <w:highlight w:val="none"/>
              </w:rPr>
              <w:t>造物长度。</w:t>
            </w:r>
          </w:p>
          <w:p w14:paraId="217FDC1B">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42" w:leftChars="20" w:right="42" w:rightChars="20" w:firstLine="448" w:firstLineChars="200"/>
              <w:jc w:val="both"/>
              <w:textAlignment w:val="baseline"/>
              <w:rPr>
                <w:color w:val="auto"/>
                <w:highlight w:val="none"/>
              </w:rPr>
            </w:pPr>
            <w:r>
              <w:rPr>
                <w:color w:val="auto"/>
                <w:spacing w:val="12"/>
                <w:highlight w:val="none"/>
              </w:rPr>
              <w:t>10.8</w:t>
            </w:r>
            <w:r>
              <w:rPr>
                <w:color w:val="auto"/>
                <w:spacing w:val="-13"/>
                <w:highlight w:val="none"/>
              </w:rPr>
              <w:t xml:space="preserve"> </w:t>
            </w:r>
            <w:r>
              <w:rPr>
                <w:color w:val="auto"/>
                <w:spacing w:val="12"/>
                <w:highlight w:val="none"/>
              </w:rPr>
              <w:t>同时对两个及两个以上标段进行投标的投标人，不能使用同一</w:t>
            </w:r>
            <w:r>
              <w:rPr>
                <w:color w:val="auto"/>
                <w:spacing w:val="11"/>
                <w:highlight w:val="none"/>
              </w:rPr>
              <w:t>套人员。（如</w:t>
            </w:r>
            <w:r>
              <w:rPr>
                <w:color w:val="auto"/>
                <w:spacing w:val="8"/>
                <w:highlight w:val="none"/>
              </w:rPr>
              <w:t>果最终只允许中一个标段，则允许使用同一套人员）。</w:t>
            </w:r>
          </w:p>
        </w:tc>
      </w:tr>
      <w:tr w14:paraId="4247D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3" w:type="dxa"/>
            <w:vAlign w:val="center"/>
          </w:tcPr>
          <w:p w14:paraId="23EEAC54">
            <w:pPr>
              <w:pStyle w:val="23"/>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11"/>
              <w:jc w:val="center"/>
              <w:textAlignment w:val="baseline"/>
              <w:rPr>
                <w:rFonts w:hint="default"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t>10.9</w:t>
            </w:r>
          </w:p>
        </w:tc>
        <w:tc>
          <w:tcPr>
            <w:tcW w:w="8251" w:type="dxa"/>
            <w:gridSpan w:val="2"/>
            <w:vAlign w:val="top"/>
          </w:tcPr>
          <w:p w14:paraId="3302A6B8">
            <w:pPr>
              <w:pStyle w:val="23"/>
              <w:keepNext w:val="0"/>
              <w:keepLines w:val="0"/>
              <w:pageBreakBefore w:val="0"/>
              <w:wordWrap/>
              <w:overflowPunct/>
              <w:topLinePunct w:val="0"/>
              <w:bidi w:val="0"/>
              <w:spacing w:line="360" w:lineRule="exact"/>
              <w:ind w:left="116" w:right="108" w:firstLine="11"/>
              <w:rPr>
                <w:color w:val="auto"/>
                <w:spacing w:val="12"/>
                <w:highlight w:val="none"/>
              </w:rPr>
            </w:pPr>
            <w:r>
              <w:rPr>
                <w:rFonts w:hint="eastAsia"/>
                <w:color w:val="auto"/>
                <w:spacing w:val="12"/>
                <w:highlight w:val="none"/>
              </w:rPr>
              <w:t>本项目的招标代理服务费及评标专家酬劳全部由中标人支付，该费用不再另行报价，由投标人在投标报价时综合考虑在内。中标人在领取中标通知书前须向招标代理机构一次性支付招标代理服务费及评标专家酬劳，先由招标代理垫付（招标代理服务费按招标代理协议书约定执行，评标专家酬劳以评标结束当日的评标专家酬劳签收表总额为准）。</w:t>
            </w:r>
          </w:p>
        </w:tc>
      </w:tr>
    </w:tbl>
    <w:p w14:paraId="4D914A8C">
      <w:pPr>
        <w:spacing w:line="275" w:lineRule="auto"/>
        <w:rPr>
          <w:rFonts w:ascii="Arial"/>
          <w:color w:val="auto"/>
          <w:sz w:val="21"/>
          <w:highlight w:val="none"/>
        </w:rPr>
      </w:pPr>
    </w:p>
    <w:p w14:paraId="1B2FD50C">
      <w:pPr>
        <w:spacing w:line="275" w:lineRule="auto"/>
        <w:rPr>
          <w:rFonts w:ascii="Arial"/>
          <w:color w:val="auto"/>
          <w:sz w:val="21"/>
          <w:highlight w:val="none"/>
        </w:rPr>
      </w:pPr>
    </w:p>
    <w:p w14:paraId="69DD530A">
      <w:pPr>
        <w:spacing w:line="220" w:lineRule="auto"/>
        <w:rPr>
          <w:rFonts w:ascii="宋体" w:hAnsi="宋体" w:eastAsia="宋体" w:cs="宋体"/>
          <w:color w:val="auto"/>
          <w:sz w:val="18"/>
          <w:szCs w:val="18"/>
          <w:highlight w:val="none"/>
        </w:rPr>
        <w:sectPr>
          <w:footerReference r:id="rId10" w:type="default"/>
          <w:pgSz w:w="11906" w:h="16839"/>
          <w:pgMar w:top="1416" w:right="1785" w:bottom="1297" w:left="1304" w:header="0" w:footer="1066" w:gutter="0"/>
          <w:pgBorders>
            <w:top w:val="none" w:sz="0" w:space="0"/>
            <w:left w:val="none" w:sz="0" w:space="0"/>
            <w:bottom w:val="none" w:sz="0" w:space="0"/>
            <w:right w:val="none" w:sz="0" w:space="0"/>
          </w:pgBorders>
          <w:pgNumType w:fmt="decimal"/>
          <w:cols w:space="720" w:num="1"/>
        </w:sectPr>
      </w:pPr>
      <w:bookmarkStart w:id="36" w:name="bookmark79"/>
      <w:bookmarkEnd w:id="36"/>
    </w:p>
    <w:p w14:paraId="02AE0E6D">
      <w:pPr>
        <w:spacing w:before="128" w:line="219" w:lineRule="auto"/>
        <w:ind w:left="2186"/>
        <w:outlineLvl w:val="1"/>
        <w:rPr>
          <w:rFonts w:ascii="宋体" w:hAnsi="宋体" w:eastAsia="宋体" w:cs="宋体"/>
          <w:color w:val="auto"/>
          <w:sz w:val="28"/>
          <w:szCs w:val="28"/>
          <w:highlight w:val="none"/>
        </w:rPr>
      </w:pPr>
      <w:bookmarkStart w:id="37" w:name="_Toc31404"/>
      <w:bookmarkStart w:id="38" w:name="_Toc29797"/>
      <w:bookmarkStart w:id="39" w:name="_Toc13426"/>
      <w:bookmarkStart w:id="40" w:name="_Toc25000"/>
      <w:r>
        <w:rPr>
          <w:rFonts w:ascii="宋体" w:hAnsi="宋体" w:eastAsia="宋体" w:cs="宋体"/>
          <w:b/>
          <w:bCs/>
          <w:color w:val="auto"/>
          <w:spacing w:val="-6"/>
          <w:sz w:val="28"/>
          <w:szCs w:val="28"/>
          <w:highlight w:val="none"/>
        </w:rPr>
        <w:t>附录</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资格审查条件（资质最低要求）</w:t>
      </w:r>
      <w:bookmarkEnd w:id="37"/>
      <w:bookmarkEnd w:id="38"/>
      <w:bookmarkEnd w:id="39"/>
      <w:bookmarkEnd w:id="40"/>
    </w:p>
    <w:p w14:paraId="57911364">
      <w:pPr>
        <w:spacing w:before="300" w:line="220" w:lineRule="auto"/>
        <w:ind w:left="12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39B9E836">
      <w:pPr>
        <w:spacing w:line="145" w:lineRule="exact"/>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7160"/>
      </w:tblGrid>
      <w:tr w14:paraId="3C1C4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130" w:type="dxa"/>
            <w:vAlign w:val="top"/>
          </w:tcPr>
          <w:p w14:paraId="6F525182">
            <w:pPr>
              <w:pStyle w:val="23"/>
              <w:spacing w:before="208" w:line="228" w:lineRule="auto"/>
              <w:ind w:left="649"/>
              <w:rPr>
                <w:color w:val="auto"/>
                <w:highlight w:val="none"/>
              </w:rPr>
            </w:pPr>
            <w:r>
              <w:rPr>
                <w:b/>
                <w:bCs/>
                <w:color w:val="auto"/>
                <w:spacing w:val="6"/>
                <w:highlight w:val="none"/>
              </w:rPr>
              <w:t>标段标类</w:t>
            </w:r>
          </w:p>
        </w:tc>
        <w:tc>
          <w:tcPr>
            <w:tcW w:w="7160" w:type="dxa"/>
            <w:vAlign w:val="top"/>
          </w:tcPr>
          <w:p w14:paraId="323F7C22">
            <w:pPr>
              <w:pStyle w:val="23"/>
              <w:spacing w:before="189" w:line="266" w:lineRule="exact"/>
              <w:ind w:left="2477"/>
              <w:rPr>
                <w:color w:val="auto"/>
                <w:sz w:val="10"/>
                <w:szCs w:val="10"/>
                <w:highlight w:val="none"/>
              </w:rPr>
            </w:pPr>
            <w:r>
              <w:rPr>
                <w:b/>
                <w:bCs/>
                <w:color w:val="auto"/>
                <w:spacing w:val="7"/>
                <w:highlight w:val="none"/>
              </w:rPr>
              <w:t>监理企业资质等级要求</w:t>
            </w:r>
          </w:p>
        </w:tc>
      </w:tr>
      <w:tr w14:paraId="5584F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2130" w:type="dxa"/>
            <w:vAlign w:val="center"/>
          </w:tcPr>
          <w:p w14:paraId="7BE91617">
            <w:pPr>
              <w:pStyle w:val="23"/>
              <w:keepNext w:val="0"/>
              <w:keepLines w:val="0"/>
              <w:pageBreakBefore w:val="0"/>
              <w:widowControl/>
              <w:kinsoku w:val="0"/>
              <w:wordWrap/>
              <w:overflowPunct/>
              <w:topLinePunct w:val="0"/>
              <w:autoSpaceDE w:val="0"/>
              <w:autoSpaceDN w:val="0"/>
              <w:bidi w:val="0"/>
              <w:adjustRightInd w:val="0"/>
              <w:snapToGrid w:val="0"/>
              <w:spacing w:line="353" w:lineRule="auto"/>
              <w:ind w:right="28" w:rightChars="0"/>
              <w:jc w:val="center"/>
              <w:textAlignment w:val="baseline"/>
              <w:rPr>
                <w:color w:val="auto"/>
                <w:highlight w:val="none"/>
              </w:rPr>
            </w:pPr>
            <w:r>
              <w:rPr>
                <w:rFonts w:hint="eastAsia"/>
                <w:color w:val="auto"/>
                <w:highlight w:val="none"/>
              </w:rPr>
              <w:t>土建监理含中心试验室（D 类）</w:t>
            </w:r>
          </w:p>
        </w:tc>
        <w:tc>
          <w:tcPr>
            <w:tcW w:w="7160" w:type="dxa"/>
            <w:vAlign w:val="center"/>
          </w:tcPr>
          <w:p w14:paraId="783AE271">
            <w:pPr>
              <w:pStyle w:val="23"/>
              <w:spacing w:before="65" w:line="228" w:lineRule="auto"/>
              <w:jc w:val="center"/>
              <w:rPr>
                <w:color w:val="auto"/>
                <w:highlight w:val="none"/>
              </w:rPr>
            </w:pPr>
            <w:r>
              <w:rPr>
                <w:rFonts w:hint="eastAsia"/>
                <w:color w:val="auto"/>
                <w:highlight w:val="none"/>
              </w:rPr>
              <w:t>具有交通运输主管部门核发的在有效期内的公路工程</w:t>
            </w:r>
            <w:r>
              <w:rPr>
                <w:rFonts w:hint="eastAsia"/>
                <w:color w:val="auto"/>
                <w:highlight w:val="none"/>
                <w:u w:val="single"/>
              </w:rPr>
              <w:t>乙</w:t>
            </w:r>
            <w:r>
              <w:rPr>
                <w:rFonts w:hint="eastAsia"/>
                <w:color w:val="auto"/>
                <w:highlight w:val="none"/>
              </w:rPr>
              <w:t>级以上（含乙级）监理企业资质。</w:t>
            </w:r>
          </w:p>
        </w:tc>
      </w:tr>
    </w:tbl>
    <w:p w14:paraId="78F7BE5D">
      <w:pPr>
        <w:spacing w:before="271" w:line="379" w:lineRule="auto"/>
        <w:ind w:left="118" w:right="11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注：若联合体协议书约定同一专业分工由两个及以上单位共同承担的</w:t>
      </w:r>
      <w:r>
        <w:rPr>
          <w:rFonts w:ascii="宋体" w:hAnsi="宋体" w:eastAsia="宋体" w:cs="宋体"/>
          <w:color w:val="auto"/>
          <w:spacing w:val="10"/>
          <w:sz w:val="20"/>
          <w:szCs w:val="20"/>
          <w:highlight w:val="none"/>
        </w:rPr>
        <w:t>，按照就低不就高的原则确定</w:t>
      </w:r>
      <w:r>
        <w:rPr>
          <w:rFonts w:ascii="宋体" w:hAnsi="宋体" w:eastAsia="宋体" w:cs="宋体"/>
          <w:color w:val="auto"/>
          <w:spacing w:val="11"/>
          <w:sz w:val="20"/>
          <w:szCs w:val="20"/>
          <w:highlight w:val="none"/>
        </w:rPr>
        <w:t>联合体的资质；不同专业分工由不同单位分别承担的，按照各自的</w:t>
      </w:r>
      <w:r>
        <w:rPr>
          <w:rFonts w:ascii="宋体" w:hAnsi="宋体" w:eastAsia="宋体" w:cs="宋体"/>
          <w:color w:val="auto"/>
          <w:spacing w:val="10"/>
          <w:sz w:val="20"/>
          <w:szCs w:val="20"/>
          <w:highlight w:val="none"/>
        </w:rPr>
        <w:t>专业资质确定联合体的资质，下</w:t>
      </w:r>
      <w:r>
        <w:rPr>
          <w:rFonts w:ascii="宋体" w:hAnsi="宋体" w:eastAsia="宋体" w:cs="宋体"/>
          <w:color w:val="auto"/>
          <w:sz w:val="20"/>
          <w:szCs w:val="20"/>
          <w:highlight w:val="none"/>
        </w:rPr>
        <w:t>同。</w:t>
      </w:r>
    </w:p>
    <w:p w14:paraId="56BE1E9E">
      <w:pPr>
        <w:rPr>
          <w:rFonts w:ascii="宋体" w:hAnsi="宋体" w:eastAsia="宋体" w:cs="宋体"/>
          <w:color w:val="auto"/>
          <w:sz w:val="18"/>
          <w:szCs w:val="18"/>
          <w:highlight w:val="none"/>
        </w:rPr>
        <w:sectPr>
          <w:footerReference r:id="rId11" w:type="default"/>
          <w:pgSz w:w="11906" w:h="16839"/>
          <w:pgMar w:top="1431" w:right="1305" w:bottom="1297" w:left="1305" w:header="0" w:footer="1067" w:gutter="0"/>
          <w:pgBorders>
            <w:top w:val="none" w:sz="0" w:space="0"/>
            <w:left w:val="none" w:sz="0" w:space="0"/>
            <w:bottom w:val="none" w:sz="0" w:space="0"/>
            <w:right w:val="none" w:sz="0" w:space="0"/>
          </w:pgBorders>
          <w:pgNumType w:fmt="decimal"/>
          <w:cols w:space="720" w:num="1"/>
        </w:sectPr>
      </w:pPr>
      <w:bookmarkStart w:id="41" w:name="bookmark81"/>
      <w:bookmarkEnd w:id="41"/>
    </w:p>
    <w:p w14:paraId="003F4323">
      <w:pPr>
        <w:spacing w:before="128" w:line="219" w:lineRule="auto"/>
        <w:ind w:left="2186"/>
        <w:outlineLvl w:val="1"/>
        <w:rPr>
          <w:rFonts w:ascii="宋体" w:hAnsi="宋体" w:eastAsia="宋体" w:cs="宋体"/>
          <w:b/>
          <w:bCs/>
          <w:color w:val="auto"/>
          <w:spacing w:val="-6"/>
          <w:sz w:val="28"/>
          <w:szCs w:val="28"/>
          <w:highlight w:val="none"/>
        </w:rPr>
      </w:pPr>
      <w:bookmarkStart w:id="42" w:name="_Toc26936"/>
      <w:bookmarkStart w:id="43" w:name="_Toc1818"/>
      <w:bookmarkStart w:id="44" w:name="_Toc5931"/>
      <w:bookmarkStart w:id="45" w:name="_Toc19724"/>
      <w:r>
        <w:rPr>
          <w:rFonts w:ascii="宋体" w:hAnsi="宋体" w:eastAsia="宋体" w:cs="宋体"/>
          <w:b/>
          <w:bCs/>
          <w:color w:val="auto"/>
          <w:spacing w:val="-6"/>
          <w:sz w:val="28"/>
          <w:szCs w:val="28"/>
          <w:highlight w:val="none"/>
        </w:rPr>
        <w:t>附录2 资格审查条件（业绩最低要求）</w:t>
      </w:r>
      <w:bookmarkEnd w:id="42"/>
      <w:bookmarkEnd w:id="43"/>
      <w:bookmarkEnd w:id="44"/>
      <w:bookmarkEnd w:id="45"/>
    </w:p>
    <w:p w14:paraId="08BCCFB3">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4D594A44">
      <w:pPr>
        <w:spacing w:line="146"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8157"/>
      </w:tblGrid>
      <w:tr w14:paraId="6B6FA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131" w:type="dxa"/>
            <w:vAlign w:val="top"/>
          </w:tcPr>
          <w:p w14:paraId="50FEADD6">
            <w:pPr>
              <w:pStyle w:val="23"/>
              <w:spacing w:before="59" w:line="228" w:lineRule="auto"/>
              <w:ind w:left="149"/>
              <w:rPr>
                <w:color w:val="auto"/>
                <w:highlight w:val="none"/>
              </w:rPr>
            </w:pPr>
            <w:r>
              <w:rPr>
                <w:b/>
                <w:bCs/>
                <w:color w:val="auto"/>
                <w:spacing w:val="6"/>
                <w:highlight w:val="none"/>
              </w:rPr>
              <w:t>标段类别</w:t>
            </w:r>
          </w:p>
        </w:tc>
        <w:tc>
          <w:tcPr>
            <w:tcW w:w="8157" w:type="dxa"/>
            <w:vAlign w:val="top"/>
          </w:tcPr>
          <w:p w14:paraId="452BA0A1">
            <w:pPr>
              <w:pStyle w:val="23"/>
              <w:spacing w:before="59" w:line="229" w:lineRule="auto"/>
              <w:ind w:left="3765"/>
              <w:rPr>
                <w:color w:val="auto"/>
                <w:highlight w:val="none"/>
              </w:rPr>
            </w:pPr>
            <w:r>
              <w:rPr>
                <w:b/>
                <w:bCs/>
                <w:color w:val="auto"/>
                <w:spacing w:val="-3"/>
                <w:highlight w:val="none"/>
              </w:rPr>
              <w:t>要</w:t>
            </w:r>
            <w:r>
              <w:rPr>
                <w:color w:val="auto"/>
                <w:spacing w:val="12"/>
                <w:highlight w:val="none"/>
              </w:rPr>
              <w:t xml:space="preserve">  </w:t>
            </w:r>
            <w:r>
              <w:rPr>
                <w:b/>
                <w:bCs/>
                <w:color w:val="auto"/>
                <w:spacing w:val="-3"/>
                <w:highlight w:val="none"/>
              </w:rPr>
              <w:t>求</w:t>
            </w:r>
          </w:p>
        </w:tc>
      </w:tr>
      <w:tr w14:paraId="6885D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3" w:hRule="atLeast"/>
        </w:trPr>
        <w:tc>
          <w:tcPr>
            <w:tcW w:w="1131" w:type="dxa"/>
            <w:vAlign w:val="center"/>
          </w:tcPr>
          <w:p w14:paraId="0DDB80A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28" w:right="10" w:rightChars="5"/>
              <w:jc w:val="center"/>
              <w:textAlignment w:val="baseline"/>
              <w:rPr>
                <w:color w:val="auto"/>
                <w:highlight w:val="none"/>
              </w:rPr>
            </w:pPr>
            <w:r>
              <w:rPr>
                <w:rFonts w:hint="eastAsia"/>
                <w:color w:val="auto"/>
                <w:highlight w:val="none"/>
              </w:rPr>
              <w:t>土建监理含中心试验室（D 类）</w:t>
            </w:r>
          </w:p>
        </w:tc>
        <w:tc>
          <w:tcPr>
            <w:tcW w:w="8157" w:type="dxa"/>
            <w:vAlign w:val="top"/>
          </w:tcPr>
          <w:p w14:paraId="6E4B8F36">
            <w:pPr>
              <w:spacing w:line="371" w:lineRule="auto"/>
              <w:rPr>
                <w:rFonts w:ascii="Arial"/>
                <w:color w:val="auto"/>
                <w:sz w:val="21"/>
                <w:highlight w:val="none"/>
              </w:rPr>
            </w:pPr>
          </w:p>
          <w:p w14:paraId="01FBEAAD">
            <w:pPr>
              <w:pStyle w:val="23"/>
              <w:spacing w:before="65" w:line="228" w:lineRule="auto"/>
              <w:ind w:left="111"/>
              <w:rPr>
                <w:color w:val="auto"/>
                <w:highlight w:val="none"/>
              </w:rPr>
            </w:pPr>
            <w:r>
              <w:rPr>
                <w:color w:val="auto"/>
                <w:spacing w:val="9"/>
                <w:highlight w:val="none"/>
              </w:rPr>
              <w:t>近五年，成功完成以下业绩</w:t>
            </w:r>
          </w:p>
          <w:p w14:paraId="4B8247C8">
            <w:pPr>
              <w:pStyle w:val="23"/>
              <w:spacing w:before="161" w:line="303" w:lineRule="auto"/>
              <w:ind w:left="113" w:right="108" w:firstLine="14"/>
              <w:rPr>
                <w:color w:val="auto"/>
                <w:highlight w:val="none"/>
              </w:rPr>
            </w:pPr>
            <w:r>
              <w:rPr>
                <w:color w:val="auto"/>
                <w:spacing w:val="8"/>
                <w:highlight w:val="none"/>
              </w:rPr>
              <w:t>1、累计完成过不少于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 xml:space="preserve"> 10</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的类似工程路基施工监理任务</w:t>
            </w:r>
            <w:r>
              <w:rPr>
                <w:color w:val="auto"/>
                <w:spacing w:val="7"/>
                <w:highlight w:val="none"/>
              </w:rPr>
              <w:t>，其中至少</w:t>
            </w:r>
            <w:r>
              <w:rPr>
                <w:color w:val="auto"/>
                <w:spacing w:val="-21"/>
                <w:highlight w:val="none"/>
              </w:rPr>
              <w:t xml:space="preserve"> </w:t>
            </w:r>
            <w:r>
              <w:rPr>
                <w:color w:val="auto"/>
                <w:spacing w:val="7"/>
                <w:highlight w:val="none"/>
              </w:rPr>
              <w:t>1</w:t>
            </w:r>
            <w:r>
              <w:rPr>
                <w:color w:val="auto"/>
                <w:spacing w:val="-41"/>
                <w:highlight w:val="none"/>
              </w:rPr>
              <w:t xml:space="preserve"> </w:t>
            </w:r>
            <w:r>
              <w:rPr>
                <w:color w:val="auto"/>
                <w:spacing w:val="7"/>
                <w:highlight w:val="none"/>
              </w:rPr>
              <w:t>个标段里程不</w:t>
            </w:r>
            <w:r>
              <w:rPr>
                <w:color w:val="auto"/>
                <w:spacing w:val="4"/>
                <w:highlight w:val="none"/>
              </w:rPr>
              <w:t>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10</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4"/>
                <w:highlight w:val="none"/>
              </w:rPr>
              <w:t>。</w:t>
            </w:r>
          </w:p>
          <w:p w14:paraId="4A599CFA">
            <w:pPr>
              <w:pStyle w:val="23"/>
              <w:spacing w:before="161" w:line="302" w:lineRule="auto"/>
              <w:ind w:left="113" w:right="159" w:firstLine="1"/>
              <w:rPr>
                <w:color w:val="auto"/>
                <w:highlight w:val="none"/>
              </w:rPr>
            </w:pPr>
            <w:r>
              <w:rPr>
                <w:color w:val="auto"/>
                <w:spacing w:val="10"/>
                <w:highlight w:val="none"/>
              </w:rPr>
              <w:t>2、累计完成过不少于</w:t>
            </w:r>
            <w:r>
              <w:rPr>
                <w:color w:val="auto"/>
                <w:spacing w:val="-92"/>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10</w:t>
            </w:r>
            <w:r>
              <w:rPr>
                <w:color w:val="auto"/>
                <w:spacing w:val="8"/>
                <w:highlight w:val="none"/>
                <w:u w:val="single" w:color="auto"/>
              </w:rPr>
              <w:t xml:space="preserve">  </w:t>
            </w:r>
            <w:r>
              <w:rPr>
                <w:color w:val="auto"/>
                <w:spacing w:val="-93"/>
                <w:highlight w:val="none"/>
              </w:rPr>
              <w:t xml:space="preserve"> </w:t>
            </w:r>
            <w:r>
              <w:rPr>
                <w:color w:val="auto"/>
                <w:highlight w:val="none"/>
              </w:rPr>
              <w:t>km</w:t>
            </w:r>
            <w:r>
              <w:rPr>
                <w:color w:val="auto"/>
                <w:spacing w:val="-21"/>
                <w:highlight w:val="none"/>
              </w:rPr>
              <w:t xml:space="preserve"> </w:t>
            </w:r>
            <w:r>
              <w:rPr>
                <w:color w:val="auto"/>
                <w:spacing w:val="10"/>
                <w:highlight w:val="none"/>
              </w:rPr>
              <w:t>的类似工程</w:t>
            </w:r>
            <w:r>
              <w:rPr>
                <w:rFonts w:hint="eastAsia"/>
                <w:color w:val="auto"/>
                <w:spacing w:val="10"/>
                <w:highlight w:val="none"/>
                <w:u w:val="single" w:color="auto"/>
                <w:lang w:val="en-US" w:eastAsia="zh-CN"/>
              </w:rPr>
              <w:t>水泥</w:t>
            </w:r>
            <w:r>
              <w:rPr>
                <w:color w:val="auto"/>
                <w:spacing w:val="10"/>
                <w:highlight w:val="none"/>
                <w:u w:val="single" w:color="auto"/>
              </w:rPr>
              <w:t>混凝土</w:t>
            </w:r>
            <w:r>
              <w:rPr>
                <w:rFonts w:hint="eastAsia"/>
                <w:color w:val="auto"/>
                <w:spacing w:val="10"/>
                <w:highlight w:val="none"/>
                <w:u w:val="single" w:color="auto"/>
                <w:lang w:val="en-US" w:eastAsia="zh-CN"/>
              </w:rPr>
              <w:t>或沥青混凝土</w:t>
            </w:r>
            <w:r>
              <w:rPr>
                <w:color w:val="auto"/>
                <w:spacing w:val="10"/>
                <w:highlight w:val="none"/>
              </w:rPr>
              <w:t>路面施工监理任务，</w:t>
            </w:r>
            <w:r>
              <w:rPr>
                <w:color w:val="auto"/>
                <w:spacing w:val="5"/>
                <w:highlight w:val="none"/>
              </w:rPr>
              <w:t>其中至少</w:t>
            </w:r>
            <w:r>
              <w:rPr>
                <w:color w:val="auto"/>
                <w:spacing w:val="-10"/>
                <w:highlight w:val="none"/>
              </w:rPr>
              <w:t xml:space="preserve"> </w:t>
            </w:r>
            <w:r>
              <w:rPr>
                <w:color w:val="auto"/>
                <w:spacing w:val="5"/>
                <w:highlight w:val="none"/>
              </w:rPr>
              <w:t>1</w:t>
            </w:r>
            <w:r>
              <w:rPr>
                <w:color w:val="auto"/>
                <w:spacing w:val="-38"/>
                <w:highlight w:val="none"/>
              </w:rPr>
              <w:t xml:space="preserve"> </w:t>
            </w:r>
            <w:r>
              <w:rPr>
                <w:color w:val="auto"/>
                <w:spacing w:val="5"/>
                <w:highlight w:val="none"/>
              </w:rPr>
              <w:t>个标段里程不少于</w:t>
            </w:r>
            <w:r>
              <w:rPr>
                <w:color w:val="auto"/>
                <w:spacing w:val="5"/>
                <w:highlight w:val="none"/>
                <w:u w:val="single" w:color="auto"/>
              </w:rPr>
              <w:t xml:space="preserve">   </w:t>
            </w:r>
            <w:r>
              <w:rPr>
                <w:rFonts w:hint="eastAsia"/>
                <w:color w:val="auto"/>
                <w:spacing w:val="5"/>
                <w:highlight w:val="none"/>
                <w:u w:val="single" w:color="auto"/>
                <w:lang w:val="en-US" w:eastAsia="zh-CN"/>
              </w:rPr>
              <w:t>10</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5"/>
                <w:highlight w:val="none"/>
              </w:rPr>
              <w:t>。</w:t>
            </w:r>
          </w:p>
          <w:p w14:paraId="08D8940C">
            <w:pPr>
              <w:pStyle w:val="23"/>
              <w:spacing w:before="165" w:line="302" w:lineRule="auto"/>
              <w:ind w:left="113" w:right="108" w:firstLine="3"/>
              <w:rPr>
                <w:color w:val="auto"/>
                <w:highlight w:val="none"/>
              </w:rPr>
            </w:pPr>
            <w:r>
              <w:rPr>
                <w:rFonts w:hint="eastAsia"/>
                <w:color w:val="auto"/>
                <w:spacing w:val="8"/>
                <w:highlight w:val="none"/>
                <w:lang w:val="en-US" w:eastAsia="zh-CN"/>
              </w:rPr>
              <w:t>3</w:t>
            </w:r>
            <w:r>
              <w:rPr>
                <w:color w:val="auto"/>
                <w:spacing w:val="8"/>
                <w:highlight w:val="none"/>
              </w:rPr>
              <w:t>、累计完成过不少于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10</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的类似工程交通安全设施施工监理任务，其中至少</w:t>
            </w:r>
            <w:r>
              <w:rPr>
                <w:color w:val="auto"/>
                <w:spacing w:val="-22"/>
                <w:highlight w:val="none"/>
              </w:rPr>
              <w:t xml:space="preserve"> </w:t>
            </w:r>
            <w:r>
              <w:rPr>
                <w:color w:val="auto"/>
                <w:spacing w:val="7"/>
                <w:highlight w:val="none"/>
              </w:rPr>
              <w:t>1</w:t>
            </w:r>
            <w:r>
              <w:rPr>
                <w:color w:val="auto"/>
                <w:spacing w:val="-37"/>
                <w:highlight w:val="none"/>
              </w:rPr>
              <w:t xml:space="preserve"> </w:t>
            </w:r>
            <w:r>
              <w:rPr>
                <w:color w:val="auto"/>
                <w:spacing w:val="7"/>
                <w:highlight w:val="none"/>
              </w:rPr>
              <w:t>个标段里程不少于</w:t>
            </w:r>
            <w:r>
              <w:rPr>
                <w:color w:val="auto"/>
                <w:spacing w:val="-96"/>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10</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7"/>
                <w:highlight w:val="none"/>
              </w:rPr>
              <w:t>。</w:t>
            </w:r>
          </w:p>
          <w:p w14:paraId="4A2ABD73">
            <w:pPr>
              <w:pStyle w:val="23"/>
              <w:spacing w:before="130" w:line="371" w:lineRule="auto"/>
              <w:ind w:left="114"/>
              <w:rPr>
                <w:color w:val="auto"/>
                <w:highlight w:val="none"/>
              </w:rPr>
            </w:pPr>
          </w:p>
        </w:tc>
      </w:tr>
    </w:tbl>
    <w:p w14:paraId="5763704F">
      <w:pPr>
        <w:spacing w:before="31" w:line="232" w:lineRule="auto"/>
        <w:ind w:left="11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2454EA2C">
      <w:pPr>
        <w:spacing w:before="156" w:line="227" w:lineRule="auto"/>
        <w:ind w:left="55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1、本附录所要求的业绩仅限中华人民共和国境内业绩。</w:t>
      </w:r>
    </w:p>
    <w:p w14:paraId="7A0514A4">
      <w:pPr>
        <w:spacing w:before="164" w:line="228" w:lineRule="auto"/>
        <w:ind w:left="5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2、同一工程项目同时满足</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项或多项业绩要求条件的，可分别计；</w:t>
      </w:r>
    </w:p>
    <w:p w14:paraId="49BE7536">
      <w:pPr>
        <w:spacing w:before="160" w:line="302" w:lineRule="auto"/>
        <w:ind w:left="117" w:right="111" w:firstLine="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3、本表要求业绩指由投标人承接并完成的业绩,投标人上级单位（如总公司、集团公司等）的</w:t>
      </w:r>
      <w:r>
        <w:rPr>
          <w:rFonts w:ascii="宋体" w:hAnsi="宋体" w:eastAsia="宋体" w:cs="宋体"/>
          <w:color w:val="auto"/>
          <w:spacing w:val="9"/>
          <w:sz w:val="20"/>
          <w:szCs w:val="20"/>
          <w:highlight w:val="none"/>
        </w:rPr>
        <w:t>业绩和投标人具备独立法人资格的下属机构的业绩均不予认定。</w:t>
      </w:r>
    </w:p>
    <w:p w14:paraId="27689B96">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4、若投标人提供的业绩证明为联合体业绩，则按投标人须知 3.5.2 项要求的证明材料体现其完成的相关专项工程的工程量认定，无法界定其完成的相关专项工程的工程量，此业绩不予认定。</w:t>
      </w:r>
    </w:p>
    <w:p w14:paraId="154ECEB2">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5、若为联合体投标，投标人业绩的资格审查条件和加分条件（如有）的认定原则如下 ：</w:t>
      </w:r>
      <w:r>
        <w:rPr>
          <w:rFonts w:ascii="宋体" w:hAnsi="宋体" w:eastAsia="宋体" w:cs="宋体"/>
          <w:color w:val="auto"/>
          <w:spacing w:val="9"/>
          <w:sz w:val="20"/>
          <w:szCs w:val="20"/>
          <w:highlight w:val="none"/>
          <w:u w:val="single"/>
        </w:rPr>
        <w:t xml:space="preserve">     </w:t>
      </w:r>
      <w:r>
        <w:rPr>
          <w:rFonts w:hint="eastAsia" w:ascii="宋体" w:hAnsi="宋体" w:eastAsia="宋体" w:cs="宋体"/>
          <w:color w:val="auto"/>
          <w:spacing w:val="9"/>
          <w:sz w:val="20"/>
          <w:szCs w:val="20"/>
          <w:highlight w:val="none"/>
          <w:u w:val="single"/>
          <w:lang w:val="en-US" w:eastAsia="zh-CN"/>
        </w:rPr>
        <w:t>/</w:t>
      </w:r>
      <w:r>
        <w:rPr>
          <w:rFonts w:ascii="宋体" w:hAnsi="宋体" w:eastAsia="宋体" w:cs="宋体"/>
          <w:color w:val="auto"/>
          <w:spacing w:val="9"/>
          <w:sz w:val="20"/>
          <w:szCs w:val="20"/>
          <w:highlight w:val="none"/>
          <w:u w:val="single"/>
        </w:rPr>
        <w:t xml:space="preserve">     </w:t>
      </w:r>
      <w:r>
        <w:rPr>
          <w:rFonts w:ascii="宋体" w:hAnsi="宋体" w:eastAsia="宋体" w:cs="宋体"/>
          <w:color w:val="auto"/>
          <w:spacing w:val="9"/>
          <w:sz w:val="20"/>
          <w:szCs w:val="20"/>
          <w:highlight w:val="none"/>
        </w:rPr>
        <w:t>。</w:t>
      </w:r>
    </w:p>
    <w:p w14:paraId="6C39CB03">
      <w:pPr>
        <w:spacing w:line="259" w:lineRule="auto"/>
        <w:rPr>
          <w:rFonts w:ascii="Arial"/>
          <w:color w:val="auto"/>
          <w:sz w:val="21"/>
          <w:highlight w:val="none"/>
        </w:rPr>
      </w:pPr>
    </w:p>
    <w:p w14:paraId="3F42B6E1">
      <w:pPr>
        <w:spacing w:line="259" w:lineRule="auto"/>
        <w:rPr>
          <w:rFonts w:ascii="Arial"/>
          <w:color w:val="auto"/>
          <w:sz w:val="21"/>
          <w:highlight w:val="none"/>
        </w:rPr>
      </w:pPr>
    </w:p>
    <w:p w14:paraId="264E7FCA">
      <w:pPr>
        <w:spacing w:line="259" w:lineRule="auto"/>
        <w:rPr>
          <w:rFonts w:ascii="Arial"/>
          <w:color w:val="auto"/>
          <w:sz w:val="21"/>
          <w:highlight w:val="none"/>
        </w:rPr>
      </w:pPr>
    </w:p>
    <w:p w14:paraId="680A93F7">
      <w:pPr>
        <w:spacing w:line="259" w:lineRule="auto"/>
        <w:rPr>
          <w:rFonts w:ascii="Arial"/>
          <w:color w:val="auto"/>
          <w:sz w:val="21"/>
          <w:highlight w:val="none"/>
        </w:rPr>
      </w:pPr>
    </w:p>
    <w:p w14:paraId="068EEE86">
      <w:pPr>
        <w:spacing w:line="259" w:lineRule="auto"/>
        <w:rPr>
          <w:rFonts w:ascii="Arial"/>
          <w:color w:val="auto"/>
          <w:sz w:val="21"/>
          <w:highlight w:val="none"/>
        </w:rPr>
      </w:pPr>
    </w:p>
    <w:p w14:paraId="7F0E1EFB">
      <w:pPr>
        <w:spacing w:line="259" w:lineRule="auto"/>
        <w:rPr>
          <w:rFonts w:ascii="Arial"/>
          <w:color w:val="auto"/>
          <w:sz w:val="21"/>
          <w:highlight w:val="none"/>
        </w:rPr>
      </w:pPr>
    </w:p>
    <w:p w14:paraId="1AF83504">
      <w:pPr>
        <w:spacing w:line="259" w:lineRule="auto"/>
        <w:rPr>
          <w:rFonts w:ascii="Arial"/>
          <w:color w:val="auto"/>
          <w:sz w:val="21"/>
          <w:highlight w:val="none"/>
        </w:rPr>
      </w:pPr>
    </w:p>
    <w:p w14:paraId="5ECF5228">
      <w:pPr>
        <w:spacing w:line="259" w:lineRule="auto"/>
        <w:rPr>
          <w:rFonts w:ascii="Arial"/>
          <w:color w:val="auto"/>
          <w:sz w:val="21"/>
          <w:highlight w:val="none"/>
        </w:rPr>
      </w:pPr>
    </w:p>
    <w:p w14:paraId="141257D9">
      <w:pPr>
        <w:spacing w:line="259" w:lineRule="auto"/>
        <w:rPr>
          <w:rFonts w:ascii="Arial"/>
          <w:color w:val="auto"/>
          <w:sz w:val="21"/>
          <w:highlight w:val="none"/>
        </w:rPr>
      </w:pPr>
    </w:p>
    <w:p w14:paraId="5D519505">
      <w:pPr>
        <w:spacing w:line="260" w:lineRule="auto"/>
        <w:rPr>
          <w:rFonts w:ascii="Arial"/>
          <w:color w:val="auto"/>
          <w:sz w:val="21"/>
          <w:highlight w:val="none"/>
        </w:rPr>
      </w:pPr>
    </w:p>
    <w:p w14:paraId="79EAF1A4">
      <w:pPr>
        <w:spacing w:line="260" w:lineRule="auto"/>
        <w:rPr>
          <w:rFonts w:ascii="Arial"/>
          <w:color w:val="auto"/>
          <w:sz w:val="21"/>
          <w:highlight w:val="none"/>
        </w:rPr>
      </w:pPr>
    </w:p>
    <w:p w14:paraId="160D9DE9">
      <w:pPr>
        <w:spacing w:line="229" w:lineRule="auto"/>
        <w:rPr>
          <w:rFonts w:ascii="宋体" w:hAnsi="宋体" w:eastAsia="宋体" w:cs="宋体"/>
          <w:color w:val="auto"/>
          <w:sz w:val="18"/>
          <w:szCs w:val="18"/>
          <w:highlight w:val="none"/>
        </w:rPr>
        <w:sectPr>
          <w:footerReference r:id="rId12" w:type="default"/>
          <w:pgSz w:w="11906" w:h="16839"/>
          <w:pgMar w:top="1416" w:right="1306" w:bottom="1297" w:left="1306" w:header="0" w:footer="1067" w:gutter="0"/>
          <w:pgBorders>
            <w:top w:val="none" w:sz="0" w:space="0"/>
            <w:left w:val="none" w:sz="0" w:space="0"/>
            <w:bottom w:val="none" w:sz="0" w:space="0"/>
            <w:right w:val="none" w:sz="0" w:space="0"/>
          </w:pgBorders>
          <w:pgNumType w:fmt="decimal"/>
          <w:cols w:space="720" w:num="1"/>
        </w:sectPr>
      </w:pPr>
    </w:p>
    <w:p w14:paraId="21E656BD">
      <w:pPr>
        <w:spacing w:before="128" w:line="219" w:lineRule="auto"/>
        <w:ind w:left="2186"/>
        <w:outlineLvl w:val="1"/>
        <w:rPr>
          <w:rFonts w:ascii="宋体" w:hAnsi="宋体" w:eastAsia="宋体" w:cs="宋体"/>
          <w:b/>
          <w:bCs/>
          <w:color w:val="auto"/>
          <w:spacing w:val="-6"/>
          <w:sz w:val="28"/>
          <w:szCs w:val="28"/>
          <w:highlight w:val="none"/>
        </w:rPr>
      </w:pPr>
      <w:bookmarkStart w:id="46" w:name="bookmark90"/>
      <w:bookmarkEnd w:id="46"/>
      <w:bookmarkStart w:id="47" w:name="_Toc1637"/>
      <w:bookmarkStart w:id="48" w:name="_Toc32263"/>
      <w:bookmarkStart w:id="49" w:name="_Toc8917"/>
      <w:bookmarkStart w:id="50" w:name="_Toc20951"/>
      <w:r>
        <w:rPr>
          <w:rFonts w:ascii="宋体" w:hAnsi="宋体" w:eastAsia="宋体" w:cs="宋体"/>
          <w:b/>
          <w:bCs/>
          <w:color w:val="auto"/>
          <w:spacing w:val="-6"/>
          <w:sz w:val="28"/>
          <w:szCs w:val="28"/>
          <w:highlight w:val="none"/>
        </w:rPr>
        <w:t>附录 3  资格审查条件（信誉最低要求）</w:t>
      </w:r>
      <w:bookmarkEnd w:id="47"/>
      <w:bookmarkEnd w:id="48"/>
      <w:bookmarkEnd w:id="49"/>
      <w:bookmarkEnd w:id="50"/>
    </w:p>
    <w:p w14:paraId="58DA065A">
      <w:pPr>
        <w:spacing w:before="294" w:line="220" w:lineRule="auto"/>
        <w:ind w:left="12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5FF75339">
      <w:pPr>
        <w:spacing w:line="146" w:lineRule="exact"/>
        <w:rPr>
          <w:color w:val="auto"/>
          <w:highlight w:val="none"/>
        </w:rPr>
      </w:pPr>
    </w:p>
    <w:tbl>
      <w:tblPr>
        <w:tblStyle w:val="2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0D5FA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292" w:type="dxa"/>
            <w:vAlign w:val="top"/>
          </w:tcPr>
          <w:p w14:paraId="54FB5237">
            <w:pPr>
              <w:spacing w:line="383" w:lineRule="auto"/>
              <w:rPr>
                <w:rFonts w:ascii="Arial"/>
                <w:color w:val="auto"/>
                <w:sz w:val="21"/>
                <w:highlight w:val="none"/>
              </w:rPr>
            </w:pPr>
          </w:p>
          <w:p w14:paraId="784BD5DC">
            <w:pPr>
              <w:pStyle w:val="23"/>
              <w:spacing w:before="65" w:line="227" w:lineRule="auto"/>
              <w:ind w:left="4072"/>
              <w:rPr>
                <w:color w:val="auto"/>
                <w:highlight w:val="none"/>
              </w:rPr>
            </w:pPr>
            <w:r>
              <w:rPr>
                <w:b/>
                <w:bCs/>
                <w:color w:val="auto"/>
                <w:spacing w:val="-2"/>
                <w:highlight w:val="none"/>
              </w:rPr>
              <w:t>信</w:t>
            </w:r>
            <w:r>
              <w:rPr>
                <w:color w:val="auto"/>
                <w:spacing w:val="13"/>
                <w:highlight w:val="none"/>
              </w:rPr>
              <w:t xml:space="preserve"> </w:t>
            </w:r>
            <w:r>
              <w:rPr>
                <w:b/>
                <w:bCs/>
                <w:color w:val="auto"/>
                <w:spacing w:val="-2"/>
                <w:highlight w:val="none"/>
              </w:rPr>
              <w:t>誉</w:t>
            </w:r>
            <w:r>
              <w:rPr>
                <w:color w:val="auto"/>
                <w:spacing w:val="17"/>
                <w:highlight w:val="none"/>
              </w:rPr>
              <w:t xml:space="preserve"> </w:t>
            </w:r>
            <w:r>
              <w:rPr>
                <w:b/>
                <w:bCs/>
                <w:color w:val="auto"/>
                <w:spacing w:val="-2"/>
                <w:highlight w:val="none"/>
              </w:rPr>
              <w:t>要</w:t>
            </w:r>
            <w:r>
              <w:rPr>
                <w:color w:val="auto"/>
                <w:spacing w:val="18"/>
                <w:highlight w:val="none"/>
              </w:rPr>
              <w:t xml:space="preserve"> </w:t>
            </w:r>
            <w:r>
              <w:rPr>
                <w:b/>
                <w:bCs/>
                <w:color w:val="auto"/>
                <w:spacing w:val="-2"/>
                <w:highlight w:val="none"/>
              </w:rPr>
              <w:t>求</w:t>
            </w:r>
          </w:p>
        </w:tc>
      </w:tr>
      <w:tr w14:paraId="7B43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7" w:hRule="atLeast"/>
        </w:trPr>
        <w:tc>
          <w:tcPr>
            <w:tcW w:w="9292" w:type="dxa"/>
            <w:vAlign w:val="top"/>
          </w:tcPr>
          <w:p w14:paraId="2F84D993">
            <w:pPr>
              <w:spacing w:line="245" w:lineRule="auto"/>
              <w:rPr>
                <w:rFonts w:ascii="Arial"/>
                <w:color w:val="auto"/>
                <w:sz w:val="21"/>
                <w:highlight w:val="none"/>
              </w:rPr>
            </w:pPr>
          </w:p>
          <w:p w14:paraId="37B25D26">
            <w:pPr>
              <w:spacing w:line="246" w:lineRule="auto"/>
              <w:rPr>
                <w:rFonts w:ascii="Arial"/>
                <w:color w:val="auto"/>
                <w:sz w:val="21"/>
                <w:highlight w:val="none"/>
              </w:rPr>
            </w:pPr>
          </w:p>
          <w:p w14:paraId="545504A9">
            <w:pPr>
              <w:pStyle w:val="23"/>
              <w:spacing w:before="66" w:line="370" w:lineRule="auto"/>
              <w:ind w:left="117" w:right="108" w:firstLine="420"/>
              <w:jc w:val="both"/>
              <w:rPr>
                <w:color w:val="auto"/>
                <w:highlight w:val="none"/>
              </w:rPr>
            </w:pPr>
            <w:r>
              <w:rPr>
                <w:color w:val="auto"/>
                <w:spacing w:val="11"/>
                <w:highlight w:val="none"/>
              </w:rPr>
              <w:t>最新年度（含无广东省最新年度信用等级而上一年度有广东省</w:t>
            </w:r>
            <w:r>
              <w:rPr>
                <w:color w:val="auto"/>
                <w:spacing w:val="10"/>
                <w:highlight w:val="none"/>
              </w:rPr>
              <w:t>信用等级的）在广东省公路工程</w:t>
            </w:r>
            <w:r>
              <w:rPr>
                <w:color w:val="auto"/>
                <w:spacing w:val="9"/>
                <w:highlight w:val="none"/>
              </w:rPr>
              <w:t>从业单位信用评价（监理单位）</w:t>
            </w:r>
            <w:r>
              <w:rPr>
                <w:color w:val="auto"/>
                <w:spacing w:val="-52"/>
                <w:highlight w:val="none"/>
              </w:rPr>
              <w:t xml:space="preserve"> </w:t>
            </w:r>
            <w:r>
              <w:rPr>
                <w:color w:val="auto"/>
                <w:spacing w:val="9"/>
                <w:highlight w:val="none"/>
              </w:rPr>
              <w:t>中，信用等级未被评为</w:t>
            </w:r>
            <w:r>
              <w:rPr>
                <w:color w:val="auto"/>
                <w:spacing w:val="-41"/>
                <w:highlight w:val="none"/>
              </w:rPr>
              <w:t xml:space="preserve"> </w:t>
            </w:r>
            <w:r>
              <w:rPr>
                <w:color w:val="auto"/>
                <w:spacing w:val="9"/>
                <w:highlight w:val="none"/>
              </w:rPr>
              <w:t>D</w:t>
            </w:r>
            <w:r>
              <w:rPr>
                <w:color w:val="auto"/>
                <w:spacing w:val="-34"/>
                <w:highlight w:val="none"/>
              </w:rPr>
              <w:t xml:space="preserve"> </w:t>
            </w:r>
            <w:r>
              <w:rPr>
                <w:color w:val="auto"/>
                <w:spacing w:val="9"/>
                <w:highlight w:val="none"/>
              </w:rPr>
              <w:t>级；初次进入广东省的投标人，在最新全</w:t>
            </w:r>
            <w:r>
              <w:rPr>
                <w:color w:val="auto"/>
                <w:spacing w:val="8"/>
                <w:highlight w:val="none"/>
              </w:rPr>
              <w:t>国公路从业单位（监理单位）信用评价结果中未被评为</w:t>
            </w:r>
            <w:r>
              <w:rPr>
                <w:color w:val="auto"/>
                <w:spacing w:val="-33"/>
                <w:highlight w:val="none"/>
              </w:rPr>
              <w:t xml:space="preserve"> </w:t>
            </w:r>
            <w:r>
              <w:rPr>
                <w:color w:val="auto"/>
                <w:spacing w:val="8"/>
                <w:highlight w:val="none"/>
              </w:rPr>
              <w:t>D</w:t>
            </w:r>
            <w:r>
              <w:rPr>
                <w:color w:val="auto"/>
                <w:spacing w:val="-35"/>
                <w:highlight w:val="none"/>
              </w:rPr>
              <w:t xml:space="preserve"> </w:t>
            </w:r>
            <w:r>
              <w:rPr>
                <w:color w:val="auto"/>
                <w:spacing w:val="8"/>
                <w:highlight w:val="none"/>
              </w:rPr>
              <w:t>级。</w:t>
            </w:r>
          </w:p>
        </w:tc>
      </w:tr>
    </w:tbl>
    <w:p w14:paraId="56BFB59B">
      <w:pPr>
        <w:spacing w:line="264" w:lineRule="auto"/>
        <w:rPr>
          <w:rFonts w:ascii="Arial"/>
          <w:color w:val="auto"/>
          <w:sz w:val="21"/>
          <w:highlight w:val="none"/>
        </w:rPr>
      </w:pPr>
    </w:p>
    <w:p w14:paraId="651436A7">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注：信用等级的确定原则遵循投标人须知前附表第</w:t>
      </w:r>
      <w:r>
        <w:rPr>
          <w:rFonts w:ascii="宋体" w:hAnsi="宋体" w:eastAsia="宋体" w:cs="宋体"/>
          <w:color w:val="auto"/>
          <w:spacing w:val="-4"/>
          <w:sz w:val="20"/>
          <w:szCs w:val="20"/>
          <w:highlight w:val="none"/>
        </w:rPr>
        <w:t xml:space="preserve"> </w:t>
      </w:r>
      <w:r>
        <w:rPr>
          <w:rFonts w:ascii="宋体" w:hAnsi="宋体" w:eastAsia="宋体" w:cs="宋体"/>
          <w:color w:val="auto"/>
          <w:spacing w:val="7"/>
          <w:sz w:val="20"/>
          <w:szCs w:val="20"/>
          <w:highlight w:val="none"/>
        </w:rPr>
        <w:t>10.2</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款的规定。</w:t>
      </w:r>
    </w:p>
    <w:p w14:paraId="4646D70E">
      <w:pPr>
        <w:spacing w:line="251" w:lineRule="auto"/>
        <w:rPr>
          <w:rFonts w:ascii="Arial"/>
          <w:color w:val="auto"/>
          <w:sz w:val="21"/>
          <w:highlight w:val="none"/>
        </w:rPr>
      </w:pPr>
    </w:p>
    <w:p w14:paraId="219C00DD">
      <w:pPr>
        <w:spacing w:line="251" w:lineRule="auto"/>
        <w:rPr>
          <w:rFonts w:ascii="Arial"/>
          <w:color w:val="auto"/>
          <w:sz w:val="21"/>
          <w:highlight w:val="none"/>
        </w:rPr>
      </w:pPr>
    </w:p>
    <w:p w14:paraId="6537ACEC">
      <w:pPr>
        <w:pStyle w:val="23"/>
        <w:spacing w:before="123" w:line="228" w:lineRule="auto"/>
        <w:ind w:left="116"/>
        <w:rPr>
          <w:rFonts w:ascii="Arial"/>
          <w:color w:val="auto"/>
          <w:sz w:val="21"/>
          <w:highlight w:val="none"/>
        </w:rPr>
      </w:pPr>
    </w:p>
    <w:p w14:paraId="39A02C78">
      <w:pPr>
        <w:spacing w:line="251" w:lineRule="auto"/>
        <w:rPr>
          <w:rFonts w:ascii="Arial"/>
          <w:color w:val="auto"/>
          <w:sz w:val="21"/>
          <w:highlight w:val="none"/>
        </w:rPr>
      </w:pPr>
    </w:p>
    <w:p w14:paraId="564772DF">
      <w:pPr>
        <w:spacing w:line="251" w:lineRule="auto"/>
        <w:rPr>
          <w:rFonts w:ascii="Arial"/>
          <w:color w:val="auto"/>
          <w:sz w:val="21"/>
          <w:highlight w:val="none"/>
        </w:rPr>
      </w:pPr>
    </w:p>
    <w:p w14:paraId="2C96DB79">
      <w:pPr>
        <w:spacing w:line="251" w:lineRule="auto"/>
        <w:rPr>
          <w:rFonts w:ascii="Arial"/>
          <w:color w:val="auto"/>
          <w:sz w:val="21"/>
          <w:highlight w:val="none"/>
        </w:rPr>
      </w:pPr>
    </w:p>
    <w:p w14:paraId="23C1BB6E">
      <w:pPr>
        <w:spacing w:line="251" w:lineRule="auto"/>
        <w:rPr>
          <w:rFonts w:ascii="Arial"/>
          <w:color w:val="auto"/>
          <w:sz w:val="21"/>
          <w:highlight w:val="none"/>
        </w:rPr>
      </w:pPr>
    </w:p>
    <w:p w14:paraId="6BCD2B76">
      <w:pPr>
        <w:spacing w:line="251" w:lineRule="auto"/>
        <w:rPr>
          <w:rFonts w:ascii="Arial"/>
          <w:color w:val="auto"/>
          <w:sz w:val="21"/>
          <w:highlight w:val="none"/>
        </w:rPr>
      </w:pPr>
    </w:p>
    <w:p w14:paraId="3AE05CC0">
      <w:pPr>
        <w:spacing w:line="229" w:lineRule="auto"/>
        <w:rPr>
          <w:rFonts w:ascii="宋体" w:hAnsi="宋体" w:eastAsia="宋体" w:cs="宋体"/>
          <w:color w:val="auto"/>
          <w:sz w:val="18"/>
          <w:szCs w:val="18"/>
          <w:highlight w:val="none"/>
        </w:rPr>
        <w:sectPr>
          <w:footerReference r:id="rId13" w:type="default"/>
          <w:pgSz w:w="11906" w:h="16839"/>
          <w:pgMar w:top="1431" w:right="1304" w:bottom="1297" w:left="1304" w:header="0" w:footer="1067" w:gutter="0"/>
          <w:pgBorders>
            <w:top w:val="none" w:sz="0" w:space="0"/>
            <w:left w:val="none" w:sz="0" w:space="0"/>
            <w:bottom w:val="none" w:sz="0" w:space="0"/>
            <w:right w:val="none" w:sz="0" w:space="0"/>
          </w:pgBorders>
          <w:pgNumType w:fmt="decimal"/>
          <w:cols w:space="720" w:num="1"/>
        </w:sectPr>
      </w:pPr>
    </w:p>
    <w:p w14:paraId="0964B9EE">
      <w:pPr>
        <w:spacing w:before="128" w:line="219" w:lineRule="auto"/>
        <w:ind w:left="2186"/>
        <w:outlineLvl w:val="1"/>
        <w:rPr>
          <w:rFonts w:ascii="宋体" w:hAnsi="宋体" w:eastAsia="宋体" w:cs="宋体"/>
          <w:b/>
          <w:bCs/>
          <w:color w:val="auto"/>
          <w:spacing w:val="-6"/>
          <w:sz w:val="28"/>
          <w:szCs w:val="28"/>
          <w:highlight w:val="none"/>
        </w:rPr>
      </w:pPr>
      <w:bookmarkStart w:id="51" w:name="_Toc32700"/>
      <w:bookmarkStart w:id="52" w:name="_Toc29842"/>
      <w:bookmarkStart w:id="53" w:name="_Toc12354"/>
      <w:bookmarkStart w:id="54" w:name="_Toc15525"/>
      <w:r>
        <w:rPr>
          <w:rFonts w:ascii="宋体" w:hAnsi="宋体" w:eastAsia="宋体" w:cs="宋体"/>
          <w:b/>
          <w:bCs/>
          <w:color w:val="auto"/>
          <w:spacing w:val="-6"/>
          <w:sz w:val="28"/>
          <w:szCs w:val="28"/>
          <w:highlight w:val="none"/>
        </w:rPr>
        <w:t>附录4  资格审查条件（总监理工程师最低要求）</w:t>
      </w:r>
      <w:bookmarkEnd w:id="51"/>
      <w:bookmarkEnd w:id="52"/>
      <w:bookmarkEnd w:id="53"/>
      <w:bookmarkEnd w:id="54"/>
    </w:p>
    <w:p w14:paraId="5BBC0072">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033D580A">
      <w:pPr>
        <w:spacing w:line="146"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6"/>
        <w:gridCol w:w="1452"/>
        <w:gridCol w:w="848"/>
        <w:gridCol w:w="3903"/>
        <w:gridCol w:w="1629"/>
      </w:tblGrid>
      <w:tr w14:paraId="5FD72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456" w:type="dxa"/>
            <w:tcBorders>
              <w:bottom w:val="single" w:color="auto" w:sz="4" w:space="0"/>
            </w:tcBorders>
            <w:vAlign w:val="top"/>
          </w:tcPr>
          <w:p w14:paraId="64CE071B">
            <w:pPr>
              <w:pStyle w:val="23"/>
              <w:spacing w:before="128" w:line="228" w:lineRule="auto"/>
              <w:ind w:left="315"/>
              <w:rPr>
                <w:color w:val="auto"/>
                <w:highlight w:val="none"/>
              </w:rPr>
            </w:pPr>
            <w:r>
              <w:rPr>
                <w:color w:val="auto"/>
                <w:spacing w:val="7"/>
                <w:highlight w:val="none"/>
              </w:rPr>
              <w:t>标段类别</w:t>
            </w:r>
          </w:p>
        </w:tc>
        <w:tc>
          <w:tcPr>
            <w:tcW w:w="1452" w:type="dxa"/>
            <w:tcBorders>
              <w:bottom w:val="single" w:color="auto" w:sz="4" w:space="0"/>
            </w:tcBorders>
            <w:vAlign w:val="top"/>
          </w:tcPr>
          <w:p w14:paraId="74BC07D4">
            <w:pPr>
              <w:pStyle w:val="23"/>
              <w:spacing w:before="129" w:line="229" w:lineRule="auto"/>
              <w:ind w:left="521"/>
              <w:rPr>
                <w:color w:val="auto"/>
                <w:highlight w:val="none"/>
              </w:rPr>
            </w:pPr>
            <w:r>
              <w:rPr>
                <w:color w:val="auto"/>
                <w:spacing w:val="3"/>
                <w:highlight w:val="none"/>
              </w:rPr>
              <w:t>人员</w:t>
            </w:r>
          </w:p>
        </w:tc>
        <w:tc>
          <w:tcPr>
            <w:tcW w:w="848" w:type="dxa"/>
            <w:tcBorders>
              <w:bottom w:val="single" w:color="auto" w:sz="4" w:space="0"/>
            </w:tcBorders>
            <w:vAlign w:val="top"/>
          </w:tcPr>
          <w:p w14:paraId="2233F83D">
            <w:pPr>
              <w:pStyle w:val="23"/>
              <w:spacing w:before="128" w:line="228" w:lineRule="auto"/>
              <w:ind w:left="221"/>
              <w:rPr>
                <w:color w:val="auto"/>
                <w:highlight w:val="none"/>
              </w:rPr>
            </w:pPr>
            <w:r>
              <w:rPr>
                <w:color w:val="auto"/>
                <w:spacing w:val="3"/>
                <w:highlight w:val="none"/>
              </w:rPr>
              <w:t>数量</w:t>
            </w:r>
          </w:p>
        </w:tc>
        <w:tc>
          <w:tcPr>
            <w:tcW w:w="3903" w:type="dxa"/>
            <w:tcBorders>
              <w:bottom w:val="single" w:color="auto" w:sz="4" w:space="0"/>
            </w:tcBorders>
            <w:vAlign w:val="top"/>
          </w:tcPr>
          <w:p w14:paraId="2461934D">
            <w:pPr>
              <w:pStyle w:val="23"/>
              <w:spacing w:before="128" w:line="228" w:lineRule="auto"/>
              <w:ind w:left="1389"/>
              <w:rPr>
                <w:color w:val="auto"/>
                <w:highlight w:val="none"/>
              </w:rPr>
            </w:pPr>
            <w:r>
              <w:rPr>
                <w:color w:val="auto"/>
                <w:spacing w:val="-2"/>
                <w:highlight w:val="none"/>
              </w:rPr>
              <w:t>资</w:t>
            </w:r>
            <w:r>
              <w:rPr>
                <w:color w:val="auto"/>
                <w:spacing w:val="15"/>
                <w:highlight w:val="none"/>
              </w:rPr>
              <w:t xml:space="preserve"> </w:t>
            </w:r>
            <w:r>
              <w:rPr>
                <w:color w:val="auto"/>
                <w:spacing w:val="-2"/>
                <w:highlight w:val="none"/>
              </w:rPr>
              <w:t>格</w:t>
            </w:r>
            <w:r>
              <w:rPr>
                <w:color w:val="auto"/>
                <w:spacing w:val="15"/>
                <w:highlight w:val="none"/>
              </w:rPr>
              <w:t xml:space="preserve"> </w:t>
            </w:r>
            <w:r>
              <w:rPr>
                <w:color w:val="auto"/>
                <w:spacing w:val="-2"/>
                <w:highlight w:val="none"/>
              </w:rPr>
              <w:t>要</w:t>
            </w:r>
            <w:r>
              <w:rPr>
                <w:color w:val="auto"/>
                <w:spacing w:val="15"/>
                <w:highlight w:val="none"/>
              </w:rPr>
              <w:t xml:space="preserve"> </w:t>
            </w:r>
            <w:r>
              <w:rPr>
                <w:color w:val="auto"/>
                <w:spacing w:val="-2"/>
                <w:highlight w:val="none"/>
              </w:rPr>
              <w:t>求</w:t>
            </w:r>
          </w:p>
        </w:tc>
        <w:tc>
          <w:tcPr>
            <w:tcW w:w="1629" w:type="dxa"/>
            <w:tcBorders>
              <w:bottom w:val="single" w:color="auto" w:sz="4" w:space="0"/>
            </w:tcBorders>
            <w:vAlign w:val="top"/>
          </w:tcPr>
          <w:p w14:paraId="4A5E2007">
            <w:pPr>
              <w:pStyle w:val="23"/>
              <w:spacing w:before="129" w:line="228" w:lineRule="auto"/>
              <w:ind w:left="399"/>
              <w:rPr>
                <w:color w:val="auto"/>
                <w:highlight w:val="none"/>
              </w:rPr>
            </w:pPr>
            <w:r>
              <w:rPr>
                <w:color w:val="auto"/>
                <w:spacing w:val="7"/>
                <w:highlight w:val="none"/>
              </w:rPr>
              <w:t>在岗要求</w:t>
            </w:r>
          </w:p>
        </w:tc>
      </w:tr>
      <w:tr w14:paraId="67D01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5" w:hRule="atLeast"/>
        </w:trPr>
        <w:tc>
          <w:tcPr>
            <w:tcW w:w="1456" w:type="dxa"/>
            <w:vMerge w:val="restart"/>
            <w:tcBorders>
              <w:top w:val="single" w:color="auto" w:sz="4" w:space="0"/>
              <w:left w:val="single" w:color="auto" w:sz="4" w:space="0"/>
            </w:tcBorders>
            <w:vAlign w:val="center"/>
          </w:tcPr>
          <w:p w14:paraId="135D3033">
            <w:pPr>
              <w:pStyle w:val="23"/>
              <w:spacing w:before="132" w:line="228" w:lineRule="auto"/>
              <w:ind w:left="139"/>
              <w:jc w:val="center"/>
              <w:rPr>
                <w:color w:val="auto"/>
                <w:highlight w:val="none"/>
              </w:rPr>
            </w:pPr>
            <w:r>
              <w:rPr>
                <w:color w:val="auto"/>
                <w:spacing w:val="4"/>
                <w:highlight w:val="none"/>
              </w:rPr>
              <w:t>土</w:t>
            </w:r>
            <w:r>
              <w:rPr>
                <w:color w:val="auto"/>
                <w:spacing w:val="7"/>
                <w:highlight w:val="none"/>
              </w:rPr>
              <w:t>建监理含中</w:t>
            </w:r>
            <w:r>
              <w:rPr>
                <w:color w:val="auto"/>
                <w:spacing w:val="5"/>
                <w:highlight w:val="none"/>
              </w:rPr>
              <w:t>心试验室</w:t>
            </w:r>
            <w:r>
              <w:rPr>
                <w:color w:val="auto"/>
                <w:spacing w:val="-2"/>
                <w:highlight w:val="none"/>
              </w:rPr>
              <w:t>（D</w:t>
            </w:r>
            <w:r>
              <w:rPr>
                <w:color w:val="auto"/>
                <w:spacing w:val="-38"/>
                <w:highlight w:val="none"/>
              </w:rPr>
              <w:t xml:space="preserve"> </w:t>
            </w:r>
            <w:r>
              <w:rPr>
                <w:color w:val="auto"/>
                <w:spacing w:val="-2"/>
                <w:highlight w:val="none"/>
              </w:rPr>
              <w:t>类）</w:t>
            </w:r>
          </w:p>
        </w:tc>
        <w:tc>
          <w:tcPr>
            <w:tcW w:w="1452" w:type="dxa"/>
            <w:tcBorders>
              <w:top w:val="single" w:color="auto" w:sz="4" w:space="0"/>
              <w:bottom w:val="single" w:color="auto" w:sz="4" w:space="0"/>
              <w:right w:val="single" w:color="auto" w:sz="4" w:space="0"/>
            </w:tcBorders>
            <w:vAlign w:val="center"/>
          </w:tcPr>
          <w:p w14:paraId="4AD0A106">
            <w:pPr>
              <w:pStyle w:val="23"/>
              <w:spacing w:before="132" w:line="228" w:lineRule="auto"/>
              <w:ind w:left="139"/>
              <w:jc w:val="center"/>
              <w:rPr>
                <w:rFonts w:ascii="宋体" w:hAnsi="宋体" w:eastAsia="宋体" w:cs="宋体"/>
                <w:color w:val="auto"/>
                <w:spacing w:val="7"/>
                <w:highlight w:val="none"/>
              </w:rPr>
            </w:pPr>
            <w:r>
              <w:rPr>
                <w:rFonts w:ascii="宋体" w:hAnsi="宋体" w:eastAsia="宋体" w:cs="宋体"/>
                <w:color w:val="auto"/>
                <w:spacing w:val="7"/>
                <w:highlight w:val="none"/>
              </w:rPr>
              <w:t>总监理工程师</w:t>
            </w:r>
          </w:p>
        </w:tc>
        <w:tc>
          <w:tcPr>
            <w:tcW w:w="848" w:type="dxa"/>
            <w:tcBorders>
              <w:top w:val="single" w:color="auto" w:sz="4" w:space="0"/>
              <w:left w:val="single" w:color="auto" w:sz="4" w:space="0"/>
              <w:bottom w:val="single" w:color="auto" w:sz="4" w:space="0"/>
            </w:tcBorders>
            <w:vAlign w:val="center"/>
          </w:tcPr>
          <w:p w14:paraId="20718B1B">
            <w:pPr>
              <w:pStyle w:val="23"/>
              <w:spacing w:before="132" w:line="228" w:lineRule="auto"/>
              <w:ind w:left="139"/>
              <w:jc w:val="center"/>
              <w:rPr>
                <w:rFonts w:ascii="宋体" w:hAnsi="宋体" w:eastAsia="宋体" w:cs="宋体"/>
                <w:color w:val="auto"/>
                <w:spacing w:val="7"/>
                <w:highlight w:val="none"/>
              </w:rPr>
            </w:pPr>
            <w:r>
              <w:rPr>
                <w:rFonts w:ascii="宋体" w:hAnsi="宋体" w:eastAsia="宋体" w:cs="宋体"/>
                <w:color w:val="auto"/>
                <w:spacing w:val="7"/>
                <w:highlight w:val="none"/>
              </w:rPr>
              <w:t>1</w:t>
            </w:r>
          </w:p>
        </w:tc>
        <w:tc>
          <w:tcPr>
            <w:tcW w:w="3903" w:type="dxa"/>
            <w:vMerge w:val="restart"/>
            <w:tcBorders>
              <w:top w:val="single" w:color="auto" w:sz="4" w:space="0"/>
            </w:tcBorders>
            <w:vAlign w:val="top"/>
          </w:tcPr>
          <w:p w14:paraId="154E8961">
            <w:pPr>
              <w:pStyle w:val="23"/>
              <w:spacing w:before="120" w:line="336" w:lineRule="auto"/>
              <w:ind w:left="112" w:right="104" w:firstLine="2"/>
              <w:jc w:val="both"/>
              <w:rPr>
                <w:color w:val="auto"/>
                <w:highlight w:val="none"/>
              </w:rPr>
            </w:pPr>
            <w:r>
              <w:rPr>
                <w:color w:val="auto"/>
                <w:spacing w:val="16"/>
                <w:highlight w:val="none"/>
                <w:u w:val="single" w:color="auto"/>
              </w:rPr>
              <w:t>路桥</w:t>
            </w:r>
            <w:r>
              <w:rPr>
                <w:color w:val="auto"/>
                <w:spacing w:val="16"/>
                <w:highlight w:val="none"/>
              </w:rPr>
              <w:t>相关专业</w:t>
            </w:r>
            <w:r>
              <w:rPr>
                <w:color w:val="auto"/>
                <w:spacing w:val="16"/>
                <w:highlight w:val="none"/>
                <w:u w:val="single" w:color="auto"/>
              </w:rPr>
              <w:t>高级</w:t>
            </w:r>
            <w:r>
              <w:rPr>
                <w:color w:val="auto"/>
                <w:spacing w:val="16"/>
                <w:highlight w:val="none"/>
              </w:rPr>
              <w:t>工程师，至少担任过</w:t>
            </w:r>
            <w:r>
              <w:rPr>
                <w:rFonts w:hint="eastAsia"/>
                <w:color w:val="auto"/>
                <w:spacing w:val="16"/>
                <w:highlight w:val="none"/>
                <w:u w:val="single"/>
                <w:lang w:val="en-US" w:eastAsia="zh-CN"/>
              </w:rPr>
              <w:t>1</w:t>
            </w:r>
            <w:r>
              <w:rPr>
                <w:color w:val="auto"/>
                <w:spacing w:val="16"/>
                <w:highlight w:val="none"/>
              </w:rPr>
              <w:t>项类似工程</w:t>
            </w:r>
            <w:r>
              <w:rPr>
                <w:color w:val="auto"/>
                <w:spacing w:val="16"/>
                <w:highlight w:val="none"/>
                <w:u w:val="single" w:color="auto"/>
              </w:rPr>
              <w:t>土建</w:t>
            </w:r>
            <w:r>
              <w:rPr>
                <w:color w:val="auto"/>
                <w:spacing w:val="16"/>
                <w:highlight w:val="none"/>
              </w:rPr>
              <w:t>工程施工监理的监理负责人，持有交通运输部与人力资源和社会保障部用印的交通运输工程（公路工程）专业监理工程师职业资格证书（或电子证书）或具有交通运输部核发的公</w:t>
            </w:r>
            <w:r>
              <w:rPr>
                <w:color w:val="auto"/>
                <w:spacing w:val="5"/>
                <w:highlight w:val="none"/>
              </w:rPr>
              <w:t>路工程监理工程师资格证书</w:t>
            </w:r>
            <w:r>
              <w:rPr>
                <w:color w:val="auto"/>
                <w:spacing w:val="-24"/>
                <w:position w:val="10"/>
                <w:sz w:val="10"/>
                <w:szCs w:val="10"/>
                <w:highlight w:val="none"/>
              </w:rPr>
              <w:t xml:space="preserve"> </w:t>
            </w:r>
            <w:r>
              <w:rPr>
                <w:color w:val="auto"/>
                <w:spacing w:val="5"/>
                <w:highlight w:val="none"/>
              </w:rPr>
              <w:t>,</w:t>
            </w:r>
            <w:r>
              <w:rPr>
                <w:color w:val="auto"/>
                <w:spacing w:val="62"/>
                <w:highlight w:val="none"/>
              </w:rPr>
              <w:t xml:space="preserve"> </w:t>
            </w:r>
            <w:r>
              <w:rPr>
                <w:color w:val="auto"/>
                <w:spacing w:val="5"/>
                <w:highlight w:val="none"/>
              </w:rPr>
              <w:t>且已在投</w:t>
            </w:r>
            <w:r>
              <w:rPr>
                <w:color w:val="auto"/>
                <w:spacing w:val="8"/>
                <w:highlight w:val="none"/>
              </w:rPr>
              <w:t>标人处进行注册（或从业登记）。</w:t>
            </w:r>
          </w:p>
        </w:tc>
        <w:tc>
          <w:tcPr>
            <w:tcW w:w="1629" w:type="dxa"/>
            <w:vMerge w:val="restart"/>
            <w:tcBorders>
              <w:top w:val="single" w:color="auto" w:sz="4" w:space="0"/>
              <w:right w:val="single" w:color="auto" w:sz="4" w:space="0"/>
            </w:tcBorders>
            <w:vAlign w:val="top"/>
          </w:tcPr>
          <w:p w14:paraId="776A0C46">
            <w:pPr>
              <w:pStyle w:val="23"/>
              <w:spacing w:before="123" w:line="228" w:lineRule="auto"/>
              <w:ind w:left="116"/>
              <w:rPr>
                <w:color w:val="auto"/>
                <w:highlight w:val="none"/>
              </w:rPr>
            </w:pPr>
            <w:r>
              <w:rPr>
                <w:color w:val="auto"/>
                <w:spacing w:val="-4"/>
                <w:highlight w:val="none"/>
              </w:rPr>
              <w:t>无 在</w:t>
            </w:r>
            <w:r>
              <w:rPr>
                <w:color w:val="auto"/>
                <w:spacing w:val="26"/>
                <w:highlight w:val="none"/>
              </w:rPr>
              <w:t xml:space="preserve"> </w:t>
            </w:r>
            <w:r>
              <w:rPr>
                <w:color w:val="auto"/>
                <w:spacing w:val="-4"/>
                <w:highlight w:val="none"/>
              </w:rPr>
              <w:t>岗 项</w:t>
            </w:r>
            <w:r>
              <w:rPr>
                <w:color w:val="auto"/>
                <w:spacing w:val="39"/>
                <w:highlight w:val="none"/>
              </w:rPr>
              <w:t xml:space="preserve"> </w:t>
            </w:r>
            <w:r>
              <w:rPr>
                <w:color w:val="auto"/>
                <w:spacing w:val="-4"/>
                <w:highlight w:val="none"/>
              </w:rPr>
              <w:t>目</w:t>
            </w:r>
          </w:p>
          <w:p w14:paraId="08AD664F">
            <w:pPr>
              <w:pStyle w:val="23"/>
              <w:spacing w:before="132" w:line="228" w:lineRule="auto"/>
              <w:ind w:left="124"/>
              <w:rPr>
                <w:color w:val="auto"/>
                <w:highlight w:val="none"/>
              </w:rPr>
            </w:pPr>
            <w:r>
              <w:rPr>
                <w:color w:val="auto"/>
                <w:spacing w:val="4"/>
                <w:highlight w:val="none"/>
              </w:rPr>
              <w:t>（指</w:t>
            </w:r>
            <w:r>
              <w:rPr>
                <w:color w:val="auto"/>
                <w:spacing w:val="-20"/>
                <w:highlight w:val="none"/>
              </w:rPr>
              <w:t xml:space="preserve"> </w:t>
            </w:r>
            <w:r>
              <w:rPr>
                <w:color w:val="auto"/>
                <w:spacing w:val="4"/>
                <w:highlight w:val="none"/>
              </w:rPr>
              <w:t>目</w:t>
            </w:r>
            <w:r>
              <w:rPr>
                <w:color w:val="auto"/>
                <w:spacing w:val="-57"/>
                <w:highlight w:val="none"/>
              </w:rPr>
              <w:t xml:space="preserve"> </w:t>
            </w:r>
            <w:r>
              <w:rPr>
                <w:color w:val="auto"/>
                <w:spacing w:val="4"/>
                <w:highlight w:val="none"/>
              </w:rPr>
              <w:t>前</w:t>
            </w:r>
            <w:r>
              <w:rPr>
                <w:color w:val="auto"/>
                <w:spacing w:val="-58"/>
                <w:highlight w:val="none"/>
              </w:rPr>
              <w:t xml:space="preserve"> </w:t>
            </w:r>
            <w:r>
              <w:rPr>
                <w:color w:val="auto"/>
                <w:spacing w:val="4"/>
                <w:highlight w:val="none"/>
              </w:rPr>
              <w:t>未在</w:t>
            </w:r>
          </w:p>
          <w:p w14:paraId="7364EC43">
            <w:pPr>
              <w:pStyle w:val="23"/>
              <w:spacing w:before="133" w:line="228" w:lineRule="auto"/>
              <w:ind w:left="115"/>
              <w:rPr>
                <w:color w:val="auto"/>
                <w:highlight w:val="none"/>
              </w:rPr>
            </w:pPr>
            <w:r>
              <w:rPr>
                <w:color w:val="auto"/>
                <w:spacing w:val="6"/>
                <w:highlight w:val="none"/>
              </w:rPr>
              <w:t>其他</w:t>
            </w:r>
            <w:r>
              <w:rPr>
                <w:color w:val="auto"/>
                <w:spacing w:val="-57"/>
                <w:highlight w:val="none"/>
              </w:rPr>
              <w:t xml:space="preserve"> </w:t>
            </w:r>
            <w:r>
              <w:rPr>
                <w:color w:val="auto"/>
                <w:spacing w:val="6"/>
                <w:highlight w:val="none"/>
              </w:rPr>
              <w:t>项</w:t>
            </w:r>
            <w:r>
              <w:rPr>
                <w:color w:val="auto"/>
                <w:spacing w:val="-21"/>
                <w:highlight w:val="none"/>
              </w:rPr>
              <w:t xml:space="preserve"> </w:t>
            </w:r>
            <w:r>
              <w:rPr>
                <w:color w:val="auto"/>
                <w:spacing w:val="6"/>
                <w:highlight w:val="none"/>
              </w:rPr>
              <w:t>目</w:t>
            </w:r>
            <w:r>
              <w:rPr>
                <w:color w:val="auto"/>
                <w:spacing w:val="-59"/>
                <w:highlight w:val="none"/>
              </w:rPr>
              <w:t xml:space="preserve"> </w:t>
            </w:r>
            <w:r>
              <w:rPr>
                <w:color w:val="auto"/>
                <w:spacing w:val="6"/>
                <w:highlight w:val="none"/>
              </w:rPr>
              <w:t>上任</w:t>
            </w:r>
          </w:p>
          <w:p w14:paraId="719FE86D">
            <w:pPr>
              <w:pStyle w:val="23"/>
              <w:spacing w:before="132" w:line="229" w:lineRule="auto"/>
              <w:ind w:left="115"/>
              <w:rPr>
                <w:color w:val="auto"/>
                <w:highlight w:val="none"/>
              </w:rPr>
            </w:pPr>
            <w:r>
              <w:rPr>
                <w:color w:val="auto"/>
                <w:spacing w:val="15"/>
                <w:highlight w:val="none"/>
              </w:rPr>
              <w:t>职</w:t>
            </w:r>
            <w:r>
              <w:rPr>
                <w:color w:val="auto"/>
                <w:spacing w:val="-40"/>
                <w:highlight w:val="none"/>
              </w:rPr>
              <w:t xml:space="preserve"> </w:t>
            </w:r>
            <w:r>
              <w:rPr>
                <w:color w:val="auto"/>
                <w:spacing w:val="15"/>
                <w:highlight w:val="none"/>
              </w:rPr>
              <w:t>，</w:t>
            </w:r>
            <w:r>
              <w:rPr>
                <w:color w:val="auto"/>
                <w:spacing w:val="-51"/>
                <w:highlight w:val="none"/>
              </w:rPr>
              <w:t xml:space="preserve"> </w:t>
            </w:r>
            <w:r>
              <w:rPr>
                <w:color w:val="auto"/>
                <w:spacing w:val="15"/>
                <w:highlight w:val="none"/>
              </w:rPr>
              <w:t>或虽在其</w:t>
            </w:r>
          </w:p>
          <w:p w14:paraId="593D3890">
            <w:pPr>
              <w:pStyle w:val="23"/>
              <w:spacing w:before="130" w:line="228" w:lineRule="auto"/>
              <w:ind w:left="114"/>
              <w:rPr>
                <w:color w:val="auto"/>
                <w:highlight w:val="none"/>
              </w:rPr>
            </w:pPr>
            <w:r>
              <w:rPr>
                <w:color w:val="auto"/>
                <w:spacing w:val="6"/>
                <w:highlight w:val="none"/>
              </w:rPr>
              <w:t>他</w:t>
            </w:r>
            <w:r>
              <w:rPr>
                <w:color w:val="auto"/>
                <w:spacing w:val="-57"/>
                <w:highlight w:val="none"/>
              </w:rPr>
              <w:t xml:space="preserve"> </w:t>
            </w:r>
            <w:r>
              <w:rPr>
                <w:color w:val="auto"/>
                <w:spacing w:val="6"/>
                <w:highlight w:val="none"/>
              </w:rPr>
              <w:t>项</w:t>
            </w:r>
            <w:r>
              <w:rPr>
                <w:color w:val="auto"/>
                <w:spacing w:val="-20"/>
                <w:highlight w:val="none"/>
              </w:rPr>
              <w:t xml:space="preserve"> </w:t>
            </w:r>
            <w:r>
              <w:rPr>
                <w:color w:val="auto"/>
                <w:spacing w:val="6"/>
                <w:highlight w:val="none"/>
              </w:rPr>
              <w:t>目</w:t>
            </w:r>
            <w:r>
              <w:rPr>
                <w:color w:val="auto"/>
                <w:spacing w:val="-60"/>
                <w:highlight w:val="none"/>
              </w:rPr>
              <w:t xml:space="preserve"> </w:t>
            </w:r>
            <w:r>
              <w:rPr>
                <w:color w:val="auto"/>
                <w:spacing w:val="6"/>
                <w:highlight w:val="none"/>
              </w:rPr>
              <w:t>上任职</w:t>
            </w:r>
          </w:p>
          <w:p w14:paraId="77752B32">
            <w:pPr>
              <w:pStyle w:val="23"/>
              <w:spacing w:before="135" w:line="227" w:lineRule="auto"/>
              <w:ind w:left="113"/>
              <w:rPr>
                <w:color w:val="auto"/>
                <w:highlight w:val="none"/>
              </w:rPr>
            </w:pPr>
            <w:r>
              <w:rPr>
                <w:color w:val="auto"/>
                <w:spacing w:val="33"/>
                <w:highlight w:val="none"/>
              </w:rPr>
              <w:t>但本项目中标</w:t>
            </w:r>
          </w:p>
          <w:p w14:paraId="1FF8A89C">
            <w:pPr>
              <w:pStyle w:val="23"/>
              <w:spacing w:before="134" w:line="228" w:lineRule="auto"/>
              <w:ind w:left="116"/>
              <w:rPr>
                <w:color w:val="auto"/>
                <w:highlight w:val="none"/>
              </w:rPr>
            </w:pPr>
            <w:r>
              <w:rPr>
                <w:color w:val="auto"/>
                <w:spacing w:val="33"/>
                <w:highlight w:val="none"/>
              </w:rPr>
              <w:t>后能够从该项</w:t>
            </w:r>
          </w:p>
          <w:p w14:paraId="0D04972F">
            <w:pPr>
              <w:pStyle w:val="23"/>
              <w:spacing w:before="132" w:line="228" w:lineRule="auto"/>
              <w:ind w:left="154"/>
              <w:rPr>
                <w:color w:val="auto"/>
                <w:highlight w:val="none"/>
              </w:rPr>
            </w:pPr>
            <w:r>
              <w:rPr>
                <w:color w:val="auto"/>
                <w:spacing w:val="-5"/>
                <w:highlight w:val="none"/>
              </w:rPr>
              <w:t>目撤离）</w:t>
            </w:r>
          </w:p>
        </w:tc>
      </w:tr>
      <w:tr w14:paraId="79FC8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1456" w:type="dxa"/>
            <w:vMerge w:val="continue"/>
            <w:tcBorders>
              <w:left w:val="single" w:color="auto" w:sz="4" w:space="0"/>
              <w:bottom w:val="single" w:color="auto" w:sz="4" w:space="0"/>
            </w:tcBorders>
            <w:vAlign w:val="center"/>
          </w:tcPr>
          <w:p w14:paraId="072A789A">
            <w:pPr>
              <w:pStyle w:val="23"/>
              <w:spacing w:before="132" w:line="228" w:lineRule="auto"/>
              <w:ind w:left="139"/>
              <w:jc w:val="center"/>
              <w:rPr>
                <w:color w:val="auto"/>
                <w:spacing w:val="4"/>
                <w:highlight w:val="none"/>
              </w:rPr>
            </w:pPr>
          </w:p>
        </w:tc>
        <w:tc>
          <w:tcPr>
            <w:tcW w:w="1452" w:type="dxa"/>
            <w:tcBorders>
              <w:top w:val="single" w:color="auto" w:sz="4" w:space="0"/>
              <w:bottom w:val="single" w:color="auto" w:sz="4" w:space="0"/>
              <w:right w:val="single" w:color="auto" w:sz="4" w:space="0"/>
            </w:tcBorders>
            <w:shd w:val="clear" w:color="auto" w:fill="auto"/>
            <w:vAlign w:val="center"/>
          </w:tcPr>
          <w:p w14:paraId="5D893FC9">
            <w:pPr>
              <w:pStyle w:val="23"/>
              <w:spacing w:before="132" w:line="228" w:lineRule="auto"/>
              <w:ind w:left="139"/>
              <w:jc w:val="center"/>
              <w:rPr>
                <w:rFonts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eastAsia="zh-CN"/>
              </w:rPr>
              <w:t>总监理工程师（备选）</w:t>
            </w:r>
          </w:p>
        </w:tc>
        <w:tc>
          <w:tcPr>
            <w:tcW w:w="848" w:type="dxa"/>
            <w:tcBorders>
              <w:top w:val="single" w:color="auto" w:sz="4" w:space="0"/>
              <w:left w:val="single" w:color="auto" w:sz="4" w:space="0"/>
              <w:bottom w:val="single" w:color="auto" w:sz="4" w:space="0"/>
            </w:tcBorders>
            <w:shd w:val="clear" w:color="auto" w:fill="auto"/>
            <w:vAlign w:val="center"/>
          </w:tcPr>
          <w:p w14:paraId="18182E43">
            <w:pPr>
              <w:pStyle w:val="23"/>
              <w:spacing w:before="132" w:line="228" w:lineRule="auto"/>
              <w:ind w:left="139"/>
              <w:jc w:val="center"/>
              <w:rPr>
                <w:rFonts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eastAsia="zh-CN"/>
              </w:rPr>
              <w:t>1</w:t>
            </w:r>
          </w:p>
        </w:tc>
        <w:tc>
          <w:tcPr>
            <w:tcW w:w="3903" w:type="dxa"/>
            <w:vMerge w:val="continue"/>
            <w:tcBorders>
              <w:bottom w:val="single" w:color="auto" w:sz="4" w:space="0"/>
            </w:tcBorders>
            <w:vAlign w:val="top"/>
          </w:tcPr>
          <w:p w14:paraId="49E9C7F8">
            <w:pPr>
              <w:pStyle w:val="23"/>
              <w:spacing w:before="120" w:line="336" w:lineRule="auto"/>
              <w:ind w:left="112" w:right="104" w:firstLine="2"/>
              <w:jc w:val="both"/>
              <w:rPr>
                <w:color w:val="auto"/>
                <w:spacing w:val="16"/>
                <w:highlight w:val="none"/>
                <w:u w:val="single" w:color="auto"/>
              </w:rPr>
            </w:pPr>
          </w:p>
        </w:tc>
        <w:tc>
          <w:tcPr>
            <w:tcW w:w="1629" w:type="dxa"/>
            <w:vMerge w:val="continue"/>
            <w:tcBorders>
              <w:bottom w:val="single" w:color="auto" w:sz="4" w:space="0"/>
              <w:right w:val="single" w:color="auto" w:sz="4" w:space="0"/>
            </w:tcBorders>
            <w:vAlign w:val="top"/>
          </w:tcPr>
          <w:p w14:paraId="414F2F96">
            <w:pPr>
              <w:pStyle w:val="23"/>
              <w:spacing w:before="132" w:line="228" w:lineRule="auto"/>
              <w:ind w:left="154"/>
              <w:rPr>
                <w:color w:val="auto"/>
                <w:spacing w:val="-5"/>
                <w:highlight w:val="none"/>
              </w:rPr>
            </w:pPr>
          </w:p>
        </w:tc>
      </w:tr>
    </w:tbl>
    <w:p w14:paraId="7AA63F11">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注：1、“担任过类似工程监理负责人 ”监理负责人可为总监理工程师或副总监理工程师或驻地监</w:t>
      </w:r>
      <w:bookmarkStart w:id="55" w:name="bookmark91"/>
      <w:bookmarkEnd w:id="55"/>
      <w:r>
        <w:rPr>
          <w:rFonts w:ascii="宋体" w:hAnsi="宋体" w:eastAsia="宋体" w:cs="宋体"/>
          <w:color w:val="auto"/>
          <w:spacing w:val="12"/>
          <w:sz w:val="20"/>
          <w:szCs w:val="20"/>
          <w:highlight w:val="none"/>
        </w:rPr>
        <w:t>理工程师。</w:t>
      </w:r>
    </w:p>
    <w:p w14:paraId="61E13064">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2、联合体投标的，总监理工程师（含备选）需为联合体牵头人正式职员。</w:t>
      </w:r>
    </w:p>
    <w:p w14:paraId="4DA5A32A">
      <w:pPr>
        <w:spacing w:line="229" w:lineRule="auto"/>
        <w:rPr>
          <w:rFonts w:ascii="宋体" w:hAnsi="宋体" w:eastAsia="宋体" w:cs="宋体"/>
          <w:color w:val="auto"/>
          <w:sz w:val="18"/>
          <w:szCs w:val="18"/>
          <w:highlight w:val="none"/>
        </w:rPr>
        <w:sectPr>
          <w:footerReference r:id="rId14" w:type="default"/>
          <w:pgSz w:w="11906" w:h="16839"/>
          <w:pgMar w:top="1431" w:right="1306" w:bottom="1297" w:left="1306" w:header="0" w:footer="1067" w:gutter="0"/>
          <w:pgBorders>
            <w:top w:val="none" w:sz="0" w:space="0"/>
            <w:left w:val="none" w:sz="0" w:space="0"/>
            <w:bottom w:val="none" w:sz="0" w:space="0"/>
            <w:right w:val="none" w:sz="0" w:space="0"/>
          </w:pgBorders>
          <w:pgNumType w:fmt="decimal"/>
          <w:cols w:space="720" w:num="1"/>
        </w:sectPr>
      </w:pPr>
    </w:p>
    <w:p w14:paraId="2893A87B">
      <w:pPr>
        <w:spacing w:before="128" w:line="219" w:lineRule="auto"/>
        <w:ind w:left="2186"/>
        <w:outlineLvl w:val="1"/>
        <w:rPr>
          <w:rFonts w:ascii="宋体" w:hAnsi="宋体" w:eastAsia="宋体" w:cs="宋体"/>
          <w:b/>
          <w:bCs/>
          <w:color w:val="auto"/>
          <w:spacing w:val="-6"/>
          <w:sz w:val="28"/>
          <w:szCs w:val="28"/>
          <w:highlight w:val="none"/>
        </w:rPr>
      </w:pPr>
      <w:bookmarkStart w:id="56" w:name="_Toc7110"/>
      <w:bookmarkStart w:id="57" w:name="_Toc1646"/>
      <w:bookmarkStart w:id="58" w:name="_Toc17922"/>
      <w:bookmarkStart w:id="59" w:name="_Toc20268"/>
      <w:r>
        <w:rPr>
          <w:rFonts w:ascii="宋体" w:hAnsi="宋体" w:eastAsia="宋体" w:cs="宋体"/>
          <w:b/>
          <w:bCs/>
          <w:color w:val="auto"/>
          <w:spacing w:val="-6"/>
          <w:sz w:val="28"/>
          <w:szCs w:val="28"/>
          <w:highlight w:val="none"/>
        </w:rPr>
        <w:t>附录 5  资格审查条件（其他主要监理人员最低要求）</w:t>
      </w:r>
      <w:bookmarkEnd w:id="56"/>
      <w:bookmarkEnd w:id="57"/>
      <w:bookmarkEnd w:id="58"/>
      <w:bookmarkEnd w:id="59"/>
    </w:p>
    <w:p w14:paraId="4FD59E5F">
      <w:pPr>
        <w:spacing w:before="292" w:line="221" w:lineRule="auto"/>
        <w:ind w:left="26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r>
        <w:rPr>
          <w:rFonts w:hint="eastAsia" w:ascii="宋体" w:hAnsi="宋体" w:eastAsia="宋体" w:cs="宋体"/>
          <w:color w:val="auto"/>
          <w:sz w:val="20"/>
          <w:szCs w:val="20"/>
          <w:highlight w:val="none"/>
          <w:u w:val="single" w:color="auto"/>
          <w:lang w:val="en-US" w:eastAsia="zh-CN"/>
        </w:rPr>
        <w:t>/</w:t>
      </w:r>
      <w:r>
        <w:rPr>
          <w:rFonts w:ascii="宋体" w:hAnsi="宋体" w:eastAsia="宋体" w:cs="宋体"/>
          <w:color w:val="auto"/>
          <w:sz w:val="20"/>
          <w:szCs w:val="20"/>
          <w:highlight w:val="none"/>
          <w:u w:val="single" w:color="auto"/>
        </w:rPr>
        <w:t xml:space="preserve">      </w:t>
      </w:r>
    </w:p>
    <w:tbl>
      <w:tblPr>
        <w:tblStyle w:val="22"/>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2C96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4848526F">
            <w:pPr>
              <w:pStyle w:val="23"/>
              <w:spacing w:before="201" w:line="229" w:lineRule="auto"/>
              <w:ind w:left="689"/>
              <w:rPr>
                <w:color w:val="auto"/>
                <w:highlight w:val="none"/>
              </w:rPr>
            </w:pPr>
            <w:r>
              <w:rPr>
                <w:color w:val="auto"/>
                <w:spacing w:val="3"/>
                <w:highlight w:val="none"/>
              </w:rPr>
              <w:t>人员</w:t>
            </w:r>
          </w:p>
        </w:tc>
        <w:tc>
          <w:tcPr>
            <w:tcW w:w="738" w:type="dxa"/>
            <w:vAlign w:val="top"/>
          </w:tcPr>
          <w:p w14:paraId="1C2039CA">
            <w:pPr>
              <w:pStyle w:val="23"/>
              <w:spacing w:before="201" w:line="228" w:lineRule="auto"/>
              <w:ind w:left="165"/>
              <w:rPr>
                <w:color w:val="auto"/>
                <w:highlight w:val="none"/>
              </w:rPr>
            </w:pPr>
            <w:r>
              <w:rPr>
                <w:color w:val="auto"/>
                <w:spacing w:val="3"/>
                <w:highlight w:val="none"/>
              </w:rPr>
              <w:t>数量</w:t>
            </w:r>
          </w:p>
        </w:tc>
        <w:tc>
          <w:tcPr>
            <w:tcW w:w="7059" w:type="dxa"/>
            <w:vAlign w:val="top"/>
          </w:tcPr>
          <w:p w14:paraId="080D3EA2">
            <w:pPr>
              <w:pStyle w:val="23"/>
              <w:spacing w:before="201" w:line="228" w:lineRule="auto"/>
              <w:ind w:left="3123"/>
              <w:rPr>
                <w:color w:val="auto"/>
                <w:highlight w:val="none"/>
              </w:rPr>
            </w:pPr>
            <w:r>
              <w:rPr>
                <w:color w:val="auto"/>
                <w:spacing w:val="5"/>
                <w:highlight w:val="none"/>
              </w:rPr>
              <w:t>资格要求</w:t>
            </w:r>
          </w:p>
        </w:tc>
      </w:tr>
      <w:tr w14:paraId="1FC8D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0" w:hRule="atLeast"/>
        </w:trPr>
        <w:tc>
          <w:tcPr>
            <w:tcW w:w="635" w:type="dxa"/>
            <w:vMerge w:val="restart"/>
            <w:textDirection w:val="tbRlV"/>
            <w:vAlign w:val="top"/>
          </w:tcPr>
          <w:p w14:paraId="5D0DCBAA">
            <w:pPr>
              <w:pStyle w:val="23"/>
              <w:spacing w:before="212" w:line="216" w:lineRule="auto"/>
              <w:ind w:left="3570"/>
              <w:rPr>
                <w:color w:val="auto"/>
                <w:highlight w:val="none"/>
              </w:rPr>
            </w:pPr>
            <w:r>
              <w:rPr>
                <w:color w:val="auto"/>
                <w:spacing w:val="8"/>
                <w:highlight w:val="none"/>
              </w:rPr>
              <w:t>专</w:t>
            </w:r>
            <w:r>
              <w:rPr>
                <w:color w:val="auto"/>
                <w:spacing w:val="55"/>
                <w:highlight w:val="none"/>
              </w:rPr>
              <w:t xml:space="preserve"> </w:t>
            </w:r>
            <w:r>
              <w:rPr>
                <w:color w:val="auto"/>
                <w:spacing w:val="8"/>
                <w:highlight w:val="none"/>
              </w:rPr>
              <w:t>业</w:t>
            </w:r>
            <w:r>
              <w:rPr>
                <w:color w:val="auto"/>
                <w:spacing w:val="51"/>
                <w:highlight w:val="none"/>
              </w:rPr>
              <w:t xml:space="preserve"> </w:t>
            </w:r>
            <w:r>
              <w:rPr>
                <w:color w:val="auto"/>
                <w:spacing w:val="8"/>
                <w:highlight w:val="none"/>
              </w:rPr>
              <w:t>监</w:t>
            </w:r>
            <w:r>
              <w:rPr>
                <w:color w:val="auto"/>
                <w:spacing w:val="52"/>
                <w:highlight w:val="none"/>
              </w:rPr>
              <w:t xml:space="preserve"> </w:t>
            </w:r>
            <w:r>
              <w:rPr>
                <w:color w:val="auto"/>
                <w:spacing w:val="8"/>
                <w:highlight w:val="none"/>
              </w:rPr>
              <w:t>理</w:t>
            </w:r>
            <w:r>
              <w:rPr>
                <w:color w:val="auto"/>
                <w:spacing w:val="51"/>
                <w:highlight w:val="none"/>
              </w:rPr>
              <w:t xml:space="preserve"> </w:t>
            </w:r>
            <w:r>
              <w:rPr>
                <w:color w:val="auto"/>
                <w:spacing w:val="8"/>
                <w:highlight w:val="none"/>
              </w:rPr>
              <w:t>工</w:t>
            </w:r>
            <w:r>
              <w:rPr>
                <w:color w:val="auto"/>
                <w:spacing w:val="51"/>
                <w:highlight w:val="none"/>
              </w:rPr>
              <w:t xml:space="preserve"> </w:t>
            </w:r>
            <w:r>
              <w:rPr>
                <w:color w:val="auto"/>
                <w:spacing w:val="8"/>
                <w:highlight w:val="none"/>
              </w:rPr>
              <w:t>程</w:t>
            </w:r>
            <w:r>
              <w:rPr>
                <w:color w:val="auto"/>
                <w:spacing w:val="51"/>
                <w:highlight w:val="none"/>
              </w:rPr>
              <w:t xml:space="preserve"> </w:t>
            </w:r>
            <w:r>
              <w:rPr>
                <w:color w:val="auto"/>
                <w:spacing w:val="8"/>
                <w:highlight w:val="none"/>
              </w:rPr>
              <w:t>师</w:t>
            </w:r>
          </w:p>
        </w:tc>
        <w:tc>
          <w:tcPr>
            <w:tcW w:w="1146" w:type="dxa"/>
            <w:vAlign w:val="top"/>
          </w:tcPr>
          <w:p w14:paraId="03557C30">
            <w:pPr>
              <w:spacing w:line="295" w:lineRule="auto"/>
              <w:rPr>
                <w:rFonts w:ascii="Arial"/>
                <w:color w:val="auto"/>
                <w:sz w:val="21"/>
                <w:highlight w:val="none"/>
              </w:rPr>
            </w:pPr>
          </w:p>
          <w:p w14:paraId="1DF28BF2">
            <w:pPr>
              <w:spacing w:line="295" w:lineRule="auto"/>
              <w:rPr>
                <w:rFonts w:ascii="Arial"/>
                <w:color w:val="auto"/>
                <w:sz w:val="21"/>
                <w:highlight w:val="none"/>
              </w:rPr>
            </w:pPr>
          </w:p>
          <w:p w14:paraId="200C31A2">
            <w:pPr>
              <w:pStyle w:val="23"/>
              <w:spacing w:before="65" w:line="228" w:lineRule="auto"/>
              <w:ind w:left="157"/>
              <w:rPr>
                <w:color w:val="auto"/>
                <w:highlight w:val="none"/>
              </w:rPr>
            </w:pPr>
            <w:r>
              <w:rPr>
                <w:color w:val="auto"/>
                <w:spacing w:val="6"/>
                <w:highlight w:val="none"/>
              </w:rPr>
              <w:t>路基工程</w:t>
            </w:r>
          </w:p>
        </w:tc>
        <w:tc>
          <w:tcPr>
            <w:tcW w:w="738" w:type="dxa"/>
            <w:vAlign w:val="center"/>
          </w:tcPr>
          <w:p w14:paraId="10805E6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BE6513C">
            <w:pPr>
              <w:pStyle w:val="23"/>
              <w:spacing w:before="120" w:line="300" w:lineRule="auto"/>
              <w:ind w:left="111" w:right="109" w:firstLine="5"/>
              <w:jc w:val="both"/>
              <w:rPr>
                <w:color w:val="auto"/>
                <w:highlight w:val="none"/>
              </w:rPr>
            </w:pPr>
            <w:r>
              <w:rPr>
                <w:color w:val="auto"/>
                <w:highlight w:val="none"/>
              </w:rPr>
              <w:pict>
                <v:shape id="_x0000_s1059" o:spid="_x0000_s1059" o:spt="202" type="#_x0000_t202" style="position:absolute;left:0pt;margin-left:4.15pt;margin-top:59.2pt;height:14.1pt;width:12.6pt;z-index:251661312;mso-width-relative:page;mso-height-relative:page;" filled="f" stroked="f" coordsize="21600,21600">
                  <v:path/>
                  <v:fill on="f" focussize="0,0"/>
                  <v:stroke on="f"/>
                  <v:imagedata o:title=""/>
                  <o:lock v:ext="edit" aspectratio="f"/>
                  <v:textbox inset="0mm,0mm,0mm,0mm">
                    <w:txbxContent>
                      <w:p w14:paraId="0145D8D0">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0096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635" w:type="dxa"/>
            <w:vMerge w:val="continue"/>
            <w:textDirection w:val="tbRlV"/>
            <w:vAlign w:val="top"/>
          </w:tcPr>
          <w:p w14:paraId="0AD28894">
            <w:pPr>
              <w:rPr>
                <w:rFonts w:ascii="Arial"/>
                <w:color w:val="auto"/>
                <w:sz w:val="21"/>
                <w:highlight w:val="none"/>
              </w:rPr>
            </w:pPr>
          </w:p>
        </w:tc>
        <w:tc>
          <w:tcPr>
            <w:tcW w:w="1146" w:type="dxa"/>
            <w:vAlign w:val="top"/>
          </w:tcPr>
          <w:p w14:paraId="1F0D4894">
            <w:pPr>
              <w:spacing w:line="302" w:lineRule="auto"/>
              <w:rPr>
                <w:rFonts w:ascii="Arial"/>
                <w:color w:val="auto"/>
                <w:sz w:val="21"/>
                <w:highlight w:val="none"/>
              </w:rPr>
            </w:pPr>
          </w:p>
          <w:p w14:paraId="1B96AD97">
            <w:pPr>
              <w:spacing w:line="302" w:lineRule="auto"/>
              <w:rPr>
                <w:rFonts w:ascii="Arial"/>
                <w:color w:val="auto"/>
                <w:sz w:val="21"/>
                <w:highlight w:val="none"/>
              </w:rPr>
            </w:pPr>
          </w:p>
          <w:p w14:paraId="7CD86214">
            <w:pPr>
              <w:pStyle w:val="23"/>
              <w:spacing w:before="65" w:line="228" w:lineRule="auto"/>
              <w:ind w:left="157"/>
              <w:rPr>
                <w:color w:val="auto"/>
                <w:highlight w:val="none"/>
              </w:rPr>
            </w:pPr>
            <w:r>
              <w:rPr>
                <w:color w:val="auto"/>
                <w:spacing w:val="6"/>
                <w:highlight w:val="none"/>
              </w:rPr>
              <w:t>路面工程</w:t>
            </w:r>
          </w:p>
        </w:tc>
        <w:tc>
          <w:tcPr>
            <w:tcW w:w="738" w:type="dxa"/>
            <w:vAlign w:val="center"/>
          </w:tcPr>
          <w:p w14:paraId="0F6C4BF5">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B575185">
            <w:pPr>
              <w:pStyle w:val="23"/>
              <w:spacing w:before="135"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1F541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extDirection w:val="tbRlV"/>
            <w:vAlign w:val="top"/>
          </w:tcPr>
          <w:p w14:paraId="6C7C2F80">
            <w:pPr>
              <w:rPr>
                <w:rFonts w:ascii="Arial"/>
                <w:color w:val="auto"/>
                <w:sz w:val="21"/>
                <w:highlight w:val="none"/>
              </w:rPr>
            </w:pPr>
          </w:p>
        </w:tc>
        <w:tc>
          <w:tcPr>
            <w:tcW w:w="1146" w:type="dxa"/>
            <w:vAlign w:val="top"/>
          </w:tcPr>
          <w:p w14:paraId="6CE91B68">
            <w:pPr>
              <w:spacing w:line="251" w:lineRule="auto"/>
              <w:rPr>
                <w:rFonts w:ascii="Arial"/>
                <w:color w:val="auto"/>
                <w:sz w:val="21"/>
                <w:highlight w:val="none"/>
              </w:rPr>
            </w:pPr>
          </w:p>
          <w:p w14:paraId="229208BD">
            <w:pPr>
              <w:pStyle w:val="23"/>
              <w:spacing w:before="65" w:line="221" w:lineRule="auto"/>
              <w:ind w:left="156"/>
              <w:rPr>
                <w:color w:val="auto"/>
                <w:highlight w:val="none"/>
              </w:rPr>
            </w:pPr>
            <w:r>
              <w:rPr>
                <w:color w:val="auto"/>
                <w:spacing w:val="7"/>
                <w:highlight w:val="none"/>
              </w:rPr>
              <w:t>合同管理</w:t>
            </w:r>
          </w:p>
          <w:p w14:paraId="3DCCAA78">
            <w:pPr>
              <w:pStyle w:val="23"/>
              <w:spacing w:before="103" w:line="228" w:lineRule="auto"/>
              <w:ind w:left="520"/>
              <w:rPr>
                <w:color w:val="auto"/>
                <w:sz w:val="10"/>
                <w:szCs w:val="10"/>
                <w:highlight w:val="none"/>
              </w:rPr>
            </w:pPr>
          </w:p>
        </w:tc>
        <w:tc>
          <w:tcPr>
            <w:tcW w:w="738" w:type="dxa"/>
            <w:vAlign w:val="center"/>
          </w:tcPr>
          <w:p w14:paraId="27644FF0">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603C1E2">
            <w:pPr>
              <w:pStyle w:val="23"/>
              <w:spacing w:before="138" w:line="288" w:lineRule="auto"/>
              <w:ind w:left="111" w:right="107" w:firstLine="5"/>
              <w:jc w:val="both"/>
              <w:rPr>
                <w:color w:val="auto"/>
                <w:highlight w:val="none"/>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eastAsia="zh-CN"/>
              </w:rPr>
              <w:t>甲</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01F46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extDirection w:val="tbRlV"/>
            <w:vAlign w:val="top"/>
          </w:tcPr>
          <w:p w14:paraId="1AABEF9C">
            <w:pPr>
              <w:rPr>
                <w:rFonts w:ascii="Arial"/>
                <w:color w:val="auto"/>
                <w:sz w:val="21"/>
                <w:highlight w:val="none"/>
              </w:rPr>
            </w:pPr>
          </w:p>
        </w:tc>
        <w:tc>
          <w:tcPr>
            <w:tcW w:w="1146" w:type="dxa"/>
            <w:vAlign w:val="top"/>
          </w:tcPr>
          <w:p w14:paraId="1058D596">
            <w:pPr>
              <w:spacing w:line="304" w:lineRule="auto"/>
              <w:rPr>
                <w:rFonts w:ascii="Arial"/>
                <w:color w:val="auto"/>
                <w:sz w:val="21"/>
                <w:highlight w:val="none"/>
              </w:rPr>
            </w:pPr>
          </w:p>
          <w:p w14:paraId="238B1E2D">
            <w:pPr>
              <w:spacing w:line="305" w:lineRule="auto"/>
              <w:rPr>
                <w:rFonts w:ascii="Arial"/>
                <w:color w:val="auto"/>
                <w:sz w:val="21"/>
                <w:highlight w:val="none"/>
              </w:rPr>
            </w:pPr>
          </w:p>
          <w:p w14:paraId="0DD6FB1D">
            <w:pPr>
              <w:pStyle w:val="23"/>
              <w:spacing w:before="65" w:line="228" w:lineRule="auto"/>
              <w:ind w:left="156"/>
              <w:rPr>
                <w:color w:val="auto"/>
                <w:highlight w:val="none"/>
              </w:rPr>
            </w:pPr>
            <w:r>
              <w:rPr>
                <w:color w:val="auto"/>
                <w:spacing w:val="7"/>
                <w:highlight w:val="none"/>
              </w:rPr>
              <w:t>测量工程</w:t>
            </w:r>
          </w:p>
        </w:tc>
        <w:tc>
          <w:tcPr>
            <w:tcW w:w="738" w:type="dxa"/>
            <w:vAlign w:val="center"/>
          </w:tcPr>
          <w:p w14:paraId="3F18820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721488D">
            <w:pPr>
              <w:pStyle w:val="23"/>
              <w:spacing w:before="138" w:line="299"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0F532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35" w:type="dxa"/>
            <w:vMerge w:val="continue"/>
            <w:vAlign w:val="top"/>
          </w:tcPr>
          <w:p w14:paraId="38C1377C">
            <w:pPr>
              <w:rPr>
                <w:rFonts w:ascii="Arial"/>
                <w:color w:val="auto"/>
                <w:sz w:val="21"/>
                <w:highlight w:val="none"/>
              </w:rPr>
            </w:pPr>
            <w:bookmarkStart w:id="60" w:name="bookmark95"/>
            <w:bookmarkEnd w:id="60"/>
          </w:p>
        </w:tc>
        <w:tc>
          <w:tcPr>
            <w:tcW w:w="1146" w:type="dxa"/>
            <w:vAlign w:val="top"/>
          </w:tcPr>
          <w:p w14:paraId="4880FF1C">
            <w:pPr>
              <w:spacing w:line="256" w:lineRule="auto"/>
              <w:rPr>
                <w:rFonts w:ascii="Arial"/>
                <w:color w:val="auto"/>
                <w:sz w:val="21"/>
                <w:highlight w:val="none"/>
              </w:rPr>
            </w:pPr>
          </w:p>
          <w:p w14:paraId="08C1673C">
            <w:pPr>
              <w:spacing w:line="256" w:lineRule="auto"/>
              <w:rPr>
                <w:rFonts w:ascii="Arial"/>
                <w:color w:val="auto"/>
                <w:sz w:val="21"/>
                <w:highlight w:val="none"/>
              </w:rPr>
            </w:pPr>
          </w:p>
          <w:p w14:paraId="540B4C6B">
            <w:pPr>
              <w:spacing w:line="257" w:lineRule="auto"/>
              <w:rPr>
                <w:rFonts w:ascii="Arial"/>
                <w:color w:val="auto"/>
                <w:sz w:val="21"/>
                <w:highlight w:val="none"/>
              </w:rPr>
            </w:pPr>
          </w:p>
          <w:p w14:paraId="5C396A7F">
            <w:pPr>
              <w:pStyle w:val="23"/>
              <w:spacing w:before="65" w:line="228" w:lineRule="auto"/>
              <w:ind w:left="159"/>
              <w:rPr>
                <w:color w:val="auto"/>
                <w:highlight w:val="none"/>
              </w:rPr>
            </w:pPr>
            <w:r>
              <w:rPr>
                <w:color w:val="auto"/>
                <w:spacing w:val="6"/>
                <w:highlight w:val="none"/>
              </w:rPr>
              <w:t>安全环保</w:t>
            </w:r>
          </w:p>
        </w:tc>
        <w:tc>
          <w:tcPr>
            <w:tcW w:w="738" w:type="dxa"/>
            <w:vAlign w:val="center"/>
          </w:tcPr>
          <w:p w14:paraId="093F27F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C5C0385">
            <w:pPr>
              <w:pStyle w:val="23"/>
              <w:spacing w:before="120" w:line="309" w:lineRule="auto"/>
              <w:ind w:left="111" w:right="107"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644D8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635" w:type="dxa"/>
            <w:vMerge w:val="continue"/>
            <w:vAlign w:val="top"/>
          </w:tcPr>
          <w:p w14:paraId="6AC003D9">
            <w:pPr>
              <w:pStyle w:val="23"/>
              <w:spacing w:before="96" w:line="273" w:lineRule="auto"/>
              <w:ind w:right="156"/>
              <w:rPr>
                <w:color w:val="auto"/>
                <w:sz w:val="10"/>
                <w:szCs w:val="10"/>
                <w:highlight w:val="none"/>
              </w:rPr>
            </w:pPr>
          </w:p>
        </w:tc>
        <w:tc>
          <w:tcPr>
            <w:tcW w:w="1146" w:type="dxa"/>
            <w:vAlign w:val="center"/>
          </w:tcPr>
          <w:p w14:paraId="2ACC81A3">
            <w:pPr>
              <w:pStyle w:val="23"/>
              <w:spacing w:before="65" w:line="334" w:lineRule="auto"/>
              <w:ind w:right="153" w:rightChars="0"/>
              <w:jc w:val="center"/>
              <w:rPr>
                <w:color w:val="auto"/>
                <w:highlight w:val="none"/>
              </w:rPr>
            </w:pPr>
            <w:r>
              <w:rPr>
                <w:color w:val="auto"/>
                <w:spacing w:val="6"/>
                <w:highlight w:val="none"/>
              </w:rPr>
              <w:t>专业工</w:t>
            </w:r>
            <w:r>
              <w:rPr>
                <w:color w:val="auto"/>
                <w:spacing w:val="5"/>
                <w:highlight w:val="none"/>
              </w:rPr>
              <w:t>程师</w:t>
            </w:r>
          </w:p>
        </w:tc>
        <w:tc>
          <w:tcPr>
            <w:tcW w:w="738" w:type="dxa"/>
            <w:vAlign w:val="center"/>
          </w:tcPr>
          <w:p w14:paraId="4B68D16D">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center"/>
          </w:tcPr>
          <w:p w14:paraId="22EAE1BF">
            <w:pPr>
              <w:pStyle w:val="23"/>
              <w:spacing w:before="65" w:line="334" w:lineRule="auto"/>
              <w:ind w:left="111" w:leftChars="0" w:right="109" w:rightChars="0" w:firstLine="5" w:firstLineChars="0"/>
              <w:jc w:val="center"/>
              <w:rPr>
                <w:color w:val="auto"/>
                <w:highlight w:val="none"/>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225C6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81" w:type="dxa"/>
            <w:gridSpan w:val="2"/>
            <w:vAlign w:val="top"/>
          </w:tcPr>
          <w:p w14:paraId="2343FC93">
            <w:pPr>
              <w:pStyle w:val="23"/>
              <w:spacing w:before="123" w:line="273" w:lineRule="auto"/>
              <w:ind w:left="589" w:right="153" w:hanging="427"/>
              <w:rPr>
                <w:color w:val="auto"/>
                <w:highlight w:val="none"/>
              </w:rPr>
            </w:pPr>
            <w:r>
              <w:rPr>
                <w:color w:val="auto"/>
                <w:spacing w:val="8"/>
                <w:highlight w:val="none"/>
              </w:rPr>
              <w:t>档案及竣工资料</w:t>
            </w:r>
            <w:r>
              <w:rPr>
                <w:color w:val="auto"/>
                <w:spacing w:val="4"/>
                <w:highlight w:val="none"/>
              </w:rPr>
              <w:t>负责人</w:t>
            </w:r>
          </w:p>
        </w:tc>
        <w:tc>
          <w:tcPr>
            <w:tcW w:w="738" w:type="dxa"/>
            <w:vAlign w:val="center"/>
          </w:tcPr>
          <w:p w14:paraId="39389691">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625B9CD">
            <w:pPr>
              <w:pStyle w:val="23"/>
              <w:spacing w:before="123" w:line="273" w:lineRule="auto"/>
              <w:ind w:left="111" w:right="109" w:firstLine="5"/>
              <w:rPr>
                <w:color w:val="auto"/>
                <w:highlight w:val="none"/>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w:t>
            </w:r>
            <w:r>
              <w:rPr>
                <w:rFonts w:ascii="宋体" w:hAnsi="宋体" w:eastAsia="宋体" w:cs="宋体"/>
                <w:color w:val="auto"/>
                <w:spacing w:val="13"/>
                <w:highlight w:val="none"/>
              </w:rPr>
              <w:t>至少1个公路工程项目竣工档案全过程编制和管理工作经验，熟悉计算机办公软件操作。</w:t>
            </w:r>
          </w:p>
        </w:tc>
      </w:tr>
      <w:tr w14:paraId="02645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gridSpan w:val="2"/>
            <w:vAlign w:val="top"/>
          </w:tcPr>
          <w:p w14:paraId="3897E799">
            <w:pPr>
              <w:pStyle w:val="23"/>
              <w:spacing w:before="303" w:line="229" w:lineRule="auto"/>
              <w:ind w:left="477"/>
              <w:rPr>
                <w:color w:val="auto"/>
                <w:highlight w:val="none"/>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19081E68">
            <w:pPr>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2</w:t>
            </w:r>
          </w:p>
        </w:tc>
        <w:tc>
          <w:tcPr>
            <w:tcW w:w="7059" w:type="dxa"/>
            <w:vAlign w:val="top"/>
          </w:tcPr>
          <w:p w14:paraId="75762D63">
            <w:pPr>
              <w:pStyle w:val="23"/>
              <w:spacing w:before="123" w:line="275" w:lineRule="auto"/>
              <w:ind w:left="113" w:right="109" w:firstLine="3"/>
              <w:rPr>
                <w:color w:val="auto"/>
                <w:highlight w:val="none"/>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bl>
    <w:p w14:paraId="23348933">
      <w:pPr>
        <w:spacing w:before="31" w:line="455" w:lineRule="auto"/>
        <w:ind w:left="263" w:right="300" w:hanging="1"/>
        <w:rPr>
          <w:rFonts w:ascii="宋体" w:hAnsi="宋体" w:eastAsia="宋体" w:cs="宋体"/>
          <w:color w:val="auto"/>
          <w:spacing w:val="9"/>
          <w:sz w:val="20"/>
          <w:szCs w:val="20"/>
          <w:highlight w:val="none"/>
        </w:rPr>
      </w:pPr>
    </w:p>
    <w:p w14:paraId="3D0DB418">
      <w:pPr>
        <w:spacing w:before="31" w:line="455" w:lineRule="auto"/>
        <w:ind w:left="263" w:right="300" w:hanging="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所要求人员须按投标文件投标函的格式承诺，中标人在进场前向招标人提交实际投入的</w:t>
      </w:r>
      <w:bookmarkStart w:id="61" w:name="bookmark97"/>
      <w:bookmarkEnd w:id="61"/>
      <w:r>
        <w:rPr>
          <w:rFonts w:ascii="宋体" w:hAnsi="宋体" w:eastAsia="宋体" w:cs="宋体"/>
          <w:color w:val="auto"/>
          <w:spacing w:val="4"/>
          <w:position w:val="-1"/>
          <w:sz w:val="20"/>
          <w:szCs w:val="20"/>
          <w:highlight w:val="none"/>
        </w:rPr>
        <w:t>人员。</w:t>
      </w:r>
    </w:p>
    <w:p w14:paraId="25893406">
      <w:pPr>
        <w:spacing w:line="220" w:lineRule="auto"/>
        <w:rPr>
          <w:rFonts w:ascii="宋体" w:hAnsi="宋体" w:eastAsia="宋体" w:cs="宋体"/>
          <w:color w:val="auto"/>
          <w:sz w:val="18"/>
          <w:szCs w:val="18"/>
          <w:highlight w:val="none"/>
        </w:rPr>
        <w:sectPr>
          <w:footerReference r:id="rId15" w:type="default"/>
          <w:pgSz w:w="11906" w:h="16839"/>
          <w:pgMar w:top="1416" w:right="1161" w:bottom="1297" w:left="1161" w:header="0" w:footer="1067" w:gutter="0"/>
          <w:pgBorders>
            <w:top w:val="none" w:sz="0" w:space="0"/>
            <w:left w:val="none" w:sz="0" w:space="0"/>
            <w:bottom w:val="none" w:sz="0" w:space="0"/>
            <w:right w:val="none" w:sz="0" w:space="0"/>
          </w:pgBorders>
          <w:pgNumType w:fmt="decimal"/>
          <w:cols w:space="720" w:num="1"/>
        </w:sectPr>
      </w:pPr>
    </w:p>
    <w:p w14:paraId="6F1D50D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center"/>
        <w:textAlignment w:val="baseline"/>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第二章</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投标人须知正文及附件</w:t>
      </w:r>
    </w:p>
    <w:p w14:paraId="0EF4C7A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2" w:firstLineChars="200"/>
        <w:jc w:val="both"/>
        <w:textAlignment w:val="baseline"/>
        <w:outlineLvl w:val="0"/>
        <w:rPr>
          <w:rFonts w:ascii="宋体" w:hAnsi="宋体" w:eastAsia="宋体" w:cs="宋体"/>
          <w:b/>
          <w:bCs/>
          <w:color w:val="auto"/>
          <w:spacing w:val="-15"/>
          <w:sz w:val="28"/>
          <w:szCs w:val="28"/>
          <w:highlight w:val="none"/>
        </w:rPr>
      </w:pPr>
      <w:bookmarkStart w:id="62" w:name="_Toc9831"/>
    </w:p>
    <w:p w14:paraId="21EAE13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0"/>
        <w:rPr>
          <w:rFonts w:ascii="宋体" w:hAnsi="宋体" w:eastAsia="宋体" w:cs="宋体"/>
          <w:color w:val="auto"/>
          <w:sz w:val="28"/>
          <w:szCs w:val="28"/>
          <w:highlight w:val="none"/>
        </w:rPr>
      </w:pPr>
      <w:bookmarkStart w:id="63" w:name="_Toc1771"/>
      <w:r>
        <w:rPr>
          <w:rFonts w:ascii="宋体" w:hAnsi="宋体" w:eastAsia="宋体" w:cs="宋体"/>
          <w:b/>
          <w:bCs/>
          <w:color w:val="auto"/>
          <w:spacing w:val="-15"/>
          <w:sz w:val="28"/>
          <w:szCs w:val="28"/>
          <w:highlight w:val="none"/>
        </w:rPr>
        <w:t>1.</w:t>
      </w:r>
      <w:r>
        <w:rPr>
          <w:rFonts w:ascii="宋体" w:hAnsi="宋体" w:eastAsia="宋体" w:cs="宋体"/>
          <w:color w:val="auto"/>
          <w:spacing w:val="19"/>
          <w:sz w:val="28"/>
          <w:szCs w:val="28"/>
          <w:highlight w:val="none"/>
        </w:rPr>
        <w:t xml:space="preserve"> </w:t>
      </w:r>
      <w:r>
        <w:rPr>
          <w:rFonts w:ascii="宋体" w:hAnsi="宋体" w:eastAsia="宋体" w:cs="宋体"/>
          <w:b/>
          <w:bCs/>
          <w:color w:val="auto"/>
          <w:spacing w:val="-15"/>
          <w:sz w:val="28"/>
          <w:szCs w:val="28"/>
          <w:highlight w:val="none"/>
        </w:rPr>
        <w:t>总则</w:t>
      </w:r>
      <w:bookmarkEnd w:id="62"/>
      <w:bookmarkEnd w:id="63"/>
    </w:p>
    <w:p w14:paraId="51AEB8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1"/>
        <w:rPr>
          <w:rFonts w:ascii="宋体" w:hAnsi="宋体" w:eastAsia="宋体" w:cs="宋体"/>
          <w:color w:val="auto"/>
          <w:sz w:val="24"/>
          <w:szCs w:val="24"/>
          <w:highlight w:val="none"/>
        </w:rPr>
      </w:pPr>
      <w:bookmarkStart w:id="64" w:name="_Toc16255"/>
      <w:bookmarkStart w:id="65" w:name="_Toc20207"/>
      <w:bookmarkStart w:id="66" w:name="_Toc4767"/>
      <w:bookmarkStart w:id="67" w:name="_Toc16739"/>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项目概况</w:t>
      </w:r>
      <w:bookmarkEnd w:id="64"/>
      <w:bookmarkEnd w:id="65"/>
      <w:bookmarkEnd w:id="66"/>
      <w:bookmarkEnd w:id="67"/>
    </w:p>
    <w:p w14:paraId="38E32F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1.1.1 根据《中华人民共和国招标投标法》《中华人民共和国招标投标法实施条</w:t>
      </w:r>
      <w:r>
        <w:rPr>
          <w:rFonts w:ascii="宋体" w:hAnsi="宋体" w:eastAsia="宋体" w:cs="宋体"/>
          <w:color w:val="auto"/>
          <w:spacing w:val="5"/>
          <w:sz w:val="24"/>
          <w:szCs w:val="24"/>
          <w:highlight w:val="none"/>
        </w:rPr>
        <w:t>例》《广东省实施&lt;中华人民共和国招标投标法&gt;办法》《公路工</w:t>
      </w:r>
      <w:r>
        <w:rPr>
          <w:rFonts w:ascii="宋体" w:hAnsi="宋体" w:eastAsia="宋体" w:cs="宋体"/>
          <w:color w:val="auto"/>
          <w:spacing w:val="4"/>
          <w:sz w:val="24"/>
          <w:szCs w:val="24"/>
          <w:highlight w:val="none"/>
        </w:rPr>
        <w:t>程建设项目招标投标</w:t>
      </w:r>
      <w:r>
        <w:rPr>
          <w:rFonts w:ascii="宋体" w:hAnsi="宋体" w:eastAsia="宋体" w:cs="宋体"/>
          <w:color w:val="auto"/>
          <w:spacing w:val="5"/>
          <w:sz w:val="24"/>
          <w:szCs w:val="24"/>
          <w:highlight w:val="none"/>
        </w:rPr>
        <w:t>管理办法》等有关法律、法规和规章的规定，本招标项目已具备招标条件，</w:t>
      </w:r>
      <w:r>
        <w:rPr>
          <w:rFonts w:ascii="宋体" w:hAnsi="宋体" w:eastAsia="宋体" w:cs="宋体"/>
          <w:color w:val="auto"/>
          <w:spacing w:val="4"/>
          <w:sz w:val="24"/>
          <w:szCs w:val="24"/>
          <w:highlight w:val="none"/>
        </w:rPr>
        <w:t>现对本标</w:t>
      </w:r>
      <w:r>
        <w:rPr>
          <w:rFonts w:ascii="宋体" w:hAnsi="宋体" w:eastAsia="宋体" w:cs="宋体"/>
          <w:color w:val="auto"/>
          <w:spacing w:val="-1"/>
          <w:sz w:val="24"/>
          <w:szCs w:val="24"/>
          <w:highlight w:val="none"/>
        </w:rPr>
        <w:t>段施工监理进行招标。</w:t>
      </w:r>
    </w:p>
    <w:p w14:paraId="5F6F086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 本招标项目招标人：见投标人须知</w:t>
      </w:r>
      <w:r>
        <w:rPr>
          <w:rFonts w:ascii="宋体" w:hAnsi="宋体" w:eastAsia="宋体" w:cs="宋体"/>
          <w:color w:val="auto"/>
          <w:spacing w:val="-2"/>
          <w:sz w:val="24"/>
          <w:szCs w:val="24"/>
          <w:highlight w:val="none"/>
        </w:rPr>
        <w:t>前附表。</w:t>
      </w:r>
    </w:p>
    <w:p w14:paraId="039285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1.1.3 本标段招标代理机构：见投标人须知前</w:t>
      </w:r>
      <w:r>
        <w:rPr>
          <w:rFonts w:ascii="宋体" w:hAnsi="宋体" w:eastAsia="宋体" w:cs="宋体"/>
          <w:color w:val="auto"/>
          <w:spacing w:val="-2"/>
          <w:sz w:val="24"/>
          <w:szCs w:val="24"/>
          <w:highlight w:val="none"/>
        </w:rPr>
        <w:t>附表。</w:t>
      </w:r>
    </w:p>
    <w:p w14:paraId="7B2DF1B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1.1.4 本招标项目名称：见投标人须</w:t>
      </w:r>
      <w:r>
        <w:rPr>
          <w:rFonts w:ascii="宋体" w:hAnsi="宋体" w:eastAsia="宋体" w:cs="宋体"/>
          <w:color w:val="auto"/>
          <w:spacing w:val="-2"/>
          <w:sz w:val="24"/>
          <w:szCs w:val="24"/>
          <w:highlight w:val="none"/>
        </w:rPr>
        <w:t>知前附表。</w:t>
      </w:r>
    </w:p>
    <w:p w14:paraId="092C53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1.1.5 本标段建设地点：见投标人须</w:t>
      </w:r>
      <w:r>
        <w:rPr>
          <w:rFonts w:ascii="宋体" w:hAnsi="宋体" w:eastAsia="宋体" w:cs="宋体"/>
          <w:color w:val="auto"/>
          <w:spacing w:val="-2"/>
          <w:sz w:val="24"/>
          <w:szCs w:val="24"/>
          <w:highlight w:val="none"/>
        </w:rPr>
        <w:t>知前附表。</w:t>
      </w:r>
    </w:p>
    <w:p w14:paraId="0D94B69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1.1.6 本标段建设规模：见投标人须</w:t>
      </w:r>
      <w:r>
        <w:rPr>
          <w:rFonts w:ascii="宋体" w:hAnsi="宋体" w:eastAsia="宋体" w:cs="宋体"/>
          <w:color w:val="auto"/>
          <w:spacing w:val="-2"/>
          <w:sz w:val="24"/>
          <w:szCs w:val="24"/>
          <w:highlight w:val="none"/>
        </w:rPr>
        <w:t>知前附表。</w:t>
      </w:r>
    </w:p>
    <w:p w14:paraId="4A297F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1.1.7 招标项目施工预计开工日期和建设周期：见投标人须知前附表。</w:t>
      </w:r>
    </w:p>
    <w:p w14:paraId="441CAA8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1.1.8 建筑安装工程费/工程概算投资额：见投标人须知前附表。</w:t>
      </w:r>
    </w:p>
    <w:p w14:paraId="719754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firstLineChars="0"/>
        <w:jc w:val="both"/>
        <w:textAlignment w:val="baseline"/>
        <w:outlineLvl w:val="1"/>
        <w:rPr>
          <w:rFonts w:ascii="宋体" w:hAnsi="宋体" w:eastAsia="宋体" w:cs="宋体"/>
          <w:color w:val="auto"/>
          <w:sz w:val="24"/>
          <w:szCs w:val="24"/>
          <w:highlight w:val="none"/>
        </w:rPr>
      </w:pPr>
      <w:bookmarkStart w:id="68" w:name="_Toc6194"/>
      <w:bookmarkStart w:id="69" w:name="_Toc7385"/>
      <w:bookmarkStart w:id="70" w:name="_Toc23969"/>
      <w:bookmarkStart w:id="71" w:name="_Toc12596"/>
      <w:r>
        <w:rPr>
          <w:rFonts w:ascii="宋体" w:hAnsi="宋体" w:eastAsia="宋体" w:cs="宋体"/>
          <w:b/>
          <w:bCs/>
          <w:color w:val="auto"/>
          <w:spacing w:val="-3"/>
          <w:sz w:val="24"/>
          <w:szCs w:val="24"/>
          <w:highlight w:val="none"/>
        </w:rPr>
        <w:t>1.2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招标项目的资金来源和落实情况</w:t>
      </w:r>
      <w:bookmarkEnd w:id="68"/>
      <w:bookmarkEnd w:id="69"/>
      <w:bookmarkEnd w:id="70"/>
      <w:bookmarkEnd w:id="71"/>
    </w:p>
    <w:p w14:paraId="54EEAD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1.2.1 资金来源及比例：见投标人须</w:t>
      </w:r>
      <w:r>
        <w:rPr>
          <w:rFonts w:ascii="宋体" w:hAnsi="宋体" w:eastAsia="宋体" w:cs="宋体"/>
          <w:color w:val="auto"/>
          <w:spacing w:val="-2"/>
          <w:sz w:val="24"/>
          <w:szCs w:val="24"/>
          <w:highlight w:val="none"/>
        </w:rPr>
        <w:t>知前附表。</w:t>
      </w:r>
    </w:p>
    <w:p w14:paraId="239BC38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1.2.2 资金落实情况：见投标人须知前附表。</w:t>
      </w:r>
    </w:p>
    <w:p w14:paraId="2B016AD1">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72" w:name="_Toc15947"/>
      <w:bookmarkStart w:id="73" w:name="_Toc2887"/>
      <w:bookmarkStart w:id="74" w:name="_Toc31228"/>
      <w:bookmarkStart w:id="75" w:name="_Toc2298"/>
      <w:r>
        <w:rPr>
          <w:rFonts w:ascii="宋体" w:hAnsi="宋体" w:eastAsia="宋体" w:cs="宋体"/>
          <w:b/>
          <w:bCs/>
          <w:color w:val="auto"/>
          <w:spacing w:val="-3"/>
          <w:sz w:val="24"/>
          <w:szCs w:val="24"/>
          <w:highlight w:val="none"/>
        </w:rPr>
        <w:t>1.3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招标范围、监理服务期限、质量要求和安全目标</w:t>
      </w:r>
      <w:bookmarkEnd w:id="72"/>
      <w:bookmarkEnd w:id="73"/>
      <w:bookmarkEnd w:id="74"/>
      <w:bookmarkEnd w:id="75"/>
    </w:p>
    <w:p w14:paraId="017FAEA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1.3.1 招标范围：见投标人须知前附表。</w:t>
      </w:r>
    </w:p>
    <w:p w14:paraId="290F4E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1.3.2 本标段的监理服务期限：见投标人须知前附</w:t>
      </w:r>
      <w:r>
        <w:rPr>
          <w:rFonts w:ascii="宋体" w:hAnsi="宋体" w:eastAsia="宋体" w:cs="宋体"/>
          <w:color w:val="auto"/>
          <w:spacing w:val="-2"/>
          <w:sz w:val="24"/>
          <w:szCs w:val="24"/>
          <w:highlight w:val="none"/>
        </w:rPr>
        <w:t>表。</w:t>
      </w:r>
    </w:p>
    <w:p w14:paraId="31CE919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1.3.3 本标段的质量要求：见投标人须知</w:t>
      </w:r>
      <w:r>
        <w:rPr>
          <w:rFonts w:ascii="宋体" w:hAnsi="宋体" w:eastAsia="宋体" w:cs="宋体"/>
          <w:color w:val="auto"/>
          <w:spacing w:val="-2"/>
          <w:sz w:val="24"/>
          <w:szCs w:val="24"/>
          <w:highlight w:val="none"/>
        </w:rPr>
        <w:t>前附表。</w:t>
      </w:r>
    </w:p>
    <w:p w14:paraId="4F7E070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1.3.4 本标段的安全目标：见投标人须知</w:t>
      </w:r>
      <w:r>
        <w:rPr>
          <w:rFonts w:ascii="宋体" w:hAnsi="宋体" w:eastAsia="宋体" w:cs="宋体"/>
          <w:color w:val="auto"/>
          <w:spacing w:val="-2"/>
          <w:sz w:val="24"/>
          <w:szCs w:val="24"/>
          <w:highlight w:val="none"/>
        </w:rPr>
        <w:t>前附表。</w:t>
      </w:r>
    </w:p>
    <w:p w14:paraId="2087921C">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76" w:name="_Toc20877"/>
      <w:bookmarkStart w:id="77" w:name="_Toc32351"/>
      <w:bookmarkStart w:id="78" w:name="_Toc9036"/>
      <w:bookmarkStart w:id="79" w:name="_Toc10983"/>
      <w:r>
        <w:rPr>
          <w:rFonts w:ascii="宋体" w:hAnsi="宋体" w:eastAsia="宋体" w:cs="宋体"/>
          <w:b/>
          <w:bCs/>
          <w:color w:val="auto"/>
          <w:spacing w:val="-4"/>
          <w:sz w:val="24"/>
          <w:szCs w:val="24"/>
          <w:highlight w:val="none"/>
        </w:rPr>
        <w:t>1.4</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投标人资格要求</w:t>
      </w:r>
      <w:bookmarkEnd w:id="76"/>
      <w:bookmarkEnd w:id="77"/>
      <w:bookmarkEnd w:id="78"/>
      <w:bookmarkEnd w:id="79"/>
    </w:p>
    <w:p w14:paraId="3FCE6BA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1.4.1 投标人应具备承担本标段施工监理的资质条件、能力和信誉。</w:t>
      </w:r>
    </w:p>
    <w:p w14:paraId="4F98465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（1）资质要求：见投标人须知前附表；</w:t>
      </w:r>
    </w:p>
    <w:p w14:paraId="3089648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（2）业绩要求：见投标人须知前附表；</w:t>
      </w:r>
    </w:p>
    <w:p w14:paraId="2ADB693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（3）信誉要求：见投标人须知前附表；</w:t>
      </w:r>
    </w:p>
    <w:p w14:paraId="45D3082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（4）总监理工程师或驻地监理工程师资格：见投标人须知前附表；</w:t>
      </w:r>
    </w:p>
    <w:p w14:paraId="4790312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（5）其他要求：见投标人须知前附表。</w:t>
      </w:r>
    </w:p>
    <w:p w14:paraId="4F9EA04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需要提交的相关证明材料见本章第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3.5</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w:t>
      </w:r>
      <w:r>
        <w:rPr>
          <w:rFonts w:ascii="宋体" w:hAnsi="宋体" w:eastAsia="宋体" w:cs="宋体"/>
          <w:color w:val="auto"/>
          <w:spacing w:val="-3"/>
          <w:sz w:val="24"/>
          <w:szCs w:val="24"/>
          <w:highlight w:val="none"/>
        </w:rPr>
        <w:t>规定。</w:t>
      </w:r>
    </w:p>
    <w:p w14:paraId="03D7535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1.4.2 投标人须知前附表规定接受联合体投标的，联合体除</w:t>
      </w:r>
      <w:r>
        <w:rPr>
          <w:rFonts w:ascii="宋体" w:hAnsi="宋体" w:eastAsia="宋体" w:cs="宋体"/>
          <w:color w:val="auto"/>
          <w:spacing w:val="4"/>
          <w:sz w:val="24"/>
          <w:szCs w:val="24"/>
          <w:highlight w:val="none"/>
        </w:rPr>
        <w:t>应符合本章第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4"/>
          <w:sz w:val="24"/>
          <w:szCs w:val="24"/>
          <w:highlight w:val="none"/>
        </w:rPr>
        <w:t>1.4.1</w:t>
      </w:r>
      <w:r>
        <w:rPr>
          <w:rFonts w:ascii="宋体" w:hAnsi="宋体" w:eastAsia="宋体" w:cs="宋体"/>
          <w:color w:val="auto"/>
          <w:spacing w:val="-1"/>
          <w:sz w:val="24"/>
          <w:szCs w:val="24"/>
          <w:highlight w:val="none"/>
        </w:rPr>
        <w:t>项和投标人须知前附表的要求外，还应遵守以下规定：</w:t>
      </w:r>
    </w:p>
    <w:p w14:paraId="433F87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（1）联合体各方应按招标文件提供的格式签订联合体协议书，明确联合体牵头人</w:t>
      </w:r>
      <w:r>
        <w:rPr>
          <w:rFonts w:ascii="宋体" w:hAnsi="宋体" w:eastAsia="宋体" w:cs="宋体"/>
          <w:color w:val="auto"/>
          <w:spacing w:val="-1"/>
          <w:sz w:val="24"/>
          <w:szCs w:val="24"/>
          <w:highlight w:val="none"/>
        </w:rPr>
        <w:t>和各方权利义务，并承诺就中标项目向招标人承担连带责任；</w:t>
      </w:r>
    </w:p>
    <w:p w14:paraId="190EAC2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（2）由同一专业的单位组成的联合体，按照资质等级较低的单位确定资质等级；</w:t>
      </w:r>
    </w:p>
    <w:p w14:paraId="58EC3ED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（3）联合体各方不得再以自己名义单独或参加其他联合体在同一标段中投标；</w:t>
      </w:r>
    </w:p>
    <w:p w14:paraId="169BFE5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（4）联合体各方应分别按照本招标文件的要求，填写投标文件中的相应表格，并</w:t>
      </w:r>
      <w:r>
        <w:rPr>
          <w:rFonts w:ascii="宋体" w:hAnsi="宋体" w:eastAsia="宋体" w:cs="宋体"/>
          <w:color w:val="auto"/>
          <w:spacing w:val="5"/>
          <w:sz w:val="24"/>
          <w:szCs w:val="24"/>
          <w:highlight w:val="none"/>
        </w:rPr>
        <w:t>由联合体牵头人负责对联合体各成员的资料进行统一汇总后一并提交给招标</w:t>
      </w:r>
      <w:r>
        <w:rPr>
          <w:rFonts w:ascii="宋体" w:hAnsi="宋体" w:eastAsia="宋体" w:cs="宋体"/>
          <w:color w:val="auto"/>
          <w:spacing w:val="4"/>
          <w:sz w:val="24"/>
          <w:szCs w:val="24"/>
          <w:highlight w:val="none"/>
        </w:rPr>
        <w:t>人；联合</w:t>
      </w:r>
      <w:r>
        <w:rPr>
          <w:rFonts w:ascii="宋体" w:hAnsi="宋体" w:eastAsia="宋体" w:cs="宋体"/>
          <w:color w:val="auto"/>
          <w:sz w:val="24"/>
          <w:szCs w:val="24"/>
          <w:highlight w:val="none"/>
        </w:rPr>
        <w:t>体牵头人所提交的投标文件应认为已代表了联</w:t>
      </w:r>
      <w:r>
        <w:rPr>
          <w:rFonts w:ascii="宋体" w:hAnsi="宋体" w:eastAsia="宋体" w:cs="宋体"/>
          <w:color w:val="auto"/>
          <w:spacing w:val="-1"/>
          <w:sz w:val="24"/>
          <w:szCs w:val="24"/>
          <w:highlight w:val="none"/>
        </w:rPr>
        <w:t>合体各成员的真实情况；</w:t>
      </w:r>
    </w:p>
    <w:p w14:paraId="4E7ED3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（5）尽管委任了联合体牵头人，但联合体各成员在投标、签订合同与履行合同过</w:t>
      </w:r>
      <w:r>
        <w:rPr>
          <w:rFonts w:ascii="宋体" w:hAnsi="宋体" w:eastAsia="宋体" w:cs="宋体"/>
          <w:color w:val="auto"/>
          <w:spacing w:val="-1"/>
          <w:sz w:val="24"/>
          <w:szCs w:val="24"/>
          <w:highlight w:val="none"/>
        </w:rPr>
        <w:t>程中，仍负有连带的和各自的法律责任。</w:t>
      </w:r>
    </w:p>
    <w:p w14:paraId="714AF6F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1.4.3 投标人（包括联合体各成员）不得与本标段相关单位存在下列关联关系：</w:t>
      </w:r>
    </w:p>
    <w:p w14:paraId="79F93C8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（1）为招标人不具有独立法人资格的附属机构（单位</w:t>
      </w:r>
      <w:r>
        <w:rPr>
          <w:rFonts w:ascii="宋体" w:hAnsi="宋体" w:eastAsia="宋体" w:cs="宋体"/>
          <w:color w:val="auto"/>
          <w:spacing w:val="1"/>
          <w:sz w:val="24"/>
          <w:szCs w:val="24"/>
          <w:highlight w:val="none"/>
        </w:rPr>
        <w:t>）；</w:t>
      </w:r>
    </w:p>
    <w:p w14:paraId="252C1D2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（2）与招标人存在利害关系且可能影响招标公正性；</w:t>
      </w:r>
    </w:p>
    <w:p w14:paraId="0EF536D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（3）与本标段的其他投标人同为一个单位负责人；</w:t>
      </w:r>
    </w:p>
    <w:p w14:paraId="0817EA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（4）与本标段的其他投标人存在控股、管理关系；</w:t>
      </w:r>
    </w:p>
    <w:p w14:paraId="05FDB32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（5）为本标段的代建人；</w:t>
      </w:r>
    </w:p>
    <w:p w14:paraId="57C0BE9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（6）为本标段的招标代理机构；</w:t>
      </w:r>
    </w:p>
    <w:p w14:paraId="3CA7699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（7）与本标段的代建人或招标代理机构同为一个法定代表人；</w:t>
      </w:r>
    </w:p>
    <w:p w14:paraId="1F5220E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（8）与本标段的代建人或招标代理机构存在控股或参股关系；</w:t>
      </w:r>
    </w:p>
    <w:p w14:paraId="7A8C873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（9）与本标段对应工程的施工承包人以及建筑材料、建筑构配件和设备供应商有</w:t>
      </w:r>
      <w:r>
        <w:rPr>
          <w:rFonts w:ascii="宋体" w:hAnsi="宋体" w:eastAsia="宋体" w:cs="宋体"/>
          <w:color w:val="auto"/>
          <w:spacing w:val="-2"/>
          <w:sz w:val="24"/>
          <w:szCs w:val="24"/>
          <w:highlight w:val="none"/>
        </w:rPr>
        <w:t>隶属关系或其他利害关系；</w:t>
      </w:r>
    </w:p>
    <w:p w14:paraId="5B6B765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（10）法律法规或投标人须知前附表规定的其他情形。</w:t>
      </w:r>
    </w:p>
    <w:p w14:paraId="59AA13E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1.4.4 投标人（包括联合体各成员）不得存在下列不良状况或不良信用记录：</w:t>
      </w:r>
    </w:p>
    <w:p w14:paraId="57276E5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（1）被省级及以上交通运输主管部门取消招标项目所在地的投标资格且处于有效</w:t>
      </w:r>
      <w:r>
        <w:rPr>
          <w:rFonts w:ascii="宋体" w:hAnsi="宋体" w:eastAsia="宋体" w:cs="宋体"/>
          <w:color w:val="auto"/>
          <w:spacing w:val="-5"/>
          <w:sz w:val="24"/>
          <w:szCs w:val="24"/>
          <w:highlight w:val="none"/>
        </w:rPr>
        <w:t>期内；</w:t>
      </w:r>
    </w:p>
    <w:p w14:paraId="68883FF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（2）被责令停业，暂扣或吊销执照，或吊销资质证书；</w:t>
      </w:r>
    </w:p>
    <w:p w14:paraId="2387547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（3）进入清算程序，或被宣告破产，或其他丧失履约能力的情形；</w:t>
      </w:r>
    </w:p>
    <w:p w14:paraId="638311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（4）在国家企业信用信息公示系统中被列入严重违法失信企业名单；</w:t>
      </w:r>
    </w:p>
    <w:p w14:paraId="018D7C5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（5）在“信用中国</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”网站中被列入失信被执行</w:t>
      </w:r>
      <w:r>
        <w:rPr>
          <w:rFonts w:ascii="宋体" w:hAnsi="宋体" w:eastAsia="宋体" w:cs="宋体"/>
          <w:color w:val="auto"/>
          <w:spacing w:val="-3"/>
          <w:sz w:val="24"/>
          <w:szCs w:val="24"/>
          <w:highlight w:val="none"/>
        </w:rPr>
        <w:t>人名单；</w:t>
      </w:r>
    </w:p>
    <w:p w14:paraId="61A127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8"/>
          <w:szCs w:val="28"/>
          <w:highlight w:val="none"/>
        </w:rPr>
      </w:pPr>
      <w:r>
        <w:rPr>
          <w:rFonts w:ascii="宋体" w:hAnsi="宋体" w:eastAsia="宋体" w:cs="宋体"/>
          <w:color w:val="auto"/>
          <w:spacing w:val="5"/>
          <w:sz w:val="24"/>
          <w:szCs w:val="24"/>
          <w:highlight w:val="none"/>
        </w:rPr>
        <w:t>（6）投标人及其法定代表人、拟委任的总监理工程师（含备选</w:t>
      </w:r>
      <w:r>
        <w:rPr>
          <w:rFonts w:ascii="宋体" w:hAnsi="宋体" w:eastAsia="宋体" w:cs="宋体"/>
          <w:color w:val="auto"/>
          <w:spacing w:val="4"/>
          <w:sz w:val="24"/>
          <w:szCs w:val="24"/>
          <w:highlight w:val="none"/>
        </w:rPr>
        <w:t>，如有）或驻地</w:t>
      </w:r>
      <w:r>
        <w:rPr>
          <w:rFonts w:ascii="宋体" w:hAnsi="宋体" w:eastAsia="宋体" w:cs="宋体"/>
          <w:color w:val="auto"/>
          <w:spacing w:val="-1"/>
          <w:sz w:val="24"/>
          <w:szCs w:val="24"/>
          <w:highlight w:val="none"/>
        </w:rPr>
        <w:t>监理工程师（含备选，如有）在近三年内有行贿犯罪行为</w:t>
      </w:r>
      <w:r>
        <w:rPr>
          <w:rFonts w:ascii="宋体" w:hAnsi="宋体" w:eastAsia="宋体" w:cs="宋体"/>
          <w:color w:val="auto"/>
          <w:spacing w:val="-1"/>
          <w:sz w:val="28"/>
          <w:szCs w:val="28"/>
          <w:highlight w:val="none"/>
        </w:rPr>
        <w:t>；</w:t>
      </w:r>
    </w:p>
    <w:p w14:paraId="6E51A58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（7）法律法规或投标人须知前附表规定的其他情形。</w:t>
      </w:r>
    </w:p>
    <w:p w14:paraId="35AFAF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1.4.5 投标人（包括联合体各成员）应进入交通运输部“全国公路建设市场监督管理系统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”中的公路工程施工监理资质企业名录，且投标人</w:t>
      </w:r>
      <w:r>
        <w:rPr>
          <w:rFonts w:ascii="宋体" w:hAnsi="宋体" w:eastAsia="宋体" w:cs="宋体"/>
          <w:color w:val="auto"/>
          <w:spacing w:val="3"/>
          <w:sz w:val="24"/>
          <w:szCs w:val="24"/>
          <w:highlight w:val="none"/>
        </w:rPr>
        <w:t>名称和资质与该名录中</w:t>
      </w:r>
      <w:r>
        <w:rPr>
          <w:rFonts w:ascii="宋体" w:hAnsi="宋体" w:eastAsia="宋体" w:cs="宋体"/>
          <w:color w:val="auto"/>
          <w:sz w:val="24"/>
          <w:szCs w:val="24"/>
          <w:highlight w:val="none"/>
        </w:rPr>
        <w:t>的相应企业名称和资质完全一致。投标人不满足</w:t>
      </w:r>
      <w:r>
        <w:rPr>
          <w:rFonts w:ascii="宋体" w:hAnsi="宋体" w:eastAsia="宋体" w:cs="宋体"/>
          <w:color w:val="auto"/>
          <w:spacing w:val="-1"/>
          <w:sz w:val="24"/>
          <w:szCs w:val="24"/>
          <w:highlight w:val="none"/>
        </w:rPr>
        <w:t>本项规定条件的，将被否决投标。</w:t>
      </w:r>
    </w:p>
    <w:p w14:paraId="3281F0F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80" w:name="_Toc3201"/>
      <w:bookmarkStart w:id="81" w:name="_Toc30396"/>
      <w:bookmarkStart w:id="82" w:name="_Toc814"/>
      <w:bookmarkStart w:id="83" w:name="_Toc2238"/>
      <w:r>
        <w:rPr>
          <w:rFonts w:ascii="宋体" w:hAnsi="宋体" w:eastAsia="宋体" w:cs="宋体"/>
          <w:b/>
          <w:bCs/>
          <w:color w:val="auto"/>
          <w:spacing w:val="-9"/>
          <w:sz w:val="24"/>
          <w:szCs w:val="24"/>
          <w:highlight w:val="none"/>
        </w:rPr>
        <w:t>1.5</w:t>
      </w:r>
      <w:r>
        <w:rPr>
          <w:rFonts w:ascii="宋体" w:hAnsi="宋体" w:eastAsia="宋体" w:cs="宋体"/>
          <w:color w:val="auto"/>
          <w:spacing w:val="24"/>
          <w:sz w:val="24"/>
          <w:szCs w:val="24"/>
          <w:highlight w:val="none"/>
        </w:rPr>
        <w:t xml:space="preserve"> </w:t>
      </w:r>
      <w:r>
        <w:rPr>
          <w:rFonts w:ascii="宋体" w:hAnsi="宋体" w:eastAsia="宋体" w:cs="宋体"/>
          <w:b/>
          <w:bCs/>
          <w:color w:val="auto"/>
          <w:spacing w:val="-9"/>
          <w:sz w:val="24"/>
          <w:szCs w:val="24"/>
          <w:highlight w:val="none"/>
        </w:rPr>
        <w:t>费用承担</w:t>
      </w:r>
      <w:bookmarkEnd w:id="80"/>
      <w:bookmarkEnd w:id="81"/>
      <w:bookmarkEnd w:id="82"/>
      <w:bookmarkEnd w:id="83"/>
    </w:p>
    <w:p w14:paraId="378934D2">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投标人准备和参加投标活动发生的费用自理。</w:t>
      </w:r>
    </w:p>
    <w:p w14:paraId="74F4341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84" w:name="_Toc1064"/>
      <w:bookmarkStart w:id="85" w:name="_Toc19292"/>
      <w:bookmarkStart w:id="86" w:name="_Toc21204"/>
      <w:bookmarkStart w:id="87" w:name="_Toc28355"/>
      <w:r>
        <w:rPr>
          <w:rFonts w:ascii="宋体" w:hAnsi="宋体" w:eastAsia="宋体" w:cs="宋体"/>
          <w:b/>
          <w:bCs/>
          <w:color w:val="auto"/>
          <w:spacing w:val="-10"/>
          <w:sz w:val="24"/>
          <w:szCs w:val="24"/>
          <w:highlight w:val="none"/>
        </w:rPr>
        <w:t>1.6</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保密</w:t>
      </w:r>
      <w:bookmarkEnd w:id="84"/>
      <w:bookmarkEnd w:id="85"/>
      <w:bookmarkEnd w:id="86"/>
      <w:bookmarkEnd w:id="87"/>
    </w:p>
    <w:p w14:paraId="4773E0E5">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参与招标投标活动的各方应对招标文件和投标文件中的商业和技术等秘密保密，</w:t>
      </w:r>
      <w:r>
        <w:rPr>
          <w:rFonts w:ascii="宋体" w:hAnsi="宋体" w:eastAsia="宋体" w:cs="宋体"/>
          <w:color w:val="auto"/>
          <w:spacing w:val="-2"/>
          <w:sz w:val="24"/>
          <w:szCs w:val="24"/>
          <w:highlight w:val="none"/>
        </w:rPr>
        <w:t>否则应承担相应的法律责任。</w:t>
      </w:r>
    </w:p>
    <w:p w14:paraId="454E530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88" w:name="_Toc663"/>
      <w:bookmarkStart w:id="89" w:name="_Toc14877"/>
      <w:bookmarkStart w:id="90" w:name="_Toc8352"/>
      <w:bookmarkStart w:id="91" w:name="_Toc6978"/>
      <w:r>
        <w:rPr>
          <w:rFonts w:ascii="宋体" w:hAnsi="宋体" w:eastAsia="宋体" w:cs="宋体"/>
          <w:b/>
          <w:bCs/>
          <w:color w:val="auto"/>
          <w:spacing w:val="-8"/>
          <w:sz w:val="24"/>
          <w:szCs w:val="24"/>
          <w:highlight w:val="none"/>
        </w:rPr>
        <w:t>1.7</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语言文字</w:t>
      </w:r>
      <w:bookmarkEnd w:id="88"/>
      <w:bookmarkEnd w:id="89"/>
      <w:bookmarkEnd w:id="90"/>
      <w:bookmarkEnd w:id="91"/>
    </w:p>
    <w:p w14:paraId="0627969B">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招标投标文件使用的语言文字为中文。专用术语使用</w:t>
      </w:r>
      <w:r>
        <w:rPr>
          <w:rFonts w:ascii="宋体" w:hAnsi="宋体" w:eastAsia="宋体" w:cs="宋体"/>
          <w:color w:val="auto"/>
          <w:spacing w:val="-1"/>
          <w:sz w:val="24"/>
          <w:szCs w:val="24"/>
          <w:highlight w:val="none"/>
        </w:rPr>
        <w:t>外文的，应附有中文注释。</w:t>
      </w:r>
    </w:p>
    <w:p w14:paraId="0E76743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92" w:name="_Toc28472"/>
      <w:bookmarkStart w:id="93" w:name="_Toc28277"/>
      <w:bookmarkStart w:id="94" w:name="_Toc6804"/>
      <w:bookmarkStart w:id="95" w:name="_Toc15485"/>
      <w:r>
        <w:rPr>
          <w:rFonts w:ascii="宋体" w:hAnsi="宋体" w:eastAsia="宋体" w:cs="宋体"/>
          <w:b/>
          <w:bCs/>
          <w:color w:val="auto"/>
          <w:spacing w:val="-8"/>
          <w:sz w:val="24"/>
          <w:szCs w:val="24"/>
          <w:highlight w:val="none"/>
        </w:rPr>
        <w:t>1.8</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计量单位</w:t>
      </w:r>
      <w:bookmarkEnd w:id="92"/>
      <w:bookmarkEnd w:id="93"/>
      <w:bookmarkEnd w:id="94"/>
      <w:bookmarkEnd w:id="95"/>
    </w:p>
    <w:p w14:paraId="67357186">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所有计量均采用中华人民共和国法定计量单位。</w:t>
      </w:r>
    </w:p>
    <w:p w14:paraId="7A7E8B6A">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96" w:name="_Toc22263"/>
      <w:bookmarkStart w:id="97" w:name="_Toc12836"/>
      <w:bookmarkStart w:id="98" w:name="_Toc11572"/>
      <w:bookmarkStart w:id="99" w:name="_Toc17060"/>
      <w:r>
        <w:rPr>
          <w:rFonts w:ascii="宋体" w:hAnsi="宋体" w:eastAsia="宋体" w:cs="宋体"/>
          <w:b/>
          <w:bCs/>
          <w:color w:val="auto"/>
          <w:spacing w:val="-8"/>
          <w:sz w:val="24"/>
          <w:szCs w:val="24"/>
          <w:highlight w:val="none"/>
        </w:rPr>
        <w:t>1.9</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踏勘现场</w:t>
      </w:r>
      <w:bookmarkEnd w:id="96"/>
      <w:bookmarkEnd w:id="97"/>
      <w:bookmarkEnd w:id="98"/>
      <w:bookmarkEnd w:id="99"/>
    </w:p>
    <w:p w14:paraId="286DED80">
      <w:pPr>
        <w:keepNext w:val="0"/>
        <w:keepLines w:val="0"/>
        <w:pageBreakBefore w:val="0"/>
        <w:wordWrap/>
        <w:overflowPunct/>
        <w:topLinePunct w:val="0"/>
        <w:bidi w:val="0"/>
        <w:spacing w:line="500" w:lineRule="exact"/>
        <w:ind w:left="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1.9.1 第一章“招标公告</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”或“投标邀请书</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”规定组织踏勘现场的，招标人按规</w:t>
      </w:r>
      <w:r>
        <w:rPr>
          <w:rFonts w:ascii="宋体" w:hAnsi="宋体" w:eastAsia="宋体" w:cs="宋体"/>
          <w:color w:val="auto"/>
          <w:spacing w:val="5"/>
          <w:sz w:val="24"/>
          <w:szCs w:val="24"/>
          <w:highlight w:val="none"/>
        </w:rPr>
        <w:t>定的时间、地点组织投标人踏勘项目现场。部分投标人未按时</w:t>
      </w:r>
      <w:r>
        <w:rPr>
          <w:rFonts w:ascii="宋体" w:hAnsi="宋体" w:eastAsia="宋体" w:cs="宋体"/>
          <w:color w:val="auto"/>
          <w:spacing w:val="4"/>
          <w:sz w:val="24"/>
          <w:szCs w:val="24"/>
          <w:highlight w:val="none"/>
        </w:rPr>
        <w:t>参加踏勘现场的，不影</w:t>
      </w:r>
      <w:r>
        <w:rPr>
          <w:rFonts w:ascii="宋体" w:hAnsi="宋体" w:eastAsia="宋体" w:cs="宋体"/>
          <w:color w:val="auto"/>
          <w:spacing w:val="-1"/>
          <w:sz w:val="24"/>
          <w:szCs w:val="24"/>
          <w:highlight w:val="none"/>
        </w:rPr>
        <w:t>响踏勘现场的正常进行。招标人不得组织单个或部分投标人踏勘项目现场。</w:t>
      </w:r>
    </w:p>
    <w:p w14:paraId="5415C89D">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1.9.2 投标人踏勘现场发生的费用自理。</w:t>
      </w:r>
    </w:p>
    <w:p w14:paraId="057C15E5">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1.9.3 除招标人的原因外，投标人自行负责在踏勘现场中所发生的人员伤亡和财</w:t>
      </w:r>
      <w:r>
        <w:rPr>
          <w:rFonts w:ascii="宋体" w:hAnsi="宋体" w:eastAsia="宋体" w:cs="宋体"/>
          <w:color w:val="auto"/>
          <w:spacing w:val="-3"/>
          <w:sz w:val="24"/>
          <w:szCs w:val="24"/>
          <w:highlight w:val="none"/>
        </w:rPr>
        <w:t>产损失。</w:t>
      </w:r>
    </w:p>
    <w:p w14:paraId="39E7BA5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1.9.4 招标人在踏勘现场中介绍的工程场地和相关的周边环境情况，供投标人在</w:t>
      </w:r>
      <w:r>
        <w:rPr>
          <w:rFonts w:ascii="宋体" w:hAnsi="宋体" w:eastAsia="宋体" w:cs="宋体"/>
          <w:color w:val="auto"/>
          <w:spacing w:val="-1"/>
          <w:sz w:val="24"/>
          <w:szCs w:val="24"/>
          <w:highlight w:val="none"/>
        </w:rPr>
        <w:t>编制投标文件时参考，招标人不对投标人据此作出的判断和决策负责。</w:t>
      </w:r>
    </w:p>
    <w:p w14:paraId="6E425FB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00" w:name="bookmark100"/>
      <w:bookmarkEnd w:id="100"/>
      <w:bookmarkStart w:id="101" w:name="bookmark101"/>
      <w:bookmarkEnd w:id="101"/>
      <w:bookmarkStart w:id="102" w:name="bookmark99"/>
      <w:bookmarkEnd w:id="102"/>
      <w:bookmarkStart w:id="103" w:name="_Toc24774"/>
      <w:bookmarkStart w:id="104" w:name="_Toc93"/>
      <w:bookmarkStart w:id="105" w:name="_Toc31500"/>
      <w:bookmarkStart w:id="106" w:name="_Toc29845"/>
      <w:r>
        <w:rPr>
          <w:rFonts w:ascii="宋体" w:hAnsi="宋体" w:eastAsia="宋体" w:cs="宋体"/>
          <w:b/>
          <w:bCs/>
          <w:color w:val="auto"/>
          <w:spacing w:val="-5"/>
          <w:sz w:val="24"/>
          <w:szCs w:val="24"/>
          <w:highlight w:val="none"/>
        </w:rPr>
        <w:t>1.10</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投标预备会</w:t>
      </w:r>
      <w:bookmarkEnd w:id="103"/>
      <w:bookmarkEnd w:id="104"/>
      <w:bookmarkEnd w:id="105"/>
      <w:bookmarkEnd w:id="106"/>
    </w:p>
    <w:p w14:paraId="74D06E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1.10.1 第一章“招标公告</w:t>
      </w:r>
      <w:r>
        <w:rPr>
          <w:rFonts w:ascii="宋体" w:hAnsi="宋体" w:eastAsia="宋体" w:cs="宋体"/>
          <w:color w:val="auto"/>
          <w:spacing w:val="-70"/>
          <w:sz w:val="24"/>
          <w:szCs w:val="24"/>
          <w:highlight w:val="none"/>
        </w:rPr>
        <w:t xml:space="preserve"> </w:t>
      </w:r>
      <w:r>
        <w:rPr>
          <w:rFonts w:ascii="宋体" w:hAnsi="宋体" w:eastAsia="宋体" w:cs="宋体"/>
          <w:color w:val="auto"/>
          <w:spacing w:val="-1"/>
          <w:sz w:val="24"/>
          <w:szCs w:val="24"/>
          <w:highlight w:val="none"/>
        </w:rPr>
        <w:t>”或“投标邀请书</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”规定召开投标预备会的，招标人按规定的时间和地点召开投标预备会，澄清投标人提出的问题。</w:t>
      </w:r>
    </w:p>
    <w:p w14:paraId="17202F46">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1.10.2 投标人应按投标人须知前附表规定的时间和形式将提出的问</w:t>
      </w:r>
      <w:r>
        <w:rPr>
          <w:rFonts w:ascii="宋体" w:hAnsi="宋体" w:eastAsia="宋体" w:cs="宋体"/>
          <w:color w:val="auto"/>
          <w:spacing w:val="-3"/>
          <w:sz w:val="24"/>
          <w:szCs w:val="24"/>
          <w:highlight w:val="none"/>
        </w:rPr>
        <w:t>题送达招标人，以便招标人在会议期间澄清。</w:t>
      </w:r>
    </w:p>
    <w:p w14:paraId="058F7B0C">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1.10.3 投标预备会后，招标人将对投标人所提问题的澄清，以投标人须知前附表</w:t>
      </w:r>
      <w:r>
        <w:rPr>
          <w:rFonts w:ascii="宋体" w:hAnsi="宋体" w:eastAsia="宋体" w:cs="宋体"/>
          <w:color w:val="auto"/>
          <w:spacing w:val="-1"/>
          <w:sz w:val="24"/>
          <w:szCs w:val="24"/>
          <w:highlight w:val="none"/>
        </w:rPr>
        <w:t>规定的形式通知投标人。该澄清内容为招标文件的组成部分。</w:t>
      </w:r>
    </w:p>
    <w:p w14:paraId="1B3199B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07" w:name="_Toc19880"/>
      <w:bookmarkStart w:id="108" w:name="_Toc4248"/>
      <w:bookmarkStart w:id="109" w:name="_Toc21582"/>
      <w:bookmarkStart w:id="110" w:name="_Toc32254"/>
      <w:r>
        <w:rPr>
          <w:rFonts w:ascii="宋体" w:hAnsi="宋体" w:eastAsia="宋体" w:cs="宋体"/>
          <w:b/>
          <w:bCs/>
          <w:color w:val="auto"/>
          <w:spacing w:val="-9"/>
          <w:sz w:val="24"/>
          <w:szCs w:val="24"/>
          <w:highlight w:val="none"/>
        </w:rPr>
        <w:t>1.11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分包</w:t>
      </w:r>
      <w:bookmarkEnd w:id="107"/>
      <w:bookmarkEnd w:id="108"/>
      <w:bookmarkEnd w:id="109"/>
      <w:bookmarkEnd w:id="110"/>
    </w:p>
    <w:p w14:paraId="7F089ED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本项目严禁分包。</w:t>
      </w:r>
    </w:p>
    <w:p w14:paraId="6EF43FC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11" w:name="_Toc12508"/>
      <w:bookmarkStart w:id="112" w:name="_Toc23354"/>
      <w:bookmarkStart w:id="113" w:name="_Toc30421"/>
      <w:bookmarkStart w:id="114" w:name="_Toc23311"/>
      <w:r>
        <w:rPr>
          <w:rFonts w:ascii="宋体" w:hAnsi="宋体" w:eastAsia="宋体" w:cs="宋体"/>
          <w:b/>
          <w:bCs/>
          <w:color w:val="auto"/>
          <w:spacing w:val="-7"/>
          <w:sz w:val="24"/>
          <w:szCs w:val="24"/>
          <w:highlight w:val="none"/>
        </w:rPr>
        <w:t>1.12</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7"/>
          <w:sz w:val="24"/>
          <w:szCs w:val="24"/>
          <w:highlight w:val="none"/>
        </w:rPr>
        <w:t>响应和偏差</w:t>
      </w:r>
      <w:bookmarkEnd w:id="111"/>
      <w:bookmarkEnd w:id="112"/>
      <w:bookmarkEnd w:id="113"/>
      <w:bookmarkEnd w:id="114"/>
    </w:p>
    <w:p w14:paraId="58C6C7B5">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1.12.1 投标文件偏离招标文件某些要求，视为投标文件存在偏差。偏差包括重大</w:t>
      </w:r>
      <w:r>
        <w:rPr>
          <w:rFonts w:ascii="宋体" w:hAnsi="宋体" w:eastAsia="宋体" w:cs="宋体"/>
          <w:color w:val="auto"/>
          <w:spacing w:val="-2"/>
          <w:sz w:val="24"/>
          <w:szCs w:val="24"/>
          <w:highlight w:val="none"/>
        </w:rPr>
        <w:t>偏差和细微偏差。</w:t>
      </w:r>
    </w:p>
    <w:p w14:paraId="475B2AB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1.12.2 投标文件应对招标文件的实质性要求和条件作出满足性或更有利于招标人</w:t>
      </w:r>
      <w:r>
        <w:rPr>
          <w:rFonts w:ascii="宋体" w:hAnsi="宋体" w:eastAsia="宋体" w:cs="宋体"/>
          <w:color w:val="auto"/>
          <w:spacing w:val="-1"/>
          <w:sz w:val="24"/>
          <w:szCs w:val="24"/>
          <w:highlight w:val="none"/>
        </w:rPr>
        <w:t>的响应，否则，视为投标文件存在重大偏差，投标人的投标将被否决。</w:t>
      </w:r>
    </w:p>
    <w:p w14:paraId="02F589E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投标文件存在第三章“评标办法</w:t>
      </w:r>
      <w:r>
        <w:rPr>
          <w:rFonts w:ascii="宋体" w:hAnsi="宋体" w:eastAsia="宋体" w:cs="宋体"/>
          <w:color w:val="auto"/>
          <w:spacing w:val="-82"/>
          <w:sz w:val="24"/>
          <w:szCs w:val="24"/>
          <w:highlight w:val="none"/>
        </w:rPr>
        <w:t xml:space="preserve"> </w:t>
      </w:r>
      <w:r>
        <w:rPr>
          <w:rFonts w:ascii="宋体" w:hAnsi="宋体" w:eastAsia="宋体" w:cs="宋体"/>
          <w:color w:val="auto"/>
          <w:spacing w:val="4"/>
          <w:sz w:val="24"/>
          <w:szCs w:val="24"/>
          <w:highlight w:val="none"/>
        </w:rPr>
        <w:t>”中所列任一否决投标情形的，均属于存在重大</w:t>
      </w:r>
      <w:r>
        <w:rPr>
          <w:rFonts w:ascii="宋体" w:hAnsi="宋体" w:eastAsia="宋体" w:cs="宋体"/>
          <w:color w:val="auto"/>
          <w:spacing w:val="-4"/>
          <w:sz w:val="24"/>
          <w:szCs w:val="24"/>
          <w:highlight w:val="none"/>
        </w:rPr>
        <w:t>偏差。</w:t>
      </w:r>
    </w:p>
    <w:p w14:paraId="1B3975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1.12.3 投标文件中的下列偏差为细微偏差：</w:t>
      </w:r>
    </w:p>
    <w:p w14:paraId="06612216">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（1）在按照第三章“评标办法</w:t>
      </w:r>
      <w:r>
        <w:rPr>
          <w:rFonts w:ascii="宋体" w:hAnsi="宋体" w:eastAsia="宋体" w:cs="宋体"/>
          <w:color w:val="auto"/>
          <w:spacing w:val="-71"/>
          <w:sz w:val="24"/>
          <w:szCs w:val="24"/>
          <w:highlight w:val="none"/>
        </w:rPr>
        <w:t xml:space="preserve"> </w:t>
      </w:r>
      <w:r>
        <w:rPr>
          <w:rFonts w:ascii="宋体" w:hAnsi="宋体" w:eastAsia="宋体" w:cs="宋体"/>
          <w:color w:val="auto"/>
          <w:sz w:val="24"/>
          <w:szCs w:val="24"/>
          <w:highlight w:val="none"/>
        </w:rPr>
        <w:t>”的规定对投标价进行算术性错误修正后，最终投</w:t>
      </w:r>
      <w:r>
        <w:rPr>
          <w:rFonts w:ascii="宋体" w:hAnsi="宋体" w:eastAsia="宋体" w:cs="宋体"/>
          <w:color w:val="auto"/>
          <w:spacing w:val="4"/>
          <w:sz w:val="24"/>
          <w:szCs w:val="24"/>
          <w:highlight w:val="none"/>
        </w:rPr>
        <w:t>标报价未超过最高投标限价（如有）的情况下，出现第三章“评标办法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规定的算术</w:t>
      </w:r>
      <w:r>
        <w:rPr>
          <w:rFonts w:ascii="宋体" w:hAnsi="宋体" w:eastAsia="宋体" w:cs="宋体"/>
          <w:color w:val="auto"/>
          <w:spacing w:val="-3"/>
          <w:sz w:val="24"/>
          <w:szCs w:val="24"/>
          <w:highlight w:val="none"/>
        </w:rPr>
        <w:t>性错误；</w:t>
      </w:r>
    </w:p>
    <w:p w14:paraId="5F4A08E7">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（2）技术建议书不够完善；</w:t>
      </w:r>
    </w:p>
    <w:p w14:paraId="0B27A081">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（3）投标文件页码不连续、个别文字有遗漏错误等不影响投标文件实质性内容的</w:t>
      </w:r>
      <w:r>
        <w:rPr>
          <w:rFonts w:ascii="宋体" w:hAnsi="宋体" w:eastAsia="宋体" w:cs="宋体"/>
          <w:color w:val="auto"/>
          <w:spacing w:val="-4"/>
          <w:sz w:val="24"/>
          <w:szCs w:val="24"/>
          <w:highlight w:val="none"/>
        </w:rPr>
        <w:t>偏差。</w:t>
      </w:r>
    </w:p>
    <w:p w14:paraId="4CE55CAF">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1.12.4 评标委员会对投标文件中的细微偏差按如下规定处理：</w:t>
      </w:r>
    </w:p>
    <w:p w14:paraId="670DEE9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（1）对于本章第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2"/>
          <w:sz w:val="24"/>
          <w:szCs w:val="24"/>
          <w:highlight w:val="none"/>
        </w:rPr>
        <w:t>1.12.3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60"/>
          <w:sz w:val="24"/>
          <w:szCs w:val="24"/>
          <w:highlight w:val="none"/>
        </w:rPr>
        <w:t xml:space="preserve"> </w:t>
      </w:r>
      <w:r>
        <w:rPr>
          <w:rFonts w:ascii="宋体" w:hAnsi="宋体" w:eastAsia="宋体" w:cs="宋体"/>
          <w:color w:val="auto"/>
          <w:spacing w:val="-2"/>
          <w:sz w:val="24"/>
          <w:szCs w:val="24"/>
          <w:highlight w:val="none"/>
        </w:rPr>
        <w:t>目所述的细微偏差，按照第三章</w:t>
      </w:r>
      <w:r>
        <w:rPr>
          <w:rFonts w:ascii="宋体" w:hAnsi="宋体" w:eastAsia="宋体" w:cs="宋体"/>
          <w:color w:val="auto"/>
          <w:spacing w:val="-3"/>
          <w:sz w:val="24"/>
          <w:szCs w:val="24"/>
          <w:highlight w:val="none"/>
        </w:rPr>
        <w:t>“评标办法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w:t>
      </w:r>
      <w:r>
        <w:rPr>
          <w:rFonts w:ascii="宋体" w:hAnsi="宋体" w:eastAsia="宋体" w:cs="宋体"/>
          <w:color w:val="auto"/>
          <w:spacing w:val="-1"/>
          <w:sz w:val="24"/>
          <w:szCs w:val="24"/>
          <w:highlight w:val="none"/>
        </w:rPr>
        <w:t>规定予以修正并要求投标人进行澄清；</w:t>
      </w:r>
    </w:p>
    <w:p w14:paraId="417003DD">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（2）对于本章第</w:t>
      </w:r>
      <w:r>
        <w:rPr>
          <w:rFonts w:ascii="宋体" w:hAnsi="宋体" w:eastAsia="宋体" w:cs="宋体"/>
          <w:color w:val="auto"/>
          <w:spacing w:val="-12"/>
          <w:sz w:val="24"/>
          <w:szCs w:val="24"/>
          <w:highlight w:val="none"/>
        </w:rPr>
        <w:t xml:space="preserve"> </w:t>
      </w:r>
      <w:r>
        <w:rPr>
          <w:rFonts w:ascii="宋体" w:hAnsi="宋体" w:eastAsia="宋体" w:cs="宋体"/>
          <w:color w:val="auto"/>
          <w:spacing w:val="1"/>
          <w:sz w:val="24"/>
          <w:szCs w:val="24"/>
          <w:highlight w:val="none"/>
        </w:rPr>
        <w:t>1.12.3</w:t>
      </w:r>
      <w:r>
        <w:rPr>
          <w:rFonts w:ascii="宋体" w:hAnsi="宋体" w:eastAsia="宋体" w:cs="宋体"/>
          <w:color w:val="auto"/>
          <w:spacing w:val="-42"/>
          <w:sz w:val="24"/>
          <w:szCs w:val="24"/>
          <w:highlight w:val="none"/>
        </w:rPr>
        <w:t xml:space="preserve"> </w:t>
      </w:r>
      <w:r>
        <w:rPr>
          <w:rFonts w:ascii="宋体" w:hAnsi="宋体" w:eastAsia="宋体" w:cs="宋体"/>
          <w:color w:val="auto"/>
          <w:spacing w:val="1"/>
          <w:sz w:val="24"/>
          <w:szCs w:val="24"/>
          <w:highlight w:val="none"/>
        </w:rPr>
        <w:t>项（2）、（3）</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目所述的细微偏差，可在相关评分因素</w:t>
      </w:r>
      <w:r>
        <w:rPr>
          <w:rFonts w:ascii="宋体" w:hAnsi="宋体" w:eastAsia="宋体" w:cs="宋体"/>
          <w:color w:val="auto"/>
          <w:spacing w:val="-4"/>
          <w:sz w:val="24"/>
          <w:szCs w:val="24"/>
          <w:highlight w:val="none"/>
        </w:rPr>
        <w:t>的评分中酌情扣分。</w:t>
      </w:r>
    </w:p>
    <w:p w14:paraId="5A81FA38">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pacing w:val="-5"/>
          <w:sz w:val="24"/>
          <w:szCs w:val="24"/>
          <w:highlight w:val="none"/>
        </w:rPr>
      </w:pPr>
      <w:r>
        <w:rPr>
          <w:rFonts w:ascii="宋体" w:hAnsi="宋体" w:eastAsia="宋体" w:cs="宋体"/>
          <w:color w:val="auto"/>
          <w:spacing w:val="1"/>
          <w:sz w:val="24"/>
          <w:szCs w:val="24"/>
          <w:highlight w:val="none"/>
        </w:rPr>
        <w:t>1.12.5 投标人应根据招标文件的要求提供技术建议书等内容以对招标文件作出响</w:t>
      </w:r>
      <w:r>
        <w:rPr>
          <w:rFonts w:ascii="宋体" w:hAnsi="宋体" w:eastAsia="宋体" w:cs="宋体"/>
          <w:color w:val="auto"/>
          <w:spacing w:val="-5"/>
          <w:sz w:val="24"/>
          <w:szCs w:val="24"/>
          <w:highlight w:val="none"/>
        </w:rPr>
        <w:t>应。</w:t>
      </w:r>
      <w:bookmarkStart w:id="115" w:name="_Toc5492"/>
    </w:p>
    <w:p w14:paraId="1B095DB5">
      <w:pPr>
        <w:keepNext w:val="0"/>
        <w:keepLines w:val="0"/>
        <w:pageBreakBefore w:val="0"/>
        <w:wordWrap/>
        <w:overflowPunct/>
        <w:topLinePunct w:val="0"/>
        <w:bidi w:val="0"/>
        <w:spacing w:line="500" w:lineRule="exact"/>
        <w:ind w:right="0"/>
        <w:jc w:val="both"/>
        <w:rPr>
          <w:rFonts w:ascii="宋体" w:hAnsi="宋体" w:eastAsia="宋体" w:cs="宋体"/>
          <w:color w:val="auto"/>
          <w:sz w:val="28"/>
          <w:szCs w:val="28"/>
          <w:highlight w:val="none"/>
        </w:rPr>
      </w:pPr>
      <w:r>
        <w:rPr>
          <w:rFonts w:ascii="宋体" w:hAnsi="宋体" w:eastAsia="宋体" w:cs="宋体"/>
          <w:b/>
          <w:bCs/>
          <w:color w:val="auto"/>
          <w:spacing w:val="-7"/>
          <w:sz w:val="28"/>
          <w:szCs w:val="28"/>
          <w:highlight w:val="none"/>
        </w:rPr>
        <w:t>2.</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7"/>
          <w:sz w:val="28"/>
          <w:szCs w:val="28"/>
          <w:highlight w:val="none"/>
        </w:rPr>
        <w:t>招标文件</w:t>
      </w:r>
      <w:bookmarkEnd w:id="115"/>
    </w:p>
    <w:p w14:paraId="3488145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16" w:name="_Toc31508"/>
      <w:bookmarkStart w:id="117" w:name="_Toc26850"/>
      <w:bookmarkStart w:id="118" w:name="_Toc14715"/>
      <w:bookmarkStart w:id="119" w:name="_Toc22993"/>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招标文件的组成</w:t>
      </w:r>
      <w:bookmarkEnd w:id="116"/>
      <w:bookmarkEnd w:id="117"/>
      <w:bookmarkEnd w:id="118"/>
      <w:bookmarkEnd w:id="119"/>
    </w:p>
    <w:p w14:paraId="4F30150C">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本招标文件包括：</w:t>
      </w:r>
    </w:p>
    <w:p w14:paraId="345EB30A">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（1）招标公告（或投标邀请书</w:t>
      </w:r>
      <w:r>
        <w:rPr>
          <w:rFonts w:ascii="宋体" w:hAnsi="宋体" w:eastAsia="宋体" w:cs="宋体"/>
          <w:color w:val="auto"/>
          <w:spacing w:val="3"/>
          <w:sz w:val="24"/>
          <w:szCs w:val="24"/>
          <w:highlight w:val="none"/>
        </w:rPr>
        <w:t>）；</w:t>
      </w:r>
    </w:p>
    <w:p w14:paraId="575A6059">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p>
    <w:p w14:paraId="5E734AD6">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（3）评标办法；</w:t>
      </w:r>
    </w:p>
    <w:p w14:paraId="7BF042DC">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（4）合同条款及格式；</w:t>
      </w:r>
    </w:p>
    <w:p w14:paraId="162CA384">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（5）委托人要求；</w:t>
      </w:r>
    </w:p>
    <w:p w14:paraId="2413D0C3">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（6）图纸和资料；</w:t>
      </w:r>
    </w:p>
    <w:p w14:paraId="54057E3C">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（7）投标文件格式；</w:t>
      </w:r>
    </w:p>
    <w:p w14:paraId="7AB14FF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（8）投标人须知前附表规定的其他资料。</w:t>
      </w:r>
    </w:p>
    <w:p w14:paraId="4D734064">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1"/>
          <w:sz w:val="24"/>
          <w:szCs w:val="24"/>
          <w:highlight w:val="none"/>
        </w:rPr>
        <w:t>1.10</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款、第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款和第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2.3</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款对招标文件所作的澄清、修改，构成招</w:t>
      </w:r>
      <w:r>
        <w:rPr>
          <w:rFonts w:ascii="宋体" w:hAnsi="宋体" w:eastAsia="宋体" w:cs="宋体"/>
          <w:color w:val="auto"/>
          <w:spacing w:val="-2"/>
          <w:sz w:val="24"/>
          <w:szCs w:val="24"/>
          <w:highlight w:val="none"/>
        </w:rPr>
        <w:t>标文件的组成部分。</w:t>
      </w:r>
    </w:p>
    <w:p w14:paraId="06736F6D">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当招标文件、招标文件的澄清或修改等在同一内容的表述上</w:t>
      </w:r>
      <w:r>
        <w:rPr>
          <w:rFonts w:ascii="宋体" w:hAnsi="宋体" w:eastAsia="宋体" w:cs="宋体"/>
          <w:color w:val="auto"/>
          <w:spacing w:val="4"/>
          <w:sz w:val="24"/>
          <w:szCs w:val="24"/>
          <w:highlight w:val="none"/>
        </w:rPr>
        <w:t>不一致时，以最后发</w:t>
      </w:r>
      <w:r>
        <w:rPr>
          <w:rFonts w:ascii="宋体" w:hAnsi="宋体" w:eastAsia="宋体" w:cs="宋体"/>
          <w:color w:val="auto"/>
          <w:spacing w:val="-4"/>
          <w:sz w:val="24"/>
          <w:szCs w:val="24"/>
          <w:highlight w:val="none"/>
        </w:rPr>
        <w:t>出的书面文件为准。</w:t>
      </w:r>
    </w:p>
    <w:p w14:paraId="31852C2D">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20" w:name="_Toc21371"/>
      <w:bookmarkStart w:id="121" w:name="_Toc7089"/>
      <w:bookmarkStart w:id="122" w:name="_Toc2261"/>
      <w:bookmarkStart w:id="123" w:name="_Toc24935"/>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招标文件的澄清</w:t>
      </w:r>
      <w:bookmarkEnd w:id="120"/>
      <w:bookmarkEnd w:id="121"/>
      <w:bookmarkEnd w:id="122"/>
      <w:bookmarkEnd w:id="123"/>
    </w:p>
    <w:p w14:paraId="12F361E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2.2.1 投标人应仔细阅读和检查招标文件的全部内容</w:t>
      </w:r>
      <w:r>
        <w:rPr>
          <w:rFonts w:ascii="宋体" w:hAnsi="宋体" w:eastAsia="宋体" w:cs="宋体"/>
          <w:color w:val="auto"/>
          <w:spacing w:val="4"/>
          <w:sz w:val="24"/>
          <w:szCs w:val="24"/>
          <w:highlight w:val="none"/>
        </w:rPr>
        <w:t>。如发现缺页或附件不全，</w:t>
      </w:r>
      <w:r>
        <w:rPr>
          <w:rFonts w:ascii="宋体" w:hAnsi="宋体" w:eastAsia="宋体" w:cs="宋体"/>
          <w:color w:val="auto"/>
          <w:spacing w:val="5"/>
          <w:sz w:val="24"/>
          <w:szCs w:val="24"/>
          <w:highlight w:val="none"/>
        </w:rPr>
        <w:t>应及时向招标人提出，以便补齐。如有疑问，应按投标人须知前附表规定的</w:t>
      </w:r>
      <w:r>
        <w:rPr>
          <w:rFonts w:ascii="宋体" w:hAnsi="宋体" w:eastAsia="宋体" w:cs="宋体"/>
          <w:color w:val="auto"/>
          <w:spacing w:val="4"/>
          <w:sz w:val="24"/>
          <w:szCs w:val="24"/>
          <w:highlight w:val="none"/>
        </w:rPr>
        <w:t>时间和形</w:t>
      </w:r>
      <w:r>
        <w:rPr>
          <w:rFonts w:ascii="宋体" w:hAnsi="宋体" w:eastAsia="宋体" w:cs="宋体"/>
          <w:color w:val="auto"/>
          <w:spacing w:val="-1"/>
          <w:sz w:val="24"/>
          <w:szCs w:val="24"/>
          <w:highlight w:val="none"/>
        </w:rPr>
        <w:t>式将提出的问题送达招标人，要求招标人对招标文件予以澄清。</w:t>
      </w:r>
    </w:p>
    <w:p w14:paraId="3C4BF95F">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2.2.2 招标文件的澄清以投标人须知前附表规定的形式发给</w:t>
      </w:r>
      <w:r>
        <w:rPr>
          <w:rFonts w:ascii="宋体" w:hAnsi="宋体" w:eastAsia="宋体" w:cs="宋体"/>
          <w:color w:val="auto"/>
          <w:spacing w:val="4"/>
          <w:sz w:val="24"/>
          <w:szCs w:val="24"/>
          <w:highlight w:val="none"/>
        </w:rPr>
        <w:t>所有登记的投标人，但不指明澄清问题的来源。澄清发出的时间距本章第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项规定的投标截</w:t>
      </w:r>
      <w:r>
        <w:rPr>
          <w:rFonts w:ascii="宋体" w:hAnsi="宋体" w:eastAsia="宋体" w:cs="宋体"/>
          <w:color w:val="auto"/>
          <w:spacing w:val="3"/>
          <w:sz w:val="24"/>
          <w:szCs w:val="24"/>
          <w:highlight w:val="none"/>
        </w:rPr>
        <w:t>止时间不</w:t>
      </w:r>
      <w:r>
        <w:rPr>
          <w:rFonts w:ascii="宋体" w:hAnsi="宋体" w:eastAsia="宋体" w:cs="宋体"/>
          <w:color w:val="auto"/>
          <w:spacing w:val="-3"/>
          <w:sz w:val="24"/>
          <w:szCs w:val="24"/>
          <w:highlight w:val="none"/>
        </w:rPr>
        <w:t>足</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15 日，且澄清内容可能影响投标文件编制的，将相应延长投标截止时间。</w:t>
      </w:r>
    </w:p>
    <w:p w14:paraId="68AA591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2.2.3 投标人应注意及时浏览网上发出的澄清，因投</w:t>
      </w:r>
      <w:r>
        <w:rPr>
          <w:rFonts w:ascii="宋体" w:hAnsi="宋体" w:eastAsia="宋体" w:cs="宋体"/>
          <w:color w:val="auto"/>
          <w:spacing w:val="4"/>
          <w:sz w:val="24"/>
          <w:szCs w:val="24"/>
          <w:highlight w:val="none"/>
        </w:rPr>
        <w:t>标人自身原因未及时获知澄</w:t>
      </w:r>
      <w:r>
        <w:rPr>
          <w:rFonts w:ascii="宋体" w:hAnsi="宋体" w:eastAsia="宋体" w:cs="宋体"/>
          <w:color w:val="auto"/>
          <w:spacing w:val="-1"/>
          <w:sz w:val="24"/>
          <w:szCs w:val="24"/>
          <w:highlight w:val="none"/>
        </w:rPr>
        <w:t>清内容而导致的任何后果将由投标人自行承担。</w:t>
      </w:r>
    </w:p>
    <w:p w14:paraId="51E94ECB">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2.2.4 除非招标人认为确有必要答复，否则，招标人</w:t>
      </w:r>
      <w:r>
        <w:rPr>
          <w:rFonts w:ascii="宋体" w:hAnsi="宋体" w:eastAsia="宋体" w:cs="宋体"/>
          <w:color w:val="auto"/>
          <w:spacing w:val="4"/>
          <w:sz w:val="24"/>
          <w:szCs w:val="24"/>
          <w:highlight w:val="none"/>
        </w:rPr>
        <w:t>有权拒绝回复投标人在本章</w:t>
      </w:r>
      <w:r>
        <w:rPr>
          <w:rFonts w:ascii="宋体" w:hAnsi="宋体" w:eastAsia="宋体" w:cs="宋体"/>
          <w:color w:val="auto"/>
          <w:spacing w:val="-2"/>
          <w:sz w:val="24"/>
          <w:szCs w:val="24"/>
          <w:highlight w:val="none"/>
        </w:rPr>
        <w:t>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2.2.1</w:t>
      </w:r>
      <w:r>
        <w:rPr>
          <w:rFonts w:ascii="宋体" w:hAnsi="宋体" w:eastAsia="宋体" w:cs="宋体"/>
          <w:color w:val="auto"/>
          <w:spacing w:val="-47"/>
          <w:sz w:val="24"/>
          <w:szCs w:val="24"/>
          <w:highlight w:val="none"/>
        </w:rPr>
        <w:t xml:space="preserve"> </w:t>
      </w:r>
      <w:r>
        <w:rPr>
          <w:rFonts w:ascii="宋体" w:hAnsi="宋体" w:eastAsia="宋体" w:cs="宋体"/>
          <w:color w:val="auto"/>
          <w:spacing w:val="-2"/>
          <w:sz w:val="24"/>
          <w:szCs w:val="24"/>
          <w:highlight w:val="none"/>
        </w:rPr>
        <w:t>项规定的时间后的任何澄清要求。</w:t>
      </w:r>
    </w:p>
    <w:p w14:paraId="1BC86078">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24" w:name="_Toc11404"/>
      <w:bookmarkStart w:id="125" w:name="_Toc31407"/>
      <w:bookmarkStart w:id="126" w:name="_Toc30502"/>
      <w:bookmarkStart w:id="127" w:name="_Toc17055"/>
      <w:r>
        <w:rPr>
          <w:rFonts w:ascii="宋体" w:hAnsi="宋体" w:eastAsia="宋体" w:cs="宋体"/>
          <w:b/>
          <w:bCs/>
          <w:color w:val="auto"/>
          <w:spacing w:val="-3"/>
          <w:sz w:val="24"/>
          <w:szCs w:val="24"/>
          <w:highlight w:val="none"/>
        </w:rPr>
        <w:t>2.3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招标文件的修改</w:t>
      </w:r>
      <w:bookmarkEnd w:id="124"/>
      <w:bookmarkEnd w:id="125"/>
      <w:bookmarkEnd w:id="126"/>
      <w:bookmarkEnd w:id="127"/>
    </w:p>
    <w:p w14:paraId="1C2EE27E">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5"/>
          <w:sz w:val="24"/>
          <w:szCs w:val="24"/>
          <w:highlight w:val="none"/>
        </w:rPr>
        <w:t>2.3.1 招标人以投标人须知前附表规定的形式修改招</w:t>
      </w:r>
      <w:r>
        <w:rPr>
          <w:rFonts w:ascii="宋体" w:hAnsi="宋体" w:eastAsia="宋体" w:cs="宋体"/>
          <w:color w:val="auto"/>
          <w:spacing w:val="4"/>
          <w:sz w:val="24"/>
          <w:szCs w:val="24"/>
          <w:highlight w:val="none"/>
        </w:rPr>
        <w:t>标文件，并通知所有已登记</w:t>
      </w:r>
      <w:r>
        <w:rPr>
          <w:rFonts w:ascii="宋体" w:hAnsi="宋体" w:eastAsia="宋体" w:cs="宋体"/>
          <w:color w:val="auto"/>
          <w:sz w:val="24"/>
          <w:szCs w:val="24"/>
          <w:highlight w:val="none"/>
        </w:rPr>
        <w:t>的投标人。修改招标文件的时间距本章第4.2.1</w:t>
      </w:r>
      <w:r>
        <w:rPr>
          <w:rFonts w:ascii="宋体" w:hAnsi="宋体" w:eastAsia="宋体" w:cs="宋体"/>
          <w:color w:val="auto"/>
          <w:spacing w:val="-26"/>
          <w:sz w:val="24"/>
          <w:szCs w:val="24"/>
          <w:highlight w:val="none"/>
        </w:rPr>
        <w:t xml:space="preserve"> </w:t>
      </w:r>
      <w:r>
        <w:rPr>
          <w:rFonts w:ascii="宋体" w:hAnsi="宋体" w:eastAsia="宋体" w:cs="宋体"/>
          <w:color w:val="auto"/>
          <w:sz w:val="24"/>
          <w:szCs w:val="24"/>
          <w:highlight w:val="none"/>
        </w:rPr>
        <w:t>项规定的投标截止时间不足</w:t>
      </w:r>
      <w:r>
        <w:rPr>
          <w:rFonts w:ascii="宋体" w:hAnsi="宋体" w:eastAsia="宋体" w:cs="宋体"/>
          <w:color w:val="auto"/>
          <w:spacing w:val="-33"/>
          <w:sz w:val="24"/>
          <w:szCs w:val="24"/>
          <w:highlight w:val="none"/>
        </w:rPr>
        <w:t xml:space="preserve"> </w:t>
      </w:r>
      <w:r>
        <w:rPr>
          <w:rFonts w:ascii="宋体" w:hAnsi="宋体" w:eastAsia="宋体" w:cs="宋体"/>
          <w:color w:val="auto"/>
          <w:sz w:val="24"/>
          <w:szCs w:val="24"/>
          <w:highlight w:val="none"/>
        </w:rPr>
        <w:t>15 日，且</w:t>
      </w:r>
      <w:r>
        <w:rPr>
          <w:rFonts w:ascii="宋体" w:hAnsi="宋体" w:eastAsia="宋体" w:cs="宋体"/>
          <w:color w:val="auto"/>
          <w:spacing w:val="-1"/>
          <w:sz w:val="24"/>
          <w:szCs w:val="24"/>
          <w:highlight w:val="none"/>
        </w:rPr>
        <w:t>修改内容可能影响投标文件编制的，将相应延长投标截止时间。</w:t>
      </w:r>
    </w:p>
    <w:p w14:paraId="5D6F54E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2.3.2 投标人应注意及时浏览网上发出的修改，因投</w:t>
      </w:r>
      <w:r>
        <w:rPr>
          <w:rFonts w:ascii="宋体" w:hAnsi="宋体" w:eastAsia="宋体" w:cs="宋体"/>
          <w:color w:val="auto"/>
          <w:spacing w:val="4"/>
          <w:sz w:val="24"/>
          <w:szCs w:val="24"/>
          <w:highlight w:val="none"/>
        </w:rPr>
        <w:t>标人自身原因未及时获知修</w:t>
      </w:r>
      <w:r>
        <w:rPr>
          <w:rFonts w:ascii="宋体" w:hAnsi="宋体" w:eastAsia="宋体" w:cs="宋体"/>
          <w:color w:val="auto"/>
          <w:spacing w:val="-1"/>
          <w:sz w:val="24"/>
          <w:szCs w:val="24"/>
          <w:highlight w:val="none"/>
        </w:rPr>
        <w:t>改内容而导致的任何后果将由投标人自行承担。</w:t>
      </w:r>
    </w:p>
    <w:p w14:paraId="18158C6C">
      <w:pPr>
        <w:keepNext w:val="0"/>
        <w:keepLines w:val="0"/>
        <w:pageBreakBefore w:val="0"/>
        <w:wordWrap/>
        <w:overflowPunct/>
        <w:topLinePunct w:val="0"/>
        <w:bidi w:val="0"/>
        <w:spacing w:line="500" w:lineRule="exact"/>
        <w:ind w:right="0"/>
        <w:jc w:val="both"/>
        <w:outlineLvl w:val="1"/>
        <w:rPr>
          <w:rFonts w:ascii="宋体" w:hAnsi="宋体" w:eastAsia="宋体" w:cs="宋体"/>
          <w:b/>
          <w:bCs/>
          <w:color w:val="auto"/>
          <w:spacing w:val="-3"/>
          <w:sz w:val="24"/>
          <w:szCs w:val="24"/>
          <w:highlight w:val="none"/>
        </w:rPr>
      </w:pPr>
      <w:bookmarkStart w:id="128" w:name="_Toc21301"/>
      <w:bookmarkStart w:id="129" w:name="_Toc30602"/>
      <w:bookmarkStart w:id="130" w:name="_Toc5237"/>
      <w:bookmarkStart w:id="131" w:name="_Toc20267"/>
      <w:r>
        <w:rPr>
          <w:rFonts w:ascii="宋体" w:hAnsi="宋体" w:eastAsia="宋体" w:cs="宋体"/>
          <w:b/>
          <w:bCs/>
          <w:color w:val="auto"/>
          <w:spacing w:val="-3"/>
          <w:sz w:val="24"/>
          <w:szCs w:val="24"/>
          <w:highlight w:val="none"/>
        </w:rPr>
        <w:t>2.4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招标文件的异议</w:t>
      </w:r>
      <w:bookmarkEnd w:id="128"/>
      <w:bookmarkEnd w:id="129"/>
      <w:bookmarkEnd w:id="130"/>
      <w:bookmarkEnd w:id="131"/>
    </w:p>
    <w:p w14:paraId="5AE18B13">
      <w:pPr>
        <w:keepNext w:val="0"/>
        <w:keepLines w:val="0"/>
        <w:pageBreakBefore w:val="0"/>
        <w:wordWrap/>
        <w:overflowPunct/>
        <w:topLinePunct w:val="0"/>
        <w:bidi w:val="0"/>
        <w:spacing w:line="500" w:lineRule="exact"/>
        <w:ind w:left="0" w:right="0" w:firstLine="476" w:firstLineChars="200"/>
        <w:jc w:val="both"/>
        <w:outlineLvl w:val="1"/>
        <w:rPr>
          <w:rFonts w:ascii="宋体" w:hAnsi="宋体" w:eastAsia="宋体" w:cs="宋体"/>
          <w:color w:val="auto"/>
          <w:sz w:val="24"/>
          <w:szCs w:val="24"/>
          <w:highlight w:val="none"/>
        </w:rPr>
      </w:pPr>
      <w:bookmarkStart w:id="132" w:name="_Toc1791"/>
      <w:r>
        <w:rPr>
          <w:rFonts w:ascii="宋体" w:hAnsi="宋体" w:eastAsia="宋体" w:cs="宋体"/>
          <w:color w:val="auto"/>
          <w:spacing w:val="-1"/>
          <w:sz w:val="24"/>
          <w:szCs w:val="24"/>
          <w:highlight w:val="none"/>
        </w:rPr>
        <w:t>投标人或其他利害关系人对招标文件有异议的，应当在投标截止时间</w:t>
      </w:r>
      <w:r>
        <w:rPr>
          <w:rFonts w:ascii="宋体" w:hAnsi="宋体" w:eastAsia="宋体" w:cs="宋体"/>
          <w:color w:val="auto"/>
          <w:spacing w:val="-25"/>
          <w:sz w:val="24"/>
          <w:szCs w:val="24"/>
          <w:highlight w:val="none"/>
        </w:rPr>
        <w:t xml:space="preserve"> </w:t>
      </w:r>
      <w:r>
        <w:rPr>
          <w:rFonts w:ascii="宋体" w:hAnsi="宋体" w:eastAsia="宋体" w:cs="宋体"/>
          <w:color w:val="auto"/>
          <w:spacing w:val="-1"/>
          <w:sz w:val="24"/>
          <w:szCs w:val="24"/>
          <w:highlight w:val="none"/>
        </w:rPr>
        <w:t>10 日前以书</w:t>
      </w:r>
      <w:r>
        <w:rPr>
          <w:rFonts w:ascii="宋体" w:hAnsi="宋体" w:eastAsia="宋体" w:cs="宋体"/>
          <w:color w:val="auto"/>
          <w:spacing w:val="3"/>
          <w:sz w:val="24"/>
          <w:szCs w:val="24"/>
          <w:highlight w:val="none"/>
        </w:rPr>
        <w:t>面形式提出。招标人将在收到异议之日起</w:t>
      </w:r>
      <w:r>
        <w:rPr>
          <w:rFonts w:ascii="宋体" w:hAnsi="宋体" w:eastAsia="宋体" w:cs="宋体"/>
          <w:color w:val="auto"/>
          <w:spacing w:val="-41"/>
          <w:sz w:val="24"/>
          <w:szCs w:val="24"/>
          <w:highlight w:val="none"/>
        </w:rPr>
        <w:t xml:space="preserve"> </w:t>
      </w:r>
      <w:r>
        <w:rPr>
          <w:rFonts w:ascii="宋体" w:hAnsi="宋体" w:eastAsia="宋体" w:cs="宋体"/>
          <w:color w:val="auto"/>
          <w:spacing w:val="3"/>
          <w:sz w:val="24"/>
          <w:szCs w:val="24"/>
          <w:highlight w:val="none"/>
        </w:rPr>
        <w:t>3 日内作出答</w:t>
      </w:r>
      <w:r>
        <w:rPr>
          <w:rFonts w:ascii="宋体" w:hAnsi="宋体" w:eastAsia="宋体" w:cs="宋体"/>
          <w:color w:val="auto"/>
          <w:spacing w:val="2"/>
          <w:sz w:val="24"/>
          <w:szCs w:val="24"/>
          <w:highlight w:val="none"/>
        </w:rPr>
        <w:t>复；作出答复前，将暂停招标</w:t>
      </w:r>
      <w:r>
        <w:rPr>
          <w:rFonts w:ascii="宋体" w:hAnsi="宋体" w:eastAsia="宋体" w:cs="宋体"/>
          <w:color w:val="auto"/>
          <w:spacing w:val="-3"/>
          <w:sz w:val="24"/>
          <w:szCs w:val="24"/>
          <w:highlight w:val="none"/>
        </w:rPr>
        <w:t>投标活动。</w:t>
      </w:r>
      <w:bookmarkEnd w:id="132"/>
    </w:p>
    <w:p w14:paraId="08395AB7">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33" w:name="_Toc8026"/>
      <w:bookmarkStart w:id="134" w:name="_Toc6639"/>
      <w:r>
        <w:rPr>
          <w:rFonts w:ascii="宋体" w:hAnsi="宋体" w:eastAsia="宋体" w:cs="宋体"/>
          <w:b/>
          <w:bCs/>
          <w:color w:val="auto"/>
          <w:spacing w:val="-8"/>
          <w:sz w:val="28"/>
          <w:szCs w:val="28"/>
          <w:highlight w:val="none"/>
        </w:rPr>
        <w:t>3.</w:t>
      </w:r>
      <w:r>
        <w:rPr>
          <w:rFonts w:ascii="宋体" w:hAnsi="宋体" w:eastAsia="宋体" w:cs="宋体"/>
          <w:color w:val="auto"/>
          <w:spacing w:val="18"/>
          <w:sz w:val="28"/>
          <w:szCs w:val="28"/>
          <w:highlight w:val="none"/>
        </w:rPr>
        <w:t xml:space="preserve"> </w:t>
      </w:r>
      <w:r>
        <w:rPr>
          <w:rFonts w:ascii="宋体" w:hAnsi="宋体" w:eastAsia="宋体" w:cs="宋体"/>
          <w:b/>
          <w:bCs/>
          <w:color w:val="auto"/>
          <w:spacing w:val="-8"/>
          <w:sz w:val="28"/>
          <w:szCs w:val="28"/>
          <w:highlight w:val="none"/>
        </w:rPr>
        <w:t>投标文件</w:t>
      </w:r>
      <w:bookmarkEnd w:id="133"/>
      <w:bookmarkEnd w:id="134"/>
    </w:p>
    <w:p w14:paraId="15971C23">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35" w:name="_Toc26778"/>
      <w:bookmarkStart w:id="136" w:name="_Toc538"/>
      <w:bookmarkStart w:id="137" w:name="_Toc11914"/>
      <w:bookmarkStart w:id="138" w:name="_Toc31074"/>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投标文件的组成</w:t>
      </w:r>
      <w:bookmarkEnd w:id="135"/>
      <w:bookmarkEnd w:id="136"/>
      <w:bookmarkEnd w:id="137"/>
      <w:bookmarkEnd w:id="138"/>
    </w:p>
    <w:p w14:paraId="484FD8AC">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3.1.1 投标文件应采用双信封形式，包括下列内容：</w:t>
      </w:r>
    </w:p>
    <w:p w14:paraId="0E9A830A">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第一个信封（商务及技术文件</w:t>
      </w:r>
      <w:r>
        <w:rPr>
          <w:rFonts w:ascii="宋体" w:hAnsi="宋体" w:eastAsia="宋体" w:cs="宋体"/>
          <w:color w:val="auto"/>
          <w:spacing w:val="1"/>
          <w:sz w:val="24"/>
          <w:szCs w:val="24"/>
          <w:highlight w:val="none"/>
        </w:rPr>
        <w:t>）：</w:t>
      </w:r>
    </w:p>
    <w:p w14:paraId="3AC1F86F">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394752D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（2）授权委托书或法定代表人身份证明；</w:t>
      </w:r>
    </w:p>
    <w:p w14:paraId="3391D33B">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（3）联合体协议书；</w:t>
      </w:r>
    </w:p>
    <w:p w14:paraId="6C2E9845">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（4）投标保证金；</w:t>
      </w:r>
    </w:p>
    <w:p w14:paraId="6D781BF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（5）资格审查资料；</w:t>
      </w:r>
    </w:p>
    <w:p w14:paraId="1B3691A9">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（6）投标人须知前附表规定的其他资料；</w:t>
      </w:r>
    </w:p>
    <w:p w14:paraId="191933AD">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（7）技术建议书。</w:t>
      </w:r>
    </w:p>
    <w:p w14:paraId="0025493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第二个信封（报价文件</w:t>
      </w:r>
      <w:r>
        <w:rPr>
          <w:rFonts w:ascii="宋体" w:hAnsi="宋体" w:eastAsia="宋体" w:cs="宋体"/>
          <w:color w:val="auto"/>
          <w:sz w:val="24"/>
          <w:szCs w:val="24"/>
          <w:highlight w:val="none"/>
        </w:rPr>
        <w:t>）：</w:t>
      </w:r>
    </w:p>
    <w:p w14:paraId="3A768C4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7D84A73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（2）监理服务费用清单。</w:t>
      </w:r>
    </w:p>
    <w:p w14:paraId="7FC0221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投标人在评标过程中作出的符合法律法规和招标文件规定的澄清确认，构成投标</w:t>
      </w:r>
      <w:r>
        <w:rPr>
          <w:rFonts w:ascii="宋体" w:hAnsi="宋体" w:eastAsia="宋体" w:cs="宋体"/>
          <w:color w:val="auto"/>
          <w:spacing w:val="-2"/>
          <w:sz w:val="24"/>
          <w:szCs w:val="24"/>
          <w:highlight w:val="none"/>
        </w:rPr>
        <w:t>文件的组成部分。</w:t>
      </w:r>
    </w:p>
    <w:p w14:paraId="577174B5">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3.1.2 投标人须知前附表规定不接受联合体投标的，或投标人没有组成联合体的，</w:t>
      </w:r>
      <w:r>
        <w:rPr>
          <w:rFonts w:ascii="宋体" w:hAnsi="宋体" w:eastAsia="宋体" w:cs="宋体"/>
          <w:color w:val="auto"/>
          <w:spacing w:val="-3"/>
          <w:sz w:val="24"/>
          <w:szCs w:val="24"/>
          <w:highlight w:val="none"/>
        </w:rPr>
        <w:t>投标文件不包括本章第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3.1.1（3）</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目所指的联合体协议书。</w:t>
      </w:r>
    </w:p>
    <w:p w14:paraId="1410D6F7">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3.1.3 投标人须知前附表未要求提交投标保证</w:t>
      </w:r>
      <w:r>
        <w:rPr>
          <w:rFonts w:ascii="宋体" w:hAnsi="宋体" w:eastAsia="宋体" w:cs="宋体"/>
          <w:color w:val="auto"/>
          <w:spacing w:val="-1"/>
          <w:sz w:val="24"/>
          <w:szCs w:val="24"/>
          <w:highlight w:val="none"/>
        </w:rPr>
        <w:t>金的，投标文件不包括本章第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3.1.1</w:t>
      </w:r>
      <w:r>
        <w:rPr>
          <w:rFonts w:ascii="宋体" w:hAnsi="宋体" w:eastAsia="宋体" w:cs="宋体"/>
          <w:color w:val="auto"/>
          <w:sz w:val="24"/>
          <w:szCs w:val="24"/>
          <w:highlight w:val="none"/>
        </w:rPr>
        <w:t xml:space="preserve"> </w:t>
      </w:r>
      <w:r>
        <w:rPr>
          <w:rFonts w:ascii="宋体" w:hAnsi="宋体" w:eastAsia="宋体" w:cs="宋体"/>
          <w:color w:val="auto"/>
          <w:spacing w:val="-6"/>
          <w:sz w:val="24"/>
          <w:szCs w:val="24"/>
          <w:highlight w:val="none"/>
        </w:rPr>
        <w:t>（4）</w:t>
      </w:r>
      <w:r>
        <w:rPr>
          <w:rFonts w:ascii="宋体" w:hAnsi="宋体" w:eastAsia="宋体" w:cs="宋体"/>
          <w:color w:val="auto"/>
          <w:spacing w:val="-64"/>
          <w:sz w:val="24"/>
          <w:szCs w:val="24"/>
          <w:highlight w:val="none"/>
        </w:rPr>
        <w:t xml:space="preserve"> </w:t>
      </w:r>
      <w:r>
        <w:rPr>
          <w:rFonts w:ascii="宋体" w:hAnsi="宋体" w:eastAsia="宋体" w:cs="宋体"/>
          <w:color w:val="auto"/>
          <w:spacing w:val="-6"/>
          <w:sz w:val="24"/>
          <w:szCs w:val="24"/>
          <w:highlight w:val="none"/>
        </w:rPr>
        <w:t>目所指的投标保证金。</w:t>
      </w:r>
    </w:p>
    <w:p w14:paraId="3AAD02B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39" w:name="_Toc17991"/>
      <w:bookmarkStart w:id="140" w:name="_Toc27494"/>
      <w:bookmarkStart w:id="141" w:name="_Toc26791"/>
      <w:bookmarkStart w:id="142" w:name="_Toc26802"/>
      <w:r>
        <w:rPr>
          <w:rFonts w:ascii="宋体" w:hAnsi="宋体" w:eastAsia="宋体" w:cs="宋体"/>
          <w:b/>
          <w:bCs/>
          <w:color w:val="auto"/>
          <w:spacing w:val="-6"/>
          <w:sz w:val="24"/>
          <w:szCs w:val="24"/>
          <w:highlight w:val="none"/>
        </w:rPr>
        <w:t>3.2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投标报价</w:t>
      </w:r>
      <w:bookmarkEnd w:id="139"/>
      <w:bookmarkEnd w:id="140"/>
      <w:bookmarkEnd w:id="141"/>
      <w:bookmarkEnd w:id="142"/>
    </w:p>
    <w:p w14:paraId="1ECD353D">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2"/>
          <w:sz w:val="24"/>
          <w:szCs w:val="24"/>
          <w:highlight w:val="none"/>
        </w:rPr>
        <w:t>3.2.1 投标报价应包括国家规定的增值税税金，除投标人须知前附表另有规定外，</w:t>
      </w:r>
      <w:r>
        <w:rPr>
          <w:rFonts w:ascii="宋体" w:hAnsi="宋体" w:eastAsia="宋体" w:cs="宋体"/>
          <w:color w:val="auto"/>
          <w:spacing w:val="4"/>
          <w:sz w:val="24"/>
          <w:szCs w:val="24"/>
          <w:highlight w:val="none"/>
        </w:rPr>
        <w:t>增值税税金按一般计税方法计算。投标人应按第七章“投标文件格式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”的</w:t>
      </w:r>
      <w:r>
        <w:rPr>
          <w:rFonts w:ascii="宋体" w:hAnsi="宋体" w:eastAsia="宋体" w:cs="宋体"/>
          <w:color w:val="auto"/>
          <w:spacing w:val="3"/>
          <w:sz w:val="24"/>
          <w:szCs w:val="24"/>
          <w:highlight w:val="none"/>
        </w:rPr>
        <w:t>要求在投标</w:t>
      </w:r>
      <w:r>
        <w:rPr>
          <w:rFonts w:ascii="宋体" w:hAnsi="宋体" w:eastAsia="宋体" w:cs="宋体"/>
          <w:color w:val="auto"/>
          <w:spacing w:val="-1"/>
          <w:sz w:val="24"/>
          <w:szCs w:val="24"/>
          <w:highlight w:val="none"/>
        </w:rPr>
        <w:t>函中进行报价并填写监理服务费用清单相应表格。</w:t>
      </w:r>
    </w:p>
    <w:p w14:paraId="633913B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3.2.2 投标人应充分了解本项目的总体情况以及</w:t>
      </w:r>
      <w:r>
        <w:rPr>
          <w:rFonts w:ascii="宋体" w:hAnsi="宋体" w:eastAsia="宋体" w:cs="宋体"/>
          <w:color w:val="auto"/>
          <w:spacing w:val="4"/>
          <w:sz w:val="24"/>
          <w:szCs w:val="24"/>
          <w:highlight w:val="none"/>
        </w:rPr>
        <w:t>影响投标报价的其他要素，按照</w:t>
      </w:r>
      <w:r>
        <w:rPr>
          <w:rFonts w:ascii="宋体" w:hAnsi="宋体" w:eastAsia="宋体" w:cs="宋体"/>
          <w:color w:val="auto"/>
          <w:spacing w:val="3"/>
          <w:sz w:val="24"/>
          <w:szCs w:val="24"/>
          <w:highlight w:val="none"/>
        </w:rPr>
        <w:t>招标文件规定的施工监理工作内容和计划工作量，</w:t>
      </w:r>
      <w:r>
        <w:rPr>
          <w:rFonts w:ascii="宋体" w:hAnsi="宋体" w:eastAsia="宋体" w:cs="宋体"/>
          <w:color w:val="auto"/>
          <w:spacing w:val="-50"/>
          <w:sz w:val="24"/>
          <w:szCs w:val="24"/>
          <w:highlight w:val="none"/>
        </w:rPr>
        <w:t xml:space="preserve"> </w:t>
      </w:r>
      <w:r>
        <w:rPr>
          <w:rFonts w:ascii="宋体" w:hAnsi="宋体" w:eastAsia="宋体" w:cs="宋体"/>
          <w:color w:val="auto"/>
          <w:spacing w:val="3"/>
          <w:sz w:val="24"/>
          <w:szCs w:val="24"/>
          <w:highlight w:val="none"/>
        </w:rPr>
        <w:t>自行测算监理服务费用。投标报价</w:t>
      </w:r>
      <w:r>
        <w:rPr>
          <w:rFonts w:ascii="宋体" w:hAnsi="宋体" w:eastAsia="宋体" w:cs="宋体"/>
          <w:color w:val="auto"/>
          <w:spacing w:val="5"/>
          <w:sz w:val="24"/>
          <w:szCs w:val="24"/>
          <w:highlight w:val="none"/>
        </w:rPr>
        <w:t>应涵盖投标人完成施工准备阶段、施工阶段、验收与缺陷责任期阶段监理工</w:t>
      </w:r>
      <w:r>
        <w:rPr>
          <w:rFonts w:ascii="宋体" w:hAnsi="宋体" w:eastAsia="宋体" w:cs="宋体"/>
          <w:color w:val="auto"/>
          <w:spacing w:val="4"/>
          <w:sz w:val="24"/>
          <w:szCs w:val="24"/>
          <w:highlight w:val="none"/>
        </w:rPr>
        <w:t>作所需的</w:t>
      </w:r>
      <w:r>
        <w:rPr>
          <w:rFonts w:ascii="宋体" w:hAnsi="宋体" w:eastAsia="宋体" w:cs="宋体"/>
          <w:color w:val="auto"/>
          <w:spacing w:val="-2"/>
          <w:sz w:val="24"/>
          <w:szCs w:val="24"/>
          <w:highlight w:val="none"/>
        </w:rPr>
        <w:t>全部费用。</w:t>
      </w:r>
    </w:p>
    <w:p w14:paraId="71EE0E01">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投标人应按照“投标文件格式</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”中“监理服务费用清单</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”的要</w:t>
      </w:r>
      <w:r>
        <w:rPr>
          <w:rFonts w:ascii="宋体" w:hAnsi="宋体" w:eastAsia="宋体" w:cs="宋体"/>
          <w:color w:val="auto"/>
          <w:spacing w:val="-4"/>
          <w:sz w:val="24"/>
          <w:szCs w:val="24"/>
          <w:highlight w:val="none"/>
        </w:rPr>
        <w:t>求填报监理服务费。</w:t>
      </w:r>
      <w:r>
        <w:rPr>
          <w:rFonts w:ascii="宋体" w:hAnsi="宋体" w:eastAsia="宋体" w:cs="宋体"/>
          <w:color w:val="auto"/>
          <w:spacing w:val="5"/>
          <w:sz w:val="24"/>
          <w:szCs w:val="24"/>
          <w:highlight w:val="none"/>
        </w:rPr>
        <w:t>投标人未填报的部分，在工程实施时委托人将不予支付，并认为该部分费用已包</w:t>
      </w:r>
      <w:r>
        <w:rPr>
          <w:rFonts w:ascii="宋体" w:hAnsi="宋体" w:eastAsia="宋体" w:cs="宋体"/>
          <w:color w:val="auto"/>
          <w:spacing w:val="4"/>
          <w:sz w:val="24"/>
          <w:szCs w:val="24"/>
          <w:highlight w:val="none"/>
        </w:rPr>
        <w:t>含在</w:t>
      </w:r>
      <w:r>
        <w:rPr>
          <w:rFonts w:ascii="宋体" w:hAnsi="宋体" w:eastAsia="宋体" w:cs="宋体"/>
          <w:color w:val="auto"/>
          <w:spacing w:val="-2"/>
          <w:sz w:val="24"/>
          <w:szCs w:val="24"/>
          <w:highlight w:val="none"/>
        </w:rPr>
        <w:t>报价中。</w:t>
      </w:r>
    </w:p>
    <w:p w14:paraId="07CC0DE6">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3.2.3 本项目的报价方式见投标人须知前附表。</w:t>
      </w:r>
      <w:r>
        <w:rPr>
          <w:rFonts w:ascii="宋体" w:hAnsi="宋体" w:eastAsia="宋体" w:cs="宋体"/>
          <w:color w:val="auto"/>
          <w:spacing w:val="4"/>
          <w:sz w:val="24"/>
          <w:szCs w:val="24"/>
          <w:highlight w:val="none"/>
        </w:rPr>
        <w:t>投标人在投标截止时间前修改投标函中的投标报价总额，应同时修改投标文件“监理服务费用清单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w:t>
      </w:r>
      <w:r>
        <w:rPr>
          <w:rFonts w:ascii="宋体" w:hAnsi="宋体" w:eastAsia="宋体" w:cs="宋体"/>
          <w:color w:val="auto"/>
          <w:spacing w:val="3"/>
          <w:sz w:val="24"/>
          <w:szCs w:val="24"/>
          <w:highlight w:val="none"/>
        </w:rPr>
        <w:t>相应报价。</w:t>
      </w:r>
      <w:r>
        <w:rPr>
          <w:rFonts w:ascii="宋体" w:hAnsi="宋体" w:eastAsia="宋体" w:cs="宋体"/>
          <w:color w:val="auto"/>
          <w:spacing w:val="2"/>
          <w:sz w:val="24"/>
          <w:szCs w:val="24"/>
          <w:highlight w:val="none"/>
        </w:rPr>
        <w:t>此修改须符合本章第4.3</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款的有关要求。</w:t>
      </w:r>
    </w:p>
    <w:p w14:paraId="7B5D2CDD">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3.2.4 招标人设有最高投标限价的，投标人的投标报价不得超过最高投标限价，</w:t>
      </w:r>
      <w:r>
        <w:rPr>
          <w:rFonts w:ascii="宋体" w:hAnsi="宋体" w:eastAsia="宋体" w:cs="宋体"/>
          <w:color w:val="auto"/>
          <w:spacing w:val="-1"/>
          <w:sz w:val="24"/>
          <w:szCs w:val="24"/>
          <w:highlight w:val="none"/>
        </w:rPr>
        <w:t>最高投标限价在投标人须知前附表中载明。</w:t>
      </w:r>
    </w:p>
    <w:p w14:paraId="511D7EE3">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3.2.5 投标报价的其他要求见投标人须知前附表。</w:t>
      </w:r>
    </w:p>
    <w:p w14:paraId="7180623C">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43" w:name="_Toc18498"/>
      <w:bookmarkStart w:id="144" w:name="_Toc6285"/>
      <w:bookmarkStart w:id="145" w:name="_Toc25506"/>
      <w:bookmarkStart w:id="146" w:name="_Toc11900"/>
      <w:r>
        <w:rPr>
          <w:rFonts w:ascii="宋体" w:hAnsi="宋体" w:eastAsia="宋体" w:cs="宋体"/>
          <w:b/>
          <w:bCs/>
          <w:color w:val="auto"/>
          <w:spacing w:val="-5"/>
          <w:sz w:val="24"/>
          <w:szCs w:val="24"/>
          <w:highlight w:val="none"/>
        </w:rPr>
        <w:t>3.3</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投标有效期</w:t>
      </w:r>
      <w:bookmarkEnd w:id="143"/>
      <w:bookmarkEnd w:id="144"/>
      <w:bookmarkEnd w:id="145"/>
      <w:bookmarkEnd w:id="146"/>
    </w:p>
    <w:p w14:paraId="203FA6FE">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3.3.1 除投标人须知前附表另有规定外，投标有效期为90</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天。</w:t>
      </w:r>
    </w:p>
    <w:p w14:paraId="0DB10F96">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3.3.2 在投标有效期内，投标人撤销投标文件的</w:t>
      </w:r>
      <w:r>
        <w:rPr>
          <w:rFonts w:ascii="宋体" w:hAnsi="宋体" w:eastAsia="宋体" w:cs="宋体"/>
          <w:color w:val="auto"/>
          <w:spacing w:val="4"/>
          <w:sz w:val="24"/>
          <w:szCs w:val="24"/>
          <w:highlight w:val="none"/>
        </w:rPr>
        <w:t>，应承担招标文件和法律规定的</w:t>
      </w:r>
      <w:r>
        <w:rPr>
          <w:rFonts w:ascii="宋体" w:hAnsi="宋体" w:eastAsia="宋体" w:cs="宋体"/>
          <w:color w:val="auto"/>
          <w:spacing w:val="-6"/>
          <w:sz w:val="24"/>
          <w:szCs w:val="24"/>
          <w:highlight w:val="none"/>
        </w:rPr>
        <w:t>责任。</w:t>
      </w:r>
    </w:p>
    <w:p w14:paraId="398D2954">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3.3.3</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出现特殊情况需要延长投标有效期的，招标人以书面</w:t>
      </w:r>
      <w:r>
        <w:rPr>
          <w:rFonts w:ascii="宋体" w:hAnsi="宋体" w:eastAsia="宋体" w:cs="宋体"/>
          <w:color w:val="auto"/>
          <w:spacing w:val="3"/>
          <w:sz w:val="24"/>
          <w:szCs w:val="24"/>
          <w:highlight w:val="none"/>
        </w:rPr>
        <w:t>形式通知所有投标人</w:t>
      </w:r>
      <w:r>
        <w:rPr>
          <w:rFonts w:ascii="宋体" w:hAnsi="宋体" w:eastAsia="宋体" w:cs="宋体"/>
          <w:color w:val="auto"/>
          <w:spacing w:val="5"/>
          <w:sz w:val="24"/>
          <w:szCs w:val="24"/>
          <w:highlight w:val="none"/>
        </w:rPr>
        <w:t>延长投标有效期。投标人应予以书面答复，同意延长的，应相应延长其投</w:t>
      </w:r>
      <w:r>
        <w:rPr>
          <w:rFonts w:ascii="宋体" w:hAnsi="宋体" w:eastAsia="宋体" w:cs="宋体"/>
          <w:color w:val="auto"/>
          <w:spacing w:val="4"/>
          <w:sz w:val="24"/>
          <w:szCs w:val="24"/>
          <w:highlight w:val="none"/>
        </w:rPr>
        <w:t>标保证金的</w:t>
      </w:r>
      <w:r>
        <w:rPr>
          <w:rFonts w:ascii="宋体" w:hAnsi="宋体" w:eastAsia="宋体" w:cs="宋体"/>
          <w:color w:val="auto"/>
          <w:spacing w:val="5"/>
          <w:sz w:val="24"/>
          <w:szCs w:val="24"/>
          <w:highlight w:val="none"/>
        </w:rPr>
        <w:t>有效期，但不得要求或被允许修改其投标文件；投标人拒绝延长的，其投</w:t>
      </w:r>
      <w:r>
        <w:rPr>
          <w:rFonts w:ascii="宋体" w:hAnsi="宋体" w:eastAsia="宋体" w:cs="宋体"/>
          <w:color w:val="auto"/>
          <w:spacing w:val="4"/>
          <w:sz w:val="24"/>
          <w:szCs w:val="24"/>
          <w:highlight w:val="none"/>
        </w:rPr>
        <w:t>标失效，但</w:t>
      </w:r>
      <w:r>
        <w:rPr>
          <w:rFonts w:ascii="宋体" w:hAnsi="宋体" w:eastAsia="宋体" w:cs="宋体"/>
          <w:color w:val="auto"/>
          <w:spacing w:val="5"/>
          <w:sz w:val="24"/>
          <w:szCs w:val="24"/>
          <w:highlight w:val="none"/>
        </w:rPr>
        <w:t>投标人有权收回其投标保证金及以现金或支票形式递交的投标保证金的银</w:t>
      </w:r>
      <w:r>
        <w:rPr>
          <w:rFonts w:ascii="宋体" w:hAnsi="宋体" w:eastAsia="宋体" w:cs="宋体"/>
          <w:color w:val="auto"/>
          <w:spacing w:val="4"/>
          <w:sz w:val="24"/>
          <w:szCs w:val="24"/>
          <w:highlight w:val="none"/>
        </w:rPr>
        <w:t>行同期存款</w:t>
      </w:r>
      <w:r>
        <w:rPr>
          <w:rFonts w:ascii="宋体" w:hAnsi="宋体" w:eastAsia="宋体" w:cs="宋体"/>
          <w:color w:val="auto"/>
          <w:spacing w:val="-4"/>
          <w:sz w:val="24"/>
          <w:szCs w:val="24"/>
          <w:highlight w:val="none"/>
        </w:rPr>
        <w:t>利息。</w:t>
      </w:r>
    </w:p>
    <w:p w14:paraId="2BABB55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47" w:name="_Toc5003"/>
      <w:bookmarkStart w:id="148" w:name="_Toc11232"/>
      <w:bookmarkStart w:id="149" w:name="_Toc15584"/>
      <w:bookmarkStart w:id="150" w:name="_Toc2595"/>
      <w:r>
        <w:rPr>
          <w:rFonts w:ascii="宋体" w:hAnsi="宋体" w:eastAsia="宋体" w:cs="宋体"/>
          <w:b/>
          <w:bCs/>
          <w:color w:val="auto"/>
          <w:spacing w:val="-5"/>
          <w:sz w:val="24"/>
          <w:szCs w:val="24"/>
          <w:highlight w:val="none"/>
        </w:rPr>
        <w:t>3.4</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投标保证金</w:t>
      </w:r>
      <w:bookmarkEnd w:id="147"/>
      <w:bookmarkEnd w:id="148"/>
      <w:bookmarkEnd w:id="149"/>
      <w:bookmarkEnd w:id="150"/>
    </w:p>
    <w:p w14:paraId="516EB0A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3.4.1 投标人在递交投标文件的同时，应按投标</w:t>
      </w:r>
      <w:r>
        <w:rPr>
          <w:rFonts w:ascii="宋体" w:hAnsi="宋体" w:eastAsia="宋体" w:cs="宋体"/>
          <w:color w:val="auto"/>
          <w:spacing w:val="4"/>
          <w:sz w:val="24"/>
          <w:szCs w:val="24"/>
          <w:highlight w:val="none"/>
        </w:rPr>
        <w:t>人须知前附表规定的金额和第七章“投标文件格式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”规定的投标保证金格式递交投标保证金，并作为其投</w:t>
      </w:r>
      <w:r>
        <w:rPr>
          <w:rFonts w:ascii="宋体" w:hAnsi="宋体" w:eastAsia="宋体" w:cs="宋体"/>
          <w:color w:val="auto"/>
          <w:spacing w:val="3"/>
          <w:sz w:val="24"/>
          <w:szCs w:val="24"/>
          <w:highlight w:val="none"/>
        </w:rPr>
        <w:t>标文件的组</w:t>
      </w:r>
      <w:r>
        <w:rPr>
          <w:rFonts w:ascii="宋体" w:hAnsi="宋体" w:eastAsia="宋体" w:cs="宋体"/>
          <w:color w:val="auto"/>
          <w:spacing w:val="5"/>
          <w:sz w:val="24"/>
          <w:szCs w:val="24"/>
          <w:highlight w:val="none"/>
        </w:rPr>
        <w:t>成部分。联合体投标的，其投标保证金由牵头人递交，并应符合投标人须</w:t>
      </w:r>
      <w:r>
        <w:rPr>
          <w:rFonts w:ascii="宋体" w:hAnsi="宋体" w:eastAsia="宋体" w:cs="宋体"/>
          <w:color w:val="auto"/>
          <w:spacing w:val="4"/>
          <w:sz w:val="24"/>
          <w:szCs w:val="24"/>
          <w:highlight w:val="none"/>
        </w:rPr>
        <w:t>知前附表的</w:t>
      </w:r>
      <w:r>
        <w:rPr>
          <w:rFonts w:ascii="宋体" w:hAnsi="宋体" w:eastAsia="宋体" w:cs="宋体"/>
          <w:color w:val="auto"/>
          <w:spacing w:val="-4"/>
          <w:sz w:val="24"/>
          <w:szCs w:val="24"/>
          <w:highlight w:val="none"/>
        </w:rPr>
        <w:t>规定。</w:t>
      </w:r>
    </w:p>
    <w:p w14:paraId="0588CEF8">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投标保证金应采用现金、支票、银行保函或招标人在投标人须知前附表规定的其</w:t>
      </w:r>
      <w:r>
        <w:rPr>
          <w:rFonts w:ascii="宋体" w:hAnsi="宋体" w:eastAsia="宋体" w:cs="宋体"/>
          <w:color w:val="auto"/>
          <w:spacing w:val="-3"/>
          <w:sz w:val="24"/>
          <w:szCs w:val="24"/>
          <w:highlight w:val="none"/>
        </w:rPr>
        <w:t>他形式。</w:t>
      </w:r>
    </w:p>
    <w:p w14:paraId="4D9204F4">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（1）若采用现金或支票，投标人应在递交投标文件截止时间之前，将投标保证金</w:t>
      </w:r>
      <w:r>
        <w:rPr>
          <w:rFonts w:ascii="宋体" w:hAnsi="宋体" w:eastAsia="宋体" w:cs="宋体"/>
          <w:color w:val="auto"/>
          <w:spacing w:val="4"/>
          <w:sz w:val="24"/>
          <w:szCs w:val="24"/>
          <w:highlight w:val="none"/>
        </w:rPr>
        <w:t>由投标人的基本账户转入招标人指定账户，否则视为投标保证金无效。招标人指定的</w:t>
      </w:r>
      <w:r>
        <w:rPr>
          <w:rFonts w:ascii="宋体" w:hAnsi="宋体" w:eastAsia="宋体" w:cs="宋体"/>
          <w:color w:val="auto"/>
          <w:spacing w:val="-1"/>
          <w:sz w:val="24"/>
          <w:szCs w:val="24"/>
          <w:highlight w:val="none"/>
        </w:rPr>
        <w:t>开户银行及账号见投标人须知前附表。</w:t>
      </w:r>
    </w:p>
    <w:p w14:paraId="76D9546C">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（2）若采用银行保函，则应由符合投标人须知前附表规定级别的银行开具，并采</w:t>
      </w:r>
      <w:r>
        <w:rPr>
          <w:rFonts w:ascii="宋体" w:hAnsi="宋体" w:eastAsia="宋体" w:cs="宋体"/>
          <w:color w:val="auto"/>
          <w:spacing w:val="-1"/>
          <w:sz w:val="24"/>
          <w:szCs w:val="24"/>
          <w:highlight w:val="none"/>
        </w:rPr>
        <w:t>用招标文件提供的格式。银行保函扫描件装订在投标文件内。</w:t>
      </w:r>
    </w:p>
    <w:p w14:paraId="7E86166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无论采取何种形式的投标保证金，投标保证金有效期均应与投标有效期一致。招</w:t>
      </w:r>
      <w:r>
        <w:rPr>
          <w:rFonts w:ascii="宋体" w:hAnsi="宋体" w:eastAsia="宋体" w:cs="宋体"/>
          <w:color w:val="auto"/>
          <w:spacing w:val="4"/>
          <w:sz w:val="24"/>
          <w:szCs w:val="24"/>
          <w:highlight w:val="none"/>
        </w:rPr>
        <w:t>标人如果按本章第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3.3.3</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项的规定延长了投标有效</w:t>
      </w:r>
      <w:r>
        <w:rPr>
          <w:rFonts w:ascii="宋体" w:hAnsi="宋体" w:eastAsia="宋体" w:cs="宋体"/>
          <w:color w:val="auto"/>
          <w:spacing w:val="3"/>
          <w:sz w:val="24"/>
          <w:szCs w:val="24"/>
          <w:highlight w:val="none"/>
        </w:rPr>
        <w:t>期，则投标保证金的有效期也相应</w:t>
      </w:r>
      <w:r>
        <w:rPr>
          <w:rFonts w:ascii="宋体" w:hAnsi="宋体" w:eastAsia="宋体" w:cs="宋体"/>
          <w:color w:val="auto"/>
          <w:spacing w:val="-4"/>
          <w:sz w:val="24"/>
          <w:szCs w:val="24"/>
          <w:highlight w:val="none"/>
        </w:rPr>
        <w:t>延长。</w:t>
      </w:r>
    </w:p>
    <w:p w14:paraId="4DCC4655">
      <w:pPr>
        <w:keepNext w:val="0"/>
        <w:keepLines w:val="0"/>
        <w:pageBreakBefore w:val="0"/>
        <w:wordWrap/>
        <w:overflowPunct/>
        <w:topLinePunct w:val="0"/>
        <w:bidi w:val="0"/>
        <w:spacing w:line="500" w:lineRule="exact"/>
        <w:ind w:left="0" w:right="0" w:firstLine="492"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3.4.2 投标人不按本章第</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3.4.1</w:t>
      </w:r>
      <w:r>
        <w:rPr>
          <w:rFonts w:ascii="宋体" w:hAnsi="宋体" w:eastAsia="宋体" w:cs="宋体"/>
          <w:color w:val="auto"/>
          <w:spacing w:val="-40"/>
          <w:sz w:val="24"/>
          <w:szCs w:val="24"/>
          <w:highlight w:val="none"/>
        </w:rPr>
        <w:t xml:space="preserve"> </w:t>
      </w:r>
      <w:r>
        <w:rPr>
          <w:rFonts w:ascii="宋体" w:hAnsi="宋体" w:eastAsia="宋体" w:cs="宋体"/>
          <w:color w:val="auto"/>
          <w:spacing w:val="3"/>
          <w:sz w:val="24"/>
          <w:szCs w:val="24"/>
          <w:highlight w:val="none"/>
        </w:rPr>
        <w:t>项要求提交投标保证金的，评标委员会将否决其</w:t>
      </w:r>
      <w:r>
        <w:rPr>
          <w:rFonts w:ascii="宋体" w:hAnsi="宋体" w:eastAsia="宋体" w:cs="宋体"/>
          <w:color w:val="auto"/>
          <w:spacing w:val="-5"/>
          <w:sz w:val="24"/>
          <w:szCs w:val="24"/>
          <w:highlight w:val="none"/>
        </w:rPr>
        <w:t>投标。</w:t>
      </w:r>
    </w:p>
    <w:p w14:paraId="546E5A2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3.4.3 根据《广东省实施&lt;中华人民共和国招标投标法&gt;办</w:t>
      </w:r>
      <w:r>
        <w:rPr>
          <w:rFonts w:ascii="宋体" w:hAnsi="宋体" w:eastAsia="宋体" w:cs="宋体"/>
          <w:color w:val="auto"/>
          <w:spacing w:val="4"/>
          <w:sz w:val="24"/>
          <w:szCs w:val="24"/>
          <w:highlight w:val="none"/>
        </w:rPr>
        <w:t>法》第二十五条规定，</w:t>
      </w:r>
      <w:r>
        <w:rPr>
          <w:rFonts w:ascii="宋体" w:hAnsi="宋体" w:eastAsia="宋体" w:cs="宋体"/>
          <w:color w:val="auto"/>
          <w:spacing w:val="5"/>
          <w:sz w:val="24"/>
          <w:szCs w:val="24"/>
          <w:highlight w:val="none"/>
        </w:rPr>
        <w:t>招标人应当在中标通知书发出之日起五日内将投标保证金退回中标候选人</w:t>
      </w:r>
      <w:r>
        <w:rPr>
          <w:rFonts w:ascii="宋体" w:hAnsi="宋体" w:eastAsia="宋体" w:cs="宋体"/>
          <w:color w:val="auto"/>
          <w:spacing w:val="4"/>
          <w:sz w:val="24"/>
          <w:szCs w:val="24"/>
          <w:highlight w:val="none"/>
        </w:rPr>
        <w:t>以外的投标</w:t>
      </w:r>
      <w:r>
        <w:rPr>
          <w:rFonts w:ascii="宋体" w:hAnsi="宋体" w:eastAsia="宋体" w:cs="宋体"/>
          <w:color w:val="auto"/>
          <w:spacing w:val="-1"/>
          <w:sz w:val="24"/>
          <w:szCs w:val="24"/>
          <w:highlight w:val="none"/>
        </w:rPr>
        <w:t>人，在书面合同订立之日起五日内将投标保证金退回中</w:t>
      </w:r>
      <w:r>
        <w:rPr>
          <w:rFonts w:ascii="宋体" w:hAnsi="宋体" w:eastAsia="宋体" w:cs="宋体"/>
          <w:color w:val="auto"/>
          <w:spacing w:val="-2"/>
          <w:sz w:val="24"/>
          <w:szCs w:val="24"/>
          <w:highlight w:val="none"/>
        </w:rPr>
        <w:t>标人和其他中标候选人。法律、</w:t>
      </w:r>
      <w:r>
        <w:rPr>
          <w:rFonts w:ascii="宋体" w:hAnsi="宋体" w:eastAsia="宋体" w:cs="宋体"/>
          <w:color w:val="auto"/>
          <w:spacing w:val="5"/>
          <w:sz w:val="24"/>
          <w:szCs w:val="24"/>
          <w:highlight w:val="none"/>
        </w:rPr>
        <w:t>行政法规规定不予退还或者可以不退还投标保证金的，从其规定。投标保</w:t>
      </w:r>
      <w:r>
        <w:rPr>
          <w:rFonts w:ascii="宋体" w:hAnsi="宋体" w:eastAsia="宋体" w:cs="宋体"/>
          <w:color w:val="auto"/>
          <w:spacing w:val="4"/>
          <w:sz w:val="24"/>
          <w:szCs w:val="24"/>
          <w:highlight w:val="none"/>
        </w:rPr>
        <w:t>证金以现金</w:t>
      </w:r>
      <w:r>
        <w:rPr>
          <w:rFonts w:ascii="宋体" w:hAnsi="宋体" w:eastAsia="宋体" w:cs="宋体"/>
          <w:color w:val="auto"/>
          <w:spacing w:val="5"/>
          <w:sz w:val="24"/>
          <w:szCs w:val="24"/>
          <w:highlight w:val="none"/>
        </w:rPr>
        <w:t>或支票形式递交的，招标人应同时退还投标保证金的银行同期活期存款利</w:t>
      </w:r>
      <w:r>
        <w:rPr>
          <w:rFonts w:ascii="宋体" w:hAnsi="宋体" w:eastAsia="宋体" w:cs="宋体"/>
          <w:color w:val="auto"/>
          <w:spacing w:val="4"/>
          <w:sz w:val="24"/>
          <w:szCs w:val="24"/>
          <w:highlight w:val="none"/>
        </w:rPr>
        <w:t>息，且退还</w:t>
      </w:r>
      <w:r>
        <w:rPr>
          <w:rFonts w:ascii="宋体" w:hAnsi="宋体" w:eastAsia="宋体" w:cs="宋体"/>
          <w:color w:val="auto"/>
          <w:spacing w:val="-2"/>
          <w:sz w:val="24"/>
          <w:szCs w:val="24"/>
          <w:highlight w:val="none"/>
        </w:rPr>
        <w:t>至投标人的基本账户。</w:t>
      </w:r>
    </w:p>
    <w:p w14:paraId="6F1D0E77">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利息计算原则见投标人须知前附表。</w:t>
      </w:r>
    </w:p>
    <w:p w14:paraId="4CBD30B3">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3.4.4 有下列情形之一的，投标保证金将不予退还：</w:t>
      </w:r>
    </w:p>
    <w:p w14:paraId="38812B74">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（1）投标人在投标有效期内撤销投标文件；</w:t>
      </w:r>
    </w:p>
    <w:p w14:paraId="534F49EA">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（2）中标人在收到中标通知书后，无正当理由不与招标人订立合同，在签订合同</w:t>
      </w:r>
      <w:r>
        <w:rPr>
          <w:rFonts w:ascii="宋体" w:hAnsi="宋体" w:eastAsia="宋体" w:cs="宋体"/>
          <w:color w:val="auto"/>
          <w:spacing w:val="-1"/>
          <w:sz w:val="24"/>
          <w:szCs w:val="24"/>
          <w:highlight w:val="none"/>
        </w:rPr>
        <w:t>时向招标人提出附加条件，或不按照招标文件要求提交履约保证金；</w:t>
      </w:r>
    </w:p>
    <w:p w14:paraId="3BA013A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（3）发生投标人须知前附表规定的其他可以不予退还投标保证金的情形。</w:t>
      </w:r>
    </w:p>
    <w:p w14:paraId="1CC7D158">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51" w:name="_Toc22461"/>
      <w:bookmarkStart w:id="152" w:name="_Toc2768"/>
      <w:bookmarkStart w:id="153" w:name="_Toc25241"/>
      <w:bookmarkStart w:id="154" w:name="_Toc27036"/>
      <w:r>
        <w:rPr>
          <w:rFonts w:ascii="宋体" w:hAnsi="宋体" w:eastAsia="宋体" w:cs="宋体"/>
          <w:b/>
          <w:bCs/>
          <w:color w:val="auto"/>
          <w:spacing w:val="-6"/>
          <w:sz w:val="24"/>
          <w:szCs w:val="24"/>
          <w:highlight w:val="none"/>
        </w:rPr>
        <w:t>3.5</w:t>
      </w:r>
      <w:r>
        <w:rPr>
          <w:rFonts w:ascii="宋体" w:hAnsi="宋体" w:eastAsia="宋体" w:cs="宋体"/>
          <w:color w:val="auto"/>
          <w:spacing w:val="25"/>
          <w:sz w:val="24"/>
          <w:szCs w:val="24"/>
          <w:highlight w:val="none"/>
        </w:rPr>
        <w:t xml:space="preserve"> </w:t>
      </w:r>
      <w:r>
        <w:rPr>
          <w:rFonts w:ascii="宋体" w:hAnsi="宋体" w:eastAsia="宋体" w:cs="宋体"/>
          <w:b/>
          <w:bCs/>
          <w:color w:val="auto"/>
          <w:spacing w:val="-6"/>
          <w:sz w:val="24"/>
          <w:szCs w:val="24"/>
          <w:highlight w:val="none"/>
        </w:rPr>
        <w:t>资格审查资料</w:t>
      </w:r>
      <w:bookmarkEnd w:id="151"/>
      <w:bookmarkEnd w:id="152"/>
      <w:bookmarkEnd w:id="153"/>
      <w:bookmarkEnd w:id="154"/>
    </w:p>
    <w:p w14:paraId="75100B8A">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除投标人须知前附表另有规定外，投标人应按下列规定提供资</w:t>
      </w:r>
      <w:r>
        <w:rPr>
          <w:rFonts w:ascii="宋体" w:hAnsi="宋体" w:eastAsia="宋体" w:cs="宋体"/>
          <w:color w:val="auto"/>
          <w:spacing w:val="4"/>
          <w:sz w:val="24"/>
          <w:szCs w:val="24"/>
          <w:highlight w:val="none"/>
        </w:rPr>
        <w:t>格审查资料，以证</w:t>
      </w:r>
      <w:r>
        <w:rPr>
          <w:rFonts w:ascii="宋体" w:hAnsi="宋体" w:eastAsia="宋体" w:cs="宋体"/>
          <w:color w:val="auto"/>
          <w:spacing w:val="-3"/>
          <w:sz w:val="24"/>
          <w:szCs w:val="24"/>
          <w:highlight w:val="none"/>
        </w:rPr>
        <w:t>明其满足本章第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3"/>
          <w:sz w:val="24"/>
          <w:szCs w:val="24"/>
          <w:highlight w:val="none"/>
        </w:rPr>
        <w:t>1.4</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款规定的资质、业绩、信誉等要求。</w:t>
      </w:r>
    </w:p>
    <w:p w14:paraId="41D46B8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3.5.1 “投标人基本情况表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”应附企业法人营</w:t>
      </w:r>
      <w:r>
        <w:rPr>
          <w:rFonts w:ascii="宋体" w:hAnsi="宋体" w:eastAsia="宋体" w:cs="宋体"/>
          <w:color w:val="auto"/>
          <w:spacing w:val="3"/>
          <w:sz w:val="24"/>
          <w:szCs w:val="24"/>
          <w:highlight w:val="none"/>
        </w:rPr>
        <w:t>业执照副本、监理资质证书副本、</w:t>
      </w:r>
      <w:r>
        <w:rPr>
          <w:rFonts w:ascii="宋体" w:hAnsi="宋体" w:eastAsia="宋体" w:cs="宋体"/>
          <w:color w:val="auto"/>
          <w:spacing w:val="5"/>
          <w:sz w:val="24"/>
          <w:szCs w:val="24"/>
          <w:highlight w:val="none"/>
        </w:rPr>
        <w:t>基本账户开户许可证（如企业所在地已取消企业银行账户许可而无法提供开</w:t>
      </w:r>
      <w:r>
        <w:rPr>
          <w:rFonts w:ascii="宋体" w:hAnsi="宋体" w:eastAsia="宋体" w:cs="宋体"/>
          <w:color w:val="auto"/>
          <w:spacing w:val="4"/>
          <w:sz w:val="24"/>
          <w:szCs w:val="24"/>
          <w:highlight w:val="none"/>
        </w:rPr>
        <w:t>户许可证的，则需附上开户银行出具的“基本存款账户信息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”或“人民银行账户管理</w:t>
      </w:r>
      <w:r>
        <w:rPr>
          <w:rFonts w:ascii="宋体" w:hAnsi="宋体" w:eastAsia="宋体" w:cs="宋体"/>
          <w:color w:val="auto"/>
          <w:spacing w:val="3"/>
          <w:sz w:val="24"/>
          <w:szCs w:val="24"/>
          <w:highlight w:val="none"/>
        </w:rPr>
        <w:t>系统查询</w:t>
      </w:r>
      <w:bookmarkStart w:id="155" w:name="bookmark102"/>
      <w:bookmarkEnd w:id="155"/>
      <w:r>
        <w:rPr>
          <w:rFonts w:ascii="宋体" w:hAnsi="宋体" w:eastAsia="宋体" w:cs="宋体"/>
          <w:color w:val="auto"/>
          <w:spacing w:val="-2"/>
          <w:sz w:val="24"/>
          <w:szCs w:val="24"/>
          <w:highlight w:val="none"/>
        </w:rPr>
        <w:t>的基本账户信息截图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”）的扫描件</w:t>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2"/>
          <w:sz w:val="24"/>
          <w:szCs w:val="24"/>
          <w:highlight w:val="none"/>
        </w:rPr>
        <w:t>投标人在交通运输部“全国公路建设市场监督管</w:t>
      </w:r>
      <w:r>
        <w:rPr>
          <w:rFonts w:ascii="宋体" w:hAnsi="宋体" w:eastAsia="宋体" w:cs="宋体"/>
          <w:color w:val="auto"/>
          <w:spacing w:val="-3"/>
          <w:sz w:val="24"/>
          <w:szCs w:val="24"/>
          <w:highlight w:val="none"/>
        </w:rPr>
        <w:t>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”公路工程施工监理资质企业名录中的网页截图扫描件</w:t>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92"/>
          <w:sz w:val="24"/>
          <w:szCs w:val="24"/>
          <w:highlight w:val="none"/>
        </w:rPr>
        <w:t xml:space="preserve"> </w:t>
      </w:r>
      <w:r>
        <w:rPr>
          <w:rFonts w:ascii="宋体" w:hAnsi="宋体" w:eastAsia="宋体" w:cs="宋体"/>
          <w:color w:val="auto"/>
          <w:spacing w:val="-3"/>
          <w:sz w:val="24"/>
          <w:szCs w:val="24"/>
          <w:highlight w:val="none"/>
        </w:rPr>
        <w:t>以及投标人在国家企</w:t>
      </w:r>
      <w:r>
        <w:rPr>
          <w:rFonts w:ascii="宋体" w:hAnsi="宋体" w:eastAsia="宋体" w:cs="宋体"/>
          <w:color w:val="auto"/>
          <w:sz w:val="24"/>
          <w:szCs w:val="24"/>
          <w:highlight w:val="none"/>
        </w:rPr>
        <w:t>业信用信息公示系统中基础信息（体现股东及出资详</w:t>
      </w:r>
      <w:r>
        <w:rPr>
          <w:rFonts w:ascii="宋体" w:hAnsi="宋体" w:eastAsia="宋体" w:cs="宋体"/>
          <w:color w:val="auto"/>
          <w:spacing w:val="-1"/>
          <w:sz w:val="24"/>
          <w:szCs w:val="24"/>
          <w:highlight w:val="none"/>
        </w:rPr>
        <w:t>细信息）的网页截图。</w:t>
      </w:r>
    </w:p>
    <w:p w14:paraId="45BDE51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企业法人营业执照副本、监理资质证书副本、基本账户开户许可证（如企业所在地已取消企业银行账户许可而无法提供开户许可证的，则需附上开户银行出</w:t>
      </w:r>
      <w:r>
        <w:rPr>
          <w:rFonts w:ascii="宋体" w:hAnsi="宋体" w:eastAsia="宋体" w:cs="宋体"/>
          <w:color w:val="auto"/>
          <w:spacing w:val="4"/>
          <w:sz w:val="24"/>
          <w:szCs w:val="24"/>
          <w:highlight w:val="none"/>
        </w:rPr>
        <w:t>具的“基</w:t>
      </w:r>
      <w:r>
        <w:rPr>
          <w:rFonts w:ascii="宋体" w:hAnsi="宋体" w:eastAsia="宋体" w:cs="宋体"/>
          <w:color w:val="auto"/>
          <w:spacing w:val="3"/>
          <w:sz w:val="24"/>
          <w:szCs w:val="24"/>
          <w:highlight w:val="none"/>
        </w:rPr>
        <w:t>本存款账户信息</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”或“人民银行账户管理系统查询的基本账户信息</w:t>
      </w:r>
      <w:r>
        <w:rPr>
          <w:rFonts w:ascii="宋体" w:hAnsi="宋体" w:eastAsia="宋体" w:cs="宋体"/>
          <w:color w:val="auto"/>
          <w:spacing w:val="2"/>
          <w:sz w:val="24"/>
          <w:szCs w:val="24"/>
          <w:highlight w:val="none"/>
        </w:rPr>
        <w:t>截图</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”）的扫描件</w:t>
      </w:r>
      <w:r>
        <w:rPr>
          <w:rFonts w:ascii="宋体" w:hAnsi="宋体" w:eastAsia="宋体" w:cs="宋体"/>
          <w:color w:val="auto"/>
          <w:spacing w:val="4"/>
          <w:sz w:val="24"/>
          <w:szCs w:val="24"/>
          <w:highlight w:val="none"/>
        </w:rPr>
        <w:t>应提供全本（证书封面、封底、空白页除外</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应包括投标人名称、投标人其他相关</w:t>
      </w:r>
      <w:r>
        <w:rPr>
          <w:rFonts w:ascii="宋体" w:hAnsi="宋体" w:eastAsia="宋体" w:cs="宋体"/>
          <w:color w:val="auto"/>
          <w:spacing w:val="-1"/>
          <w:sz w:val="24"/>
          <w:szCs w:val="24"/>
          <w:highlight w:val="none"/>
        </w:rPr>
        <w:t>信息、颁发机构名称、投标人信息变更情况等关键页在内。</w:t>
      </w:r>
    </w:p>
    <w:p w14:paraId="1C61F88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3.5.2(A)“近年完成的类似项目</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”应是</w:t>
      </w:r>
      <w:r>
        <w:rPr>
          <w:rFonts w:ascii="宋体" w:hAnsi="宋体" w:eastAsia="宋体" w:cs="宋体"/>
          <w:color w:val="auto"/>
          <w:sz w:val="24"/>
          <w:szCs w:val="24"/>
          <w:highlight w:val="none"/>
        </w:rPr>
        <w:t>已列入交通运输部“全国公路建设市场监</w:t>
      </w:r>
      <w:r>
        <w:rPr>
          <w:rFonts w:ascii="宋体" w:hAnsi="宋体" w:eastAsia="宋体" w:cs="宋体"/>
          <w:color w:val="auto"/>
          <w:spacing w:val="-2"/>
          <w:sz w:val="24"/>
          <w:szCs w:val="24"/>
          <w:highlight w:val="none"/>
        </w:rPr>
        <w:t>督管理系统</w:t>
      </w:r>
      <w:r>
        <w:rPr>
          <w:rFonts w:ascii="宋体" w:hAnsi="宋体" w:eastAsia="宋体" w:cs="宋体"/>
          <w:color w:val="auto"/>
          <w:spacing w:val="-74"/>
          <w:sz w:val="24"/>
          <w:szCs w:val="24"/>
          <w:highlight w:val="none"/>
        </w:rPr>
        <w:t xml:space="preserve"> </w:t>
      </w:r>
      <w:r>
        <w:rPr>
          <w:rFonts w:ascii="宋体" w:hAnsi="宋体" w:eastAsia="宋体" w:cs="宋体"/>
          <w:color w:val="auto"/>
          <w:spacing w:val="-2"/>
          <w:sz w:val="24"/>
          <w:szCs w:val="24"/>
          <w:highlight w:val="none"/>
        </w:rPr>
        <w:t>”并公开的已建业绩，具体时间要求见投标人须知前附表。</w:t>
      </w:r>
    </w:p>
    <w:p w14:paraId="2E9FC1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2"/>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”相关项目网页截图扫描</w:t>
      </w:r>
      <w:r>
        <w:rPr>
          <w:rFonts w:ascii="宋体" w:hAnsi="宋体" w:eastAsia="宋体" w:cs="宋体"/>
          <w:color w:val="auto"/>
          <w:spacing w:val="1"/>
          <w:sz w:val="24"/>
          <w:szCs w:val="24"/>
          <w:highlight w:val="none"/>
        </w:rPr>
        <w:t>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1"/>
          <w:sz w:val="24"/>
          <w:szCs w:val="24"/>
          <w:highlight w:val="none"/>
        </w:rPr>
        <w:t>即包括“项目名称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1"/>
          <w:sz w:val="24"/>
          <w:szCs w:val="24"/>
          <w:highlight w:val="none"/>
        </w:rPr>
        <w:t>详细信息网页截图扫描件（或网页打印件）。</w:t>
      </w:r>
      <w:r>
        <w:rPr>
          <w:rFonts w:ascii="宋体" w:hAnsi="宋体" w:eastAsia="宋体" w:cs="宋体"/>
          <w:color w:val="auto"/>
          <w:spacing w:val="-2"/>
          <w:sz w:val="24"/>
          <w:szCs w:val="24"/>
          <w:highlight w:val="none"/>
        </w:rPr>
        <w:t>除网页截图扫描件（或网页打印件）外，</w:t>
      </w:r>
      <w:r>
        <w:rPr>
          <w:rFonts w:ascii="宋体" w:hAnsi="宋体" w:eastAsia="宋体" w:cs="宋体"/>
          <w:color w:val="auto"/>
          <w:spacing w:val="-1"/>
          <w:sz w:val="24"/>
          <w:szCs w:val="24"/>
          <w:highlight w:val="none"/>
        </w:rPr>
        <w:t>投标人无需再提供任何业绩证明材料。</w:t>
      </w:r>
    </w:p>
    <w:p w14:paraId="553774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如投标人未提供相关项目网页截图扫描件或相关项目网页截图中的信息无法证实投标人满足招标文件规定的资格审查条件（业绩最低要求）或评标办法评</w:t>
      </w:r>
      <w:r>
        <w:rPr>
          <w:rFonts w:ascii="宋体" w:hAnsi="宋体" w:eastAsia="宋体" w:cs="宋体"/>
          <w:color w:val="auto"/>
          <w:spacing w:val="4"/>
          <w:sz w:val="24"/>
          <w:szCs w:val="24"/>
          <w:highlight w:val="none"/>
        </w:rPr>
        <w:t>分标准（如</w:t>
      </w:r>
      <w:r>
        <w:rPr>
          <w:rFonts w:ascii="宋体" w:hAnsi="宋体" w:eastAsia="宋体" w:cs="宋体"/>
          <w:color w:val="auto"/>
          <w:spacing w:val="-3"/>
          <w:sz w:val="24"/>
          <w:szCs w:val="24"/>
          <w:highlight w:val="none"/>
        </w:rPr>
        <w:t>有</w:t>
      </w:r>
      <w:r>
        <w:rPr>
          <w:rFonts w:ascii="宋体" w:hAnsi="宋体" w:eastAsia="宋体" w:cs="宋体"/>
          <w:color w:val="auto"/>
          <w:spacing w:val="12"/>
          <w:sz w:val="24"/>
          <w:szCs w:val="24"/>
          <w:highlight w:val="none"/>
        </w:rPr>
        <w:t>），</w:t>
      </w:r>
      <w:r>
        <w:rPr>
          <w:rFonts w:ascii="宋体" w:hAnsi="宋体" w:eastAsia="宋体" w:cs="宋体"/>
          <w:color w:val="auto"/>
          <w:spacing w:val="-3"/>
          <w:sz w:val="24"/>
          <w:szCs w:val="24"/>
          <w:highlight w:val="none"/>
        </w:rPr>
        <w:t>则该项目业绩不予认定。</w:t>
      </w:r>
    </w:p>
    <w:p w14:paraId="5244CE2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7642D27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3.5.2</w:t>
      </w:r>
      <w:r>
        <w:rPr>
          <w:rFonts w:ascii="宋体" w:hAnsi="宋体" w:eastAsia="宋体" w:cs="宋体"/>
          <w:color w:val="auto"/>
          <w:spacing w:val="3"/>
          <w:sz w:val="20"/>
          <w:szCs w:val="20"/>
          <w:highlight w:val="none"/>
        </w:rPr>
        <w:t>(B)</w:t>
      </w:r>
      <w:r>
        <w:rPr>
          <w:rFonts w:ascii="宋体" w:hAnsi="宋体" w:eastAsia="宋体" w:cs="宋体"/>
          <w:color w:val="auto"/>
          <w:spacing w:val="3"/>
          <w:sz w:val="24"/>
          <w:szCs w:val="24"/>
          <w:highlight w:val="none"/>
        </w:rPr>
        <w:t>“近年完成的类似项目</w:t>
      </w:r>
      <w:r>
        <w:rPr>
          <w:rFonts w:ascii="宋体" w:hAnsi="宋体" w:eastAsia="宋体" w:cs="宋体"/>
          <w:color w:val="auto"/>
          <w:spacing w:val="-84"/>
          <w:sz w:val="24"/>
          <w:szCs w:val="24"/>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2"/>
          <w:sz w:val="24"/>
          <w:szCs w:val="24"/>
          <w:highlight w:val="none"/>
        </w:rPr>
        <w:t>应是已列入交通运输主管部门“公路建设市场</w:t>
      </w:r>
      <w:r>
        <w:rPr>
          <w:rFonts w:ascii="宋体" w:hAnsi="宋体" w:eastAsia="宋体" w:cs="宋体"/>
          <w:color w:val="auto"/>
          <w:spacing w:val="-2"/>
          <w:sz w:val="24"/>
          <w:szCs w:val="24"/>
          <w:highlight w:val="none"/>
        </w:rPr>
        <w:t>监督管理系统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”并公开的业绩，具体时间要求见投标人须知前附表。</w:t>
      </w:r>
    </w:p>
    <w:p w14:paraId="59CD986D">
      <w:pPr>
        <w:keepNext w:val="0"/>
        <w:keepLines w:val="0"/>
        <w:pageBreakBefore w:val="0"/>
        <w:widowControl/>
        <w:kinsoku/>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”相关项目网页截图扫描件（或网页</w:t>
      </w:r>
      <w:r>
        <w:rPr>
          <w:rFonts w:ascii="宋体" w:hAnsi="宋体" w:eastAsia="宋体" w:cs="宋体"/>
          <w:color w:val="auto"/>
          <w:spacing w:val="2"/>
          <w:sz w:val="24"/>
          <w:szCs w:val="24"/>
          <w:highlight w:val="none"/>
        </w:rPr>
        <w:t>打印件）。即</w:t>
      </w:r>
      <w:r>
        <w:rPr>
          <w:rFonts w:ascii="宋体" w:hAnsi="宋体" w:eastAsia="宋体" w:cs="宋体"/>
          <w:color w:val="auto"/>
          <w:spacing w:val="1"/>
          <w:sz w:val="24"/>
          <w:szCs w:val="24"/>
          <w:highlight w:val="none"/>
        </w:rPr>
        <w:t>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5"/>
          <w:sz w:val="24"/>
          <w:szCs w:val="24"/>
          <w:highlight w:val="none"/>
        </w:rPr>
        <w:t>详细信息网页截图扫描件（或网页打印件）。在交通运输部“全国公路建设</w:t>
      </w:r>
      <w:r>
        <w:rPr>
          <w:rFonts w:ascii="宋体" w:hAnsi="宋体" w:eastAsia="宋体" w:cs="宋体"/>
          <w:color w:val="auto"/>
          <w:spacing w:val="4"/>
          <w:sz w:val="24"/>
          <w:szCs w:val="24"/>
          <w:highlight w:val="none"/>
        </w:rPr>
        <w:t>市场监督</w:t>
      </w:r>
      <w:r>
        <w:rPr>
          <w:rFonts w:ascii="宋体" w:hAnsi="宋体" w:eastAsia="宋体" w:cs="宋体"/>
          <w:color w:val="auto"/>
          <w:spacing w:val="1"/>
          <w:sz w:val="24"/>
          <w:szCs w:val="24"/>
          <w:highlight w:val="none"/>
        </w:rPr>
        <w:t>管理系统</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”中无法查询，但可在省级交通运输主管部门“公路建设市场监督管理系统</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w:t>
      </w:r>
      <w:bookmarkStart w:id="156" w:name="bookmark105"/>
      <w:bookmarkEnd w:id="156"/>
      <w:bookmarkStart w:id="157" w:name="bookmark103"/>
      <w:bookmarkEnd w:id="157"/>
      <w:bookmarkStart w:id="158" w:name="bookmark104"/>
      <w:bookmarkEnd w:id="158"/>
      <w:r>
        <w:rPr>
          <w:rFonts w:ascii="宋体" w:hAnsi="宋体" w:eastAsia="宋体" w:cs="宋体"/>
          <w:color w:val="auto"/>
          <w:spacing w:val="4"/>
          <w:sz w:val="24"/>
          <w:szCs w:val="24"/>
          <w:highlight w:val="none"/>
        </w:rPr>
        <w:t>中查询的，应附省级交通运输主管部门“公路建设市场监督管理系统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”中查</w:t>
      </w:r>
      <w:r>
        <w:rPr>
          <w:rFonts w:ascii="宋体" w:hAnsi="宋体" w:eastAsia="宋体" w:cs="宋体"/>
          <w:color w:val="auto"/>
          <w:spacing w:val="3"/>
          <w:sz w:val="24"/>
          <w:szCs w:val="24"/>
          <w:highlight w:val="none"/>
        </w:rPr>
        <w:t>询到以上</w:t>
      </w:r>
      <w:r>
        <w:rPr>
          <w:rFonts w:ascii="宋体" w:hAnsi="宋体" w:eastAsia="宋体" w:cs="宋体"/>
          <w:color w:val="auto"/>
          <w:spacing w:val="5"/>
          <w:sz w:val="24"/>
          <w:szCs w:val="24"/>
          <w:highlight w:val="none"/>
        </w:rPr>
        <w:t>信息的网页截图扫描件（或网页打印件）并注明查询路径。除网页截图扫描</w:t>
      </w:r>
      <w:r>
        <w:rPr>
          <w:rFonts w:ascii="宋体" w:hAnsi="宋体" w:eastAsia="宋体" w:cs="宋体"/>
          <w:color w:val="auto"/>
          <w:spacing w:val="4"/>
          <w:sz w:val="24"/>
          <w:szCs w:val="24"/>
          <w:highlight w:val="none"/>
        </w:rPr>
        <w:t>件（或网</w:t>
      </w:r>
      <w:r>
        <w:rPr>
          <w:rFonts w:ascii="宋体" w:hAnsi="宋体" w:eastAsia="宋体" w:cs="宋体"/>
          <w:color w:val="auto"/>
          <w:spacing w:val="-1"/>
          <w:sz w:val="24"/>
          <w:szCs w:val="24"/>
          <w:highlight w:val="none"/>
        </w:rPr>
        <w:t>页打印件）外，投标人无须再提供任何业绩证明材料。</w:t>
      </w:r>
    </w:p>
    <w:p w14:paraId="39A703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如投标人未提供相关项目网页截图扫描件（或网页打印件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或网页截图扫描件</w:t>
      </w:r>
      <w:r>
        <w:rPr>
          <w:rFonts w:ascii="宋体" w:hAnsi="宋体" w:eastAsia="宋体" w:cs="宋体"/>
          <w:color w:val="auto"/>
          <w:spacing w:val="5"/>
          <w:sz w:val="24"/>
          <w:szCs w:val="24"/>
          <w:highlight w:val="none"/>
        </w:rPr>
        <w:t>（或网页打印件）中的信息无法证实投标人满足招标文件规定的资格</w:t>
      </w:r>
      <w:r>
        <w:rPr>
          <w:rFonts w:ascii="宋体" w:hAnsi="宋体" w:eastAsia="宋体" w:cs="宋体"/>
          <w:color w:val="auto"/>
          <w:spacing w:val="4"/>
          <w:sz w:val="24"/>
          <w:szCs w:val="24"/>
          <w:highlight w:val="none"/>
        </w:rPr>
        <w:t>审查条件（业绩</w:t>
      </w: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则该项目业绩不予认定。</w:t>
      </w:r>
    </w:p>
    <w:p w14:paraId="107D5D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3EBBABB9">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3.5.2(C)“近年完成的类似项目</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”具体时间要求见投标人</w:t>
      </w:r>
      <w:r>
        <w:rPr>
          <w:rFonts w:ascii="宋体" w:hAnsi="宋体" w:eastAsia="宋体" w:cs="宋体"/>
          <w:color w:val="auto"/>
          <w:spacing w:val="-2"/>
          <w:sz w:val="24"/>
          <w:szCs w:val="24"/>
          <w:highlight w:val="none"/>
        </w:rPr>
        <w:t>须知前附表。</w:t>
      </w:r>
    </w:p>
    <w:p w14:paraId="54544E4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“近年完成的类似项目情况表 ”应同时附合同协议书、项目已交（竣）工证明文件（交工验收证书或竣工验收备案表或竣工验收证明材料或建设单位出具的完工证明或完工验收鉴定书等）扫描件；如果投标人提供的上述证明材料均无法体现投标人满足招标文件规定的资格审查条件（业绩最低要求）或评标办法评分标准（如有），则投标人还应提供项目业主（或其上级单位）或行业主管部门出具的证明材料的扫描件</w:t>
      </w:r>
      <w:r>
        <w:rPr>
          <w:rFonts w:ascii="宋体" w:hAnsi="宋体" w:eastAsia="宋体" w:cs="宋体"/>
          <w:color w:val="auto"/>
          <w:spacing w:val="-5"/>
          <w:sz w:val="24"/>
          <w:szCs w:val="24"/>
          <w:highlight w:val="none"/>
        </w:rPr>
        <w:t>。</w:t>
      </w:r>
    </w:p>
    <w:p w14:paraId="66333ADE">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如投标人未提供证明材料或证明材料无法证实投标人满足招标文件规定的资格审</w:t>
      </w:r>
      <w:r>
        <w:rPr>
          <w:rFonts w:ascii="宋体" w:hAnsi="宋体" w:eastAsia="宋体" w:cs="宋体"/>
          <w:color w:val="auto"/>
          <w:spacing w:val="-1"/>
          <w:sz w:val="24"/>
          <w:szCs w:val="24"/>
          <w:highlight w:val="none"/>
        </w:rPr>
        <w:t>查条件（业绩最低要求）或评标办法评分标准（如有</w:t>
      </w:r>
      <w:r>
        <w:rPr>
          <w:rFonts w:ascii="宋体" w:hAnsi="宋体" w:eastAsia="宋体" w:cs="宋体"/>
          <w:color w:val="auto"/>
          <w:spacing w:val="10"/>
          <w:sz w:val="24"/>
          <w:szCs w:val="24"/>
          <w:highlight w:val="none"/>
        </w:rPr>
        <w:t>），</w:t>
      </w:r>
      <w:r>
        <w:rPr>
          <w:rFonts w:ascii="宋体" w:hAnsi="宋体" w:eastAsia="宋体" w:cs="宋体"/>
          <w:color w:val="auto"/>
          <w:spacing w:val="-1"/>
          <w:sz w:val="24"/>
          <w:szCs w:val="24"/>
          <w:highlight w:val="none"/>
        </w:rPr>
        <w:t>则该项目业绩不予认定。</w:t>
      </w:r>
    </w:p>
    <w:p w14:paraId="78B7236C">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382CA46F">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3.5.3 “投标人的信誉情况</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”应附投标人在国</w:t>
      </w:r>
      <w:r>
        <w:rPr>
          <w:rFonts w:ascii="宋体" w:hAnsi="宋体" w:eastAsia="宋体" w:cs="宋体"/>
          <w:color w:val="auto"/>
          <w:spacing w:val="3"/>
          <w:sz w:val="24"/>
          <w:szCs w:val="24"/>
          <w:highlight w:val="none"/>
        </w:rPr>
        <w:t>家企业信用信息公示系统中未被列</w:t>
      </w:r>
      <w:r>
        <w:rPr>
          <w:rFonts w:ascii="宋体" w:hAnsi="宋体" w:eastAsia="宋体" w:cs="宋体"/>
          <w:color w:val="auto"/>
          <w:spacing w:val="2"/>
          <w:sz w:val="24"/>
          <w:szCs w:val="24"/>
          <w:highlight w:val="none"/>
        </w:rPr>
        <w:t>入严重违法失信企业名单、在“信用中国</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”或“</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中国执行信息公开网站</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”网站中</w:t>
      </w:r>
      <w:r>
        <w:rPr>
          <w:rFonts w:ascii="宋体" w:hAnsi="宋体" w:eastAsia="宋体" w:cs="宋体"/>
          <w:color w:val="auto"/>
          <w:spacing w:val="1"/>
          <w:sz w:val="24"/>
          <w:szCs w:val="24"/>
          <w:highlight w:val="none"/>
        </w:rPr>
        <w:t>未被</w:t>
      </w:r>
      <w:r>
        <w:rPr>
          <w:rFonts w:ascii="宋体" w:hAnsi="宋体" w:eastAsia="宋体" w:cs="宋体"/>
          <w:color w:val="auto"/>
          <w:spacing w:val="-1"/>
          <w:sz w:val="24"/>
          <w:szCs w:val="24"/>
          <w:highlight w:val="none"/>
        </w:rPr>
        <w:t>列入失信被执行人名单的网页截图扫描件。</w:t>
      </w:r>
    </w:p>
    <w:p w14:paraId="3F95E802">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3.5.4(A)“拟委任的总监理工程师或驻</w:t>
      </w:r>
      <w:r>
        <w:rPr>
          <w:rFonts w:ascii="宋体" w:hAnsi="宋体" w:eastAsia="宋体" w:cs="宋体"/>
          <w:color w:val="auto"/>
          <w:sz w:val="24"/>
          <w:szCs w:val="24"/>
          <w:highlight w:val="none"/>
        </w:rPr>
        <w:t>地监理工程师资历表</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”应同时附：①交通</w:t>
      </w:r>
      <w:r>
        <w:rPr>
          <w:rFonts w:ascii="宋体" w:hAnsi="宋体" w:eastAsia="宋体" w:cs="宋体"/>
          <w:color w:val="auto"/>
          <w:spacing w:val="4"/>
          <w:sz w:val="24"/>
          <w:szCs w:val="24"/>
          <w:highlight w:val="none"/>
        </w:rPr>
        <w:t>运输部“全国公路建设市场监督管理系统</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”中查询到的企业人员信息相关网页截图扫</w:t>
      </w:r>
      <w:r>
        <w:rPr>
          <w:rFonts w:ascii="宋体" w:hAnsi="宋体" w:eastAsia="宋体" w:cs="宋体"/>
          <w:color w:val="auto"/>
          <w:spacing w:val="1"/>
          <w:sz w:val="24"/>
          <w:szCs w:val="24"/>
          <w:highlight w:val="none"/>
        </w:rPr>
        <w:t>描件（网页打印件</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即包括人员的“基本信息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”、“职称信息</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”、“执业资格</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“个人业绩</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”等栏目在内）的网页截图扫描件（或网页打印件）。②交通运输工程监</w:t>
      </w:r>
      <w:r>
        <w:rPr>
          <w:rFonts w:ascii="宋体" w:hAnsi="宋体" w:eastAsia="宋体" w:cs="宋体"/>
          <w:color w:val="auto"/>
          <w:sz w:val="24"/>
          <w:szCs w:val="24"/>
          <w:highlight w:val="none"/>
        </w:rPr>
        <w:t>理工程师注册服务系统截图。</w:t>
      </w:r>
    </w:p>
    <w:p w14:paraId="31BE39BC">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或相关网页截图扫描件</w:t>
      </w:r>
      <w:bookmarkStart w:id="159" w:name="bookmark107"/>
      <w:bookmarkEnd w:id="159"/>
      <w:bookmarkStart w:id="160" w:name="bookmark106"/>
      <w:bookmarkEnd w:id="160"/>
      <w:r>
        <w:rPr>
          <w:rFonts w:ascii="宋体" w:hAnsi="宋体" w:eastAsia="宋体" w:cs="宋体"/>
          <w:color w:val="auto"/>
          <w:spacing w:val="5"/>
          <w:sz w:val="24"/>
          <w:szCs w:val="24"/>
          <w:highlight w:val="none"/>
        </w:rPr>
        <w:t>（或网页打印件）中的信息无法证实投标人满足</w:t>
      </w:r>
      <w:r>
        <w:rPr>
          <w:rFonts w:ascii="宋体" w:hAnsi="宋体" w:eastAsia="宋体" w:cs="宋体"/>
          <w:color w:val="auto"/>
          <w:spacing w:val="4"/>
          <w:sz w:val="24"/>
          <w:szCs w:val="24"/>
          <w:highlight w:val="none"/>
        </w:rPr>
        <w:t>招标文件规定的资格审查条件（人员</w:t>
      </w: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则该人员相应信息不予认定。</w:t>
      </w:r>
    </w:p>
    <w:p w14:paraId="6E0575DF">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③投标人所属社保机构出具的拟委任的总监理工程师（以及备选人，如有）或驻地监理工程师（以及备选人，如有）的社保缴费证明或其他有效社保证明材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02B538E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36758AB7">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如总监理工程师（以及备选人，如有）或驻地监理工程师（以及备选人，如有）目前仍在其他项目上任职，则投标人应按投标函的格式承诺上述人员能够从该项目撤离）</w:t>
      </w:r>
      <w:r>
        <w:rPr>
          <w:rFonts w:ascii="宋体" w:hAnsi="宋体" w:eastAsia="宋体" w:cs="宋体"/>
          <w:color w:val="auto"/>
          <w:spacing w:val="-5"/>
          <w:sz w:val="24"/>
          <w:szCs w:val="24"/>
          <w:highlight w:val="none"/>
        </w:rPr>
        <w:t>。</w:t>
      </w:r>
    </w:p>
    <w:p w14:paraId="3ABB7F66">
      <w:pPr>
        <w:keepNext w:val="0"/>
        <w:keepLines w:val="0"/>
        <w:pageBreakBefore w:val="0"/>
        <w:wordWrap/>
        <w:overflowPunct/>
        <w:topLinePunct w:val="0"/>
        <w:bidi w:val="0"/>
        <w:spacing w:line="500" w:lineRule="exact"/>
        <w:ind w:left="0" w:right="0" w:firstLine="496" w:firstLineChars="20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3.5.4(B) “拟委任的总监理工程师或驻地监理工程师资历表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”应同时附</w:t>
      </w:r>
      <w:r>
        <w:rPr>
          <w:rFonts w:ascii="宋体" w:hAnsi="宋体" w:eastAsia="宋体" w:cs="宋体"/>
          <w:color w:val="auto"/>
          <w:spacing w:val="3"/>
          <w:sz w:val="24"/>
          <w:szCs w:val="24"/>
          <w:highlight w:val="none"/>
        </w:rPr>
        <w:t>：①总</w:t>
      </w:r>
      <w:r>
        <w:rPr>
          <w:rFonts w:ascii="宋体" w:hAnsi="宋体" w:eastAsia="宋体" w:cs="宋体"/>
          <w:color w:val="auto"/>
          <w:spacing w:val="-1"/>
          <w:sz w:val="24"/>
          <w:szCs w:val="24"/>
          <w:highlight w:val="none"/>
        </w:rPr>
        <w:t>监理工程师（以及备选人，如有）或驻地监理工程师（以</w:t>
      </w:r>
      <w:r>
        <w:rPr>
          <w:rFonts w:ascii="宋体" w:hAnsi="宋体" w:eastAsia="宋体" w:cs="宋体"/>
          <w:color w:val="auto"/>
          <w:spacing w:val="-2"/>
          <w:sz w:val="24"/>
          <w:szCs w:val="24"/>
          <w:highlight w:val="none"/>
        </w:rPr>
        <w:t>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4DFA4C8A">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或扫描件（社保时段为投标文件递交截止日前半年时间内连续不少于三个月</w:t>
      </w:r>
      <w:r>
        <w:rPr>
          <w:rFonts w:ascii="宋体" w:hAnsi="宋体" w:eastAsia="宋体" w:cs="宋体"/>
          <w:color w:val="auto"/>
          <w:spacing w:val="4"/>
          <w:sz w:val="24"/>
          <w:szCs w:val="24"/>
          <w:highlight w:val="none"/>
        </w:rPr>
        <w:t>，总公司</w:t>
      </w:r>
      <w:r>
        <w:rPr>
          <w:rFonts w:ascii="宋体" w:hAnsi="宋体" w:eastAsia="宋体" w:cs="宋体"/>
          <w:color w:val="auto"/>
          <w:spacing w:val="-1"/>
          <w:sz w:val="24"/>
          <w:szCs w:val="24"/>
          <w:highlight w:val="none"/>
        </w:rPr>
        <w:t>参与投标的，提供的分公司人员的社保也视为有效）。</w:t>
      </w:r>
    </w:p>
    <w:p w14:paraId="4D3A7E2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③交通运输部“全国公路建设市场监督管理系统 ”中载明的、能够证明总监理工程师或驻地监理工程师具有相关业绩的网页截图。在交通运输部“全国公路建设市场监督管理系统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总监理工程师或驻地监理工程师最低要求），则该业绩不予认</w:t>
      </w:r>
      <w:r>
        <w:rPr>
          <w:rFonts w:ascii="宋体" w:hAnsi="宋体" w:eastAsia="宋体" w:cs="宋体"/>
          <w:color w:val="auto"/>
          <w:spacing w:val="-2"/>
          <w:sz w:val="24"/>
          <w:szCs w:val="24"/>
          <w:highlight w:val="none"/>
        </w:rPr>
        <w:t>定。</w:t>
      </w:r>
    </w:p>
    <w:p w14:paraId="281C63D1">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3433681B">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w:t>
      </w:r>
      <w:bookmarkStart w:id="161" w:name="bookmark108"/>
      <w:bookmarkEnd w:id="161"/>
      <w:r>
        <w:rPr>
          <w:rFonts w:ascii="宋体" w:hAnsi="宋体" w:eastAsia="宋体" w:cs="宋体"/>
          <w:color w:val="auto"/>
          <w:spacing w:val="-6"/>
          <w:sz w:val="24"/>
          <w:szCs w:val="24"/>
          <w:highlight w:val="none"/>
        </w:rPr>
        <w:t>离）</w:t>
      </w:r>
      <w:r>
        <w:rPr>
          <w:rFonts w:ascii="宋体" w:hAnsi="宋体" w:eastAsia="宋体" w:cs="宋体"/>
          <w:color w:val="auto"/>
          <w:spacing w:val="-5"/>
          <w:sz w:val="24"/>
          <w:szCs w:val="24"/>
          <w:highlight w:val="none"/>
        </w:rPr>
        <w:t>。</w:t>
      </w:r>
    </w:p>
    <w:p w14:paraId="7A8CA90D">
      <w:pPr>
        <w:keepNext w:val="0"/>
        <w:keepLines w:val="0"/>
        <w:pageBreakBefore w:val="0"/>
        <w:wordWrap/>
        <w:overflowPunct/>
        <w:topLinePunct w:val="0"/>
        <w:bidi w:val="0"/>
        <w:spacing w:line="500" w:lineRule="exact"/>
        <w:ind w:left="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3.5.4(C)</w:t>
      </w:r>
      <w:r>
        <w:rPr>
          <w:rFonts w:ascii="宋体" w:hAnsi="宋体" w:eastAsia="宋体" w:cs="宋体"/>
          <w:color w:val="auto"/>
          <w:spacing w:val="2"/>
          <w:sz w:val="20"/>
          <w:szCs w:val="20"/>
          <w:highlight w:val="none"/>
        </w:rPr>
        <w:t>“</w:t>
      </w:r>
      <w:r>
        <w:rPr>
          <w:rFonts w:ascii="宋体" w:hAnsi="宋体" w:eastAsia="宋体" w:cs="宋体"/>
          <w:color w:val="auto"/>
          <w:spacing w:val="2"/>
          <w:sz w:val="24"/>
          <w:szCs w:val="24"/>
          <w:highlight w:val="none"/>
        </w:rPr>
        <w:t>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”应同时附：①总监</w:t>
      </w:r>
      <w:r>
        <w:rPr>
          <w:rFonts w:ascii="宋体" w:hAnsi="宋体" w:eastAsia="宋体" w:cs="宋体"/>
          <w:color w:val="auto"/>
          <w:spacing w:val="5"/>
          <w:sz w:val="24"/>
          <w:szCs w:val="24"/>
          <w:highlight w:val="none"/>
        </w:rPr>
        <w:t>理工程师（以及备选人，如有）或驻地监理工程师（以及备选人，如有）的身份证、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32641BD7">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4EC539E1">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5"/>
          <w:sz w:val="24"/>
          <w:szCs w:val="24"/>
          <w:highlight w:val="none"/>
        </w:rPr>
        <w:t>③相关业绩证明材料（业绩证明材料应是合同协议书、项目已交（竣）工证明文件（交工验收证书或竣工验收备案表或竣工验收证明材料或建设单位出具的完</w:t>
      </w:r>
      <w:r>
        <w:rPr>
          <w:rFonts w:ascii="宋体" w:hAnsi="宋体" w:eastAsia="宋体" w:cs="宋体"/>
          <w:color w:val="auto"/>
          <w:spacing w:val="4"/>
          <w:sz w:val="24"/>
          <w:szCs w:val="24"/>
          <w:highlight w:val="none"/>
        </w:rPr>
        <w:t>工证明</w:t>
      </w:r>
      <w:r>
        <w:rPr>
          <w:rFonts w:ascii="宋体" w:hAnsi="宋体" w:eastAsia="宋体" w:cs="宋体"/>
          <w:color w:val="auto"/>
          <w:spacing w:val="-1"/>
          <w:sz w:val="24"/>
          <w:szCs w:val="24"/>
          <w:highlight w:val="none"/>
        </w:rPr>
        <w:t>或完工验收鉴定书等）扫描件）。</w:t>
      </w:r>
    </w:p>
    <w:p w14:paraId="08BA07A4">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如投标人提供的上述资料无法证实投标人满足招标文件规定的资格审查条件（总</w:t>
      </w:r>
      <w:r>
        <w:rPr>
          <w:rFonts w:ascii="宋体" w:hAnsi="宋体" w:eastAsia="宋体" w:cs="宋体"/>
          <w:color w:val="auto"/>
          <w:spacing w:val="-1"/>
          <w:sz w:val="24"/>
          <w:szCs w:val="24"/>
          <w:highlight w:val="none"/>
        </w:rPr>
        <w:t>监理工程师或驻地监理工程师最低要求</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则该业绩不予认定。</w:t>
      </w:r>
    </w:p>
    <w:p w14:paraId="759CE042">
      <w:pPr>
        <w:keepNext w:val="0"/>
        <w:keepLines w:val="0"/>
        <w:pageBreakBefore w:val="0"/>
        <w:wordWrap/>
        <w:overflowPunct/>
        <w:topLinePunct w:val="0"/>
        <w:bidi w:val="0"/>
        <w:spacing w:line="500" w:lineRule="exact"/>
        <w:ind w:left="0" w:right="0" w:firstLine="456" w:firstLineChars="200"/>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如总监理工程师（以及备选人，如有）或驻地监理工程师（以及备选人，如有）目前仍在其他项目上任职，则投标人应按投标函的格式承诺上述人员能够从该项目撤离）</w:t>
      </w:r>
      <w:r>
        <w:rPr>
          <w:rFonts w:ascii="宋体" w:hAnsi="宋体" w:eastAsia="宋体" w:cs="宋体"/>
          <w:color w:val="auto"/>
          <w:spacing w:val="-5"/>
          <w:sz w:val="24"/>
          <w:szCs w:val="24"/>
          <w:highlight w:val="none"/>
        </w:rPr>
        <w:t>。</w:t>
      </w:r>
    </w:p>
    <w:p w14:paraId="4998294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3.5.5 “拟委任的其他主要监理人员汇总表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（如有）应填报满足投标人须知前</w:t>
      </w:r>
      <w:r>
        <w:rPr>
          <w:rFonts w:ascii="宋体" w:hAnsi="宋体" w:eastAsia="宋体" w:cs="宋体"/>
          <w:color w:val="auto"/>
          <w:spacing w:val="4"/>
          <w:sz w:val="24"/>
          <w:szCs w:val="24"/>
          <w:highlight w:val="none"/>
        </w:rPr>
        <w:t>附表附录</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规定的其他主要监理人员的相关信息。“拟委任的其他主要监理人员资历表</w:t>
      </w:r>
      <w:r>
        <w:rPr>
          <w:rFonts w:ascii="宋体" w:hAnsi="宋体" w:eastAsia="宋体" w:cs="宋体"/>
          <w:color w:val="auto"/>
          <w:spacing w:val="-84"/>
          <w:sz w:val="24"/>
          <w:szCs w:val="24"/>
          <w:highlight w:val="none"/>
        </w:rPr>
        <w:t xml:space="preserve"> </w:t>
      </w:r>
      <w:r>
        <w:rPr>
          <w:rFonts w:ascii="宋体" w:hAnsi="宋体" w:eastAsia="宋体" w:cs="宋体"/>
          <w:color w:val="auto"/>
          <w:spacing w:val="4"/>
          <w:sz w:val="24"/>
          <w:szCs w:val="24"/>
          <w:highlight w:val="none"/>
        </w:rPr>
        <w:t>”（如有）中相关人员应附身份证、职称资格证书和资格审查条件所要求的其他相</w:t>
      </w:r>
      <w:r>
        <w:rPr>
          <w:rFonts w:ascii="宋体" w:hAnsi="宋体" w:eastAsia="宋体" w:cs="宋体"/>
          <w:color w:val="auto"/>
          <w:spacing w:val="5"/>
          <w:sz w:val="24"/>
          <w:szCs w:val="24"/>
          <w:highlight w:val="none"/>
        </w:rPr>
        <w:t>关证书（如公路工程监理工程师证书等）的扫描件，相关业绩证明材料扫描件</w:t>
      </w:r>
      <w:r>
        <w:rPr>
          <w:rFonts w:ascii="宋体" w:hAnsi="宋体" w:eastAsia="宋体" w:cs="宋体"/>
          <w:color w:val="auto"/>
          <w:spacing w:val="4"/>
          <w:sz w:val="24"/>
          <w:szCs w:val="24"/>
          <w:highlight w:val="none"/>
        </w:rPr>
        <w:t>，以及</w:t>
      </w:r>
      <w:r>
        <w:rPr>
          <w:rFonts w:ascii="宋体" w:hAnsi="宋体" w:eastAsia="宋体" w:cs="宋体"/>
          <w:color w:val="auto"/>
          <w:spacing w:val="5"/>
          <w:sz w:val="24"/>
          <w:szCs w:val="24"/>
          <w:highlight w:val="none"/>
        </w:rPr>
        <w:t>投标人所属社保机构出具的社保缴费证明或其他能够证明其参加社保的有效证</w:t>
      </w:r>
      <w:r>
        <w:rPr>
          <w:rFonts w:ascii="宋体" w:hAnsi="宋体" w:eastAsia="宋体" w:cs="宋体"/>
          <w:color w:val="auto"/>
          <w:spacing w:val="4"/>
          <w:sz w:val="24"/>
          <w:szCs w:val="24"/>
          <w:highlight w:val="none"/>
        </w:rPr>
        <w:t>明材料</w:t>
      </w:r>
      <w:r>
        <w:rPr>
          <w:rFonts w:ascii="宋体" w:hAnsi="宋体" w:eastAsia="宋体" w:cs="宋体"/>
          <w:color w:val="auto"/>
          <w:spacing w:val="-3"/>
          <w:sz w:val="24"/>
          <w:szCs w:val="24"/>
          <w:highlight w:val="none"/>
        </w:rPr>
        <w:t>扫描件。</w:t>
      </w:r>
    </w:p>
    <w:p w14:paraId="4B27533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3.5.6 投标人须知前附表规定接受联合体投标的，本章第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2"/>
          <w:sz w:val="24"/>
          <w:szCs w:val="24"/>
          <w:highlight w:val="none"/>
        </w:rPr>
        <w:t>3.5.1</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项至第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3.5.5</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w:t>
      </w:r>
      <w:r>
        <w:rPr>
          <w:rFonts w:ascii="宋体" w:hAnsi="宋体" w:eastAsia="宋体" w:cs="宋体"/>
          <w:color w:val="auto"/>
          <w:spacing w:val="-1"/>
          <w:sz w:val="24"/>
          <w:szCs w:val="24"/>
          <w:highlight w:val="none"/>
        </w:rPr>
        <w:t>规定的表格和资料应包括联合体各方相关情况。</w:t>
      </w:r>
    </w:p>
    <w:p w14:paraId="7377A57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3.5.7 除合同条款约定的特殊情形外，投标人在</w:t>
      </w:r>
      <w:r>
        <w:rPr>
          <w:rFonts w:ascii="宋体" w:hAnsi="宋体" w:eastAsia="宋体" w:cs="宋体"/>
          <w:color w:val="auto"/>
          <w:spacing w:val="4"/>
          <w:sz w:val="24"/>
          <w:szCs w:val="24"/>
          <w:highlight w:val="none"/>
        </w:rPr>
        <w:t>投标文件中填报的总监理工程师</w:t>
      </w:r>
      <w:r>
        <w:rPr>
          <w:rFonts w:ascii="宋体" w:hAnsi="宋体" w:eastAsia="宋体" w:cs="宋体"/>
          <w:color w:val="auto"/>
          <w:spacing w:val="-1"/>
          <w:sz w:val="24"/>
          <w:szCs w:val="24"/>
          <w:highlight w:val="none"/>
        </w:rPr>
        <w:t>或驻地监理工程师不允许更换。</w:t>
      </w:r>
    </w:p>
    <w:p w14:paraId="3EDB45C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3.5.8 投标人在投标文件中填报的资质、业绩、</w:t>
      </w:r>
      <w:r>
        <w:rPr>
          <w:rFonts w:ascii="宋体" w:hAnsi="宋体" w:eastAsia="宋体" w:cs="宋体"/>
          <w:color w:val="auto"/>
          <w:spacing w:val="4"/>
          <w:sz w:val="24"/>
          <w:szCs w:val="24"/>
          <w:highlight w:val="none"/>
        </w:rPr>
        <w:t>主要人员资历和目前在岗情况、</w:t>
      </w:r>
      <w:bookmarkStart w:id="162" w:name="bookmark109"/>
      <w:bookmarkEnd w:id="162"/>
      <w:r>
        <w:rPr>
          <w:rFonts w:ascii="宋体" w:hAnsi="宋体" w:eastAsia="宋体" w:cs="宋体"/>
          <w:color w:val="auto"/>
          <w:spacing w:val="4"/>
          <w:sz w:val="24"/>
          <w:szCs w:val="24"/>
          <w:highlight w:val="none"/>
        </w:rPr>
        <w:t>信用等级等信息，应与其在交通运输主管部门“公路建设市场监督管理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”上填报</w:t>
      </w:r>
      <w:r>
        <w:rPr>
          <w:rFonts w:ascii="宋体" w:hAnsi="宋体" w:eastAsia="宋体" w:cs="宋体"/>
          <w:color w:val="auto"/>
          <w:spacing w:val="1"/>
          <w:sz w:val="24"/>
          <w:szCs w:val="24"/>
          <w:highlight w:val="none"/>
        </w:rPr>
        <w:t>并发布的相关信息一致。投标人应根据本单</w:t>
      </w:r>
      <w:r>
        <w:rPr>
          <w:rFonts w:ascii="宋体" w:hAnsi="宋体" w:eastAsia="宋体" w:cs="宋体"/>
          <w:color w:val="auto"/>
          <w:sz w:val="24"/>
          <w:szCs w:val="24"/>
          <w:highlight w:val="none"/>
        </w:rPr>
        <w:t>位实际情况及时完成相关信息的申报、录</w:t>
      </w:r>
      <w:r>
        <w:rPr>
          <w:rFonts w:ascii="宋体" w:hAnsi="宋体" w:eastAsia="宋体" w:cs="宋体"/>
          <w:color w:val="auto"/>
          <w:spacing w:val="-1"/>
          <w:sz w:val="24"/>
          <w:szCs w:val="24"/>
          <w:highlight w:val="none"/>
        </w:rPr>
        <w:t>入和动态更新，并对相关信息的真实性、完整性和准确性负责。</w:t>
      </w:r>
    </w:p>
    <w:p w14:paraId="7715890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3.5.9 招标人有权核查投标人在资格预审申请文</w:t>
      </w:r>
      <w:r>
        <w:rPr>
          <w:rFonts w:ascii="宋体" w:hAnsi="宋体" w:eastAsia="宋体" w:cs="宋体"/>
          <w:color w:val="auto"/>
          <w:spacing w:val="4"/>
          <w:sz w:val="24"/>
          <w:szCs w:val="24"/>
          <w:highlight w:val="none"/>
        </w:rPr>
        <w:t>件和投标文件中提供的资料，若</w:t>
      </w:r>
      <w:r>
        <w:rPr>
          <w:rFonts w:ascii="宋体" w:hAnsi="宋体" w:eastAsia="宋体" w:cs="宋体"/>
          <w:color w:val="auto"/>
          <w:spacing w:val="5"/>
          <w:sz w:val="24"/>
          <w:szCs w:val="24"/>
          <w:highlight w:val="none"/>
        </w:rPr>
        <w:t>在评标期间发现投标人提供了虚假资料，其投标将被否决；若在签订合同前发</w:t>
      </w:r>
      <w:r>
        <w:rPr>
          <w:rFonts w:ascii="宋体" w:hAnsi="宋体" w:eastAsia="宋体" w:cs="宋体"/>
          <w:color w:val="auto"/>
          <w:spacing w:val="4"/>
          <w:sz w:val="24"/>
          <w:szCs w:val="24"/>
          <w:highlight w:val="none"/>
        </w:rPr>
        <w:t>现作为</w:t>
      </w:r>
      <w:r>
        <w:rPr>
          <w:rFonts w:ascii="宋体" w:hAnsi="宋体" w:eastAsia="宋体" w:cs="宋体"/>
          <w:color w:val="auto"/>
          <w:spacing w:val="5"/>
          <w:sz w:val="24"/>
          <w:szCs w:val="24"/>
          <w:highlight w:val="none"/>
        </w:rPr>
        <w:t>中标候选人的投标人提供了虚假资料，招标人有权取消其中标资格；若在合同</w:t>
      </w:r>
      <w:r>
        <w:rPr>
          <w:rFonts w:ascii="宋体" w:hAnsi="宋体" w:eastAsia="宋体" w:cs="宋体"/>
          <w:color w:val="auto"/>
          <w:spacing w:val="4"/>
          <w:sz w:val="24"/>
          <w:szCs w:val="24"/>
          <w:highlight w:val="none"/>
        </w:rPr>
        <w:t>实施期</w:t>
      </w:r>
      <w:r>
        <w:rPr>
          <w:rFonts w:ascii="宋体" w:hAnsi="宋体" w:eastAsia="宋体" w:cs="宋体"/>
          <w:color w:val="auto"/>
          <w:spacing w:val="2"/>
          <w:sz w:val="24"/>
          <w:szCs w:val="24"/>
          <w:highlight w:val="none"/>
        </w:rPr>
        <w:t>间发现投标人提供了虚假资料，招标人有权从合同价款或履约保证金中扣除不超过</w:t>
      </w:r>
      <w:r>
        <w:rPr>
          <w:rFonts w:ascii="宋体" w:hAnsi="宋体" w:eastAsia="宋体" w:cs="宋体"/>
          <w:color w:val="auto"/>
          <w:spacing w:val="-46"/>
          <w:sz w:val="24"/>
          <w:szCs w:val="24"/>
          <w:highlight w:val="none"/>
        </w:rPr>
        <w:t xml:space="preserve"> </w:t>
      </w:r>
      <w:r>
        <w:rPr>
          <w:rFonts w:ascii="宋体" w:hAnsi="宋体" w:eastAsia="宋体" w:cs="宋体"/>
          <w:color w:val="auto"/>
          <w:spacing w:val="2"/>
          <w:sz w:val="24"/>
          <w:szCs w:val="24"/>
          <w:highlight w:val="none"/>
        </w:rPr>
        <w:t>5%</w:t>
      </w:r>
      <w:r>
        <w:rPr>
          <w:rFonts w:ascii="宋体" w:hAnsi="宋体" w:eastAsia="宋体" w:cs="宋体"/>
          <w:color w:val="auto"/>
          <w:spacing w:val="5"/>
          <w:sz w:val="24"/>
          <w:szCs w:val="24"/>
          <w:highlight w:val="none"/>
        </w:rPr>
        <w:t>签约合同价的金额作为违约金。同时招标人将投标人上述弄虚作假行为上报省</w:t>
      </w:r>
      <w:r>
        <w:rPr>
          <w:rFonts w:ascii="宋体" w:hAnsi="宋体" w:eastAsia="宋体" w:cs="宋体"/>
          <w:color w:val="auto"/>
          <w:spacing w:val="4"/>
          <w:sz w:val="24"/>
          <w:szCs w:val="24"/>
          <w:highlight w:val="none"/>
        </w:rPr>
        <w:t>级交通</w:t>
      </w:r>
      <w:r>
        <w:rPr>
          <w:rFonts w:ascii="宋体" w:hAnsi="宋体" w:eastAsia="宋体" w:cs="宋体"/>
          <w:color w:val="auto"/>
          <w:spacing w:val="-1"/>
          <w:sz w:val="24"/>
          <w:szCs w:val="24"/>
          <w:highlight w:val="none"/>
        </w:rPr>
        <w:t>运输主管部门，作为不良记录纳入公路建设市场监督管理系统。</w:t>
      </w:r>
    </w:p>
    <w:p w14:paraId="448E7C95">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63" w:name="_Toc3609"/>
      <w:bookmarkStart w:id="164" w:name="_Toc29492"/>
      <w:bookmarkStart w:id="165" w:name="_Toc32348"/>
      <w:bookmarkStart w:id="166" w:name="_Toc26656"/>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备选投标方案</w:t>
      </w:r>
      <w:bookmarkEnd w:id="163"/>
      <w:bookmarkEnd w:id="164"/>
      <w:bookmarkEnd w:id="165"/>
      <w:bookmarkEnd w:id="166"/>
    </w:p>
    <w:p w14:paraId="1E84618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3.6.1 除投标人须知前附表规定允许外，投标人</w:t>
      </w:r>
      <w:r>
        <w:rPr>
          <w:rFonts w:ascii="宋体" w:hAnsi="宋体" w:eastAsia="宋体" w:cs="宋体"/>
          <w:color w:val="auto"/>
          <w:spacing w:val="4"/>
          <w:sz w:val="24"/>
          <w:szCs w:val="24"/>
          <w:highlight w:val="none"/>
        </w:rPr>
        <w:t>不得递交备选投标方案，否则其</w:t>
      </w:r>
      <w:r>
        <w:rPr>
          <w:rFonts w:ascii="宋体" w:hAnsi="宋体" w:eastAsia="宋体" w:cs="宋体"/>
          <w:color w:val="auto"/>
          <w:spacing w:val="-2"/>
          <w:sz w:val="24"/>
          <w:szCs w:val="24"/>
          <w:highlight w:val="none"/>
        </w:rPr>
        <w:t>投标将被否决。</w:t>
      </w:r>
    </w:p>
    <w:p w14:paraId="4A86AD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允许投标人递交备选投标方案的，只有中</w:t>
      </w:r>
      <w:r>
        <w:rPr>
          <w:rFonts w:ascii="宋体" w:hAnsi="宋体" w:eastAsia="宋体" w:cs="宋体"/>
          <w:color w:val="auto"/>
          <w:spacing w:val="4"/>
          <w:sz w:val="24"/>
          <w:szCs w:val="24"/>
          <w:highlight w:val="none"/>
        </w:rPr>
        <w:t>标人所递交的备选投标方案方可</w:t>
      </w:r>
      <w:r>
        <w:rPr>
          <w:rFonts w:ascii="宋体" w:hAnsi="宋体" w:eastAsia="宋体" w:cs="宋体"/>
          <w:color w:val="auto"/>
          <w:spacing w:val="5"/>
          <w:sz w:val="24"/>
          <w:szCs w:val="24"/>
          <w:highlight w:val="none"/>
        </w:rPr>
        <w:t>予以考虑。评标委员会认为中标人的备选投标方案优于其按照招标文件要</w:t>
      </w:r>
      <w:r>
        <w:rPr>
          <w:rFonts w:ascii="宋体" w:hAnsi="宋体" w:eastAsia="宋体" w:cs="宋体"/>
          <w:color w:val="auto"/>
          <w:spacing w:val="4"/>
          <w:sz w:val="24"/>
          <w:szCs w:val="24"/>
          <w:highlight w:val="none"/>
        </w:rPr>
        <w:t>求编制的投</w:t>
      </w:r>
      <w:r>
        <w:rPr>
          <w:rFonts w:ascii="宋体" w:hAnsi="宋体" w:eastAsia="宋体" w:cs="宋体"/>
          <w:color w:val="auto"/>
          <w:spacing w:val="-1"/>
          <w:sz w:val="24"/>
          <w:szCs w:val="24"/>
          <w:highlight w:val="none"/>
        </w:rPr>
        <w:t>标方案的，招标人可以接受该备选投标方案。</w:t>
      </w:r>
    </w:p>
    <w:p w14:paraId="3AF6452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3.6.3 投标人提供两个或两个以上投标报价，或</w:t>
      </w:r>
      <w:r>
        <w:rPr>
          <w:rFonts w:ascii="宋体" w:hAnsi="宋体" w:eastAsia="宋体" w:cs="宋体"/>
          <w:color w:val="auto"/>
          <w:spacing w:val="4"/>
          <w:sz w:val="24"/>
          <w:szCs w:val="24"/>
          <w:highlight w:val="none"/>
        </w:rPr>
        <w:t>在投标文件中提供一个报价，但</w:t>
      </w:r>
      <w:r>
        <w:rPr>
          <w:rFonts w:ascii="宋体" w:hAnsi="宋体" w:eastAsia="宋体" w:cs="宋体"/>
          <w:color w:val="auto"/>
          <w:spacing w:val="-2"/>
          <w:sz w:val="24"/>
          <w:szCs w:val="24"/>
          <w:highlight w:val="none"/>
        </w:rPr>
        <w:t>同时提供两个或两个以上监理方案的，视为提供备选方案。</w:t>
      </w:r>
    </w:p>
    <w:p w14:paraId="34B9D7D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67" w:name="_Toc32084"/>
      <w:bookmarkStart w:id="168" w:name="_Toc31001"/>
      <w:bookmarkStart w:id="169" w:name="_Toc15072"/>
      <w:bookmarkStart w:id="170" w:name="_Toc26079"/>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投标文件的编制</w:t>
      </w:r>
      <w:bookmarkEnd w:id="167"/>
      <w:bookmarkEnd w:id="168"/>
      <w:bookmarkEnd w:id="169"/>
      <w:bookmarkEnd w:id="170"/>
    </w:p>
    <w:p w14:paraId="6066EAA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3.7.1 投标文件应按第七章“投标文件格式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进行编写，如有必要，可以增加附</w:t>
      </w:r>
      <w:r>
        <w:rPr>
          <w:rFonts w:ascii="宋体" w:hAnsi="宋体" w:eastAsia="宋体" w:cs="宋体"/>
          <w:color w:val="auto"/>
          <w:spacing w:val="-2"/>
          <w:sz w:val="24"/>
          <w:szCs w:val="24"/>
          <w:highlight w:val="none"/>
        </w:rPr>
        <w:t>页，作为投标文件的组成部分。</w:t>
      </w:r>
    </w:p>
    <w:p w14:paraId="453268B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投标文件应对招标文件有关监理服务期限</w:t>
      </w:r>
      <w:r>
        <w:rPr>
          <w:rFonts w:ascii="宋体" w:hAnsi="宋体" w:eastAsia="宋体" w:cs="宋体"/>
          <w:color w:val="auto"/>
          <w:spacing w:val="4"/>
          <w:sz w:val="24"/>
          <w:szCs w:val="24"/>
          <w:highlight w:val="none"/>
        </w:rPr>
        <w:t>、投标有效期、质量要求、安全</w:t>
      </w:r>
      <w:r>
        <w:rPr>
          <w:rFonts w:ascii="宋体" w:hAnsi="宋体" w:eastAsia="宋体" w:cs="宋体"/>
          <w:color w:val="auto"/>
          <w:spacing w:val="-3"/>
          <w:sz w:val="24"/>
          <w:szCs w:val="24"/>
          <w:highlight w:val="none"/>
        </w:rPr>
        <w:t>目标、委托人要求、招标范围等实质性内容作出响应。</w:t>
      </w:r>
    </w:p>
    <w:p w14:paraId="3A04232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投标文件的制作应满足以下规定：</w:t>
      </w:r>
    </w:p>
    <w:p w14:paraId="7E1D33F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（1）投标文件由投标人使用“</w:t>
      </w:r>
      <w:r>
        <w:rPr>
          <w:rFonts w:ascii="宋体" w:hAnsi="宋体" w:eastAsia="宋体" w:cs="宋体"/>
          <w:color w:val="auto"/>
          <w:spacing w:val="-65"/>
          <w:sz w:val="24"/>
          <w:szCs w:val="24"/>
          <w:highlight w:val="none"/>
        </w:rPr>
        <w:t xml:space="preserve"> </w:t>
      </w:r>
      <w:r>
        <w:rPr>
          <w:rFonts w:ascii="宋体" w:hAnsi="宋体" w:eastAsia="宋体" w:cs="宋体"/>
          <w:color w:val="auto"/>
          <w:spacing w:val="-2"/>
          <w:sz w:val="24"/>
          <w:szCs w:val="24"/>
          <w:highlight w:val="none"/>
        </w:rPr>
        <w:t>电子交易平台</w:t>
      </w:r>
      <w:r>
        <w:rPr>
          <w:rFonts w:ascii="宋体" w:hAnsi="宋体" w:eastAsia="宋体" w:cs="宋体"/>
          <w:color w:val="auto"/>
          <w:spacing w:val="-85"/>
          <w:sz w:val="24"/>
          <w:szCs w:val="24"/>
          <w:highlight w:val="none"/>
        </w:rPr>
        <w:t xml:space="preserve"> </w:t>
      </w:r>
      <w:r>
        <w:rPr>
          <w:rFonts w:ascii="宋体" w:hAnsi="宋体" w:eastAsia="宋体" w:cs="宋体"/>
          <w:color w:val="auto"/>
          <w:spacing w:val="-2"/>
          <w:sz w:val="24"/>
          <w:szCs w:val="24"/>
          <w:highlight w:val="none"/>
        </w:rPr>
        <w:t>”自带的“投标文件制作工具</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”制作</w:t>
      </w:r>
      <w:r>
        <w:rPr>
          <w:rFonts w:ascii="宋体" w:hAnsi="宋体" w:eastAsia="宋体" w:cs="宋体"/>
          <w:color w:val="auto"/>
          <w:spacing w:val="-4"/>
          <w:sz w:val="24"/>
          <w:szCs w:val="24"/>
          <w:highlight w:val="none"/>
        </w:rPr>
        <w:t>生成。</w:t>
      </w:r>
    </w:p>
    <w:p w14:paraId="20B3CE6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（2）投标人在编制投标文件时应建立分级目录，并按照标签提示导入相关内容。</w:t>
      </w:r>
    </w:p>
    <w:p w14:paraId="7803A0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（3）投标文件中的已标价报价清单数据文件应与招标人提供的报价清单数据文件</w:t>
      </w:r>
      <w:r>
        <w:rPr>
          <w:rFonts w:ascii="宋体" w:hAnsi="宋体" w:eastAsia="宋体" w:cs="宋体"/>
          <w:color w:val="auto"/>
          <w:spacing w:val="-2"/>
          <w:sz w:val="24"/>
          <w:szCs w:val="24"/>
          <w:highlight w:val="none"/>
        </w:rPr>
        <w:t>格式一致。</w:t>
      </w:r>
    </w:p>
    <w:p w14:paraId="19B2157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（4）投标文件中需签名(签字)的，投标人应按要求使用个人电子签名章进行签名。</w:t>
      </w:r>
      <w:bookmarkStart w:id="171" w:name="bookmark110"/>
      <w:bookmarkEnd w:id="171"/>
      <w:r>
        <w:rPr>
          <w:rFonts w:ascii="宋体" w:hAnsi="宋体" w:eastAsia="宋体" w:cs="宋体"/>
          <w:color w:val="auto"/>
          <w:spacing w:val="5"/>
          <w:sz w:val="24"/>
          <w:szCs w:val="24"/>
          <w:highlight w:val="none"/>
        </w:rPr>
        <w:t>如投标人法定代表人或其委托代理人或总监理工程师（含备选，如</w:t>
      </w:r>
      <w:r>
        <w:rPr>
          <w:rFonts w:ascii="宋体" w:hAnsi="宋体" w:eastAsia="宋体" w:cs="宋体"/>
          <w:color w:val="auto"/>
          <w:spacing w:val="4"/>
          <w:sz w:val="24"/>
          <w:szCs w:val="24"/>
          <w:highlight w:val="none"/>
        </w:rPr>
        <w:t>有）或驻地监理工</w:t>
      </w:r>
      <w:r>
        <w:rPr>
          <w:rFonts w:ascii="宋体" w:hAnsi="宋体" w:eastAsia="宋体" w:cs="宋体"/>
          <w:color w:val="auto"/>
          <w:spacing w:val="-2"/>
          <w:sz w:val="24"/>
          <w:szCs w:val="24"/>
          <w:highlight w:val="none"/>
        </w:rPr>
        <w:t>程师（含备选，如有）未办理个人电子签名章的，投标人应打印需要签名的相关页面，</w:t>
      </w:r>
      <w:r>
        <w:rPr>
          <w:rFonts w:ascii="宋体" w:hAnsi="宋体" w:eastAsia="宋体" w:cs="宋体"/>
          <w:color w:val="auto"/>
          <w:spacing w:val="-1"/>
          <w:sz w:val="24"/>
          <w:szCs w:val="24"/>
          <w:highlight w:val="none"/>
        </w:rPr>
        <w:t>本人亲笔签名后扫描上传至投标文件相应位置中。</w:t>
      </w:r>
    </w:p>
    <w:p w14:paraId="105EB9C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（5）投标文件制作完成后，投标人应使用</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CA 数字证书</w:t>
      </w:r>
      <w:r>
        <w:rPr>
          <w:rFonts w:ascii="宋体" w:hAnsi="宋体" w:eastAsia="宋体" w:cs="宋体"/>
          <w:color w:val="auto"/>
          <w:spacing w:val="-3"/>
          <w:sz w:val="24"/>
          <w:szCs w:val="24"/>
          <w:highlight w:val="none"/>
        </w:rPr>
        <w:t>对投标文件进行文件加密，</w:t>
      </w:r>
      <w:r>
        <w:rPr>
          <w:rFonts w:ascii="宋体" w:hAnsi="宋体" w:eastAsia="宋体" w:cs="宋体"/>
          <w:color w:val="auto"/>
          <w:spacing w:val="-2"/>
          <w:sz w:val="24"/>
          <w:szCs w:val="24"/>
          <w:highlight w:val="none"/>
        </w:rPr>
        <w:t>形成加密的投标文件。</w:t>
      </w:r>
    </w:p>
    <w:p w14:paraId="4012E53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3.7.4</w:t>
      </w:r>
      <w:r>
        <w:rPr>
          <w:rFonts w:ascii="宋体" w:hAnsi="宋体" w:eastAsia="宋体" w:cs="宋体"/>
          <w:color w:val="auto"/>
          <w:spacing w:val="35"/>
          <w:sz w:val="24"/>
          <w:szCs w:val="24"/>
          <w:highlight w:val="none"/>
        </w:rPr>
        <w:t xml:space="preserve"> </w:t>
      </w:r>
      <w:r>
        <w:rPr>
          <w:rFonts w:ascii="宋体" w:hAnsi="宋体" w:eastAsia="宋体" w:cs="宋体"/>
          <w:color w:val="auto"/>
          <w:spacing w:val="2"/>
          <w:sz w:val="24"/>
          <w:szCs w:val="24"/>
          <w:highlight w:val="none"/>
        </w:rPr>
        <w:t>因投标人自身原因而导致投标文件</w:t>
      </w:r>
      <w:r>
        <w:rPr>
          <w:rFonts w:ascii="宋体" w:hAnsi="宋体" w:eastAsia="宋体" w:cs="宋体"/>
          <w:color w:val="auto"/>
          <w:spacing w:val="1"/>
          <w:sz w:val="24"/>
          <w:szCs w:val="24"/>
          <w:highlight w:val="none"/>
        </w:rPr>
        <w:t>无法导入“</w:t>
      </w:r>
      <w:r>
        <w:rPr>
          <w:rFonts w:ascii="宋体" w:hAnsi="宋体" w:eastAsia="宋体" w:cs="宋体"/>
          <w:color w:val="auto"/>
          <w:spacing w:val="-75"/>
          <w:sz w:val="24"/>
          <w:szCs w:val="24"/>
          <w:highlight w:val="none"/>
        </w:rPr>
        <w:t xml:space="preserve"> </w:t>
      </w:r>
      <w:r>
        <w:rPr>
          <w:rFonts w:ascii="宋体" w:hAnsi="宋体" w:eastAsia="宋体" w:cs="宋体"/>
          <w:color w:val="auto"/>
          <w:spacing w:val="1"/>
          <w:sz w:val="24"/>
          <w:szCs w:val="24"/>
          <w:highlight w:val="none"/>
        </w:rPr>
        <w:t>电子交易平台</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”电子开标、</w:t>
      </w:r>
      <w:r>
        <w:rPr>
          <w:rFonts w:ascii="宋体" w:hAnsi="宋体" w:eastAsia="宋体" w:cs="宋体"/>
          <w:color w:val="auto"/>
          <w:spacing w:val="5"/>
          <w:sz w:val="24"/>
          <w:szCs w:val="24"/>
          <w:highlight w:val="none"/>
        </w:rPr>
        <w:t>评标系统，该投标视为无效投标，投标人自行承担由此导致的全部责任。投标</w:t>
      </w:r>
      <w:r>
        <w:rPr>
          <w:rFonts w:ascii="宋体" w:hAnsi="宋体" w:eastAsia="宋体" w:cs="宋体"/>
          <w:color w:val="auto"/>
          <w:spacing w:val="4"/>
          <w:sz w:val="24"/>
          <w:szCs w:val="24"/>
          <w:highlight w:val="none"/>
        </w:rPr>
        <w:t>文件其</w:t>
      </w:r>
      <w:r>
        <w:rPr>
          <w:rFonts w:ascii="宋体" w:hAnsi="宋体" w:eastAsia="宋体" w:cs="宋体"/>
          <w:color w:val="auto"/>
          <w:spacing w:val="-1"/>
          <w:sz w:val="24"/>
          <w:szCs w:val="24"/>
          <w:highlight w:val="none"/>
        </w:rPr>
        <w:t>他要求见投标人须知前附表。</w:t>
      </w:r>
    </w:p>
    <w:p w14:paraId="56A1BD66">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72" w:name="_Toc17810"/>
      <w:bookmarkStart w:id="173" w:name="_Toc22249"/>
      <w:r>
        <w:rPr>
          <w:rFonts w:ascii="宋体" w:hAnsi="宋体" w:eastAsia="宋体" w:cs="宋体"/>
          <w:b/>
          <w:bCs/>
          <w:color w:val="auto"/>
          <w:spacing w:val="-9"/>
          <w:sz w:val="28"/>
          <w:szCs w:val="28"/>
          <w:highlight w:val="none"/>
        </w:rPr>
        <w:t>4.</w:t>
      </w:r>
      <w:r>
        <w:rPr>
          <w:rFonts w:ascii="宋体" w:hAnsi="宋体" w:eastAsia="宋体" w:cs="宋体"/>
          <w:color w:val="auto"/>
          <w:spacing w:val="17"/>
          <w:sz w:val="28"/>
          <w:szCs w:val="28"/>
          <w:highlight w:val="none"/>
        </w:rPr>
        <w:t xml:space="preserve"> </w:t>
      </w:r>
      <w:r>
        <w:rPr>
          <w:rFonts w:ascii="宋体" w:hAnsi="宋体" w:eastAsia="宋体" w:cs="宋体"/>
          <w:b/>
          <w:bCs/>
          <w:color w:val="auto"/>
          <w:spacing w:val="-9"/>
          <w:sz w:val="28"/>
          <w:szCs w:val="28"/>
          <w:highlight w:val="none"/>
        </w:rPr>
        <w:t>投标</w:t>
      </w:r>
      <w:bookmarkEnd w:id="172"/>
      <w:bookmarkEnd w:id="173"/>
    </w:p>
    <w:p w14:paraId="0B340D2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74" w:name="_Toc12674"/>
      <w:bookmarkStart w:id="175" w:name="_Toc9702"/>
      <w:bookmarkStart w:id="176" w:name="_Toc13103"/>
      <w:bookmarkStart w:id="177" w:name="_Toc508"/>
      <w:r>
        <w:rPr>
          <w:rFonts w:ascii="宋体" w:hAnsi="宋体" w:eastAsia="宋体" w:cs="宋体"/>
          <w:b/>
          <w:bCs/>
          <w:color w:val="auto"/>
          <w:spacing w:val="-3"/>
          <w:sz w:val="24"/>
          <w:szCs w:val="24"/>
          <w:highlight w:val="none"/>
        </w:rPr>
        <w:t>4.1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投标文件的加密</w:t>
      </w:r>
      <w:bookmarkEnd w:id="174"/>
      <w:bookmarkEnd w:id="175"/>
      <w:bookmarkEnd w:id="176"/>
      <w:bookmarkEnd w:id="177"/>
    </w:p>
    <w:p w14:paraId="464626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投标文件应按照本章第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4"/>
          <w:sz w:val="24"/>
          <w:szCs w:val="24"/>
          <w:highlight w:val="none"/>
        </w:rPr>
        <w:t>3.7.3</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项要求制作并加密，未</w:t>
      </w:r>
      <w:r>
        <w:rPr>
          <w:rFonts w:ascii="宋体" w:hAnsi="宋体" w:eastAsia="宋体" w:cs="宋体"/>
          <w:color w:val="auto"/>
          <w:spacing w:val="3"/>
          <w:sz w:val="24"/>
          <w:szCs w:val="24"/>
          <w:highlight w:val="none"/>
        </w:rPr>
        <w:t>按要求加密的投标文件，招</w:t>
      </w:r>
      <w:r>
        <w:rPr>
          <w:rFonts w:ascii="宋体" w:hAnsi="宋体" w:eastAsia="宋体" w:cs="宋体"/>
          <w:color w:val="auto"/>
          <w:spacing w:val="-6"/>
          <w:sz w:val="24"/>
          <w:szCs w:val="24"/>
          <w:highlight w:val="none"/>
        </w:rPr>
        <w:t>标人（</w:t>
      </w:r>
      <w:r>
        <w:rPr>
          <w:rFonts w:ascii="宋体" w:hAnsi="宋体" w:eastAsia="宋体" w:cs="宋体"/>
          <w:color w:val="auto"/>
          <w:spacing w:val="-75"/>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6"/>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6"/>
          <w:sz w:val="24"/>
          <w:szCs w:val="24"/>
          <w:highlight w:val="none"/>
        </w:rPr>
        <w:t>”）将拒绝接收并提示。</w:t>
      </w:r>
    </w:p>
    <w:p w14:paraId="01D7C6AD">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78" w:name="_Toc15790"/>
      <w:bookmarkStart w:id="179" w:name="_Toc13592"/>
      <w:bookmarkStart w:id="180" w:name="_Toc28945"/>
      <w:bookmarkStart w:id="181" w:name="_Toc22522"/>
      <w:r>
        <w:rPr>
          <w:rFonts w:ascii="宋体" w:hAnsi="宋体" w:eastAsia="宋体" w:cs="宋体"/>
          <w:b/>
          <w:bCs/>
          <w:color w:val="auto"/>
          <w:spacing w:val="-4"/>
          <w:sz w:val="24"/>
          <w:szCs w:val="24"/>
          <w:highlight w:val="none"/>
        </w:rPr>
        <w:t>4.2</w:t>
      </w:r>
      <w:r>
        <w:rPr>
          <w:rFonts w:ascii="宋体" w:hAnsi="宋体" w:eastAsia="宋体" w:cs="宋体"/>
          <w:color w:val="auto"/>
          <w:spacing w:val="70"/>
          <w:sz w:val="24"/>
          <w:szCs w:val="24"/>
          <w:highlight w:val="none"/>
        </w:rPr>
        <w:t xml:space="preserve"> </w:t>
      </w:r>
      <w:r>
        <w:rPr>
          <w:rFonts w:ascii="宋体" w:hAnsi="宋体" w:eastAsia="宋体" w:cs="宋体"/>
          <w:b/>
          <w:bCs/>
          <w:color w:val="auto"/>
          <w:spacing w:val="-4"/>
          <w:sz w:val="24"/>
          <w:szCs w:val="24"/>
          <w:highlight w:val="none"/>
        </w:rPr>
        <w:t>投标文件的递交</w:t>
      </w:r>
      <w:bookmarkEnd w:id="178"/>
      <w:bookmarkEnd w:id="179"/>
      <w:bookmarkEnd w:id="180"/>
      <w:bookmarkEnd w:id="181"/>
    </w:p>
    <w:p w14:paraId="1E23496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4.2.1 投标人应在第一章“招标公告 ”规定的投标截止时间前，通过互联网使用CA 数字证书登录“ 电子交易平台 ”，将加密的投标文件上传，并保存上传成功后系统自动生成的电子签收凭证，递交时间即为电子签收凭证时间。</w:t>
      </w:r>
    </w:p>
    <w:p w14:paraId="393F84E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4.2.2 投标人应充分考虑上传文件时的不可预见因素，未在投标截止时间前完成电子投标文件上传的，视为逾期送达，招标人（“ 电子交易平台 ”）将拒绝接收。</w:t>
      </w:r>
    </w:p>
    <w:p w14:paraId="3CDB05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4.2.3 投标人所递交的电子投标文件不予退还。</w:t>
      </w:r>
    </w:p>
    <w:p w14:paraId="4D730E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4.2.4 逾期到达或者未到达的投标文件视为放弃本次投标。</w:t>
      </w:r>
    </w:p>
    <w:p w14:paraId="441128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4.2.5 在特殊情况下，招标人如果决定延后投标截止时间，应在“电子交易平台”以补遗书的形式通知所有投标人延后投标截止时间。在此情况下，招标人和投标人的权利和义务相应延后至新的投标截止时间。</w:t>
      </w:r>
    </w:p>
    <w:p w14:paraId="3B34F0A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82" w:name="_Toc17111"/>
      <w:bookmarkStart w:id="183" w:name="_Toc21494"/>
      <w:bookmarkStart w:id="184" w:name="_Toc6890"/>
      <w:bookmarkStart w:id="185" w:name="_Toc32475"/>
      <w:r>
        <w:rPr>
          <w:rFonts w:ascii="宋体" w:hAnsi="宋体" w:eastAsia="宋体" w:cs="宋体"/>
          <w:b/>
          <w:bCs/>
          <w:color w:val="auto"/>
          <w:spacing w:val="-2"/>
          <w:sz w:val="24"/>
          <w:szCs w:val="24"/>
          <w:highlight w:val="none"/>
        </w:rPr>
        <w:t>4.3</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投标文件的修改与撤回</w:t>
      </w:r>
      <w:bookmarkEnd w:id="182"/>
      <w:bookmarkEnd w:id="183"/>
      <w:bookmarkEnd w:id="184"/>
      <w:bookmarkEnd w:id="185"/>
    </w:p>
    <w:p w14:paraId="2F16B6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4.3.1 在本章第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项规定的投标截止时间前，投</w:t>
      </w:r>
      <w:r>
        <w:rPr>
          <w:rFonts w:ascii="宋体" w:hAnsi="宋体" w:eastAsia="宋体" w:cs="宋体"/>
          <w:color w:val="auto"/>
          <w:spacing w:val="3"/>
          <w:sz w:val="24"/>
          <w:szCs w:val="24"/>
          <w:highlight w:val="none"/>
        </w:rPr>
        <w:t>标人可以修改或撤回已递交的投标文件。投标人对加密的投标文件进行撤回的，应在“</w:t>
      </w:r>
      <w:r>
        <w:rPr>
          <w:rFonts w:ascii="宋体" w:hAnsi="宋体" w:eastAsia="宋体" w:cs="宋体"/>
          <w:color w:val="auto"/>
          <w:spacing w:val="-78"/>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”直接进行</w:t>
      </w:r>
      <w:r>
        <w:rPr>
          <w:rFonts w:ascii="宋体" w:hAnsi="宋体" w:eastAsia="宋体" w:cs="宋体"/>
          <w:color w:val="auto"/>
          <w:sz w:val="24"/>
          <w:szCs w:val="24"/>
          <w:highlight w:val="none"/>
        </w:rPr>
        <w:t>撤回操作；投标人对加密的投标文件进行修改的，应在投标</w:t>
      </w:r>
      <w:r>
        <w:rPr>
          <w:rFonts w:ascii="宋体" w:hAnsi="宋体" w:eastAsia="宋体" w:cs="宋体"/>
          <w:color w:val="auto"/>
          <w:spacing w:val="-1"/>
          <w:sz w:val="24"/>
          <w:szCs w:val="24"/>
          <w:highlight w:val="none"/>
        </w:rPr>
        <w:t>截止时间前完成上传。</w:t>
      </w:r>
    </w:p>
    <w:p w14:paraId="273BC2C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4.3.2</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投标人修改投标文件的，应使用“投标文件制作工具</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”制作成</w:t>
      </w:r>
      <w:r>
        <w:rPr>
          <w:rFonts w:ascii="宋体" w:hAnsi="宋体" w:eastAsia="宋体" w:cs="宋体"/>
          <w:color w:val="auto"/>
          <w:spacing w:val="-2"/>
          <w:sz w:val="24"/>
          <w:szCs w:val="24"/>
          <w:highlight w:val="none"/>
        </w:rPr>
        <w:t>完整的投标文</w:t>
      </w:r>
      <w:r>
        <w:rPr>
          <w:rFonts w:ascii="宋体" w:hAnsi="宋体" w:eastAsia="宋体" w:cs="宋体"/>
          <w:color w:val="auto"/>
          <w:spacing w:val="3"/>
          <w:sz w:val="24"/>
          <w:szCs w:val="24"/>
          <w:highlight w:val="none"/>
        </w:rPr>
        <w:t>件，并按照本章第</w:t>
      </w:r>
      <w:r>
        <w:rPr>
          <w:rFonts w:ascii="宋体" w:hAnsi="宋体" w:eastAsia="宋体" w:cs="宋体"/>
          <w:color w:val="auto"/>
          <w:spacing w:val="-37"/>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条规定进行编制、加密和递交。对采用网上递交的加密</w:t>
      </w:r>
      <w:r>
        <w:rPr>
          <w:rFonts w:ascii="宋体" w:hAnsi="宋体" w:eastAsia="宋体" w:cs="宋体"/>
          <w:color w:val="auto"/>
          <w:spacing w:val="-1"/>
          <w:sz w:val="24"/>
          <w:szCs w:val="24"/>
          <w:highlight w:val="none"/>
        </w:rPr>
        <w:t>的投标文件，以投标截止时间前最后完成上传的文件为准。</w:t>
      </w:r>
    </w:p>
    <w:p w14:paraId="1DD3E9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4.3.3 投标人撤回投标文件的，招标人自收到投标人撤回通知之日起 5 日内退还已收取的投标保证金。</w:t>
      </w:r>
    </w:p>
    <w:p w14:paraId="2244EDA0">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186" w:name="_Toc18754"/>
      <w:bookmarkStart w:id="187" w:name="_Toc24737"/>
      <w:r>
        <w:rPr>
          <w:rFonts w:ascii="宋体" w:hAnsi="宋体" w:eastAsia="宋体" w:cs="宋体"/>
          <w:b/>
          <w:bCs/>
          <w:color w:val="auto"/>
          <w:spacing w:val="-10"/>
          <w:sz w:val="28"/>
          <w:szCs w:val="28"/>
          <w:highlight w:val="none"/>
        </w:rPr>
        <w:t>5.</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10"/>
          <w:sz w:val="28"/>
          <w:szCs w:val="28"/>
          <w:highlight w:val="none"/>
        </w:rPr>
        <w:t>开标</w:t>
      </w:r>
      <w:bookmarkEnd w:id="186"/>
      <w:bookmarkEnd w:id="187"/>
    </w:p>
    <w:p w14:paraId="14723F60">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88" w:name="_Toc22703"/>
      <w:bookmarkStart w:id="189" w:name="_Toc1821"/>
      <w:bookmarkStart w:id="190" w:name="_Toc3608"/>
      <w:bookmarkStart w:id="191" w:name="_Toc28787"/>
      <w:r>
        <w:rPr>
          <w:rFonts w:ascii="宋体" w:hAnsi="宋体" w:eastAsia="宋体" w:cs="宋体"/>
          <w:b/>
          <w:bCs/>
          <w:color w:val="auto"/>
          <w:spacing w:val="-3"/>
          <w:sz w:val="24"/>
          <w:szCs w:val="24"/>
          <w:highlight w:val="none"/>
        </w:rPr>
        <w:t>5.1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开标时间和地点</w:t>
      </w:r>
      <w:bookmarkEnd w:id="188"/>
      <w:bookmarkEnd w:id="189"/>
      <w:bookmarkEnd w:id="190"/>
      <w:bookmarkEnd w:id="191"/>
    </w:p>
    <w:p w14:paraId="359E077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招标人在本章第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项规定的投标截止时间（开标时间）和投标人须知前</w:t>
      </w:r>
      <w:r>
        <w:rPr>
          <w:rFonts w:ascii="宋体" w:hAnsi="宋体" w:eastAsia="宋体" w:cs="宋体"/>
          <w:color w:val="auto"/>
          <w:spacing w:val="3"/>
          <w:sz w:val="24"/>
          <w:szCs w:val="24"/>
          <w:highlight w:val="none"/>
        </w:rPr>
        <w:t>附表</w:t>
      </w:r>
      <w:r>
        <w:rPr>
          <w:rFonts w:ascii="宋体" w:hAnsi="宋体" w:eastAsia="宋体" w:cs="宋体"/>
          <w:color w:val="auto"/>
          <w:spacing w:val="5"/>
          <w:sz w:val="24"/>
          <w:szCs w:val="24"/>
          <w:highlight w:val="none"/>
        </w:rPr>
        <w:t>规定的地点对收到的投标文件第一个信封（商务及技术文件）公开开标，</w:t>
      </w:r>
      <w:r>
        <w:rPr>
          <w:rFonts w:ascii="宋体" w:hAnsi="宋体" w:eastAsia="宋体" w:cs="宋体"/>
          <w:color w:val="auto"/>
          <w:spacing w:val="4"/>
          <w:sz w:val="24"/>
          <w:szCs w:val="24"/>
          <w:highlight w:val="none"/>
        </w:rPr>
        <w:t>并邀请所有</w:t>
      </w:r>
      <w:r>
        <w:rPr>
          <w:rFonts w:ascii="宋体" w:hAnsi="宋体" w:eastAsia="宋体" w:cs="宋体"/>
          <w:color w:val="auto"/>
          <w:spacing w:val="-1"/>
          <w:sz w:val="24"/>
          <w:szCs w:val="24"/>
          <w:highlight w:val="none"/>
        </w:rPr>
        <w:t>投标人的法定代表人或其委托代理人准时参加。</w:t>
      </w:r>
    </w:p>
    <w:p w14:paraId="1725711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招标人在投标人须知前附表规定的时间和地点对投标文件第二个信封（报价文件）公开开标，并邀请所有投标人的法定代表人或其委托代理人准时参加。</w:t>
      </w:r>
    </w:p>
    <w:p w14:paraId="4ADFAE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投标人若未派法定代表人或委托代理人参加第一个信封（商务及技术文件）开标</w:t>
      </w:r>
      <w:r>
        <w:rPr>
          <w:rFonts w:ascii="宋体" w:hAnsi="宋体" w:eastAsia="宋体" w:cs="宋体"/>
          <w:color w:val="auto"/>
          <w:spacing w:val="-1"/>
          <w:sz w:val="24"/>
          <w:szCs w:val="24"/>
          <w:highlight w:val="none"/>
        </w:rPr>
        <w:t>或第二个信封（报价文件）开标的，视为该投标人默认开标结果。</w:t>
      </w:r>
    </w:p>
    <w:p w14:paraId="1AE55C2D">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192" w:name="_Toc25290"/>
      <w:bookmarkStart w:id="193" w:name="_Toc10378"/>
      <w:bookmarkStart w:id="194" w:name="_Toc8551"/>
      <w:bookmarkStart w:id="195" w:name="_Toc5921"/>
      <w:r>
        <w:rPr>
          <w:rFonts w:ascii="宋体" w:hAnsi="宋体" w:eastAsia="宋体" w:cs="宋体"/>
          <w:b/>
          <w:bCs/>
          <w:color w:val="auto"/>
          <w:spacing w:val="-6"/>
          <w:sz w:val="24"/>
          <w:szCs w:val="24"/>
          <w:highlight w:val="none"/>
        </w:rPr>
        <w:t>5.2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开标程序</w:t>
      </w:r>
      <w:bookmarkEnd w:id="192"/>
      <w:bookmarkEnd w:id="193"/>
      <w:bookmarkEnd w:id="194"/>
      <w:bookmarkEnd w:id="195"/>
    </w:p>
    <w:p w14:paraId="4CC5679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投标截止时间前未完成投标文件传输的，或因投标人之外的原因造成投标文件未解密的，均视为投标人撤回其电子投标文件。因投标人原因造成投标文件未解</w:t>
      </w:r>
      <w:r>
        <w:rPr>
          <w:rFonts w:ascii="宋体" w:hAnsi="宋体" w:eastAsia="宋体" w:cs="宋体"/>
          <w:color w:val="auto"/>
          <w:spacing w:val="4"/>
          <w:sz w:val="24"/>
          <w:szCs w:val="24"/>
          <w:highlight w:val="none"/>
        </w:rPr>
        <w:t>密的或</w:t>
      </w:r>
      <w:r>
        <w:rPr>
          <w:rFonts w:ascii="宋体" w:hAnsi="宋体" w:eastAsia="宋体" w:cs="宋体"/>
          <w:color w:val="auto"/>
          <w:spacing w:val="5"/>
          <w:sz w:val="24"/>
          <w:szCs w:val="24"/>
          <w:highlight w:val="none"/>
        </w:rPr>
        <w:t>未在投标截止时间后投标人须知前附表规定的解密时间内解密的，视为撤销其</w:t>
      </w:r>
      <w:r>
        <w:rPr>
          <w:rFonts w:ascii="宋体" w:hAnsi="宋体" w:eastAsia="宋体" w:cs="宋体"/>
          <w:color w:val="auto"/>
          <w:spacing w:val="4"/>
          <w:sz w:val="24"/>
          <w:szCs w:val="24"/>
          <w:highlight w:val="none"/>
        </w:rPr>
        <w:t>投标文</w:t>
      </w:r>
      <w:r>
        <w:rPr>
          <w:rFonts w:ascii="宋体" w:hAnsi="宋体" w:eastAsia="宋体" w:cs="宋体"/>
          <w:color w:val="auto"/>
          <w:spacing w:val="-5"/>
          <w:sz w:val="24"/>
          <w:szCs w:val="24"/>
          <w:highlight w:val="none"/>
        </w:rPr>
        <w:t>件。</w:t>
      </w:r>
    </w:p>
    <w:p w14:paraId="09BA77C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投标文件第一个信封（商务及技术文件</w:t>
      </w:r>
      <w:r>
        <w:rPr>
          <w:rFonts w:ascii="宋体" w:hAnsi="宋体" w:eastAsia="宋体" w:cs="宋体"/>
          <w:color w:val="auto"/>
          <w:spacing w:val="-2"/>
          <w:sz w:val="24"/>
          <w:szCs w:val="24"/>
          <w:highlight w:val="none"/>
        </w:rPr>
        <w:t>）开标</w:t>
      </w:r>
    </w:p>
    <w:p w14:paraId="6BE96E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招标人将按照本章第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款规定的时间和地点对投标文件第一个信封（商务及技</w:t>
      </w:r>
      <w:r>
        <w:rPr>
          <w:rFonts w:ascii="宋体" w:hAnsi="宋体" w:eastAsia="宋体" w:cs="宋体"/>
          <w:color w:val="auto"/>
          <w:spacing w:val="-2"/>
          <w:sz w:val="24"/>
          <w:szCs w:val="24"/>
          <w:highlight w:val="none"/>
        </w:rPr>
        <w:t>术文件）进行开标：</w:t>
      </w:r>
    </w:p>
    <w:p w14:paraId="02ABF9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01D572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（2）开标由招标人或其委托的招标代理机构主持，宣布开标纪律。</w:t>
      </w:r>
    </w:p>
    <w:p w14:paraId="7919808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（3）宣布开标人、唱标人、记录人等有关人员姓名。</w:t>
      </w:r>
    </w:p>
    <w:p w14:paraId="3E0198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（4）宣布开标顺序：按各标段投标文件到达系统的先后顺序。</w:t>
      </w:r>
    </w:p>
    <w:p w14:paraId="53002CC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（5）检查各标段投标文件递交到达的情况。若某标段递交到达投标文件的投标人</w:t>
      </w:r>
      <w:r>
        <w:rPr>
          <w:rFonts w:ascii="宋体" w:hAnsi="宋体" w:eastAsia="宋体" w:cs="宋体"/>
          <w:color w:val="auto"/>
          <w:spacing w:val="-3"/>
          <w:sz w:val="24"/>
          <w:szCs w:val="24"/>
          <w:highlight w:val="none"/>
        </w:rPr>
        <w:t>不足</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3"/>
          <w:sz w:val="24"/>
          <w:szCs w:val="24"/>
          <w:highlight w:val="none"/>
        </w:rPr>
        <w:t>个，则该标段不予开标。</w:t>
      </w:r>
    </w:p>
    <w:p w14:paraId="391B4B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（6）投标人解密。招标人应在第一个信封（商务及技术文件）开标现场宣布解密</w:t>
      </w:r>
      <w:r>
        <w:rPr>
          <w:rFonts w:ascii="宋体" w:hAnsi="宋体" w:eastAsia="宋体" w:cs="宋体"/>
          <w:color w:val="auto"/>
          <w:spacing w:val="5"/>
          <w:sz w:val="24"/>
          <w:szCs w:val="24"/>
          <w:highlight w:val="none"/>
        </w:rPr>
        <w:t>的开始时间，投标人应在系统通知解密开始后按投标人须知前附表规定的解密</w:t>
      </w:r>
      <w:r>
        <w:rPr>
          <w:rFonts w:ascii="宋体" w:hAnsi="宋体" w:eastAsia="宋体" w:cs="宋体"/>
          <w:color w:val="auto"/>
          <w:spacing w:val="4"/>
          <w:sz w:val="24"/>
          <w:szCs w:val="24"/>
          <w:highlight w:val="none"/>
        </w:rPr>
        <w:t>时间内</w:t>
      </w:r>
      <w:r>
        <w:rPr>
          <w:rFonts w:ascii="宋体" w:hAnsi="宋体" w:eastAsia="宋体" w:cs="宋体"/>
          <w:color w:val="auto"/>
          <w:spacing w:val="5"/>
          <w:sz w:val="24"/>
          <w:szCs w:val="24"/>
          <w:highlight w:val="none"/>
        </w:rPr>
        <w:t>（解密时长详见投标人须知前附表）对所递交的第一个信封（商务及技术文件</w:t>
      </w:r>
      <w:r>
        <w:rPr>
          <w:rFonts w:ascii="宋体" w:hAnsi="宋体" w:eastAsia="宋体" w:cs="宋体"/>
          <w:color w:val="auto"/>
          <w:spacing w:val="4"/>
          <w:sz w:val="24"/>
          <w:szCs w:val="24"/>
          <w:highlight w:val="none"/>
        </w:rPr>
        <w:t>）进行</w:t>
      </w:r>
      <w:r>
        <w:rPr>
          <w:rFonts w:ascii="宋体" w:hAnsi="宋体" w:eastAsia="宋体" w:cs="宋体"/>
          <w:color w:val="auto"/>
          <w:spacing w:val="-3"/>
          <w:sz w:val="24"/>
          <w:szCs w:val="24"/>
          <w:highlight w:val="none"/>
        </w:rPr>
        <w:t>解密。</w:t>
      </w:r>
    </w:p>
    <w:p w14:paraId="5E873A30">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（7）招标人解密。招标人在投标人解密截止时间后，对投标人解密成功的第一个</w:t>
      </w:r>
      <w:r>
        <w:rPr>
          <w:rFonts w:ascii="宋体" w:hAnsi="宋体" w:eastAsia="宋体" w:cs="宋体"/>
          <w:color w:val="auto"/>
          <w:spacing w:val="-2"/>
          <w:sz w:val="24"/>
          <w:szCs w:val="24"/>
          <w:highlight w:val="none"/>
        </w:rPr>
        <w:t>信封进行解密。</w:t>
      </w:r>
    </w:p>
    <w:p w14:paraId="56BE361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（8）公布投标人名称、投标保证金递交情况、解密情况及其他内容，并记录在案。</w:t>
      </w:r>
    </w:p>
    <w:p w14:paraId="2DB7C1AB">
      <w:pPr>
        <w:keepNext w:val="0"/>
        <w:keepLines w:val="0"/>
        <w:pageBreakBefore w:val="0"/>
        <w:wordWrap/>
        <w:overflowPunct/>
        <w:topLinePunct w:val="0"/>
        <w:bidi w:val="0"/>
        <w:spacing w:line="500" w:lineRule="exact"/>
        <w:ind w:left="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（9）投标人代表、招标人、监标人（如有）、见证人（如有）等有关人员在开标</w:t>
      </w:r>
      <w:r>
        <w:rPr>
          <w:rFonts w:ascii="宋体" w:hAnsi="宋体" w:eastAsia="宋体" w:cs="宋体"/>
          <w:color w:val="auto"/>
          <w:spacing w:val="-1"/>
          <w:sz w:val="24"/>
          <w:szCs w:val="24"/>
          <w:highlight w:val="none"/>
        </w:rPr>
        <w:t>记录上签字确认，投标人代表未签字确认的视为默认开标结果。</w:t>
      </w:r>
    </w:p>
    <w:p w14:paraId="46627AA1">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（10）开标会议结束。</w:t>
      </w:r>
    </w:p>
    <w:p w14:paraId="7F160D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5.2.2 投标文件第二个信封（报价文件）在投标</w:t>
      </w:r>
      <w:r>
        <w:rPr>
          <w:rFonts w:ascii="宋体" w:hAnsi="宋体" w:eastAsia="宋体" w:cs="宋体"/>
          <w:color w:val="auto"/>
          <w:spacing w:val="4"/>
          <w:sz w:val="24"/>
          <w:szCs w:val="24"/>
          <w:highlight w:val="none"/>
        </w:rPr>
        <w:t>文件第一个信封（商务及技术文</w:t>
      </w:r>
      <w:r>
        <w:rPr>
          <w:rFonts w:ascii="宋体" w:hAnsi="宋体" w:eastAsia="宋体" w:cs="宋体"/>
          <w:color w:val="auto"/>
          <w:spacing w:val="-3"/>
          <w:sz w:val="24"/>
          <w:szCs w:val="24"/>
          <w:highlight w:val="none"/>
        </w:rPr>
        <w:t>件）完成评审前，“</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”的开标评标系统将不进行读取。</w:t>
      </w:r>
    </w:p>
    <w:p w14:paraId="61704DC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5.2.3 投标文件第二个信封（报价文件）进行开标</w:t>
      </w:r>
    </w:p>
    <w:p w14:paraId="27C599A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招标人将按照本章第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2"/>
          <w:sz w:val="24"/>
          <w:szCs w:val="24"/>
          <w:highlight w:val="none"/>
        </w:rPr>
        <w:t>5.1</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款规定的时间和地点对投标文件第二个信封（报价文件）</w:t>
      </w:r>
      <w:r>
        <w:rPr>
          <w:rFonts w:ascii="宋体" w:hAnsi="宋体" w:eastAsia="宋体" w:cs="宋体"/>
          <w:color w:val="auto"/>
          <w:spacing w:val="-1"/>
          <w:sz w:val="24"/>
          <w:szCs w:val="24"/>
          <w:highlight w:val="none"/>
        </w:rPr>
        <w:t>进行开标。主持人按下列程序进行开标：</w:t>
      </w:r>
    </w:p>
    <w:p w14:paraId="6B8DB6A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71A66FF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（2）宣布开标纪律。</w:t>
      </w:r>
    </w:p>
    <w:p w14:paraId="30DA81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（3）摇取下浮率（如需）、评标价</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E</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值（</w:t>
      </w:r>
      <w:r>
        <w:rPr>
          <w:rFonts w:ascii="宋体" w:hAnsi="宋体" w:eastAsia="宋体" w:cs="宋体"/>
          <w:color w:val="auto"/>
          <w:spacing w:val="-3"/>
          <w:sz w:val="24"/>
          <w:szCs w:val="24"/>
          <w:highlight w:val="none"/>
        </w:rPr>
        <w:t>如需</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在开标现场采取摇珠方式确定。</w:t>
      </w:r>
      <w:r>
        <w:rPr>
          <w:rFonts w:ascii="宋体" w:hAnsi="宋体" w:eastAsia="宋体" w:cs="宋体"/>
          <w:color w:val="auto"/>
          <w:spacing w:val="-1"/>
          <w:sz w:val="24"/>
          <w:szCs w:val="24"/>
          <w:highlight w:val="none"/>
        </w:rPr>
        <w:t>摇珠操作办法详见评标办法。</w:t>
      </w:r>
    </w:p>
    <w:p w14:paraId="6E633A2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（4）招标人或招标代理机构宣布第一个信封（商务及技术文件）评审结果。投标</w:t>
      </w:r>
      <w:r>
        <w:rPr>
          <w:rFonts w:ascii="宋体" w:hAnsi="宋体" w:eastAsia="宋体" w:cs="宋体"/>
          <w:color w:val="auto"/>
          <w:spacing w:val="-1"/>
          <w:sz w:val="24"/>
          <w:szCs w:val="24"/>
          <w:highlight w:val="none"/>
        </w:rPr>
        <w:t>人未通过第一个信封（商务及技术文件）评审的，对应标段的第二个信封（报价文件）</w:t>
      </w:r>
      <w:r>
        <w:rPr>
          <w:rFonts w:ascii="宋体" w:hAnsi="宋体" w:eastAsia="宋体" w:cs="宋体"/>
          <w:color w:val="auto"/>
          <w:spacing w:val="-3"/>
          <w:sz w:val="24"/>
          <w:szCs w:val="24"/>
          <w:highlight w:val="none"/>
        </w:rPr>
        <w:t>不予开标。</w:t>
      </w:r>
    </w:p>
    <w:p w14:paraId="6A44767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（5）宣布开标人、唱标人、记录人等有关人员姓名。</w:t>
      </w:r>
    </w:p>
    <w:p w14:paraId="771BAD2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（6）宣布开标顺序：方法同第一个信封的开标顺序。</w:t>
      </w:r>
    </w:p>
    <w:p w14:paraId="318D8A5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（7）投标人解密。招标人宣布第二个信封（报价文件）解密开始时间，投标人应</w:t>
      </w:r>
      <w:r>
        <w:rPr>
          <w:rFonts w:ascii="宋体" w:hAnsi="宋体" w:eastAsia="宋体" w:cs="宋体"/>
          <w:color w:val="auto"/>
          <w:spacing w:val="5"/>
          <w:sz w:val="24"/>
          <w:szCs w:val="24"/>
          <w:highlight w:val="none"/>
        </w:rPr>
        <w:t>在解密时长投标人须知前附表规定的解密时间内，对通过第一个信封（商务及</w:t>
      </w:r>
      <w:r>
        <w:rPr>
          <w:rFonts w:ascii="宋体" w:hAnsi="宋体" w:eastAsia="宋体" w:cs="宋体"/>
          <w:color w:val="auto"/>
          <w:spacing w:val="4"/>
          <w:sz w:val="24"/>
          <w:szCs w:val="24"/>
          <w:highlight w:val="none"/>
        </w:rPr>
        <w:t>技术文</w:t>
      </w:r>
      <w:r>
        <w:rPr>
          <w:rFonts w:ascii="宋体" w:hAnsi="宋体" w:eastAsia="宋体" w:cs="宋体"/>
          <w:color w:val="auto"/>
          <w:spacing w:val="-1"/>
          <w:sz w:val="24"/>
          <w:szCs w:val="24"/>
          <w:highlight w:val="none"/>
        </w:rPr>
        <w:t>件）评审的对应标段的第二个信封（报价文件）进行解密。</w:t>
      </w:r>
    </w:p>
    <w:p w14:paraId="61DDC6E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4"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（8）招标人解密。招标人在投标人解密截止时间后，对投标人解密成功的第二个</w:t>
      </w:r>
      <w:r>
        <w:rPr>
          <w:rFonts w:ascii="宋体" w:hAnsi="宋体" w:eastAsia="宋体" w:cs="宋体"/>
          <w:color w:val="auto"/>
          <w:spacing w:val="-2"/>
          <w:sz w:val="24"/>
          <w:szCs w:val="24"/>
          <w:highlight w:val="none"/>
        </w:rPr>
        <w:t>信封进行解密。</w:t>
      </w:r>
    </w:p>
    <w:p w14:paraId="53DB669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（9）根据解密后的投标文件中的投标函公布投标人名称、投标报价</w:t>
      </w:r>
      <w:r>
        <w:rPr>
          <w:rFonts w:ascii="宋体" w:hAnsi="宋体" w:eastAsia="宋体" w:cs="宋体"/>
          <w:color w:val="auto"/>
          <w:spacing w:val="-3"/>
          <w:sz w:val="24"/>
          <w:szCs w:val="24"/>
          <w:highlight w:val="none"/>
        </w:rPr>
        <w:t>（开标过程中，</w:t>
      </w:r>
      <w:r>
        <w:rPr>
          <w:rFonts w:ascii="宋体" w:hAnsi="宋体" w:eastAsia="宋体" w:cs="宋体"/>
          <w:color w:val="auto"/>
          <w:spacing w:val="5"/>
          <w:sz w:val="24"/>
          <w:szCs w:val="24"/>
          <w:highlight w:val="none"/>
        </w:rPr>
        <w:t>若开标记录表与投标文件投标函大写文字报价不一致时，以投标文件投标函大写</w:t>
      </w:r>
      <w:r>
        <w:rPr>
          <w:rFonts w:ascii="宋体" w:hAnsi="宋体" w:eastAsia="宋体" w:cs="宋体"/>
          <w:color w:val="auto"/>
          <w:spacing w:val="4"/>
          <w:sz w:val="24"/>
          <w:szCs w:val="24"/>
          <w:highlight w:val="none"/>
        </w:rPr>
        <w:t>文字</w:t>
      </w:r>
      <w:r>
        <w:rPr>
          <w:rFonts w:ascii="宋体" w:hAnsi="宋体" w:eastAsia="宋体" w:cs="宋体"/>
          <w:color w:val="auto"/>
          <w:spacing w:val="5"/>
          <w:sz w:val="24"/>
          <w:szCs w:val="24"/>
          <w:highlight w:val="none"/>
        </w:rPr>
        <w:t>报价为准）、解密情况及其他内容，并记录在案。将未通过投标文件第一个信封</w:t>
      </w:r>
      <w:r>
        <w:rPr>
          <w:rFonts w:ascii="宋体" w:hAnsi="宋体" w:eastAsia="宋体" w:cs="宋体"/>
          <w:color w:val="auto"/>
          <w:spacing w:val="4"/>
          <w:sz w:val="24"/>
          <w:szCs w:val="24"/>
          <w:highlight w:val="none"/>
        </w:rPr>
        <w:t>（商务及技术文件）评审的投标文件第二个信封（报价文件）光盘或</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U</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盘（如有）退还给</w:t>
      </w:r>
      <w:r>
        <w:rPr>
          <w:rFonts w:ascii="宋体" w:hAnsi="宋体" w:eastAsia="宋体" w:cs="宋体"/>
          <w:color w:val="auto"/>
          <w:spacing w:val="5"/>
          <w:sz w:val="24"/>
          <w:szCs w:val="24"/>
          <w:highlight w:val="none"/>
        </w:rPr>
        <w:t>投标人。如投标人未参加第二个信封开标的，招标人应当在评标结束后及时将第</w:t>
      </w:r>
      <w:r>
        <w:rPr>
          <w:rFonts w:ascii="宋体" w:hAnsi="宋体" w:eastAsia="宋体" w:cs="宋体"/>
          <w:color w:val="auto"/>
          <w:spacing w:val="4"/>
          <w:sz w:val="24"/>
          <w:szCs w:val="24"/>
          <w:highlight w:val="none"/>
        </w:rPr>
        <w:t>二个</w:t>
      </w:r>
      <w:r>
        <w:rPr>
          <w:rFonts w:ascii="宋体" w:hAnsi="宋体" w:eastAsia="宋体" w:cs="宋体"/>
          <w:color w:val="auto"/>
          <w:spacing w:val="-2"/>
          <w:sz w:val="24"/>
          <w:szCs w:val="24"/>
          <w:highlight w:val="none"/>
        </w:rPr>
        <w:t>信封光盘或</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U</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盘（如有）退还投标人。</w:t>
      </w:r>
    </w:p>
    <w:p w14:paraId="1A054FC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10）投标人代表、招标人、监标人（如有）、见证人（如有）等有关人员在开标记录上进行签字确认，投标人代表未签字确认的视为默认开标结果。如开标过程中出现需更正开标记录表的情况，招标人应通知所有投标人代表知晓，投标人代表、招标人、监标人（如有）、见证人（如有）等有关人员均应在更正后开标记录上进行签字确认，投标人代表未签字确认的视为默认更正结果。</w:t>
      </w:r>
    </w:p>
    <w:p w14:paraId="6644AF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（11）投标人对开标有异议的，应当在开标现场提出，招标人应当当场作出答复，并制作记录。未参加开标的投标人，视为对开标过程无异议。</w:t>
      </w:r>
    </w:p>
    <w:p w14:paraId="250E5DB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（12）开标会议结束。</w:t>
      </w:r>
    </w:p>
    <w:p w14:paraId="717E86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5.2.4 在投标文件第二个信封（报价文件）开标</w:t>
      </w:r>
      <w:r>
        <w:rPr>
          <w:rFonts w:ascii="宋体" w:hAnsi="宋体" w:eastAsia="宋体" w:cs="宋体"/>
          <w:color w:val="auto"/>
          <w:spacing w:val="4"/>
          <w:sz w:val="24"/>
          <w:szCs w:val="24"/>
          <w:highlight w:val="none"/>
        </w:rPr>
        <w:t>现场，招标人将按第三章“评标</w:t>
      </w:r>
      <w:r>
        <w:rPr>
          <w:rFonts w:ascii="宋体" w:hAnsi="宋体" w:eastAsia="宋体" w:cs="宋体"/>
          <w:color w:val="auto"/>
          <w:spacing w:val="-2"/>
          <w:sz w:val="24"/>
          <w:szCs w:val="24"/>
          <w:highlight w:val="none"/>
        </w:rPr>
        <w:t>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”规定的原则计算并宣布评标基准价。若招标</w:t>
      </w:r>
      <w:r>
        <w:rPr>
          <w:rFonts w:ascii="宋体" w:hAnsi="宋体" w:eastAsia="宋体" w:cs="宋体"/>
          <w:color w:val="auto"/>
          <w:spacing w:val="-3"/>
          <w:sz w:val="24"/>
          <w:szCs w:val="24"/>
          <w:highlight w:val="none"/>
        </w:rPr>
        <w:t>人发现投标文件出现以下任一情况，</w:t>
      </w:r>
      <w:r>
        <w:rPr>
          <w:rFonts w:ascii="宋体" w:hAnsi="宋体" w:eastAsia="宋体" w:cs="宋体"/>
          <w:color w:val="auto"/>
          <w:spacing w:val="-1"/>
          <w:sz w:val="24"/>
          <w:szCs w:val="24"/>
          <w:highlight w:val="none"/>
        </w:rPr>
        <w:t>其投标报价将不再参加评标基准价的计算：</w:t>
      </w:r>
    </w:p>
    <w:p w14:paraId="0938B8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（1）未在投标函上填写投标总价；</w:t>
      </w:r>
    </w:p>
    <w:p w14:paraId="3210FA8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（2）投标总报价超出招标人公布的最高投标限价；</w:t>
      </w:r>
    </w:p>
    <w:p w14:paraId="518962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（3）投标总报价的大写金额无法确定具体数值；</w:t>
      </w:r>
    </w:p>
    <w:p w14:paraId="04C5894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（4）投标函上填写的标段号标记错误。</w:t>
      </w:r>
    </w:p>
    <w:p w14:paraId="012266E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如果投标人认为某一标段的评标基准价计算有误，有权在开标现场提出，经招标人当场核实确认之后，可重新宣布评标基准价。开标现场宣布的评标基</w:t>
      </w:r>
      <w:r>
        <w:rPr>
          <w:rFonts w:ascii="宋体" w:hAnsi="宋体" w:eastAsia="宋体" w:cs="宋体"/>
          <w:color w:val="auto"/>
          <w:spacing w:val="4"/>
          <w:sz w:val="24"/>
          <w:szCs w:val="24"/>
          <w:highlight w:val="none"/>
        </w:rPr>
        <w:t>准价除计算有</w:t>
      </w:r>
      <w:r>
        <w:rPr>
          <w:rFonts w:ascii="宋体" w:hAnsi="宋体" w:eastAsia="宋体" w:cs="宋体"/>
          <w:color w:val="auto"/>
          <w:sz w:val="24"/>
          <w:szCs w:val="24"/>
          <w:highlight w:val="none"/>
        </w:rPr>
        <w:t>误经评标委员会修正外，在整个评标期间保持不</w:t>
      </w:r>
      <w:r>
        <w:rPr>
          <w:rFonts w:ascii="宋体" w:hAnsi="宋体" w:eastAsia="宋体" w:cs="宋体"/>
          <w:color w:val="auto"/>
          <w:spacing w:val="-1"/>
          <w:sz w:val="24"/>
          <w:szCs w:val="24"/>
          <w:highlight w:val="none"/>
        </w:rPr>
        <w:t>变，不随任何因素发生变化。</w:t>
      </w:r>
    </w:p>
    <w:p w14:paraId="153766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5.2.5</w:t>
      </w:r>
      <w:r>
        <w:rPr>
          <w:rFonts w:ascii="宋体" w:hAnsi="宋体" w:eastAsia="宋体" w:cs="宋体"/>
          <w:color w:val="auto"/>
          <w:spacing w:val="-6"/>
          <w:sz w:val="24"/>
          <w:szCs w:val="24"/>
          <w:highlight w:val="none"/>
        </w:rPr>
        <w:t xml:space="preserve"> 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认为投标人已确认招标人宣读的内容。投标人对开标有异议的，应当在开标现场提出（采</w:t>
      </w:r>
      <w:r>
        <w:rPr>
          <w:rFonts w:ascii="宋体" w:hAnsi="宋体" w:eastAsia="宋体" w:cs="宋体"/>
          <w:color w:val="auto"/>
          <w:spacing w:val="4"/>
          <w:sz w:val="24"/>
          <w:szCs w:val="24"/>
          <w:highlight w:val="none"/>
        </w:rPr>
        <w:t>用电子化开标的可在系统平台提出</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招标人应当当场作出答复（采用电子化开标的可在系统平台答复</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并制作记录。未参加开标的投标人，视为对开标过程无异</w:t>
      </w:r>
      <w:r>
        <w:rPr>
          <w:rFonts w:ascii="宋体" w:hAnsi="宋体" w:eastAsia="宋体" w:cs="宋体"/>
          <w:color w:val="auto"/>
          <w:spacing w:val="-5"/>
          <w:sz w:val="24"/>
          <w:szCs w:val="24"/>
          <w:highlight w:val="none"/>
        </w:rPr>
        <w:t>议。</w:t>
      </w:r>
    </w:p>
    <w:p w14:paraId="3E6DD69F">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196" w:name="_Toc2129"/>
      <w:bookmarkStart w:id="197" w:name="_Toc4630"/>
      <w:bookmarkStart w:id="198" w:name="_Toc17409"/>
      <w:bookmarkStart w:id="199" w:name="_Toc5"/>
      <w:r>
        <w:rPr>
          <w:rFonts w:ascii="宋体" w:hAnsi="宋体" w:eastAsia="宋体" w:cs="宋体"/>
          <w:b/>
          <w:bCs/>
          <w:color w:val="auto"/>
          <w:spacing w:val="-6"/>
          <w:sz w:val="24"/>
          <w:szCs w:val="24"/>
          <w:highlight w:val="none"/>
        </w:rPr>
        <w:t>5.3</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6"/>
          <w:sz w:val="24"/>
          <w:szCs w:val="24"/>
          <w:highlight w:val="none"/>
        </w:rPr>
        <w:t>开标异议</w:t>
      </w:r>
      <w:bookmarkEnd w:id="196"/>
      <w:bookmarkEnd w:id="197"/>
      <w:bookmarkEnd w:id="198"/>
      <w:bookmarkEnd w:id="199"/>
    </w:p>
    <w:p w14:paraId="3B2CB0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开标异议投标人对开标有异议的，应在开标现场提出（采用电子化开标的可在系</w:t>
      </w:r>
      <w:r>
        <w:rPr>
          <w:rFonts w:ascii="宋体" w:hAnsi="宋体" w:eastAsia="宋体" w:cs="宋体"/>
          <w:color w:val="auto"/>
          <w:spacing w:val="4"/>
          <w:sz w:val="24"/>
          <w:szCs w:val="24"/>
          <w:highlight w:val="none"/>
        </w:rPr>
        <w:t>统平台提出</w:t>
      </w:r>
      <w:r>
        <w:rPr>
          <w:rFonts w:ascii="宋体" w:hAnsi="宋体" w:eastAsia="宋体" w:cs="宋体"/>
          <w:color w:val="auto"/>
          <w:spacing w:val="14"/>
          <w:sz w:val="24"/>
          <w:szCs w:val="24"/>
          <w:highlight w:val="none"/>
        </w:rPr>
        <w:t>），</w:t>
      </w:r>
      <w:r>
        <w:rPr>
          <w:rFonts w:ascii="宋体" w:hAnsi="宋体" w:eastAsia="宋体" w:cs="宋体"/>
          <w:color w:val="auto"/>
          <w:spacing w:val="4"/>
          <w:sz w:val="24"/>
          <w:szCs w:val="24"/>
          <w:highlight w:val="none"/>
        </w:rPr>
        <w:t>招标人当场作出答复（采用电子化开标</w:t>
      </w:r>
      <w:r>
        <w:rPr>
          <w:rFonts w:ascii="宋体" w:hAnsi="宋体" w:eastAsia="宋体" w:cs="宋体"/>
          <w:color w:val="auto"/>
          <w:spacing w:val="3"/>
          <w:sz w:val="24"/>
          <w:szCs w:val="24"/>
          <w:highlight w:val="none"/>
        </w:rPr>
        <w:t>的可在系统平台答复</w:t>
      </w:r>
      <w:r>
        <w:rPr>
          <w:rFonts w:ascii="宋体" w:hAnsi="宋体" w:eastAsia="宋体" w:cs="宋体"/>
          <w:color w:val="auto"/>
          <w:spacing w:val="14"/>
          <w:sz w:val="24"/>
          <w:szCs w:val="24"/>
          <w:highlight w:val="none"/>
        </w:rPr>
        <w:t>），</w:t>
      </w:r>
      <w:r>
        <w:rPr>
          <w:rFonts w:ascii="宋体" w:hAnsi="宋体" w:eastAsia="宋体" w:cs="宋体"/>
          <w:color w:val="auto"/>
          <w:spacing w:val="3"/>
          <w:sz w:val="24"/>
          <w:szCs w:val="24"/>
          <w:highlight w:val="none"/>
        </w:rPr>
        <w:t>并制</w:t>
      </w:r>
      <w:r>
        <w:rPr>
          <w:rFonts w:ascii="宋体" w:hAnsi="宋体" w:eastAsia="宋体" w:cs="宋体"/>
          <w:color w:val="auto"/>
          <w:spacing w:val="5"/>
          <w:sz w:val="24"/>
          <w:szCs w:val="24"/>
          <w:highlight w:val="none"/>
        </w:rPr>
        <w:t>作记录，有异议的投标人（现场如有）、招标人代表、记录人等有关人员</w:t>
      </w:r>
      <w:r>
        <w:rPr>
          <w:rFonts w:ascii="宋体" w:hAnsi="宋体" w:eastAsia="宋体" w:cs="宋体"/>
          <w:color w:val="auto"/>
          <w:spacing w:val="4"/>
          <w:sz w:val="24"/>
          <w:szCs w:val="24"/>
          <w:highlight w:val="none"/>
        </w:rPr>
        <w:t>在记录上签</w:t>
      </w:r>
      <w:r>
        <w:rPr>
          <w:rFonts w:ascii="宋体" w:hAnsi="宋体" w:eastAsia="宋体" w:cs="宋体"/>
          <w:color w:val="auto"/>
          <w:spacing w:val="-3"/>
          <w:sz w:val="24"/>
          <w:szCs w:val="24"/>
          <w:highlight w:val="none"/>
        </w:rPr>
        <w:t>字确认。</w:t>
      </w:r>
    </w:p>
    <w:p w14:paraId="3A235356">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both"/>
        <w:textAlignment w:val="baseline"/>
        <w:outlineLvl w:val="1"/>
        <w:rPr>
          <w:rFonts w:ascii="宋体" w:hAnsi="宋体" w:eastAsia="宋体" w:cs="宋体"/>
          <w:color w:val="auto"/>
          <w:sz w:val="24"/>
          <w:szCs w:val="24"/>
          <w:highlight w:val="none"/>
        </w:rPr>
      </w:pPr>
      <w:bookmarkStart w:id="200" w:name="_Toc293"/>
      <w:bookmarkStart w:id="201" w:name="_Toc21701"/>
      <w:bookmarkStart w:id="202" w:name="_Toc15478"/>
      <w:bookmarkStart w:id="203" w:name="_Toc22911"/>
      <w:r>
        <w:rPr>
          <w:rFonts w:ascii="宋体" w:hAnsi="宋体" w:eastAsia="宋体" w:cs="宋体"/>
          <w:b/>
          <w:bCs/>
          <w:color w:val="auto"/>
          <w:spacing w:val="-3"/>
          <w:sz w:val="24"/>
          <w:szCs w:val="24"/>
          <w:highlight w:val="none"/>
        </w:rPr>
        <w:t>5.4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开标补救措施</w:t>
      </w:r>
      <w:bookmarkEnd w:id="200"/>
      <w:bookmarkEnd w:id="201"/>
      <w:bookmarkEnd w:id="202"/>
      <w:bookmarkEnd w:id="203"/>
    </w:p>
    <w:p w14:paraId="0E4B315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5.4.1 开标过程中因出现以下情况，导致系统无法正常运行，应中止电子开标，</w:t>
      </w:r>
      <w:r>
        <w:rPr>
          <w:rFonts w:ascii="宋体" w:hAnsi="宋体" w:eastAsia="宋体" w:cs="宋体"/>
          <w:color w:val="auto"/>
          <w:spacing w:val="-1"/>
          <w:sz w:val="24"/>
          <w:szCs w:val="24"/>
          <w:highlight w:val="none"/>
        </w:rPr>
        <w:t>并在恢复正常后及时安排时间开标。同时，做好后续开标的前期工作。</w:t>
      </w:r>
    </w:p>
    <w:p w14:paraId="6CF1501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(1)系统服务器发生故障，无法访问或无法使用</w:t>
      </w:r>
      <w:r>
        <w:rPr>
          <w:rFonts w:ascii="宋体" w:hAnsi="宋体" w:eastAsia="宋体" w:cs="宋体"/>
          <w:color w:val="auto"/>
          <w:spacing w:val="-3"/>
          <w:sz w:val="24"/>
          <w:szCs w:val="24"/>
          <w:highlight w:val="none"/>
        </w:rPr>
        <w:t>系统；</w:t>
      </w:r>
    </w:p>
    <w:p w14:paraId="77A559D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(2)系统的软件或数据库出现错误，不能进行正常操作；</w:t>
      </w:r>
    </w:p>
    <w:p w14:paraId="0E97EB2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(3)系统发现有安全漏洞，有潜在的泄密危险；</w:t>
      </w:r>
    </w:p>
    <w:p w14:paraId="327A7B1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(4)出现断电事故且短时间内无法恢复供电的；</w:t>
      </w:r>
    </w:p>
    <w:p w14:paraId="167AF0E7">
      <w:pPr>
        <w:keepNext w:val="0"/>
        <w:keepLines w:val="0"/>
        <w:pageBreakBefore w:val="0"/>
        <w:wordWrap/>
        <w:overflowPunct/>
        <w:topLinePunct w:val="0"/>
        <w:bidi w:val="0"/>
        <w:spacing w:line="500" w:lineRule="exact"/>
        <w:ind w:left="0" w:right="0" w:firstLine="468" w:firstLineChars="20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(5)其他无法保证招投标过程正常进行的情形。</w:t>
      </w:r>
    </w:p>
    <w:p w14:paraId="46C1C22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5.4.2 采取补救措施时，必须对原有资料及信息作出妥善保密处理。</w:t>
      </w:r>
    </w:p>
    <w:p w14:paraId="3236A262">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04" w:name="_Toc17473"/>
      <w:bookmarkStart w:id="205" w:name="_Toc20430"/>
      <w:r>
        <w:rPr>
          <w:rFonts w:ascii="宋体" w:hAnsi="宋体" w:eastAsia="宋体" w:cs="宋体"/>
          <w:b/>
          <w:bCs/>
          <w:color w:val="auto"/>
          <w:spacing w:val="-8"/>
          <w:sz w:val="28"/>
          <w:szCs w:val="28"/>
          <w:highlight w:val="none"/>
        </w:rPr>
        <w:t>6.</w:t>
      </w:r>
      <w:r>
        <w:rPr>
          <w:rFonts w:ascii="宋体" w:hAnsi="宋体" w:eastAsia="宋体" w:cs="宋体"/>
          <w:color w:val="auto"/>
          <w:spacing w:val="10"/>
          <w:sz w:val="28"/>
          <w:szCs w:val="28"/>
          <w:highlight w:val="none"/>
        </w:rPr>
        <w:t xml:space="preserve"> </w:t>
      </w:r>
      <w:r>
        <w:rPr>
          <w:rFonts w:ascii="宋体" w:hAnsi="宋体" w:eastAsia="宋体" w:cs="宋体"/>
          <w:b/>
          <w:bCs/>
          <w:color w:val="auto"/>
          <w:spacing w:val="-8"/>
          <w:sz w:val="28"/>
          <w:szCs w:val="28"/>
          <w:highlight w:val="none"/>
        </w:rPr>
        <w:t>评标</w:t>
      </w:r>
      <w:bookmarkEnd w:id="204"/>
      <w:bookmarkEnd w:id="205"/>
    </w:p>
    <w:p w14:paraId="7F1C8CC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06" w:name="_Toc30028"/>
      <w:bookmarkStart w:id="207" w:name="_Toc17079"/>
      <w:bookmarkStart w:id="208" w:name="_Toc26393"/>
      <w:bookmarkStart w:id="209" w:name="_Toc28343"/>
      <w:r>
        <w:rPr>
          <w:rFonts w:ascii="宋体" w:hAnsi="宋体" w:eastAsia="宋体" w:cs="宋体"/>
          <w:b/>
          <w:bCs/>
          <w:color w:val="auto"/>
          <w:spacing w:val="-5"/>
          <w:sz w:val="24"/>
          <w:szCs w:val="24"/>
          <w:highlight w:val="none"/>
        </w:rPr>
        <w:t>6.1</w:t>
      </w:r>
      <w:r>
        <w:rPr>
          <w:rFonts w:ascii="宋体" w:hAnsi="宋体" w:eastAsia="宋体" w:cs="宋体"/>
          <w:color w:val="auto"/>
          <w:spacing w:val="72"/>
          <w:sz w:val="24"/>
          <w:szCs w:val="24"/>
          <w:highlight w:val="none"/>
        </w:rPr>
        <w:t xml:space="preserve"> </w:t>
      </w:r>
      <w:r>
        <w:rPr>
          <w:rFonts w:ascii="宋体" w:hAnsi="宋体" w:eastAsia="宋体" w:cs="宋体"/>
          <w:b/>
          <w:bCs/>
          <w:color w:val="auto"/>
          <w:spacing w:val="-5"/>
          <w:sz w:val="24"/>
          <w:szCs w:val="24"/>
          <w:highlight w:val="none"/>
        </w:rPr>
        <w:t>评标委员会</w:t>
      </w:r>
      <w:bookmarkEnd w:id="206"/>
      <w:bookmarkEnd w:id="207"/>
      <w:bookmarkEnd w:id="208"/>
      <w:bookmarkEnd w:id="209"/>
    </w:p>
    <w:p w14:paraId="5BDF27E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6.1.1 评标由招标人依法组建的评标委员会负责。评标</w:t>
      </w:r>
      <w:r>
        <w:rPr>
          <w:rFonts w:ascii="宋体" w:hAnsi="宋体" w:eastAsia="宋体" w:cs="宋体"/>
          <w:color w:val="auto"/>
          <w:spacing w:val="-1"/>
          <w:sz w:val="24"/>
          <w:szCs w:val="24"/>
          <w:highlight w:val="none"/>
        </w:rPr>
        <w:t>委员会由招标人(或其委派)</w:t>
      </w:r>
      <w:r>
        <w:rPr>
          <w:rFonts w:ascii="宋体" w:hAnsi="宋体" w:eastAsia="宋体" w:cs="宋体"/>
          <w:color w:val="auto"/>
          <w:sz w:val="24"/>
          <w:szCs w:val="24"/>
          <w:highlight w:val="none"/>
        </w:rPr>
        <w:t>代表(简称“招标人代表</w:t>
      </w:r>
      <w:r>
        <w:rPr>
          <w:rFonts w:ascii="宋体" w:hAnsi="宋体" w:eastAsia="宋体" w:cs="宋体"/>
          <w:color w:val="auto"/>
          <w:spacing w:val="31"/>
          <w:sz w:val="24"/>
          <w:szCs w:val="24"/>
          <w:highlight w:val="none"/>
        </w:rPr>
        <w:t>），</w:t>
      </w:r>
      <w:r>
        <w:rPr>
          <w:rFonts w:ascii="宋体" w:hAnsi="宋体" w:eastAsia="宋体" w:cs="宋体"/>
          <w:color w:val="auto"/>
          <w:sz w:val="24"/>
          <w:szCs w:val="24"/>
          <w:highlight w:val="none"/>
        </w:rPr>
        <w:t>以及有关技术、经济等方面的专家组成。评标委员会成员人数以及技术、经济等方面专家的确定方式</w:t>
      </w:r>
      <w:r>
        <w:rPr>
          <w:rFonts w:ascii="宋体" w:hAnsi="宋体" w:eastAsia="宋体" w:cs="宋体"/>
          <w:color w:val="auto"/>
          <w:spacing w:val="-1"/>
          <w:sz w:val="24"/>
          <w:szCs w:val="24"/>
          <w:highlight w:val="none"/>
        </w:rPr>
        <w:t>见投标人须知前附表。</w:t>
      </w:r>
    </w:p>
    <w:p w14:paraId="13C9565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6.1.2 评标委员会成员有下列情形之一的，应主动提出回避：</w:t>
      </w:r>
    </w:p>
    <w:p w14:paraId="3C09D80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（1）为负责招标项目监督管理的交通运输主管部门的工作人员；</w:t>
      </w:r>
    </w:p>
    <w:p w14:paraId="1494088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（2）与投标人法定代表人或其委托代理人有近亲属关系；</w:t>
      </w:r>
    </w:p>
    <w:p w14:paraId="39880F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（3）为投标人的工作人员或退休或离职未满</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w:t>
      </w:r>
      <w:r>
        <w:rPr>
          <w:rFonts w:ascii="宋体" w:hAnsi="宋体" w:eastAsia="宋体" w:cs="宋体"/>
          <w:color w:val="auto"/>
          <w:spacing w:val="-49"/>
          <w:sz w:val="24"/>
          <w:szCs w:val="24"/>
          <w:highlight w:val="none"/>
        </w:rPr>
        <w:t xml:space="preserve"> </w:t>
      </w:r>
      <w:r>
        <w:rPr>
          <w:rFonts w:ascii="宋体" w:hAnsi="宋体" w:eastAsia="宋体" w:cs="宋体"/>
          <w:color w:val="auto"/>
          <w:spacing w:val="-2"/>
          <w:sz w:val="24"/>
          <w:szCs w:val="24"/>
          <w:highlight w:val="none"/>
        </w:rPr>
        <w:t>年的人员；</w:t>
      </w:r>
    </w:p>
    <w:p w14:paraId="1F8C83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（4）与投标人有其他利害关系，可能影响评标活动公正性；</w:t>
      </w:r>
    </w:p>
    <w:p w14:paraId="342AB68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（5）在与招标投标有关的活动中有过违法违规行为、曾受过行政处罚或刑事处罚。</w:t>
      </w:r>
    </w:p>
    <w:p w14:paraId="3F10BD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（6）招标人及其子公司、招标人下属单位、招标人的上级主管部门或者控股公司、</w:t>
      </w:r>
      <w:r>
        <w:rPr>
          <w:rFonts w:ascii="宋体" w:hAnsi="宋体" w:eastAsia="宋体" w:cs="宋体"/>
          <w:color w:val="auto"/>
          <w:spacing w:val="5"/>
          <w:sz w:val="24"/>
          <w:szCs w:val="24"/>
          <w:highlight w:val="none"/>
        </w:rPr>
        <w:t>招标代理机构的工作人员或者退休人员不得以专家身份参与本单位招标或</w:t>
      </w:r>
      <w:r>
        <w:rPr>
          <w:rFonts w:ascii="宋体" w:hAnsi="宋体" w:eastAsia="宋体" w:cs="宋体"/>
          <w:color w:val="auto"/>
          <w:spacing w:val="4"/>
          <w:sz w:val="24"/>
          <w:szCs w:val="24"/>
          <w:highlight w:val="none"/>
        </w:rPr>
        <w:t>者招标代理</w:t>
      </w:r>
      <w:r>
        <w:rPr>
          <w:rFonts w:ascii="宋体" w:hAnsi="宋体" w:eastAsia="宋体" w:cs="宋体"/>
          <w:color w:val="auto"/>
          <w:spacing w:val="-2"/>
          <w:sz w:val="24"/>
          <w:szCs w:val="24"/>
          <w:highlight w:val="none"/>
        </w:rPr>
        <w:t>项目的评标。</w:t>
      </w:r>
    </w:p>
    <w:p w14:paraId="2D5B6F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6.1.3 评标过程中，评标委员会成员有回避事由、擅离</w:t>
      </w:r>
      <w:r>
        <w:rPr>
          <w:rFonts w:ascii="宋体" w:hAnsi="宋体" w:eastAsia="宋体" w:cs="宋体"/>
          <w:color w:val="auto"/>
          <w:spacing w:val="4"/>
          <w:sz w:val="24"/>
          <w:szCs w:val="24"/>
          <w:highlight w:val="none"/>
        </w:rPr>
        <w:t>职守或因健康等原因不能</w:t>
      </w:r>
      <w:r>
        <w:rPr>
          <w:rFonts w:ascii="宋体" w:hAnsi="宋体" w:eastAsia="宋体" w:cs="宋体"/>
          <w:color w:val="auto"/>
          <w:spacing w:val="5"/>
          <w:sz w:val="24"/>
          <w:szCs w:val="24"/>
          <w:highlight w:val="none"/>
        </w:rPr>
        <w:t>继续评标的，招标人有权更换。被更换的评标委员会成员作出的评审结</w:t>
      </w:r>
      <w:r>
        <w:rPr>
          <w:rFonts w:ascii="宋体" w:hAnsi="宋体" w:eastAsia="宋体" w:cs="宋体"/>
          <w:color w:val="auto"/>
          <w:spacing w:val="4"/>
          <w:sz w:val="24"/>
          <w:szCs w:val="24"/>
          <w:highlight w:val="none"/>
        </w:rPr>
        <w:t>论无效，由更</w:t>
      </w:r>
      <w:r>
        <w:rPr>
          <w:rFonts w:ascii="宋体" w:hAnsi="宋体" w:eastAsia="宋体" w:cs="宋体"/>
          <w:color w:val="auto"/>
          <w:spacing w:val="-1"/>
          <w:sz w:val="24"/>
          <w:szCs w:val="24"/>
          <w:highlight w:val="none"/>
        </w:rPr>
        <w:t>换后的评标委员会成员重新进行评审。</w:t>
      </w:r>
    </w:p>
    <w:p w14:paraId="0C881AE2">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10" w:name="_Toc23031"/>
      <w:bookmarkStart w:id="211" w:name="_Toc24132"/>
      <w:bookmarkStart w:id="212" w:name="_Toc27460"/>
      <w:bookmarkStart w:id="213" w:name="_Toc30971"/>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评标原则</w:t>
      </w:r>
      <w:bookmarkEnd w:id="210"/>
      <w:bookmarkEnd w:id="211"/>
      <w:bookmarkEnd w:id="212"/>
      <w:bookmarkEnd w:id="213"/>
    </w:p>
    <w:p w14:paraId="4F13E4BC">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评标活动遵循公平、公正、科学和择优的原则。</w:t>
      </w:r>
    </w:p>
    <w:p w14:paraId="5117B7F5">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14" w:name="_Toc24144"/>
      <w:bookmarkStart w:id="215" w:name="_Toc6476"/>
      <w:bookmarkStart w:id="216" w:name="_Toc5773"/>
      <w:bookmarkStart w:id="217" w:name="_Toc30143"/>
      <w:r>
        <w:rPr>
          <w:rFonts w:ascii="宋体" w:hAnsi="宋体" w:eastAsia="宋体" w:cs="宋体"/>
          <w:b/>
          <w:bCs/>
          <w:color w:val="auto"/>
          <w:spacing w:val="-6"/>
          <w:sz w:val="24"/>
          <w:szCs w:val="24"/>
          <w:highlight w:val="none"/>
        </w:rPr>
        <w:t>6.3</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评标</w:t>
      </w:r>
      <w:bookmarkEnd w:id="214"/>
      <w:bookmarkEnd w:id="215"/>
      <w:bookmarkEnd w:id="216"/>
      <w:bookmarkEnd w:id="217"/>
    </w:p>
    <w:p w14:paraId="4935467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6.3.1 评标委员会按照第三章“评标办法 ”规定的方法、评审因素、标准和程序</w:t>
      </w:r>
      <w:bookmarkStart w:id="218" w:name="bookmark111"/>
      <w:bookmarkEnd w:id="218"/>
      <w:r>
        <w:rPr>
          <w:rFonts w:ascii="宋体" w:hAnsi="宋体" w:eastAsia="宋体" w:cs="宋体"/>
          <w:color w:val="auto"/>
          <w:spacing w:val="-1"/>
          <w:sz w:val="24"/>
          <w:szCs w:val="24"/>
          <w:highlight w:val="none"/>
        </w:rPr>
        <w:t>对投标文件进行评审。第三章“评标办法 ”没有规定的方法、评审因素和标准，不作为评标依据。</w:t>
      </w:r>
    </w:p>
    <w:p w14:paraId="01B3E19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eastAsia"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 xml:space="preserve">6.3.2 </w:t>
      </w:r>
      <w:r>
        <w:rPr>
          <w:rFonts w:hint="eastAsia" w:ascii="宋体" w:hAnsi="宋体" w:eastAsia="宋体" w:cs="宋体"/>
          <w:color w:val="auto"/>
          <w:spacing w:val="-1"/>
          <w:sz w:val="24"/>
          <w:szCs w:val="24"/>
          <w:highlight w:val="none"/>
        </w:rPr>
        <w:t>评标完成后，评标委员会应向招标人提交书面评标报告。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1A58552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50EB680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评标委员会推荐中标候选人的人数见投标人须知前附表。</w:t>
      </w:r>
    </w:p>
    <w:p w14:paraId="50F775D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6.3.3</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评标补救措施</w:t>
      </w:r>
    </w:p>
    <w:p w14:paraId="1E12FB8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6"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评标委员会按照本章第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6.3.1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项的规定在电子评标系统上开展评审工</w:t>
      </w:r>
      <w:r>
        <w:rPr>
          <w:rFonts w:ascii="宋体" w:hAnsi="宋体" w:eastAsia="宋体" w:cs="宋体"/>
          <w:color w:val="auto"/>
          <w:spacing w:val="3"/>
          <w:sz w:val="24"/>
          <w:szCs w:val="24"/>
          <w:highlight w:val="none"/>
        </w:rPr>
        <w:t>作。若遇不</w:t>
      </w:r>
      <w:r>
        <w:rPr>
          <w:rFonts w:ascii="宋体" w:hAnsi="宋体" w:eastAsia="宋体" w:cs="宋体"/>
          <w:color w:val="auto"/>
          <w:spacing w:val="4"/>
          <w:sz w:val="24"/>
          <w:szCs w:val="24"/>
          <w:highlight w:val="none"/>
        </w:rPr>
        <w:t>可抗力发生（包括网络瘫痪、服务器损坏、交易系统故障短期无法恢复等因素</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导</w:t>
      </w:r>
      <w:r>
        <w:rPr>
          <w:rFonts w:ascii="宋体" w:hAnsi="宋体" w:eastAsia="宋体" w:cs="宋体"/>
          <w:color w:val="auto"/>
          <w:sz w:val="24"/>
          <w:szCs w:val="24"/>
          <w:highlight w:val="none"/>
        </w:rPr>
        <w:t>致系统无法正常运行，应中止评标，并在恢复正</w:t>
      </w:r>
      <w:r>
        <w:rPr>
          <w:rFonts w:ascii="宋体" w:hAnsi="宋体" w:eastAsia="宋体" w:cs="宋体"/>
          <w:color w:val="auto"/>
          <w:spacing w:val="-1"/>
          <w:sz w:val="24"/>
          <w:szCs w:val="24"/>
          <w:highlight w:val="none"/>
        </w:rPr>
        <w:t>常后及时安排时间评标。</w:t>
      </w:r>
    </w:p>
    <w:p w14:paraId="2DC91EE0">
      <w:pPr>
        <w:keepNext w:val="0"/>
        <w:keepLines w:val="0"/>
        <w:pageBreakBefore w:val="0"/>
        <w:wordWrap/>
        <w:overflowPunct/>
        <w:topLinePunct w:val="0"/>
        <w:bidi w:val="0"/>
        <w:spacing w:line="500" w:lineRule="exact"/>
        <w:ind w:right="0"/>
        <w:jc w:val="both"/>
        <w:outlineLvl w:val="1"/>
        <w:rPr>
          <w:rFonts w:hint="eastAsia" w:ascii="宋体" w:hAnsi="宋体" w:eastAsia="宋体" w:cs="宋体"/>
          <w:b/>
          <w:bCs/>
          <w:color w:val="auto"/>
          <w:spacing w:val="-7"/>
          <w:sz w:val="24"/>
          <w:szCs w:val="24"/>
          <w:highlight w:val="none"/>
        </w:rPr>
      </w:pPr>
      <w:bookmarkStart w:id="219" w:name="_Toc27525"/>
      <w:bookmarkStart w:id="220" w:name="_Toc11871"/>
      <w:bookmarkStart w:id="221" w:name="_Toc20021"/>
      <w:bookmarkStart w:id="222" w:name="_Toc1287"/>
      <w:r>
        <w:rPr>
          <w:rFonts w:hint="eastAsia" w:ascii="宋体" w:hAnsi="宋体" w:eastAsia="宋体" w:cs="宋体"/>
          <w:b/>
          <w:bCs/>
          <w:color w:val="auto"/>
          <w:spacing w:val="-7"/>
          <w:sz w:val="24"/>
          <w:szCs w:val="24"/>
          <w:highlight w:val="none"/>
        </w:rPr>
        <w:t>7.定标、中标及合同授予</w:t>
      </w:r>
      <w:bookmarkEnd w:id="219"/>
    </w:p>
    <w:p w14:paraId="10066900">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23" w:name="_Toc11670"/>
      <w:r>
        <w:rPr>
          <w:rFonts w:ascii="宋体" w:hAnsi="宋体" w:eastAsia="宋体" w:cs="宋体"/>
          <w:b/>
          <w:bCs/>
          <w:color w:val="auto"/>
          <w:spacing w:val="-7"/>
          <w:sz w:val="24"/>
          <w:szCs w:val="24"/>
          <w:highlight w:val="none"/>
        </w:rPr>
        <w:t>7.1</w:t>
      </w:r>
      <w:r>
        <w:rPr>
          <w:rFonts w:ascii="宋体" w:hAnsi="宋体" w:eastAsia="宋体" w:cs="宋体"/>
          <w:color w:val="auto"/>
          <w:spacing w:val="38"/>
          <w:sz w:val="24"/>
          <w:szCs w:val="24"/>
          <w:highlight w:val="none"/>
        </w:rPr>
        <w:t xml:space="preserve"> </w:t>
      </w:r>
      <w:r>
        <w:rPr>
          <w:rFonts w:hint="eastAsia" w:ascii="宋体" w:hAnsi="宋体" w:eastAsia="宋体" w:cs="宋体"/>
          <w:b/>
          <w:bCs/>
          <w:color w:val="auto"/>
          <w:spacing w:val="-7"/>
          <w:sz w:val="24"/>
          <w:szCs w:val="24"/>
          <w:highlight w:val="none"/>
          <w:lang w:val="en-US" w:eastAsia="zh-CN"/>
        </w:rPr>
        <w:t>定</w:t>
      </w:r>
      <w:r>
        <w:rPr>
          <w:rFonts w:ascii="宋体" w:hAnsi="宋体" w:eastAsia="宋体" w:cs="宋体"/>
          <w:b/>
          <w:bCs/>
          <w:color w:val="auto"/>
          <w:spacing w:val="-7"/>
          <w:sz w:val="24"/>
          <w:szCs w:val="24"/>
          <w:highlight w:val="none"/>
        </w:rPr>
        <w:t>标候选人公示</w:t>
      </w:r>
      <w:bookmarkEnd w:id="220"/>
      <w:bookmarkEnd w:id="221"/>
      <w:bookmarkEnd w:id="222"/>
      <w:bookmarkEnd w:id="223"/>
    </w:p>
    <w:p w14:paraId="4FCBC94A">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bookmarkStart w:id="224" w:name="_Toc15238"/>
      <w:bookmarkStart w:id="225" w:name="_Toc32499"/>
      <w:bookmarkStart w:id="226" w:name="_Toc14630"/>
      <w:r>
        <w:rPr>
          <w:rFonts w:hint="eastAsia" w:ascii="宋体" w:hAnsi="宋体" w:eastAsia="宋体" w:cs="宋体"/>
          <w:color w:val="auto"/>
          <w:spacing w:val="4"/>
          <w:sz w:val="24"/>
          <w:szCs w:val="24"/>
          <w:highlight w:val="none"/>
        </w:rPr>
        <w:t>招标人在收到评标报告之日起 3 日内，按照投标人须知前附表规定的公示媒介和期限公示定标候选人，公示期不得少于 3 日，公示内容包括：</w:t>
      </w:r>
    </w:p>
    <w:p w14:paraId="3571D282">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（1）定标候选人排序、名称、投标报价，对监理质量要求、安全目标和监理服务期限的响应情况；</w:t>
      </w:r>
    </w:p>
    <w:p w14:paraId="244FDDE8">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（2）定标候选人在投标文件中承诺的总监理工程师（含备选，如有）或驻地监理工程师（含备选，如有）姓名、个人业绩、相关证书名称和编号；</w:t>
      </w:r>
    </w:p>
    <w:p w14:paraId="0E78BDD6">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（3）定标候选人在投标文件中填报的项目业绩；</w:t>
      </w:r>
    </w:p>
    <w:p w14:paraId="42EDA117">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（4）被否决投标的投标人名称、否决依据和原因；</w:t>
      </w:r>
    </w:p>
    <w:p w14:paraId="1F2B8A47">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（5）提出异议的渠道和方式；</w:t>
      </w:r>
    </w:p>
    <w:p w14:paraId="3F048F34">
      <w:pPr>
        <w:keepNext w:val="0"/>
        <w:keepLines w:val="0"/>
        <w:pageBreakBefore w:val="0"/>
        <w:wordWrap/>
        <w:overflowPunct/>
        <w:topLinePunct w:val="0"/>
        <w:bidi w:val="0"/>
        <w:spacing w:line="500" w:lineRule="exact"/>
        <w:ind w:left="0" w:leftChars="0" w:right="0" w:firstLine="496" w:firstLineChars="200"/>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（6）投标人须知前附表规定公示的其他内容。</w:t>
      </w:r>
    </w:p>
    <w:p w14:paraId="1088CA4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27" w:name="_Toc5162"/>
      <w:r>
        <w:rPr>
          <w:rFonts w:ascii="宋体" w:hAnsi="宋体" w:eastAsia="宋体" w:cs="宋体"/>
          <w:b/>
          <w:bCs/>
          <w:color w:val="auto"/>
          <w:spacing w:val="-3"/>
          <w:sz w:val="24"/>
          <w:szCs w:val="24"/>
          <w:highlight w:val="none"/>
        </w:rPr>
        <w:t>7.2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评标结果异议</w:t>
      </w:r>
      <w:bookmarkEnd w:id="224"/>
      <w:bookmarkEnd w:id="225"/>
      <w:bookmarkEnd w:id="226"/>
      <w:bookmarkEnd w:id="227"/>
    </w:p>
    <w:p w14:paraId="018E82A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人或其他利害关系人对依法必须进行招标的项目的评标结果有异议的，应在定标候选人公示期间提出。招标人将在收到异议之日起3日内作出答复；作出答复前，将暂停招标投标活动。提出异议与作出答复均应按照韶关市发展和改革局关于发布《韶关市工程建设项目招标投标活动异议和投诉处理办法》的通告（韶发改〔2021〕44 号）规定以书面形式进行。</w:t>
      </w:r>
    </w:p>
    <w:p w14:paraId="29EF508B">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28" w:name="_Toc19208"/>
      <w:bookmarkStart w:id="229" w:name="_Toc12376"/>
      <w:bookmarkStart w:id="230" w:name="_Toc2173"/>
      <w:bookmarkStart w:id="231" w:name="_Toc11384"/>
      <w:bookmarkStart w:id="232" w:name="_Toc8254"/>
      <w:bookmarkStart w:id="233" w:name="_Toc6124"/>
      <w:bookmarkStart w:id="234" w:name="_Toc22841"/>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 xml:space="preserve"> 定标</w:t>
      </w:r>
      <w:bookmarkEnd w:id="228"/>
      <w:bookmarkEnd w:id="229"/>
      <w:bookmarkEnd w:id="230"/>
      <w:bookmarkEnd w:id="231"/>
    </w:p>
    <w:p w14:paraId="673CAB8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eastAsia="zh-CN"/>
        </w:rPr>
      </w:pPr>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.1 定标时间</w:t>
      </w:r>
      <w:r>
        <w:rPr>
          <w:rFonts w:hint="eastAsia" w:ascii="宋体" w:hAnsi="宋体" w:cs="宋体"/>
          <w:color w:val="auto"/>
          <w:highlight w:val="none"/>
          <w:lang w:eastAsia="zh-CN"/>
        </w:rPr>
        <w:t>和地点</w:t>
      </w:r>
    </w:p>
    <w:p w14:paraId="6B18081E">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招标人</w:t>
      </w:r>
      <w:r>
        <w:rPr>
          <w:rFonts w:hint="eastAsia" w:ascii="宋体" w:hAnsi="宋体" w:cs="宋体"/>
          <w:color w:val="auto"/>
          <w:highlight w:val="none"/>
          <w:lang w:eastAsia="zh-CN"/>
        </w:rPr>
        <w:t>在投标人须知前附规定的时间和地点</w:t>
      </w:r>
      <w:r>
        <w:rPr>
          <w:rFonts w:hint="eastAsia" w:ascii="宋体" w:hAnsi="宋体" w:cs="宋体"/>
          <w:color w:val="auto"/>
          <w:highlight w:val="none"/>
        </w:rPr>
        <w:t>进行定标。招标人需要延期定标的，应通过公共资源交易平台公布延期原因和定标时间。</w:t>
      </w:r>
    </w:p>
    <w:p w14:paraId="2B79BD52">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7.3.2 招标监督小组</w:t>
      </w:r>
    </w:p>
    <w:p w14:paraId="545BC9C4">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7.3.2.1 招标监督小组由招标人负责组建，成员人数及确定方式见投标人须知前附表。</w:t>
      </w:r>
    </w:p>
    <w:p w14:paraId="6B219EF3">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7.3.2.2 招标监督小组</w:t>
      </w:r>
      <w:r>
        <w:rPr>
          <w:rFonts w:hint="eastAsia" w:ascii="宋体" w:hAnsi="宋体" w:cs="宋体"/>
          <w:color w:val="auto"/>
          <w:highlight w:val="none"/>
        </w:rPr>
        <w:t>成员与定标候选人存在利害关系的，应主动回避，并书面说明回避理由。回避的具体情形应当包括但不限于以下内容：</w:t>
      </w:r>
    </w:p>
    <w:p w14:paraId="2DA1BADC">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（1）定标候选人或者定标候选人主要负责人的近亲属；</w:t>
      </w:r>
    </w:p>
    <w:p w14:paraId="3287C69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rPr>
        <w:t>（2）与定标候选人有直接经济利益关系，可能影响定标公正性的；</w:t>
      </w:r>
      <w:r>
        <w:rPr>
          <w:rFonts w:hint="eastAsia" w:ascii="宋体" w:hAnsi="宋体" w:cs="宋体"/>
          <w:color w:val="auto"/>
          <w:highlight w:val="none"/>
          <w:lang w:val="en-US" w:eastAsia="zh-CN"/>
        </w:rPr>
        <w:t xml:space="preserve"> </w:t>
      </w:r>
    </w:p>
    <w:p w14:paraId="552E1EF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（3）曾在招标投标有关活动中从事违法行为而受过行政处罚或刑事处罚的。</w:t>
      </w:r>
    </w:p>
    <w:p w14:paraId="21217FE1">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val="en-US" w:eastAsia="zh-CN"/>
        </w:rPr>
        <w:t>3</w:t>
      </w: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 xml:space="preserve"> 定标委员会</w:t>
      </w:r>
    </w:p>
    <w:p w14:paraId="2651FA4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7.3.3.1 定标由招标人组建的定标委员会负责。定标委员会由招标人负责组建，招标人可针对项目自行组建定标成员库，定标委员会成员人数以及成员的确定方式见投标人须知前附表。定标委员会应当推荐定标组长，招标人（不含代理机构）的法定代表人或者主要负责人参加定标委员会的，由其直接担任定标委员会组长。定标委员会名单在中标结果公告前应当保密。      </w:t>
      </w:r>
    </w:p>
    <w:p w14:paraId="613C0488">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 xml:space="preserve">7.3.3.2 </w:t>
      </w:r>
      <w:r>
        <w:rPr>
          <w:rFonts w:hint="eastAsia" w:ascii="宋体" w:hAnsi="宋体" w:cs="宋体"/>
          <w:color w:val="auto"/>
          <w:highlight w:val="none"/>
        </w:rPr>
        <w:t>定标委员会成员与定标候选人存在利害关系的，应主动回避，并书面说明回避理由。回避的具体情形应当包括但不限于以下内容：</w:t>
      </w:r>
    </w:p>
    <w:p w14:paraId="735F5676">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（1）定标候选人或者定标候选人主要负责人的近亲属；</w:t>
      </w:r>
    </w:p>
    <w:p w14:paraId="0FCA166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rPr>
        <w:t>（2）与定标候选人有直接经济利益关系，可能影响定标公正性的；</w:t>
      </w:r>
      <w:r>
        <w:rPr>
          <w:rFonts w:hint="eastAsia" w:ascii="宋体" w:hAnsi="宋体" w:cs="宋体"/>
          <w:color w:val="auto"/>
          <w:highlight w:val="none"/>
          <w:lang w:val="en-US" w:eastAsia="zh-CN"/>
        </w:rPr>
        <w:t xml:space="preserve"> </w:t>
      </w:r>
    </w:p>
    <w:p w14:paraId="7618744B">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（3）曾在招标投标有关活动中从事违法行为而受过行政处罚或刑事处罚的。</w:t>
      </w:r>
    </w:p>
    <w:p w14:paraId="18BC8E6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7.3.4 定标</w:t>
      </w:r>
    </w:p>
    <w:p w14:paraId="7A9193EB">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7.3.4.1 定标委员会按照招标文件第三章“定标办法”规定的方法、定标因素进行定标。</w:t>
      </w:r>
    </w:p>
    <w:p w14:paraId="215A0DC8">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7.3.4.2 定标完成后，定标委员会向招标人提交书面定标报告和中标候选人名单，定标委员会推荐中标候选人的人数见投标人须知前附表。</w:t>
      </w:r>
    </w:p>
    <w:p w14:paraId="4C7F3F35">
      <w:pPr>
        <w:pStyle w:val="27"/>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7.3.4.3定标报告应记录定标委员会成员名单、招标监督小组名单、定标办法、答辩情况（如有）、定标过程、定标工作情况、定标结果等内容。定标委员会所有成员及招标监督小组全部成员应在定标报告上逐页签字。</w:t>
      </w:r>
    </w:p>
    <w:bookmarkEnd w:id="232"/>
    <w:bookmarkEnd w:id="233"/>
    <w:bookmarkEnd w:id="234"/>
    <w:p w14:paraId="49355EA7">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eastAsia="宋体" w:cs="宋体"/>
          <w:color w:val="auto"/>
          <w:highlight w:val="none"/>
        </w:rPr>
      </w:pPr>
      <w:bookmarkStart w:id="235" w:name="_Toc21457"/>
      <w:bookmarkStart w:id="236" w:name="_Toc15015"/>
      <w:bookmarkStart w:id="237" w:name="_Toc12572"/>
      <w:bookmarkStart w:id="238" w:name="_Toc27615"/>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定标结果公示</w:t>
      </w:r>
      <w:bookmarkEnd w:id="235"/>
    </w:p>
    <w:p w14:paraId="5090D6B1">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val="en-US" w:eastAsia="zh-CN"/>
        </w:rPr>
        <w:t xml:space="preserve">7.4.1 </w:t>
      </w:r>
      <w:r>
        <w:rPr>
          <w:rFonts w:hint="eastAsia" w:ascii="宋体" w:hAnsi="宋体" w:cs="宋体"/>
          <w:color w:val="auto"/>
          <w:highlight w:val="none"/>
        </w:rPr>
        <w:t>招标人应当自收到定标报告之日起3日内，</w:t>
      </w:r>
      <w:r>
        <w:rPr>
          <w:rFonts w:hint="eastAsia" w:ascii="宋体" w:hAnsi="宋体" w:cs="宋体"/>
          <w:color w:val="auto"/>
          <w:highlight w:val="none"/>
          <w:lang w:eastAsia="zh-CN"/>
        </w:rPr>
        <w:t>按照投标人须知前附表规定的公示媒介和期限公示中标候选人，公示期不得少于</w:t>
      </w:r>
      <w:r>
        <w:rPr>
          <w:rFonts w:hint="eastAsia" w:ascii="宋体" w:hAnsi="宋体" w:cs="宋体"/>
          <w:color w:val="auto"/>
          <w:highlight w:val="none"/>
          <w:lang w:val="en-US" w:eastAsia="zh-CN"/>
        </w:rPr>
        <w:t>3日，</w:t>
      </w:r>
      <w:r>
        <w:rPr>
          <w:rFonts w:hint="eastAsia" w:ascii="宋体" w:hAnsi="宋体" w:cs="宋体"/>
          <w:color w:val="auto"/>
          <w:highlight w:val="none"/>
        </w:rPr>
        <w:t>公示内容包括：</w:t>
      </w:r>
    </w:p>
    <w:p w14:paraId="53CD8D5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rPr>
        <w:t>定标报告（定标成员信息除外）</w:t>
      </w:r>
      <w:r>
        <w:rPr>
          <w:rFonts w:hint="eastAsia" w:ascii="宋体" w:hAnsi="宋体" w:cs="宋体"/>
          <w:color w:val="auto"/>
          <w:highlight w:val="none"/>
          <w:lang w:eastAsia="zh-CN"/>
        </w:rPr>
        <w:t>；</w:t>
      </w:r>
    </w:p>
    <w:p w14:paraId="3BE2EBE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rPr>
        <w:t>中标候选人名单</w:t>
      </w:r>
      <w:r>
        <w:rPr>
          <w:rFonts w:hint="eastAsia" w:ascii="宋体" w:hAnsi="宋体" w:cs="宋体"/>
          <w:color w:val="auto"/>
          <w:highlight w:val="none"/>
          <w:lang w:eastAsia="zh-CN"/>
        </w:rPr>
        <w:t>；</w:t>
      </w:r>
    </w:p>
    <w:p w14:paraId="5B7542A3">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cs="宋体"/>
          <w:color w:val="auto"/>
          <w:highlight w:val="none"/>
        </w:rPr>
        <w:t>中标价</w:t>
      </w:r>
      <w:r>
        <w:rPr>
          <w:rFonts w:hint="eastAsia" w:ascii="宋体" w:hAnsi="宋体" w:cs="宋体"/>
          <w:color w:val="auto"/>
          <w:highlight w:val="none"/>
          <w:lang w:eastAsia="zh-CN"/>
        </w:rPr>
        <w:t>，</w:t>
      </w:r>
    </w:p>
    <w:p w14:paraId="35344A86">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rPr>
        <w:t>拟投入本项目的总监理工程师（含备选，如有）或驻地监理工程师（含备选，如有）等内容。</w:t>
      </w:r>
    </w:p>
    <w:p w14:paraId="7B6C95B5">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提出异议的渠道和方式。</w:t>
      </w:r>
    </w:p>
    <w:p w14:paraId="01B8A396">
      <w:pPr>
        <w:pStyle w:val="30"/>
        <w:keepNext w:val="0"/>
        <w:keepLines w:val="0"/>
        <w:pageBreakBefore w:val="0"/>
        <w:widowControl w:val="0"/>
        <w:numPr>
          <w:ilvl w:val="0"/>
          <w:numId w:val="0"/>
        </w:numPr>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eastAsia="宋体" w:cs="宋体"/>
          <w:b w:val="0"/>
          <w:color w:val="auto"/>
          <w:kern w:val="0"/>
          <w:sz w:val="24"/>
          <w:szCs w:val="24"/>
          <w:highlight w:val="none"/>
          <w:lang w:val="en-US" w:eastAsia="zh-CN" w:bidi="ar-SA"/>
        </w:rPr>
      </w:pPr>
      <w:bookmarkStart w:id="239" w:name="_Toc7739"/>
      <w:bookmarkStart w:id="240" w:name="_Toc10682"/>
      <w:r>
        <w:rPr>
          <w:rFonts w:hint="eastAsia" w:ascii="宋体" w:hAnsi="宋体" w:cs="宋体"/>
          <w:b w:val="0"/>
          <w:bCs/>
          <w:color w:val="auto"/>
          <w:highlight w:val="none"/>
          <w:lang w:val="en-US" w:eastAsia="zh-CN"/>
        </w:rPr>
        <w:t>7.4.2</w:t>
      </w:r>
      <w:r>
        <w:rPr>
          <w:rFonts w:hint="eastAsia" w:ascii="宋体" w:hAnsi="宋体" w:cs="宋体"/>
          <w:color w:val="auto"/>
          <w:highlight w:val="none"/>
          <w:lang w:val="en-US" w:eastAsia="zh-CN"/>
        </w:rPr>
        <w:t xml:space="preserve"> </w:t>
      </w:r>
      <w:bookmarkEnd w:id="239"/>
      <w:r>
        <w:rPr>
          <w:rFonts w:hint="eastAsia" w:ascii="宋体" w:hAnsi="宋体" w:eastAsia="宋体" w:cs="宋体"/>
          <w:b w:val="0"/>
          <w:color w:val="auto"/>
          <w:kern w:val="0"/>
          <w:sz w:val="24"/>
          <w:szCs w:val="24"/>
          <w:highlight w:val="none"/>
          <w:lang w:val="en-US" w:eastAsia="zh-CN" w:bidi="ar-SA"/>
        </w:rPr>
        <w:t>投标人或其他利害关系人对定标结果有异议的，应在定标结果公示期间提出。招标人将在收到异议之日起3日内作出答复；作出答复前，将暂停招标投标活动。提出异议与作出答复均应按照韶关市发展和改革局关于发布《韶关市工程建设项目招标投标活动异议和投诉处理办法》的通告（韶发改〔2021〕44 号）规定以书面形式进行。</w:t>
      </w:r>
      <w:bookmarkEnd w:id="240"/>
    </w:p>
    <w:bookmarkEnd w:id="236"/>
    <w:bookmarkEnd w:id="237"/>
    <w:bookmarkEnd w:id="238"/>
    <w:p w14:paraId="0D9C6404">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41" w:name="_Toc9592"/>
      <w:bookmarkStart w:id="242" w:name="_Toc2966"/>
      <w:bookmarkStart w:id="243" w:name="_Toc19109"/>
      <w:bookmarkStart w:id="244" w:name="_Toc11741"/>
      <w:bookmarkStart w:id="245" w:name="_Toc9135"/>
      <w:bookmarkStart w:id="246" w:name="_Toc20404"/>
      <w:bookmarkStart w:id="247" w:name="_Toc2152"/>
      <w:r>
        <w:rPr>
          <w:rFonts w:hint="eastAsia" w:ascii="宋体" w:hAnsi="宋体" w:cs="宋体"/>
          <w:color w:val="auto"/>
          <w:highlight w:val="none"/>
        </w:rPr>
        <w:t>7.</w:t>
      </w:r>
      <w:r>
        <w:rPr>
          <w:rFonts w:hint="eastAsia" w:ascii="宋体" w:hAnsi="宋体" w:cs="宋体"/>
          <w:color w:val="auto"/>
          <w:highlight w:val="none"/>
          <w:lang w:val="en-US" w:eastAsia="zh-CN"/>
        </w:rPr>
        <w:t>5</w:t>
      </w:r>
      <w:r>
        <w:rPr>
          <w:rFonts w:hint="eastAsia" w:ascii="宋体" w:hAnsi="宋体" w:cs="宋体"/>
          <w:color w:val="auto"/>
          <w:highlight w:val="none"/>
        </w:rPr>
        <w:t xml:space="preserve"> 中标候选人履约能力审查</w:t>
      </w:r>
      <w:bookmarkEnd w:id="241"/>
      <w:bookmarkEnd w:id="242"/>
      <w:bookmarkEnd w:id="243"/>
      <w:bookmarkEnd w:id="244"/>
    </w:p>
    <w:p w14:paraId="4A947894">
      <w:pPr>
        <w:pStyle w:val="28"/>
        <w:keepNext w:val="0"/>
        <w:keepLines w:val="0"/>
        <w:pageBreakBefore w:val="0"/>
        <w:widowControl w:val="0"/>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中标候选人的经营、财务状况发生较大变化或存在违法行为，招标人认为可能影响其履约能力的，将在发出中标通知书前提请原定标委员会按照招标文件规定的标准和方法进行审查确认。</w:t>
      </w:r>
    </w:p>
    <w:bookmarkEnd w:id="245"/>
    <w:bookmarkEnd w:id="246"/>
    <w:bookmarkEnd w:id="247"/>
    <w:p w14:paraId="0F237718">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48" w:name="_Toc19401"/>
      <w:bookmarkStart w:id="249" w:name="_Toc12583"/>
      <w:bookmarkStart w:id="250" w:name="_Toc25892"/>
      <w:bookmarkStart w:id="251" w:name="_Toc16889"/>
      <w:bookmarkStart w:id="252" w:name="_Toc7700"/>
      <w:r>
        <w:rPr>
          <w:rFonts w:hint="eastAsia" w:ascii="宋体" w:hAnsi="宋体" w:cs="宋体"/>
          <w:color w:val="auto"/>
          <w:highlight w:val="none"/>
        </w:rPr>
        <w:t>7.</w:t>
      </w:r>
      <w:r>
        <w:rPr>
          <w:rFonts w:hint="eastAsia" w:ascii="宋体" w:hAnsi="宋体" w:cs="宋体"/>
          <w:color w:val="auto"/>
          <w:highlight w:val="none"/>
          <w:lang w:val="en-US" w:eastAsia="zh-CN"/>
        </w:rPr>
        <w:t>6</w:t>
      </w:r>
      <w:r>
        <w:rPr>
          <w:rFonts w:hint="eastAsia" w:ascii="宋体" w:hAnsi="宋体" w:cs="宋体"/>
          <w:color w:val="auto"/>
          <w:highlight w:val="none"/>
        </w:rPr>
        <w:t xml:space="preserve"> 中标通知</w:t>
      </w:r>
      <w:bookmarkEnd w:id="248"/>
      <w:bookmarkEnd w:id="249"/>
    </w:p>
    <w:p w14:paraId="19298320">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在本章第3.3款规定的投标有效期内，招标人以投标人须知前附表规定的形式向中标人发出中标通知书，同时将中标结果通知未中标的投标人。</w:t>
      </w:r>
    </w:p>
    <w:p w14:paraId="6B168A5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53" w:name="_Toc25675"/>
      <w:bookmarkStart w:id="254" w:name="_Toc23635"/>
      <w:bookmarkStart w:id="255" w:name="_Toc32566"/>
      <w:bookmarkStart w:id="256" w:name="_Toc7550"/>
      <w:r>
        <w:rPr>
          <w:rFonts w:hint="eastAsia" w:ascii="宋体" w:hAnsi="宋体" w:cs="宋体"/>
          <w:color w:val="auto"/>
          <w:highlight w:val="none"/>
        </w:rPr>
        <w:t>7.</w:t>
      </w:r>
      <w:r>
        <w:rPr>
          <w:rFonts w:hint="eastAsia" w:ascii="宋体" w:hAnsi="宋体" w:cs="宋体"/>
          <w:color w:val="auto"/>
          <w:highlight w:val="none"/>
          <w:lang w:val="en-US" w:eastAsia="zh-CN"/>
        </w:rPr>
        <w:t>7</w:t>
      </w:r>
      <w:r>
        <w:rPr>
          <w:rFonts w:hint="eastAsia" w:ascii="宋体" w:hAnsi="宋体" w:cs="宋体"/>
          <w:color w:val="auto"/>
          <w:highlight w:val="none"/>
        </w:rPr>
        <w:t xml:space="preserve"> 中标结果公告</w:t>
      </w:r>
      <w:bookmarkEnd w:id="253"/>
      <w:bookmarkEnd w:id="254"/>
      <w:bookmarkEnd w:id="255"/>
      <w:bookmarkEnd w:id="256"/>
    </w:p>
    <w:p w14:paraId="1F85FD12">
      <w:pPr>
        <w:pStyle w:val="28"/>
        <w:keepNext w:val="0"/>
        <w:keepLines w:val="0"/>
        <w:pageBreakBefore w:val="0"/>
        <w:kinsoku/>
        <w:wordWrap/>
        <w:overflowPunct/>
        <w:topLinePunct w:val="0"/>
        <w:bidi w:val="0"/>
        <w:spacing w:line="500" w:lineRule="exact"/>
        <w:ind w:left="0" w:leftChars="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招标人在确定中标人之日起3日内，按照投标人须知前附表规定的公告媒介和期限公告中标结果，公告期不得少于</w:t>
      </w:r>
      <w:r>
        <w:rPr>
          <w:rFonts w:hint="eastAsia" w:ascii="宋体" w:hAnsi="宋体" w:cs="宋体"/>
          <w:color w:val="auto"/>
          <w:highlight w:val="none"/>
          <w:lang w:val="en-US" w:eastAsia="zh-CN"/>
        </w:rPr>
        <w:t>1</w:t>
      </w:r>
      <w:r>
        <w:rPr>
          <w:rFonts w:hint="eastAsia" w:ascii="宋体" w:hAnsi="宋体" w:cs="宋体"/>
          <w:color w:val="auto"/>
          <w:highlight w:val="none"/>
        </w:rPr>
        <w:t>日。公告内容包括中标人名称、中标价。</w:t>
      </w:r>
    </w:p>
    <w:p w14:paraId="24041935">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57" w:name="_Toc22737"/>
      <w:r>
        <w:rPr>
          <w:rFonts w:ascii="宋体" w:hAnsi="宋体" w:eastAsia="宋体" w:cs="宋体"/>
          <w:b/>
          <w:bCs/>
          <w:color w:val="auto"/>
          <w:spacing w:val="-6"/>
          <w:sz w:val="24"/>
          <w:szCs w:val="24"/>
          <w:highlight w:val="none"/>
        </w:rPr>
        <w:t>7.</w:t>
      </w:r>
      <w:r>
        <w:rPr>
          <w:rFonts w:hint="eastAsia" w:ascii="宋体" w:hAnsi="宋体" w:eastAsia="宋体" w:cs="宋体"/>
          <w:b/>
          <w:bCs/>
          <w:color w:val="auto"/>
          <w:spacing w:val="-6"/>
          <w:sz w:val="24"/>
          <w:szCs w:val="24"/>
          <w:highlight w:val="none"/>
          <w:lang w:val="en-US" w:eastAsia="zh-CN"/>
        </w:rPr>
        <w:t>8</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6"/>
          <w:sz w:val="24"/>
          <w:szCs w:val="24"/>
          <w:highlight w:val="none"/>
        </w:rPr>
        <w:t>履约保证金</w:t>
      </w:r>
      <w:bookmarkEnd w:id="250"/>
      <w:bookmarkEnd w:id="251"/>
      <w:bookmarkEnd w:id="252"/>
      <w:bookmarkEnd w:id="257"/>
    </w:p>
    <w:p w14:paraId="068CB880">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8</w:t>
      </w:r>
      <w:r>
        <w:rPr>
          <w:rFonts w:ascii="宋体" w:hAnsi="宋体" w:eastAsia="宋体" w:cs="宋体"/>
          <w:color w:val="auto"/>
          <w:spacing w:val="5"/>
          <w:sz w:val="24"/>
          <w:szCs w:val="24"/>
          <w:highlight w:val="none"/>
        </w:rPr>
        <w:t>.1 在签订合同前，中标人应按投标人须知</w:t>
      </w:r>
      <w:r>
        <w:rPr>
          <w:rFonts w:ascii="宋体" w:hAnsi="宋体" w:eastAsia="宋体" w:cs="宋体"/>
          <w:color w:val="auto"/>
          <w:spacing w:val="4"/>
          <w:sz w:val="24"/>
          <w:szCs w:val="24"/>
          <w:highlight w:val="none"/>
        </w:rPr>
        <w:t>前附表规定的形式、金额和招标文件第四章“合同条款及格式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”规定的或事先经过招标人书面认可的履约保</w:t>
      </w:r>
      <w:r>
        <w:rPr>
          <w:rFonts w:ascii="宋体" w:hAnsi="宋体" w:eastAsia="宋体" w:cs="宋体"/>
          <w:color w:val="auto"/>
          <w:spacing w:val="3"/>
          <w:sz w:val="24"/>
          <w:szCs w:val="24"/>
          <w:highlight w:val="none"/>
        </w:rPr>
        <w:t>证金格式向</w:t>
      </w:r>
      <w:r>
        <w:rPr>
          <w:rFonts w:ascii="宋体" w:hAnsi="宋体" w:eastAsia="宋体" w:cs="宋体"/>
          <w:color w:val="auto"/>
          <w:spacing w:val="5"/>
          <w:sz w:val="24"/>
          <w:szCs w:val="24"/>
          <w:highlight w:val="none"/>
        </w:rPr>
        <w:t>招标人提交履约保证金。除投标人须知前附表另有规定外，履约保证金为签约</w:t>
      </w:r>
      <w:r>
        <w:rPr>
          <w:rFonts w:ascii="宋体" w:hAnsi="宋体" w:eastAsia="宋体" w:cs="宋体"/>
          <w:color w:val="auto"/>
          <w:spacing w:val="4"/>
          <w:sz w:val="24"/>
          <w:szCs w:val="24"/>
          <w:highlight w:val="none"/>
        </w:rPr>
        <w:t>合同价</w:t>
      </w:r>
      <w:r>
        <w:rPr>
          <w:rFonts w:ascii="宋体" w:hAnsi="宋体" w:eastAsia="宋体" w:cs="宋体"/>
          <w:color w:val="auto"/>
          <w:spacing w:val="-1"/>
          <w:sz w:val="24"/>
          <w:szCs w:val="24"/>
          <w:highlight w:val="none"/>
        </w:rPr>
        <w:t>的</w:t>
      </w:r>
      <w:r>
        <w:rPr>
          <w:rFonts w:ascii="宋体" w:hAnsi="宋体" w:eastAsia="宋体" w:cs="宋体"/>
          <w:color w:val="auto"/>
          <w:spacing w:val="-32"/>
          <w:sz w:val="24"/>
          <w:szCs w:val="24"/>
          <w:highlight w:val="none"/>
        </w:rPr>
        <w:t xml:space="preserve"> </w:t>
      </w:r>
      <w:r>
        <w:rPr>
          <w:rFonts w:hint="eastAsia" w:ascii="宋体" w:hAnsi="宋体" w:eastAsia="宋体" w:cs="宋体"/>
          <w:color w:val="auto"/>
          <w:spacing w:val="-32"/>
          <w:sz w:val="24"/>
          <w:szCs w:val="24"/>
          <w:highlight w:val="none"/>
          <w:lang w:val="en-US" w:eastAsia="zh-CN"/>
        </w:rPr>
        <w:t>5</w:t>
      </w:r>
      <w:r>
        <w:rPr>
          <w:rFonts w:ascii="宋体" w:hAnsi="宋体" w:eastAsia="宋体" w:cs="宋体"/>
          <w:color w:val="auto"/>
          <w:spacing w:val="-1"/>
          <w:sz w:val="24"/>
          <w:szCs w:val="24"/>
          <w:highlight w:val="none"/>
        </w:rPr>
        <w:t>%。联合体中标的，其履约保证金以联合体各方或联合体中牵头人的名义提交。</w:t>
      </w:r>
    </w:p>
    <w:p w14:paraId="50CC06E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pacing w:val="-2"/>
          <w:sz w:val="24"/>
          <w:szCs w:val="24"/>
          <w:highlight w:val="none"/>
        </w:rPr>
      </w:pPr>
      <w:r>
        <w:rPr>
          <w:rFonts w:ascii="宋体" w:hAnsi="宋体" w:eastAsia="宋体" w:cs="宋体"/>
          <w:color w:val="auto"/>
          <w:spacing w:val="5"/>
          <w:sz w:val="24"/>
          <w:szCs w:val="24"/>
          <w:highlight w:val="none"/>
        </w:rPr>
        <w:t>采用银行保函时，应由符合投标人须知前附表规定级别的银行开具，所需的费用</w:t>
      </w:r>
      <w:r>
        <w:rPr>
          <w:rFonts w:ascii="宋体" w:hAnsi="宋体" w:eastAsia="宋体" w:cs="宋体"/>
          <w:color w:val="auto"/>
          <w:spacing w:val="-2"/>
          <w:sz w:val="24"/>
          <w:szCs w:val="24"/>
          <w:highlight w:val="none"/>
        </w:rPr>
        <w:t>由中标人承担，中标人应保证银行保函有效。</w:t>
      </w:r>
    </w:p>
    <w:p w14:paraId="6767C6A8">
      <w:pPr>
        <w:keepNext w:val="0"/>
        <w:keepLines w:val="0"/>
        <w:pageBreakBefore w:val="0"/>
        <w:wordWrap/>
        <w:overflowPunct/>
        <w:topLinePunct w:val="0"/>
        <w:bidi w:val="0"/>
        <w:spacing w:line="500" w:lineRule="exact"/>
        <w:ind w:left="0" w:leftChars="0" w:right="0" w:firstLine="488"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8</w:t>
      </w:r>
      <w:r>
        <w:rPr>
          <w:rFonts w:ascii="宋体" w:hAnsi="宋体" w:eastAsia="宋体" w:cs="宋体"/>
          <w:color w:val="auto"/>
          <w:spacing w:val="2"/>
          <w:sz w:val="24"/>
          <w:szCs w:val="24"/>
          <w:highlight w:val="none"/>
        </w:rPr>
        <w:t>.2</w:t>
      </w:r>
      <w:r>
        <w:rPr>
          <w:rFonts w:ascii="宋体" w:hAnsi="宋体" w:eastAsia="宋体" w:cs="宋体"/>
          <w:color w:val="auto"/>
          <w:spacing w:val="57"/>
          <w:sz w:val="24"/>
          <w:szCs w:val="24"/>
          <w:highlight w:val="none"/>
        </w:rPr>
        <w:t xml:space="preserve"> </w:t>
      </w:r>
      <w:r>
        <w:rPr>
          <w:rFonts w:ascii="宋体" w:hAnsi="宋体" w:eastAsia="宋体" w:cs="宋体"/>
          <w:color w:val="auto"/>
          <w:spacing w:val="2"/>
          <w:sz w:val="24"/>
          <w:szCs w:val="24"/>
          <w:highlight w:val="none"/>
        </w:rPr>
        <w:t>中标人不能按本章第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8</w:t>
      </w:r>
      <w:r>
        <w:rPr>
          <w:rFonts w:ascii="宋体" w:hAnsi="宋体" w:eastAsia="宋体" w:cs="宋体"/>
          <w:color w:val="auto"/>
          <w:spacing w:val="2"/>
          <w:sz w:val="24"/>
          <w:szCs w:val="24"/>
          <w:highlight w:val="none"/>
        </w:rPr>
        <w:t>.1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项要求提交履约保证金的，视为放弃中标，其</w:t>
      </w:r>
      <w:r>
        <w:rPr>
          <w:rFonts w:ascii="宋体" w:hAnsi="宋体" w:eastAsia="宋体" w:cs="宋体"/>
          <w:color w:val="auto"/>
          <w:spacing w:val="5"/>
          <w:sz w:val="24"/>
          <w:szCs w:val="24"/>
          <w:highlight w:val="none"/>
        </w:rPr>
        <w:t>投标保证金不予退还，给招标人造成的损失超过投标保证金数额的，中标人还</w:t>
      </w:r>
      <w:r>
        <w:rPr>
          <w:rFonts w:ascii="宋体" w:hAnsi="宋体" w:eastAsia="宋体" w:cs="宋体"/>
          <w:color w:val="auto"/>
          <w:spacing w:val="4"/>
          <w:sz w:val="24"/>
          <w:szCs w:val="24"/>
          <w:highlight w:val="none"/>
        </w:rPr>
        <w:t>应当对</w:t>
      </w:r>
      <w:r>
        <w:rPr>
          <w:rFonts w:ascii="宋体" w:hAnsi="宋体" w:eastAsia="宋体" w:cs="宋体"/>
          <w:color w:val="auto"/>
          <w:spacing w:val="-1"/>
          <w:sz w:val="24"/>
          <w:szCs w:val="24"/>
          <w:highlight w:val="none"/>
        </w:rPr>
        <w:t>超过部分予以赔偿。</w:t>
      </w:r>
    </w:p>
    <w:p w14:paraId="3391495A">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58" w:name="_Toc24081"/>
      <w:bookmarkStart w:id="259" w:name="_Toc13207"/>
      <w:bookmarkStart w:id="260" w:name="_Toc506"/>
      <w:bookmarkStart w:id="261" w:name="_Toc540"/>
      <w:r>
        <w:rPr>
          <w:rFonts w:ascii="宋体" w:hAnsi="宋体" w:eastAsia="宋体" w:cs="宋体"/>
          <w:b/>
          <w:bCs/>
          <w:color w:val="auto"/>
          <w:spacing w:val="-6"/>
          <w:sz w:val="24"/>
          <w:szCs w:val="24"/>
          <w:highlight w:val="none"/>
        </w:rPr>
        <w:t>7.</w:t>
      </w:r>
      <w:r>
        <w:rPr>
          <w:rFonts w:hint="eastAsia" w:ascii="宋体" w:hAnsi="宋体" w:eastAsia="宋体" w:cs="宋体"/>
          <w:b/>
          <w:bCs/>
          <w:color w:val="auto"/>
          <w:spacing w:val="-6"/>
          <w:sz w:val="24"/>
          <w:szCs w:val="24"/>
          <w:highlight w:val="none"/>
          <w:lang w:val="en-US" w:eastAsia="zh-CN"/>
        </w:rPr>
        <w:t>9</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6"/>
          <w:sz w:val="24"/>
          <w:szCs w:val="24"/>
          <w:highlight w:val="none"/>
        </w:rPr>
        <w:t>签订合同</w:t>
      </w:r>
      <w:bookmarkEnd w:id="258"/>
      <w:bookmarkEnd w:id="259"/>
      <w:bookmarkEnd w:id="260"/>
      <w:bookmarkEnd w:id="261"/>
    </w:p>
    <w:p w14:paraId="2A0F22A8">
      <w:pPr>
        <w:keepNext w:val="0"/>
        <w:keepLines w:val="0"/>
        <w:pageBreakBefore w:val="0"/>
        <w:wordWrap/>
        <w:overflowPunct/>
        <w:topLinePunct w:val="0"/>
        <w:bidi w:val="0"/>
        <w:spacing w:line="500" w:lineRule="exact"/>
        <w:ind w:left="0" w:leftChars="0" w:right="0" w:firstLine="484"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.1  根据《公路工程建设项目招标投标管理办法》第五十七条规定，招标人和</w:t>
      </w:r>
      <w:r>
        <w:rPr>
          <w:rFonts w:ascii="宋体" w:hAnsi="宋体" w:eastAsia="宋体" w:cs="宋体"/>
          <w:color w:val="auto"/>
          <w:sz w:val="24"/>
          <w:szCs w:val="24"/>
          <w:highlight w:val="none"/>
        </w:rPr>
        <w:t>中标人应在中标通知书发出之日起</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30 日内，根据招标</w:t>
      </w:r>
      <w:r>
        <w:rPr>
          <w:rFonts w:ascii="宋体" w:hAnsi="宋体" w:eastAsia="宋体" w:cs="宋体"/>
          <w:color w:val="auto"/>
          <w:spacing w:val="-1"/>
          <w:sz w:val="24"/>
          <w:szCs w:val="24"/>
          <w:highlight w:val="none"/>
        </w:rPr>
        <w:t>文件和中标人的投标文件订立合</w:t>
      </w:r>
      <w:r>
        <w:rPr>
          <w:rFonts w:ascii="宋体" w:hAnsi="宋体" w:eastAsia="宋体" w:cs="宋体"/>
          <w:color w:val="auto"/>
          <w:spacing w:val="5"/>
          <w:sz w:val="24"/>
          <w:szCs w:val="24"/>
          <w:highlight w:val="none"/>
        </w:rPr>
        <w:t>同。中标人无正当理由拒签合同，在签订合同时向招标人提出附加条件，</w:t>
      </w:r>
      <w:r>
        <w:rPr>
          <w:rFonts w:ascii="宋体" w:hAnsi="宋体" w:eastAsia="宋体" w:cs="宋体"/>
          <w:color w:val="auto"/>
          <w:spacing w:val="4"/>
          <w:sz w:val="24"/>
          <w:szCs w:val="24"/>
          <w:highlight w:val="none"/>
        </w:rPr>
        <w:t>或不按照招</w:t>
      </w:r>
      <w:r>
        <w:rPr>
          <w:rFonts w:ascii="宋体" w:hAnsi="宋体" w:eastAsia="宋体" w:cs="宋体"/>
          <w:color w:val="auto"/>
          <w:spacing w:val="-2"/>
          <w:sz w:val="24"/>
          <w:szCs w:val="24"/>
          <w:highlight w:val="none"/>
        </w:rPr>
        <w:t>标文件要求提交履约保证金的，招标人有权取消其中标资格，其投标保证金不予退还；</w:t>
      </w:r>
      <w:r>
        <w:rPr>
          <w:rFonts w:ascii="宋体" w:hAnsi="宋体" w:eastAsia="宋体" w:cs="宋体"/>
          <w:color w:val="auto"/>
          <w:sz w:val="24"/>
          <w:szCs w:val="24"/>
          <w:highlight w:val="none"/>
        </w:rPr>
        <w:t>给招标人造成的损失超过投标保证金数额的，中标人</w:t>
      </w:r>
      <w:r>
        <w:rPr>
          <w:rFonts w:ascii="宋体" w:hAnsi="宋体" w:eastAsia="宋体" w:cs="宋体"/>
          <w:color w:val="auto"/>
          <w:spacing w:val="-1"/>
          <w:sz w:val="24"/>
          <w:szCs w:val="24"/>
          <w:highlight w:val="none"/>
        </w:rPr>
        <w:t>还应对超过部分予以赔偿。</w:t>
      </w:r>
    </w:p>
    <w:p w14:paraId="22D07C56">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.2 发出中标通知书后，招标人无正当理由</w:t>
      </w:r>
      <w:r>
        <w:rPr>
          <w:rFonts w:ascii="宋体" w:hAnsi="宋体" w:eastAsia="宋体" w:cs="宋体"/>
          <w:color w:val="auto"/>
          <w:spacing w:val="4"/>
          <w:sz w:val="24"/>
          <w:szCs w:val="24"/>
          <w:highlight w:val="none"/>
        </w:rPr>
        <w:t>拒签合同，或在签订合同时向中标</w:t>
      </w:r>
      <w:r>
        <w:rPr>
          <w:rFonts w:ascii="宋体" w:hAnsi="宋体" w:eastAsia="宋体" w:cs="宋体"/>
          <w:color w:val="auto"/>
          <w:spacing w:val="5"/>
          <w:sz w:val="24"/>
          <w:szCs w:val="24"/>
          <w:highlight w:val="none"/>
        </w:rPr>
        <w:t>人提出附加条件的，招标人向中标人退还投标保证金；给中标人造成损失的，</w:t>
      </w:r>
      <w:r>
        <w:rPr>
          <w:rFonts w:ascii="宋体" w:hAnsi="宋体" w:eastAsia="宋体" w:cs="宋体"/>
          <w:color w:val="auto"/>
          <w:spacing w:val="4"/>
          <w:sz w:val="24"/>
          <w:szCs w:val="24"/>
          <w:highlight w:val="none"/>
        </w:rPr>
        <w:t>还应赔</w:t>
      </w:r>
      <w:r>
        <w:rPr>
          <w:rFonts w:ascii="宋体" w:hAnsi="宋体" w:eastAsia="宋体" w:cs="宋体"/>
          <w:color w:val="auto"/>
          <w:spacing w:val="-3"/>
          <w:sz w:val="24"/>
          <w:szCs w:val="24"/>
          <w:highlight w:val="none"/>
        </w:rPr>
        <w:t>偿损失。</w:t>
      </w:r>
    </w:p>
    <w:p w14:paraId="0CD78A2B">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.3 签约合同价的确定原则如下：</w:t>
      </w:r>
    </w:p>
    <w:p w14:paraId="25963C2D">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（1）按照评标办法规定对投标报价进行修正后，若修正后的最终投标报价小于开标时的投标函大写金额报价，则签订合同时以修正后的最终投标报价为准；</w:t>
      </w:r>
    </w:p>
    <w:p w14:paraId="4DBEF428">
      <w:pPr>
        <w:keepNext w:val="0"/>
        <w:keepLines w:val="0"/>
        <w:pageBreakBefore w:val="0"/>
        <w:wordWrap/>
        <w:overflowPunct/>
        <w:topLinePunct w:val="0"/>
        <w:bidi w:val="0"/>
        <w:spacing w:line="500" w:lineRule="exact"/>
        <w:ind w:left="0" w:leftChars="0" w:right="0" w:firstLine="476" w:firstLineChars="20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345620F">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.4 联合体中标的，联合体各方应共同与招</w:t>
      </w:r>
      <w:r>
        <w:rPr>
          <w:rFonts w:ascii="宋体" w:hAnsi="宋体" w:eastAsia="宋体" w:cs="宋体"/>
          <w:color w:val="auto"/>
          <w:spacing w:val="4"/>
          <w:sz w:val="24"/>
          <w:szCs w:val="24"/>
          <w:highlight w:val="none"/>
        </w:rPr>
        <w:t>标人签订合同，就中标项目向招标</w:t>
      </w:r>
      <w:r>
        <w:rPr>
          <w:rFonts w:ascii="宋体" w:hAnsi="宋体" w:eastAsia="宋体" w:cs="宋体"/>
          <w:color w:val="auto"/>
          <w:spacing w:val="-2"/>
          <w:sz w:val="24"/>
          <w:szCs w:val="24"/>
          <w:highlight w:val="none"/>
        </w:rPr>
        <w:t>人承担连带责任。</w:t>
      </w:r>
    </w:p>
    <w:p w14:paraId="22AD6DD3">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hint="eastAsia" w:ascii="宋体" w:hAnsi="宋体" w:eastAsia="宋体" w:cs="宋体"/>
          <w:color w:val="auto"/>
          <w:spacing w:val="5"/>
          <w:sz w:val="24"/>
          <w:szCs w:val="24"/>
          <w:highlight w:val="none"/>
          <w:lang w:val="en-US" w:eastAsia="zh-CN"/>
        </w:rPr>
        <w:t>9</w:t>
      </w:r>
      <w:r>
        <w:rPr>
          <w:rFonts w:ascii="宋体" w:hAnsi="宋体" w:eastAsia="宋体" w:cs="宋体"/>
          <w:color w:val="auto"/>
          <w:spacing w:val="5"/>
          <w:sz w:val="24"/>
          <w:szCs w:val="24"/>
          <w:highlight w:val="none"/>
        </w:rPr>
        <w:t>.5 招标人和中标人在签订合同协议书的同</w:t>
      </w:r>
      <w:r>
        <w:rPr>
          <w:rFonts w:ascii="宋体" w:hAnsi="宋体" w:eastAsia="宋体" w:cs="宋体"/>
          <w:color w:val="auto"/>
          <w:spacing w:val="4"/>
          <w:sz w:val="24"/>
          <w:szCs w:val="24"/>
          <w:highlight w:val="none"/>
        </w:rPr>
        <w:t>时，须按照本招标文件规定的格式</w:t>
      </w:r>
      <w:r>
        <w:rPr>
          <w:rFonts w:ascii="宋体" w:hAnsi="宋体" w:eastAsia="宋体" w:cs="宋体"/>
          <w:color w:val="auto"/>
          <w:spacing w:val="-1"/>
          <w:sz w:val="24"/>
          <w:szCs w:val="24"/>
          <w:highlight w:val="none"/>
        </w:rPr>
        <w:t>和要求签订廉政合同，明确双方在廉政建设方面的权利</w:t>
      </w:r>
      <w:r>
        <w:rPr>
          <w:rFonts w:ascii="宋体" w:hAnsi="宋体" w:eastAsia="宋体" w:cs="宋体"/>
          <w:color w:val="auto"/>
          <w:spacing w:val="-2"/>
          <w:sz w:val="24"/>
          <w:szCs w:val="24"/>
          <w:highlight w:val="none"/>
        </w:rPr>
        <w:t>和义务以及应承担的违约责任。</w:t>
      </w:r>
    </w:p>
    <w:p w14:paraId="4264B70F">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62" w:name="_Toc3854"/>
      <w:bookmarkStart w:id="263" w:name="_Toc15432"/>
      <w:r>
        <w:rPr>
          <w:rFonts w:ascii="宋体" w:hAnsi="宋体" w:eastAsia="宋体" w:cs="宋体"/>
          <w:b/>
          <w:bCs/>
          <w:color w:val="auto"/>
          <w:spacing w:val="-7"/>
          <w:sz w:val="28"/>
          <w:szCs w:val="28"/>
          <w:highlight w:val="none"/>
        </w:rPr>
        <w:t>8.</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7"/>
          <w:sz w:val="28"/>
          <w:szCs w:val="28"/>
          <w:highlight w:val="none"/>
        </w:rPr>
        <w:t>纪律和监督</w:t>
      </w:r>
      <w:bookmarkEnd w:id="262"/>
      <w:bookmarkEnd w:id="263"/>
    </w:p>
    <w:p w14:paraId="04B491D9">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64" w:name="_Toc7454"/>
      <w:bookmarkStart w:id="265" w:name="_Toc5392"/>
      <w:bookmarkStart w:id="266" w:name="_Toc32182"/>
      <w:bookmarkStart w:id="267" w:name="_Toc12176"/>
      <w:r>
        <w:rPr>
          <w:rFonts w:ascii="宋体" w:hAnsi="宋体" w:eastAsia="宋体" w:cs="宋体"/>
          <w:b/>
          <w:bCs/>
          <w:color w:val="auto"/>
          <w:spacing w:val="-3"/>
          <w:sz w:val="24"/>
          <w:szCs w:val="24"/>
          <w:highlight w:val="none"/>
        </w:rPr>
        <w:t>8.1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对招标人的纪律要求</w:t>
      </w:r>
      <w:bookmarkEnd w:id="264"/>
      <w:bookmarkEnd w:id="265"/>
      <w:bookmarkEnd w:id="266"/>
      <w:bookmarkEnd w:id="267"/>
    </w:p>
    <w:p w14:paraId="5E0C84B1">
      <w:pPr>
        <w:keepNext w:val="0"/>
        <w:keepLines w:val="0"/>
        <w:pageBreakBefore w:val="0"/>
        <w:wordWrap/>
        <w:overflowPunct/>
        <w:topLinePunct w:val="0"/>
        <w:bidi w:val="0"/>
        <w:spacing w:line="500" w:lineRule="exact"/>
        <w:ind w:left="0" w:leftChars="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招标人不得泄露招标投标活动中应保密的情况和资料，不得与投标人串通损害国</w:t>
      </w:r>
      <w:r>
        <w:rPr>
          <w:rFonts w:ascii="宋体" w:hAnsi="宋体" w:eastAsia="宋体" w:cs="宋体"/>
          <w:color w:val="auto"/>
          <w:spacing w:val="-1"/>
          <w:sz w:val="24"/>
          <w:szCs w:val="24"/>
          <w:highlight w:val="none"/>
        </w:rPr>
        <w:t>家利益、社会公共利益或者他人合法权益。</w:t>
      </w:r>
    </w:p>
    <w:p w14:paraId="2639997F">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68" w:name="_Toc26254"/>
      <w:bookmarkStart w:id="269" w:name="_Toc15408"/>
      <w:bookmarkStart w:id="270" w:name="_Toc3915"/>
      <w:bookmarkStart w:id="271" w:name="_Toc29567"/>
      <w:r>
        <w:rPr>
          <w:rFonts w:ascii="宋体" w:hAnsi="宋体" w:eastAsia="宋体" w:cs="宋体"/>
          <w:b/>
          <w:bCs/>
          <w:color w:val="auto"/>
          <w:spacing w:val="-3"/>
          <w:sz w:val="24"/>
          <w:szCs w:val="24"/>
          <w:highlight w:val="none"/>
        </w:rPr>
        <w:t>8.2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对投标人的纪律要求</w:t>
      </w:r>
      <w:bookmarkEnd w:id="268"/>
      <w:bookmarkEnd w:id="269"/>
      <w:bookmarkEnd w:id="270"/>
      <w:bookmarkEnd w:id="271"/>
    </w:p>
    <w:p w14:paraId="12853012">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投标人不得相互串通投标或与招标人串通投标，不得向招标人或评标委员会成员行贿谋取中标，不得以他人名义投标或以其他方式弄虚作假骗取中标；投标人</w:t>
      </w:r>
      <w:r>
        <w:rPr>
          <w:rFonts w:ascii="宋体" w:hAnsi="宋体" w:eastAsia="宋体" w:cs="宋体"/>
          <w:color w:val="auto"/>
          <w:spacing w:val="4"/>
          <w:sz w:val="24"/>
          <w:szCs w:val="24"/>
          <w:highlight w:val="none"/>
        </w:rPr>
        <w:t>不得以</w:t>
      </w:r>
      <w:r>
        <w:rPr>
          <w:rFonts w:ascii="宋体" w:hAnsi="宋体" w:eastAsia="宋体" w:cs="宋体"/>
          <w:color w:val="auto"/>
          <w:spacing w:val="-1"/>
          <w:sz w:val="24"/>
          <w:szCs w:val="24"/>
          <w:highlight w:val="none"/>
        </w:rPr>
        <w:t>任何方式干扰、影响评标工作。</w:t>
      </w:r>
    </w:p>
    <w:p w14:paraId="59AF9E9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72" w:name="_Toc23985"/>
      <w:bookmarkStart w:id="273" w:name="_Toc15026"/>
      <w:bookmarkStart w:id="274" w:name="_Toc13230"/>
      <w:bookmarkStart w:id="275" w:name="_Toc31795"/>
      <w:bookmarkStart w:id="276" w:name="_Toc8423"/>
      <w:bookmarkStart w:id="277" w:name="_Toc31998"/>
      <w:bookmarkStart w:id="278" w:name="_Toc9326"/>
      <w:r>
        <w:rPr>
          <w:rFonts w:hint="eastAsia" w:ascii="宋体" w:hAnsi="宋体" w:cs="宋体"/>
          <w:color w:val="auto"/>
          <w:highlight w:val="none"/>
        </w:rPr>
        <w:t>8.3 对评标委员会成员的纪律要求</w:t>
      </w:r>
      <w:bookmarkEnd w:id="272"/>
      <w:bookmarkEnd w:id="273"/>
      <w:bookmarkEnd w:id="274"/>
      <w:bookmarkEnd w:id="275"/>
    </w:p>
    <w:p w14:paraId="17BE017C">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评标委员会成员不得收受他人的财物或其他好处，不得向他人透露对投标文件的评审和比较、</w:t>
      </w:r>
      <w:r>
        <w:rPr>
          <w:rFonts w:hint="eastAsia" w:ascii="宋体" w:hAnsi="宋体" w:cs="宋体"/>
          <w:color w:val="auto"/>
          <w:highlight w:val="none"/>
          <w:lang w:val="en-US" w:eastAsia="zh-CN"/>
        </w:rPr>
        <w:t>定标</w:t>
      </w:r>
      <w:r>
        <w:rPr>
          <w:rFonts w:hint="eastAsia" w:ascii="宋体" w:hAnsi="宋体" w:cs="宋体"/>
          <w:color w:val="auto"/>
          <w:highlight w:val="none"/>
        </w:rPr>
        <w:t>候选人的推荐情况以及评标有关的其他情况。在评标活动中，评标委员30会成员应客观、公正地履行职责，遵守职业道德，不得擅离职守，影响评标程序正常进行，不得使用第三章“评标办法”没有规定的评审因素和标准进行评标。</w:t>
      </w:r>
    </w:p>
    <w:p w14:paraId="09A1DD05">
      <w:pPr>
        <w:pStyle w:val="30"/>
        <w:keepNext w:val="0"/>
        <w:keepLines w:val="0"/>
        <w:pageBreakBefore w:val="0"/>
        <w:numPr>
          <w:ilvl w:val="0"/>
          <w:numId w:val="0"/>
        </w:numPr>
        <w:kinsoku/>
        <w:wordWrap/>
        <w:overflowPunct/>
        <w:topLinePunct w:val="0"/>
        <w:bidi w:val="0"/>
        <w:spacing w:line="500" w:lineRule="exact"/>
        <w:ind w:right="0"/>
        <w:jc w:val="both"/>
        <w:textAlignment w:val="auto"/>
        <w:rPr>
          <w:rFonts w:hint="eastAsia" w:ascii="宋体" w:hAnsi="宋体" w:cs="宋体"/>
          <w:color w:val="auto"/>
          <w:highlight w:val="none"/>
        </w:rPr>
      </w:pPr>
      <w:bookmarkStart w:id="279" w:name="_Toc16084"/>
      <w:bookmarkStart w:id="280" w:name="_Toc22704"/>
      <w:bookmarkStart w:id="281" w:name="_Toc31858"/>
      <w:bookmarkStart w:id="282" w:name="_Toc20211"/>
      <w:r>
        <w:rPr>
          <w:rFonts w:hint="eastAsia" w:ascii="宋体" w:hAnsi="宋体" w:cs="宋体"/>
          <w:color w:val="auto"/>
          <w:highlight w:val="none"/>
        </w:rPr>
        <w:t>8.</w:t>
      </w:r>
      <w:r>
        <w:rPr>
          <w:rFonts w:hint="eastAsia" w:ascii="宋体" w:hAnsi="宋体" w:cs="宋体"/>
          <w:color w:val="auto"/>
          <w:highlight w:val="none"/>
          <w:lang w:val="en-US" w:eastAsia="zh-CN"/>
        </w:rPr>
        <w:t>4</w:t>
      </w:r>
      <w:r>
        <w:rPr>
          <w:rFonts w:hint="eastAsia" w:ascii="宋体" w:hAnsi="宋体" w:cs="宋体"/>
          <w:color w:val="auto"/>
          <w:highlight w:val="none"/>
        </w:rPr>
        <w:t xml:space="preserve"> 对与评标活动有关的工作人员的纪律要求</w:t>
      </w:r>
      <w:bookmarkEnd w:id="279"/>
      <w:bookmarkEnd w:id="280"/>
      <w:bookmarkEnd w:id="281"/>
      <w:bookmarkEnd w:id="282"/>
    </w:p>
    <w:p w14:paraId="7569B26D">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highlight w:val="none"/>
        </w:rPr>
      </w:pPr>
      <w:r>
        <w:rPr>
          <w:rFonts w:hint="eastAsia" w:ascii="宋体" w:hAnsi="宋体" w:cs="宋体"/>
          <w:color w:val="auto"/>
          <w:highlight w:val="none"/>
        </w:rPr>
        <w:t>与评标活动有关的工作人员不得收受他人的财物或其他好处，不得向他人透露对投标文件的评审和比较、</w:t>
      </w:r>
      <w:r>
        <w:rPr>
          <w:rFonts w:hint="eastAsia" w:ascii="宋体" w:hAnsi="宋体" w:eastAsia="宋体" w:cs="宋体"/>
          <w:color w:val="auto"/>
          <w:highlight w:val="none"/>
          <w:lang w:val="en-US" w:eastAsia="zh-CN"/>
        </w:rPr>
        <w:t>定标</w:t>
      </w:r>
      <w:r>
        <w:rPr>
          <w:rFonts w:hint="eastAsia" w:ascii="宋体" w:hAnsi="宋体" w:cs="宋体"/>
          <w:color w:val="auto"/>
          <w:highlight w:val="none"/>
        </w:rPr>
        <w:t>候选人的推荐情况以及评标有关的其他情况。在评标活动中，与评标活动有关的工作人员不得擅离职守，影响评标程序正常进行。</w:t>
      </w:r>
    </w:p>
    <w:p w14:paraId="40E476E5">
      <w:pPr>
        <w:pStyle w:val="25"/>
        <w:keepNext w:val="0"/>
        <w:keepLines w:val="0"/>
        <w:pageBreakBefore w:val="0"/>
        <w:kinsoku/>
        <w:wordWrap/>
        <w:overflowPunct/>
        <w:topLinePunct w:val="0"/>
        <w:bidi w:val="0"/>
        <w:spacing w:line="500" w:lineRule="exact"/>
        <w:ind w:left="0" w:leftChars="0" w:right="0" w:firstLine="0" w:firstLineChars="0"/>
        <w:jc w:val="both"/>
        <w:textAlignment w:val="auto"/>
        <w:rPr>
          <w:rFonts w:hint="eastAsia"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 xml:space="preserve">8.5 </w:t>
      </w:r>
      <w:r>
        <w:rPr>
          <w:rFonts w:hint="eastAsia" w:ascii="宋体" w:hAnsi="宋体" w:cs="宋体"/>
          <w:b/>
          <w:bCs/>
          <w:color w:val="auto"/>
          <w:highlight w:val="none"/>
        </w:rPr>
        <w:t>对</w:t>
      </w:r>
      <w:r>
        <w:rPr>
          <w:rFonts w:hint="eastAsia" w:ascii="宋体" w:hAnsi="宋体" w:cs="宋体"/>
          <w:b/>
          <w:bCs/>
          <w:color w:val="auto"/>
          <w:highlight w:val="none"/>
          <w:lang w:val="en-US" w:eastAsia="zh-CN"/>
        </w:rPr>
        <w:t>定标</w:t>
      </w:r>
      <w:r>
        <w:rPr>
          <w:rFonts w:hint="eastAsia" w:ascii="宋体" w:hAnsi="宋体" w:cs="宋体"/>
          <w:b/>
          <w:bCs/>
          <w:color w:val="auto"/>
          <w:highlight w:val="none"/>
        </w:rPr>
        <w:t>委员会成员的纪律要求</w:t>
      </w:r>
      <w:r>
        <w:rPr>
          <w:rFonts w:hint="eastAsia" w:ascii="宋体" w:hAnsi="宋体" w:eastAsia="宋体" w:cs="宋体"/>
          <w:b/>
          <w:bCs/>
          <w:color w:val="auto"/>
          <w:highlight w:val="none"/>
          <w:lang w:val="en-US" w:eastAsia="zh-CN"/>
        </w:rPr>
        <w:t xml:space="preserve"> </w:t>
      </w:r>
    </w:p>
    <w:p w14:paraId="5973A7CB">
      <w:pPr>
        <w:pStyle w:val="28"/>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strike w:val="0"/>
          <w:dstrike w:val="0"/>
          <w:color w:val="auto"/>
          <w:highlight w:val="none"/>
        </w:rPr>
      </w:pPr>
      <w:r>
        <w:rPr>
          <w:rFonts w:hint="eastAsia" w:ascii="宋体" w:hAnsi="宋体" w:cs="宋体"/>
          <w:strike w:val="0"/>
          <w:dstrike w:val="0"/>
          <w:color w:val="auto"/>
          <w:highlight w:val="none"/>
          <w:lang w:val="en-US" w:eastAsia="zh-CN"/>
        </w:rPr>
        <w:t xml:space="preserve">8.5.1 </w:t>
      </w:r>
      <w:r>
        <w:rPr>
          <w:rFonts w:hint="eastAsia" w:ascii="宋体" w:hAnsi="宋体" w:cs="宋体"/>
          <w:strike w:val="0"/>
          <w:dstrike w:val="0"/>
          <w:color w:val="auto"/>
          <w:highlight w:val="none"/>
        </w:rPr>
        <w:t>定标委员会成员不得与任何定标候选人或者与招标结果有利害关系的人进行私下接触，不得收受定标候选人、中介人、其他利害关系人的财物或者其他好处，不得向招标人征询其确定中标候选人的意向。</w:t>
      </w:r>
    </w:p>
    <w:p w14:paraId="327BC92A">
      <w:pPr>
        <w:pStyle w:val="25"/>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480" w:firstLineChars="200"/>
        <w:jc w:val="both"/>
        <w:textAlignment w:val="auto"/>
        <w:rPr>
          <w:rFonts w:hint="eastAsia" w:ascii="宋体" w:hAnsi="宋体" w:cs="宋体"/>
          <w:strike w:val="0"/>
          <w:dstrike w:val="0"/>
          <w:color w:val="auto"/>
          <w:highlight w:val="none"/>
        </w:rPr>
      </w:pPr>
      <w:r>
        <w:rPr>
          <w:rFonts w:hint="eastAsia" w:ascii="宋体" w:hAnsi="宋体" w:cs="宋体"/>
          <w:color w:val="auto"/>
          <w:highlight w:val="none"/>
          <w:lang w:val="en-US" w:eastAsia="zh-CN"/>
        </w:rPr>
        <w:t xml:space="preserve">8.5.2 </w:t>
      </w:r>
      <w:r>
        <w:rPr>
          <w:rFonts w:hint="eastAsia" w:ascii="宋体" w:hAnsi="宋体" w:cs="宋体"/>
          <w:color w:val="auto"/>
          <w:highlight w:val="none"/>
        </w:rPr>
        <w:t>在</w:t>
      </w:r>
      <w:r>
        <w:rPr>
          <w:rFonts w:hint="eastAsia" w:ascii="宋体" w:hAnsi="宋体" w:cs="宋体"/>
          <w:color w:val="auto"/>
          <w:highlight w:val="none"/>
          <w:lang w:val="en-US" w:eastAsia="zh-CN"/>
        </w:rPr>
        <w:t>定标</w:t>
      </w:r>
      <w:r>
        <w:rPr>
          <w:rFonts w:hint="eastAsia" w:ascii="宋体" w:hAnsi="宋体" w:cs="宋体"/>
          <w:color w:val="auto"/>
          <w:highlight w:val="none"/>
        </w:rPr>
        <w:t>活动中，</w:t>
      </w:r>
      <w:r>
        <w:rPr>
          <w:rFonts w:hint="eastAsia" w:ascii="宋体" w:hAnsi="宋体" w:cs="宋体"/>
          <w:strike w:val="0"/>
          <w:dstrike w:val="0"/>
          <w:color w:val="auto"/>
          <w:highlight w:val="none"/>
        </w:rPr>
        <w:t>定标委员会成员应客观、公正地履行定标职责，</w:t>
      </w:r>
      <w:r>
        <w:rPr>
          <w:rFonts w:hint="eastAsia" w:ascii="宋体" w:hAnsi="宋体" w:cs="宋体"/>
          <w:color w:val="auto"/>
          <w:highlight w:val="none"/>
        </w:rPr>
        <w:t>不得擅离职守，影响评标程序正常进行，不得使用</w:t>
      </w:r>
      <w:r>
        <w:rPr>
          <w:rFonts w:hint="eastAsia" w:ascii="宋体" w:hAnsi="宋体" w:cs="宋体"/>
          <w:color w:val="auto"/>
          <w:highlight w:val="none"/>
          <w:lang w:val="en-US" w:eastAsia="zh-CN"/>
        </w:rPr>
        <w:t>定标办法</w:t>
      </w:r>
      <w:r>
        <w:rPr>
          <w:rFonts w:hint="eastAsia" w:ascii="宋体" w:hAnsi="宋体" w:cs="宋体"/>
          <w:color w:val="auto"/>
          <w:highlight w:val="none"/>
        </w:rPr>
        <w:t>没有规定的</w:t>
      </w:r>
      <w:r>
        <w:rPr>
          <w:rFonts w:hint="eastAsia" w:ascii="宋体" w:hAnsi="宋体" w:cs="宋体"/>
          <w:color w:val="auto"/>
          <w:highlight w:val="none"/>
          <w:lang w:val="en-US" w:eastAsia="zh-CN"/>
        </w:rPr>
        <w:t>定标</w:t>
      </w:r>
      <w:r>
        <w:rPr>
          <w:rFonts w:hint="eastAsia" w:ascii="宋体" w:hAnsi="宋体" w:cs="宋体"/>
          <w:color w:val="auto"/>
          <w:highlight w:val="none"/>
        </w:rPr>
        <w:t>因素和标准进行</w:t>
      </w:r>
      <w:r>
        <w:rPr>
          <w:rFonts w:hint="eastAsia" w:ascii="宋体" w:hAnsi="宋体" w:cs="宋体"/>
          <w:color w:val="auto"/>
          <w:highlight w:val="none"/>
          <w:lang w:val="en-US" w:eastAsia="zh-CN"/>
        </w:rPr>
        <w:t>定标</w:t>
      </w:r>
      <w:r>
        <w:rPr>
          <w:rFonts w:hint="eastAsia" w:ascii="宋体" w:hAnsi="宋体" w:cs="宋体"/>
          <w:color w:val="auto"/>
          <w:highlight w:val="none"/>
        </w:rPr>
        <w:t>。</w:t>
      </w:r>
      <w:r>
        <w:rPr>
          <w:rFonts w:hint="eastAsia" w:ascii="宋体" w:hAnsi="宋体" w:cs="宋体"/>
          <w:strike w:val="0"/>
          <w:dstrike w:val="0"/>
          <w:color w:val="auto"/>
          <w:highlight w:val="none"/>
        </w:rPr>
        <w:t>在未公示中标结果前，对定标过程和结果严格保密，对所提出的定标意见承担个人责任。</w:t>
      </w:r>
    </w:p>
    <w:p w14:paraId="22D9216E">
      <w:pPr>
        <w:pStyle w:val="25"/>
        <w:keepNext w:val="0"/>
        <w:keepLines w:val="0"/>
        <w:pageBreakBefore w:val="0"/>
        <w:kinsoku/>
        <w:wordWrap/>
        <w:overflowPunct/>
        <w:topLinePunct w:val="0"/>
        <w:bidi w:val="0"/>
        <w:spacing w:line="500" w:lineRule="exact"/>
        <w:ind w:left="0" w:leftChars="0" w:right="0" w:firstLine="0" w:firstLineChars="0"/>
        <w:jc w:val="both"/>
        <w:textAlignment w:val="auto"/>
        <w:rPr>
          <w:rFonts w:hint="eastAsia" w:ascii="宋体" w:hAnsi="宋体" w:cs="宋体"/>
          <w:b/>
          <w:bCs/>
          <w:color w:val="auto"/>
          <w:highlight w:val="none"/>
        </w:rPr>
      </w:pPr>
      <w:r>
        <w:rPr>
          <w:rFonts w:hint="eastAsia" w:ascii="宋体" w:hAnsi="宋体" w:cs="宋体"/>
          <w:b/>
          <w:bCs/>
          <w:color w:val="auto"/>
          <w:highlight w:val="none"/>
          <w:lang w:val="en-US" w:eastAsia="zh-CN"/>
        </w:rPr>
        <w:t xml:space="preserve">8.6 </w:t>
      </w:r>
      <w:r>
        <w:rPr>
          <w:rFonts w:hint="eastAsia" w:ascii="宋体" w:hAnsi="宋体" w:cs="宋体"/>
          <w:b/>
          <w:bCs/>
          <w:color w:val="auto"/>
          <w:highlight w:val="none"/>
        </w:rPr>
        <w:t>对招标监督小组的纪律要求</w:t>
      </w:r>
    </w:p>
    <w:p w14:paraId="5201BF54">
      <w:pPr>
        <w:pStyle w:val="25"/>
        <w:keepNext w:val="0"/>
        <w:keepLines w:val="0"/>
        <w:pageBreakBefore w:val="0"/>
        <w:widowControl w:val="0"/>
        <w:kinsoku/>
        <w:wordWrap/>
        <w:overflowPunct/>
        <w:topLinePunct w:val="0"/>
        <w:autoSpaceDE w:val="0"/>
        <w:autoSpaceDN w:val="0"/>
        <w:bidi w:val="0"/>
        <w:adjustRightInd w:val="0"/>
        <w:snapToGrid w:val="0"/>
        <w:spacing w:line="500" w:lineRule="exact"/>
        <w:ind w:left="0" w:leftChars="0" w:right="0" w:firstLine="480" w:firstLineChars="200"/>
        <w:jc w:val="both"/>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8.6.1 招标监督小组的职责是对定标委员会的组建、定标过程及招标人在定标前的清标环节（如有）和对定标候选人的考察等进行全程监督，确保定标过程公平、公正。发现异常情况及时提醒、进行纠正，但不得就定标涉及的实质内容发表意见或者参与定标讨论。</w:t>
      </w:r>
    </w:p>
    <w:p w14:paraId="38908614">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8.6.2 同一人不得同时担任定标委员会成员和招标监督小组成员中的两个角色。</w:t>
      </w:r>
    </w:p>
    <w:p w14:paraId="44961A3E">
      <w:pPr>
        <w:pStyle w:val="25"/>
        <w:keepNext w:val="0"/>
        <w:keepLines w:val="0"/>
        <w:pageBreakBefore w:val="0"/>
        <w:kinsoku/>
        <w:wordWrap/>
        <w:overflowPunct/>
        <w:topLinePunct w:val="0"/>
        <w:bidi w:val="0"/>
        <w:spacing w:line="500" w:lineRule="exact"/>
        <w:ind w:left="0" w:right="0" w:firstLine="480" w:firstLineChars="200"/>
        <w:jc w:val="both"/>
        <w:textAlignment w:val="auto"/>
        <w:rPr>
          <w:rFonts w:hint="default" w:ascii="宋体" w:hAnsi="宋体" w:cs="宋体"/>
          <w:color w:val="auto"/>
          <w:kern w:val="0"/>
          <w:sz w:val="24"/>
          <w:highlight w:val="none"/>
          <w:lang w:val="en-US" w:eastAsia="zh-CN"/>
        </w:rPr>
      </w:pPr>
      <w:r>
        <w:rPr>
          <w:rFonts w:hint="eastAsia" w:ascii="宋体" w:hAnsi="宋体" w:cs="宋体"/>
          <w:color w:val="auto"/>
          <w:highlight w:val="none"/>
          <w:lang w:val="en-US" w:eastAsia="zh-CN"/>
        </w:rPr>
        <w:t>8.6.3 监督小组</w:t>
      </w:r>
      <w:r>
        <w:rPr>
          <w:rFonts w:hint="eastAsia" w:ascii="宋体" w:hAnsi="宋体" w:cs="宋体"/>
          <w:color w:val="auto"/>
          <w:highlight w:val="none"/>
        </w:rPr>
        <w:t>成员不得收受他人的财物或其他好处，不得向他人透露</w:t>
      </w:r>
      <w:r>
        <w:rPr>
          <w:rFonts w:hint="eastAsia" w:ascii="宋体" w:hAnsi="宋体" w:cs="宋体"/>
          <w:color w:val="auto"/>
          <w:highlight w:val="none"/>
          <w:lang w:val="en-US" w:eastAsia="zh-CN"/>
        </w:rPr>
        <w:t>监督过程中的任何</w:t>
      </w:r>
      <w:r>
        <w:rPr>
          <w:rFonts w:hint="eastAsia" w:ascii="宋体" w:hAnsi="宋体" w:cs="宋体"/>
          <w:color w:val="auto"/>
          <w:highlight w:val="none"/>
        </w:rPr>
        <w:t>情况。在</w:t>
      </w:r>
      <w:r>
        <w:rPr>
          <w:rFonts w:hint="eastAsia" w:ascii="宋体" w:hAnsi="宋体" w:cs="宋体"/>
          <w:strike w:val="0"/>
          <w:dstrike w:val="0"/>
          <w:color w:val="auto"/>
          <w:highlight w:val="none"/>
        </w:rPr>
        <w:t>在未公示中标结果前，对定标过程和结果严格保密</w:t>
      </w:r>
      <w:r>
        <w:rPr>
          <w:rFonts w:hint="eastAsia" w:ascii="宋体" w:hAnsi="宋体" w:cs="宋体"/>
          <w:color w:val="auto"/>
          <w:highlight w:val="none"/>
        </w:rPr>
        <w:t>。</w:t>
      </w:r>
    </w:p>
    <w:p w14:paraId="7F97FC07">
      <w:pPr>
        <w:keepNext w:val="0"/>
        <w:keepLines w:val="0"/>
        <w:pageBreakBefore w:val="0"/>
        <w:wordWrap/>
        <w:overflowPunct/>
        <w:topLinePunct w:val="0"/>
        <w:bidi w:val="0"/>
        <w:spacing w:line="500" w:lineRule="exact"/>
        <w:ind w:right="0"/>
        <w:jc w:val="both"/>
        <w:outlineLvl w:val="1"/>
        <w:rPr>
          <w:rFonts w:ascii="宋体" w:hAnsi="宋体" w:eastAsia="宋体" w:cs="宋体"/>
          <w:color w:val="auto"/>
          <w:sz w:val="24"/>
          <w:szCs w:val="24"/>
          <w:highlight w:val="none"/>
        </w:rPr>
      </w:pPr>
      <w:bookmarkStart w:id="283" w:name="_Toc18031"/>
      <w:r>
        <w:rPr>
          <w:rFonts w:ascii="宋体" w:hAnsi="宋体" w:eastAsia="宋体" w:cs="宋体"/>
          <w:b/>
          <w:bCs/>
          <w:color w:val="auto"/>
          <w:spacing w:val="-7"/>
          <w:sz w:val="24"/>
          <w:szCs w:val="24"/>
          <w:highlight w:val="none"/>
        </w:rPr>
        <w:t>8.</w:t>
      </w:r>
      <w:r>
        <w:rPr>
          <w:rFonts w:hint="eastAsia" w:ascii="宋体" w:hAnsi="宋体" w:eastAsia="宋体" w:cs="宋体"/>
          <w:b/>
          <w:bCs/>
          <w:color w:val="auto"/>
          <w:spacing w:val="-7"/>
          <w:sz w:val="24"/>
          <w:szCs w:val="24"/>
          <w:highlight w:val="none"/>
          <w:lang w:val="en-US" w:eastAsia="zh-CN"/>
        </w:rPr>
        <w:t>7</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7"/>
          <w:sz w:val="24"/>
          <w:szCs w:val="24"/>
          <w:highlight w:val="none"/>
        </w:rPr>
        <w:t>投诉</w:t>
      </w:r>
      <w:bookmarkEnd w:id="276"/>
      <w:bookmarkEnd w:id="277"/>
      <w:bookmarkEnd w:id="278"/>
      <w:bookmarkEnd w:id="283"/>
    </w:p>
    <w:p w14:paraId="2B265F6C">
      <w:pPr>
        <w:keepNext w:val="0"/>
        <w:keepLines w:val="0"/>
        <w:pageBreakBefore w:val="0"/>
        <w:wordWrap/>
        <w:overflowPunct/>
        <w:topLinePunct w:val="0"/>
        <w:bidi w:val="0"/>
        <w:spacing w:line="500" w:lineRule="exact"/>
        <w:ind w:left="0" w:right="0"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7</w:t>
      </w:r>
      <w:r>
        <w:rPr>
          <w:rFonts w:ascii="宋体" w:hAnsi="宋体" w:eastAsia="宋体" w:cs="宋体"/>
          <w:color w:val="auto"/>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投标人或其他利害关系人认为招标投标活动不符</w:t>
      </w:r>
      <w:r>
        <w:rPr>
          <w:rFonts w:ascii="宋体" w:hAnsi="宋体" w:eastAsia="宋体" w:cs="宋体"/>
          <w:color w:val="auto"/>
          <w:spacing w:val="-1"/>
          <w:sz w:val="24"/>
          <w:szCs w:val="24"/>
          <w:highlight w:val="none"/>
        </w:rPr>
        <w:t>合法律、行政法规规定的，可以自知道或应当知道之日起</w:t>
      </w:r>
      <w:r>
        <w:rPr>
          <w:rFonts w:ascii="宋体" w:hAnsi="宋体" w:eastAsia="宋体" w:cs="宋体"/>
          <w:color w:val="auto"/>
          <w:spacing w:val="-22"/>
          <w:sz w:val="24"/>
          <w:szCs w:val="24"/>
          <w:highlight w:val="none"/>
        </w:rPr>
        <w:t xml:space="preserve"> </w:t>
      </w:r>
      <w:r>
        <w:rPr>
          <w:rFonts w:ascii="宋体" w:hAnsi="宋体" w:eastAsia="宋体" w:cs="宋体"/>
          <w:color w:val="auto"/>
          <w:spacing w:val="-1"/>
          <w:sz w:val="24"/>
          <w:szCs w:val="24"/>
          <w:highlight w:val="none"/>
        </w:rPr>
        <w:t>10 日内向有关行政监督部门投诉。对于按法规规定需要</w:t>
      </w:r>
      <w:r>
        <w:rPr>
          <w:rFonts w:ascii="宋体" w:hAnsi="宋体" w:eastAsia="宋体" w:cs="宋体"/>
          <w:color w:val="auto"/>
          <w:spacing w:val="-2"/>
          <w:sz w:val="24"/>
          <w:szCs w:val="24"/>
          <w:highlight w:val="none"/>
        </w:rPr>
        <w:t>先提出异议的投诉，行政监督部门在受理投诉时要求投诉人递交提出异议的证明文件，</w:t>
      </w:r>
      <w:r>
        <w:rPr>
          <w:rFonts w:ascii="宋体" w:hAnsi="宋体" w:eastAsia="宋体" w:cs="宋体"/>
          <w:color w:val="auto"/>
          <w:spacing w:val="5"/>
          <w:sz w:val="24"/>
          <w:szCs w:val="24"/>
          <w:highlight w:val="none"/>
        </w:rPr>
        <w:t>已向有关行政监督部门投诉的，应当一并说明。未按规定提出异议或者</w:t>
      </w:r>
      <w:r>
        <w:rPr>
          <w:rFonts w:ascii="宋体" w:hAnsi="宋体" w:eastAsia="宋体" w:cs="宋体"/>
          <w:color w:val="auto"/>
          <w:spacing w:val="4"/>
          <w:sz w:val="24"/>
          <w:szCs w:val="24"/>
          <w:highlight w:val="none"/>
        </w:rPr>
        <w:t>未提交已提出</w:t>
      </w:r>
      <w:r>
        <w:rPr>
          <w:rFonts w:ascii="宋体" w:hAnsi="宋体" w:eastAsia="宋体" w:cs="宋体"/>
          <w:color w:val="auto"/>
          <w:spacing w:val="5"/>
          <w:sz w:val="24"/>
          <w:szCs w:val="24"/>
          <w:highlight w:val="none"/>
        </w:rPr>
        <w:t>异议的证明文件的投诉，行政监督部门不予受理。投诉人缺乏事实根</w:t>
      </w:r>
      <w:r>
        <w:rPr>
          <w:rFonts w:ascii="宋体" w:hAnsi="宋体" w:eastAsia="宋体" w:cs="宋体"/>
          <w:color w:val="auto"/>
          <w:spacing w:val="4"/>
          <w:sz w:val="24"/>
          <w:szCs w:val="24"/>
          <w:highlight w:val="none"/>
        </w:rPr>
        <w:t>据或者法律依据</w:t>
      </w:r>
      <w:r>
        <w:rPr>
          <w:rFonts w:ascii="宋体" w:hAnsi="宋体" w:eastAsia="宋体" w:cs="宋体"/>
          <w:color w:val="auto"/>
          <w:spacing w:val="5"/>
          <w:sz w:val="24"/>
          <w:szCs w:val="24"/>
          <w:highlight w:val="none"/>
        </w:rPr>
        <w:t>进行投诉的，或者有证据表明投诉人捏造事实、伪造材料的，或者投诉人以非法</w:t>
      </w:r>
      <w:r>
        <w:rPr>
          <w:rFonts w:ascii="宋体" w:hAnsi="宋体" w:eastAsia="宋体" w:cs="宋体"/>
          <w:color w:val="auto"/>
          <w:spacing w:val="4"/>
          <w:sz w:val="24"/>
          <w:szCs w:val="24"/>
          <w:highlight w:val="none"/>
        </w:rPr>
        <w:t>手段</w:t>
      </w:r>
      <w:r>
        <w:rPr>
          <w:rFonts w:ascii="宋体" w:hAnsi="宋体" w:eastAsia="宋体" w:cs="宋体"/>
          <w:color w:val="auto"/>
          <w:spacing w:val="5"/>
          <w:sz w:val="24"/>
          <w:szCs w:val="24"/>
          <w:highlight w:val="none"/>
        </w:rPr>
        <w:t>取得证明材料进行投诉的，行政监督部门应当予以驳回，并对恶意投诉按照有关</w:t>
      </w:r>
      <w:r>
        <w:rPr>
          <w:rFonts w:ascii="宋体" w:hAnsi="宋体" w:eastAsia="宋体" w:cs="宋体"/>
          <w:color w:val="auto"/>
          <w:spacing w:val="4"/>
          <w:sz w:val="24"/>
          <w:szCs w:val="24"/>
          <w:highlight w:val="none"/>
        </w:rPr>
        <w:t>规定</w:t>
      </w:r>
      <w:r>
        <w:rPr>
          <w:rFonts w:ascii="宋体" w:hAnsi="宋体" w:eastAsia="宋体" w:cs="宋体"/>
          <w:color w:val="auto"/>
          <w:spacing w:val="5"/>
          <w:sz w:val="24"/>
          <w:szCs w:val="24"/>
          <w:highlight w:val="none"/>
        </w:rPr>
        <w:t>追究投诉人责任。行政监督部门接到对招标投标活动有效投诉的，应当制止或者</w:t>
      </w:r>
      <w:r>
        <w:rPr>
          <w:rFonts w:ascii="宋体" w:hAnsi="宋体" w:eastAsia="宋体" w:cs="宋体"/>
          <w:color w:val="auto"/>
          <w:spacing w:val="4"/>
          <w:sz w:val="24"/>
          <w:szCs w:val="24"/>
          <w:highlight w:val="none"/>
        </w:rPr>
        <w:t>要求</w:t>
      </w:r>
      <w:r>
        <w:rPr>
          <w:rFonts w:ascii="宋体" w:hAnsi="宋体" w:eastAsia="宋体" w:cs="宋体"/>
          <w:color w:val="auto"/>
          <w:spacing w:val="-1"/>
          <w:sz w:val="24"/>
          <w:szCs w:val="24"/>
          <w:highlight w:val="none"/>
        </w:rPr>
        <w:t>整改，整改期间可以暂停其招标投标活动。</w:t>
      </w:r>
    </w:p>
    <w:p w14:paraId="417E8C45">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监督部门的联系方式见投标人须知前附表。</w:t>
      </w:r>
    </w:p>
    <w:p w14:paraId="67CB8495">
      <w:pPr>
        <w:keepNext w:val="0"/>
        <w:keepLines w:val="0"/>
        <w:pageBreakBefore w:val="0"/>
        <w:wordWrap/>
        <w:overflowPunct/>
        <w:topLinePunct w:val="0"/>
        <w:bidi w:val="0"/>
        <w:spacing w:line="500" w:lineRule="exact"/>
        <w:ind w:left="0" w:right="0" w:firstLine="50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8.</w:t>
      </w:r>
      <w:r>
        <w:rPr>
          <w:rFonts w:hint="eastAsia" w:ascii="宋体" w:hAnsi="宋体" w:eastAsia="宋体" w:cs="宋体"/>
          <w:color w:val="auto"/>
          <w:spacing w:val="5"/>
          <w:sz w:val="24"/>
          <w:szCs w:val="24"/>
          <w:highlight w:val="none"/>
          <w:lang w:val="en-US" w:eastAsia="zh-CN"/>
        </w:rPr>
        <w:t>7</w:t>
      </w:r>
      <w:r>
        <w:rPr>
          <w:rFonts w:ascii="宋体" w:hAnsi="宋体" w:eastAsia="宋体" w:cs="宋体"/>
          <w:color w:val="auto"/>
          <w:spacing w:val="5"/>
          <w:sz w:val="24"/>
          <w:szCs w:val="24"/>
          <w:highlight w:val="none"/>
        </w:rPr>
        <w:t>.2 投标人或其他利害关系人对招标文件、开标和评标</w:t>
      </w:r>
      <w:r>
        <w:rPr>
          <w:rFonts w:ascii="宋体" w:hAnsi="宋体" w:eastAsia="宋体" w:cs="宋体"/>
          <w:color w:val="auto"/>
          <w:spacing w:val="4"/>
          <w:sz w:val="24"/>
          <w:szCs w:val="24"/>
          <w:highlight w:val="none"/>
        </w:rPr>
        <w:t>结果</w:t>
      </w:r>
      <w:r>
        <w:rPr>
          <w:rFonts w:hint="eastAsia" w:ascii="宋体" w:hAnsi="宋体" w:eastAsia="宋体" w:cs="宋体"/>
          <w:color w:val="auto"/>
          <w:spacing w:val="5"/>
          <w:sz w:val="24"/>
          <w:szCs w:val="24"/>
          <w:highlight w:val="none"/>
        </w:rPr>
        <w:t>及定标结果</w:t>
      </w:r>
      <w:r>
        <w:rPr>
          <w:rFonts w:ascii="宋体" w:hAnsi="宋体" w:eastAsia="宋体" w:cs="宋体"/>
          <w:color w:val="auto"/>
          <w:spacing w:val="4"/>
          <w:sz w:val="24"/>
          <w:szCs w:val="24"/>
          <w:highlight w:val="none"/>
        </w:rPr>
        <w:t>提出投诉的，应按</w:t>
      </w:r>
      <w:r>
        <w:rPr>
          <w:rFonts w:ascii="宋体" w:hAnsi="宋体" w:eastAsia="宋体" w:cs="宋体"/>
          <w:color w:val="auto"/>
          <w:spacing w:val="2"/>
          <w:sz w:val="24"/>
          <w:szCs w:val="24"/>
          <w:highlight w:val="none"/>
        </w:rPr>
        <w:t>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款、第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5.3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款</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7.2</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款和第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7.</w:t>
      </w:r>
      <w:r>
        <w:rPr>
          <w:rFonts w:hint="eastAsia" w:ascii="宋体" w:hAnsi="宋体" w:eastAsia="宋体" w:cs="宋体"/>
          <w:color w:val="auto"/>
          <w:spacing w:val="2"/>
          <w:sz w:val="24"/>
          <w:szCs w:val="24"/>
          <w:highlight w:val="none"/>
          <w:lang w:val="en-US" w:eastAsia="zh-CN"/>
        </w:rPr>
        <w:t>4</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款的规定先向招标人提出异议</w:t>
      </w:r>
      <w:r>
        <w:rPr>
          <w:rFonts w:ascii="宋体" w:hAnsi="宋体" w:eastAsia="宋体" w:cs="宋体"/>
          <w:color w:val="auto"/>
          <w:spacing w:val="1"/>
          <w:sz w:val="24"/>
          <w:szCs w:val="24"/>
          <w:highlight w:val="none"/>
        </w:rPr>
        <w:t>。异议答复期间不</w:t>
      </w:r>
      <w:r>
        <w:rPr>
          <w:rFonts w:ascii="宋体" w:hAnsi="宋体" w:eastAsia="宋体" w:cs="宋体"/>
          <w:color w:val="auto"/>
          <w:spacing w:val="2"/>
          <w:sz w:val="24"/>
          <w:szCs w:val="24"/>
          <w:highlight w:val="none"/>
        </w:rPr>
        <w:t>计算在第8.5.1</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项规定的期限内。</w:t>
      </w:r>
    </w:p>
    <w:p w14:paraId="4F698874">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84" w:name="_Toc16546"/>
      <w:bookmarkStart w:id="285" w:name="_Toc29335"/>
      <w:r>
        <w:rPr>
          <w:rFonts w:ascii="宋体" w:hAnsi="宋体" w:eastAsia="宋体" w:cs="宋体"/>
          <w:b/>
          <w:bCs/>
          <w:color w:val="auto"/>
          <w:spacing w:val="-3"/>
          <w:sz w:val="28"/>
          <w:szCs w:val="28"/>
          <w:highlight w:val="none"/>
        </w:rPr>
        <w:t>9.</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是否采用电子招标投标</w:t>
      </w:r>
      <w:bookmarkEnd w:id="284"/>
      <w:bookmarkEnd w:id="285"/>
    </w:p>
    <w:p w14:paraId="1938EF1B">
      <w:pPr>
        <w:keepNext w:val="0"/>
        <w:keepLines w:val="0"/>
        <w:pageBreakBefore w:val="0"/>
        <w:wordWrap/>
        <w:overflowPunct/>
        <w:topLinePunct w:val="0"/>
        <w:bidi w:val="0"/>
        <w:spacing w:line="500" w:lineRule="exact"/>
        <w:ind w:left="0" w:right="0" w:firstLine="476" w:firstLineChars="20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本招标项目是否采用电子招标投标方式，见投标人须知前附表。</w:t>
      </w:r>
    </w:p>
    <w:p w14:paraId="3D519DD7">
      <w:pPr>
        <w:keepNext w:val="0"/>
        <w:keepLines w:val="0"/>
        <w:pageBreakBefore w:val="0"/>
        <w:wordWrap/>
        <w:overflowPunct/>
        <w:topLinePunct w:val="0"/>
        <w:bidi w:val="0"/>
        <w:spacing w:line="500" w:lineRule="exact"/>
        <w:ind w:right="0"/>
        <w:jc w:val="both"/>
        <w:outlineLvl w:val="0"/>
        <w:rPr>
          <w:rFonts w:ascii="宋体" w:hAnsi="宋体" w:eastAsia="宋体" w:cs="宋体"/>
          <w:color w:val="auto"/>
          <w:sz w:val="28"/>
          <w:szCs w:val="28"/>
          <w:highlight w:val="none"/>
        </w:rPr>
      </w:pPr>
      <w:bookmarkStart w:id="286" w:name="_Toc20711"/>
      <w:bookmarkStart w:id="287" w:name="_Toc9023"/>
      <w:r>
        <w:rPr>
          <w:rFonts w:ascii="宋体" w:hAnsi="宋体" w:eastAsia="宋体" w:cs="宋体"/>
          <w:b/>
          <w:bCs/>
          <w:color w:val="auto"/>
          <w:spacing w:val="-7"/>
          <w:sz w:val="28"/>
          <w:szCs w:val="28"/>
          <w:highlight w:val="none"/>
        </w:rPr>
        <w:t>10.</w:t>
      </w:r>
      <w:r>
        <w:rPr>
          <w:rFonts w:ascii="宋体" w:hAnsi="宋体" w:eastAsia="宋体" w:cs="宋体"/>
          <w:color w:val="auto"/>
          <w:spacing w:val="29"/>
          <w:sz w:val="28"/>
          <w:szCs w:val="28"/>
          <w:highlight w:val="none"/>
        </w:rPr>
        <w:t xml:space="preserve"> </w:t>
      </w:r>
      <w:r>
        <w:rPr>
          <w:rFonts w:ascii="宋体" w:hAnsi="宋体" w:eastAsia="宋体" w:cs="宋体"/>
          <w:b/>
          <w:bCs/>
          <w:color w:val="auto"/>
          <w:spacing w:val="-7"/>
          <w:sz w:val="28"/>
          <w:szCs w:val="28"/>
          <w:highlight w:val="none"/>
        </w:rPr>
        <w:t>需要补充的其他内容</w:t>
      </w:r>
      <w:bookmarkEnd w:id="286"/>
      <w:bookmarkEnd w:id="287"/>
    </w:p>
    <w:p w14:paraId="446B785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10.1</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自投标登记并获取招标文件之日起，投标人应保证其提供的联系方式（</w:t>
      </w:r>
      <w:r>
        <w:rPr>
          <w:rFonts w:ascii="宋体" w:hAnsi="宋体" w:eastAsia="宋体" w:cs="宋体"/>
          <w:color w:val="auto"/>
          <w:spacing w:val="-4"/>
          <w:sz w:val="24"/>
          <w:szCs w:val="24"/>
          <w:highlight w:val="none"/>
        </w:rPr>
        <w:t>电话、</w:t>
      </w:r>
    </w:p>
    <w:p w14:paraId="6CAD8CF2">
      <w:pPr>
        <w:keepNext w:val="0"/>
        <w:keepLines w:val="0"/>
        <w:pageBreakBefore w:val="0"/>
        <w:widowControl/>
        <w:kinsoku/>
        <w:wordWrap/>
        <w:overflowPunct/>
        <w:topLinePunct w:val="0"/>
        <w:autoSpaceDE w:val="0"/>
        <w:autoSpaceDN w:val="0"/>
        <w:bidi w:val="0"/>
        <w:adjustRightInd w:val="0"/>
        <w:snapToGrid w:val="0"/>
        <w:spacing w:line="500" w:lineRule="exact"/>
        <w:ind w:left="0" w:right="0" w:firstLine="50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传真、电子邮件）一直有效，以便及时收到招标人发出的函件（招标文件的澄清、修</w:t>
      </w:r>
      <w:r>
        <w:rPr>
          <w:rFonts w:ascii="宋体" w:hAnsi="宋体" w:eastAsia="宋体" w:cs="宋体"/>
          <w:color w:val="auto"/>
          <w:spacing w:val="-1"/>
          <w:sz w:val="24"/>
          <w:szCs w:val="24"/>
          <w:highlight w:val="none"/>
        </w:rPr>
        <w:t>改等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并应及时向招标人反馈信息，否则招标人不承担由此引起的一切后果。</w:t>
      </w:r>
    </w:p>
    <w:p w14:paraId="30AB441E">
      <w:pPr>
        <w:keepNext w:val="0"/>
        <w:keepLines w:val="0"/>
        <w:pageBreakBefore w:val="0"/>
        <w:wordWrap/>
        <w:overflowPunct/>
        <w:topLinePunct w:val="0"/>
        <w:bidi w:val="0"/>
        <w:spacing w:line="500" w:lineRule="exact"/>
        <w:ind w:left="0" w:right="0" w:firstLine="420" w:firstLineChars="200"/>
        <w:jc w:val="both"/>
        <w:rPr>
          <w:rFonts w:ascii="Arial"/>
          <w:color w:val="auto"/>
          <w:sz w:val="21"/>
          <w:highlight w:val="none"/>
        </w:rPr>
      </w:pPr>
    </w:p>
    <w:p w14:paraId="71476293">
      <w:pPr>
        <w:keepNext w:val="0"/>
        <w:keepLines w:val="0"/>
        <w:pageBreakBefore w:val="0"/>
        <w:wordWrap/>
        <w:overflowPunct/>
        <w:topLinePunct w:val="0"/>
        <w:bidi w:val="0"/>
        <w:spacing w:line="500" w:lineRule="exact"/>
        <w:ind w:left="0" w:right="0"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需要补充的其他内容：见投标人须知前附表。</w:t>
      </w:r>
    </w:p>
    <w:p w14:paraId="173206D2">
      <w:pPr>
        <w:keepNext w:val="0"/>
        <w:keepLines w:val="0"/>
        <w:pageBreakBefore w:val="0"/>
        <w:wordWrap/>
        <w:overflowPunct/>
        <w:topLinePunct w:val="0"/>
        <w:bidi w:val="0"/>
        <w:spacing w:line="500" w:lineRule="exact"/>
        <w:jc w:val="both"/>
        <w:rPr>
          <w:rFonts w:ascii="宋体" w:hAnsi="宋体" w:eastAsia="宋体" w:cs="宋体"/>
          <w:color w:val="auto"/>
          <w:sz w:val="24"/>
          <w:szCs w:val="24"/>
          <w:highlight w:val="none"/>
        </w:rPr>
        <w:sectPr>
          <w:footerReference r:id="rId16" w:type="default"/>
          <w:pgSz w:w="11906" w:h="16839"/>
          <w:pgMar w:top="1293" w:right="1289" w:bottom="1297" w:left="1423" w:header="0" w:footer="1067" w:gutter="0"/>
          <w:pgBorders>
            <w:top w:val="none" w:sz="0" w:space="0"/>
            <w:left w:val="none" w:sz="0" w:space="0"/>
            <w:bottom w:val="none" w:sz="0" w:space="0"/>
            <w:right w:val="none" w:sz="0" w:space="0"/>
          </w:pgBorders>
          <w:pgNumType w:fmt="decimal"/>
          <w:cols w:space="720" w:num="1"/>
        </w:sectPr>
      </w:pPr>
    </w:p>
    <w:p w14:paraId="6863DE65">
      <w:pPr>
        <w:spacing w:line="252" w:lineRule="auto"/>
        <w:rPr>
          <w:rFonts w:ascii="Arial"/>
          <w:color w:val="auto"/>
          <w:sz w:val="21"/>
          <w:highlight w:val="none"/>
        </w:rPr>
      </w:pPr>
    </w:p>
    <w:p w14:paraId="61923085">
      <w:pPr>
        <w:spacing w:line="252" w:lineRule="auto"/>
        <w:rPr>
          <w:rFonts w:ascii="Arial"/>
          <w:color w:val="auto"/>
          <w:sz w:val="21"/>
          <w:highlight w:val="none"/>
        </w:rPr>
      </w:pPr>
    </w:p>
    <w:p w14:paraId="688A60E4">
      <w:pPr>
        <w:spacing w:line="252" w:lineRule="auto"/>
        <w:rPr>
          <w:rFonts w:ascii="Arial"/>
          <w:color w:val="auto"/>
          <w:sz w:val="21"/>
          <w:highlight w:val="none"/>
        </w:rPr>
      </w:pPr>
    </w:p>
    <w:p w14:paraId="0C9C0E22">
      <w:pPr>
        <w:spacing w:line="253" w:lineRule="auto"/>
        <w:rPr>
          <w:rFonts w:ascii="Arial"/>
          <w:color w:val="auto"/>
          <w:sz w:val="21"/>
          <w:highlight w:val="none"/>
        </w:rPr>
      </w:pPr>
    </w:p>
    <w:p w14:paraId="714CD143">
      <w:pPr>
        <w:spacing w:line="253" w:lineRule="auto"/>
        <w:rPr>
          <w:rFonts w:ascii="Arial"/>
          <w:color w:val="auto"/>
          <w:sz w:val="21"/>
          <w:highlight w:val="none"/>
        </w:rPr>
      </w:pPr>
    </w:p>
    <w:p w14:paraId="1EA3D0E5">
      <w:pPr>
        <w:spacing w:line="253" w:lineRule="auto"/>
        <w:rPr>
          <w:rFonts w:ascii="Arial"/>
          <w:color w:val="auto"/>
          <w:sz w:val="21"/>
          <w:highlight w:val="none"/>
        </w:rPr>
      </w:pPr>
    </w:p>
    <w:p w14:paraId="1030FE0A">
      <w:pPr>
        <w:spacing w:line="253" w:lineRule="auto"/>
        <w:rPr>
          <w:rFonts w:ascii="Arial"/>
          <w:color w:val="auto"/>
          <w:sz w:val="21"/>
          <w:highlight w:val="none"/>
        </w:rPr>
      </w:pPr>
    </w:p>
    <w:p w14:paraId="0E10889B">
      <w:pPr>
        <w:spacing w:line="253" w:lineRule="auto"/>
        <w:rPr>
          <w:rFonts w:ascii="Arial"/>
          <w:color w:val="auto"/>
          <w:sz w:val="21"/>
          <w:highlight w:val="none"/>
        </w:rPr>
      </w:pPr>
    </w:p>
    <w:p w14:paraId="470DB7A7">
      <w:pPr>
        <w:spacing w:line="253" w:lineRule="auto"/>
        <w:rPr>
          <w:rFonts w:ascii="Arial"/>
          <w:color w:val="auto"/>
          <w:sz w:val="21"/>
          <w:highlight w:val="none"/>
        </w:rPr>
      </w:pPr>
    </w:p>
    <w:p w14:paraId="2FD8318A">
      <w:pPr>
        <w:spacing w:line="253" w:lineRule="auto"/>
        <w:rPr>
          <w:rFonts w:ascii="Arial"/>
          <w:color w:val="auto"/>
          <w:sz w:val="21"/>
          <w:highlight w:val="none"/>
        </w:rPr>
      </w:pPr>
    </w:p>
    <w:p w14:paraId="32FC0381">
      <w:pPr>
        <w:spacing w:line="253" w:lineRule="auto"/>
        <w:rPr>
          <w:rFonts w:ascii="Arial"/>
          <w:color w:val="auto"/>
          <w:sz w:val="21"/>
          <w:highlight w:val="none"/>
        </w:rPr>
      </w:pPr>
    </w:p>
    <w:p w14:paraId="0FA1F773">
      <w:pPr>
        <w:spacing w:line="253" w:lineRule="auto"/>
        <w:rPr>
          <w:rFonts w:ascii="Arial"/>
          <w:color w:val="auto"/>
          <w:sz w:val="21"/>
          <w:highlight w:val="none"/>
        </w:rPr>
      </w:pPr>
    </w:p>
    <w:p w14:paraId="03D4B799">
      <w:pPr>
        <w:spacing w:line="253" w:lineRule="auto"/>
        <w:rPr>
          <w:rFonts w:ascii="Arial"/>
          <w:color w:val="auto"/>
          <w:sz w:val="21"/>
          <w:highlight w:val="none"/>
        </w:rPr>
      </w:pPr>
    </w:p>
    <w:p w14:paraId="752BF11B">
      <w:pPr>
        <w:spacing w:line="253" w:lineRule="auto"/>
        <w:rPr>
          <w:rFonts w:ascii="Arial"/>
          <w:color w:val="auto"/>
          <w:sz w:val="21"/>
          <w:highlight w:val="none"/>
        </w:rPr>
      </w:pPr>
    </w:p>
    <w:p w14:paraId="65FEC705">
      <w:pPr>
        <w:spacing w:line="253" w:lineRule="auto"/>
        <w:rPr>
          <w:rFonts w:ascii="Arial"/>
          <w:color w:val="auto"/>
          <w:sz w:val="21"/>
          <w:highlight w:val="none"/>
        </w:rPr>
      </w:pPr>
    </w:p>
    <w:p w14:paraId="7EF06C6B">
      <w:pPr>
        <w:spacing w:line="253" w:lineRule="auto"/>
        <w:rPr>
          <w:rFonts w:ascii="Arial"/>
          <w:color w:val="auto"/>
          <w:sz w:val="21"/>
          <w:highlight w:val="none"/>
        </w:rPr>
      </w:pPr>
    </w:p>
    <w:p w14:paraId="3930CFFB">
      <w:pPr>
        <w:spacing w:line="253" w:lineRule="auto"/>
        <w:rPr>
          <w:rFonts w:ascii="Arial"/>
          <w:color w:val="auto"/>
          <w:sz w:val="21"/>
          <w:highlight w:val="none"/>
        </w:rPr>
      </w:pPr>
    </w:p>
    <w:p w14:paraId="53750D1E">
      <w:pPr>
        <w:spacing w:line="253" w:lineRule="auto"/>
        <w:rPr>
          <w:rFonts w:ascii="Arial"/>
          <w:color w:val="auto"/>
          <w:sz w:val="21"/>
          <w:highlight w:val="none"/>
        </w:rPr>
      </w:pPr>
    </w:p>
    <w:p w14:paraId="4A083F21">
      <w:pPr>
        <w:spacing w:before="169" w:line="219" w:lineRule="auto"/>
        <w:jc w:val="center"/>
        <w:outlineLvl w:val="0"/>
        <w:rPr>
          <w:rFonts w:ascii="宋体" w:hAnsi="宋体" w:eastAsia="宋体" w:cs="宋体"/>
          <w:color w:val="auto"/>
          <w:sz w:val="52"/>
          <w:szCs w:val="52"/>
          <w:highlight w:val="none"/>
        </w:rPr>
      </w:pPr>
      <w:bookmarkStart w:id="288" w:name="_Toc26937"/>
      <w:bookmarkStart w:id="289" w:name="_Toc19080"/>
      <w:r>
        <w:rPr>
          <w:rFonts w:ascii="宋体" w:hAnsi="宋体" w:eastAsia="宋体" w:cs="宋体"/>
          <w:b/>
          <w:bCs/>
          <w:color w:val="auto"/>
          <w:spacing w:val="-5"/>
          <w:sz w:val="52"/>
          <w:szCs w:val="52"/>
          <w:highlight w:val="none"/>
        </w:rPr>
        <w:t>第三章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评标</w:t>
      </w:r>
      <w:r>
        <w:rPr>
          <w:rFonts w:hint="eastAsia" w:ascii="宋体" w:hAnsi="宋体" w:eastAsia="宋体" w:cs="宋体"/>
          <w:b/>
          <w:bCs/>
          <w:color w:val="auto"/>
          <w:spacing w:val="-5"/>
          <w:sz w:val="52"/>
          <w:szCs w:val="52"/>
          <w:highlight w:val="none"/>
          <w:lang w:val="en-US" w:eastAsia="zh-CN"/>
        </w:rPr>
        <w:t>办法及定标</w:t>
      </w:r>
      <w:r>
        <w:rPr>
          <w:rFonts w:ascii="宋体" w:hAnsi="宋体" w:eastAsia="宋体" w:cs="宋体"/>
          <w:b/>
          <w:bCs/>
          <w:color w:val="auto"/>
          <w:spacing w:val="-5"/>
          <w:sz w:val="52"/>
          <w:szCs w:val="52"/>
          <w:highlight w:val="none"/>
        </w:rPr>
        <w:t>办法</w:t>
      </w:r>
      <w:bookmarkEnd w:id="288"/>
      <w:bookmarkEnd w:id="289"/>
    </w:p>
    <w:p w14:paraId="7807B39B">
      <w:pPr>
        <w:spacing w:line="219" w:lineRule="auto"/>
        <w:rPr>
          <w:rFonts w:ascii="宋体" w:hAnsi="宋体" w:eastAsia="宋体" w:cs="宋体"/>
          <w:color w:val="auto"/>
          <w:sz w:val="52"/>
          <w:szCs w:val="52"/>
          <w:highlight w:val="none"/>
        </w:rPr>
        <w:sectPr>
          <w:footerReference r:id="rId17" w:type="default"/>
          <w:pgSz w:w="11906" w:h="16839"/>
          <w:pgMar w:top="1431" w:right="1785" w:bottom="1297" w:left="1785" w:header="0" w:footer="1067" w:gutter="0"/>
          <w:pgBorders>
            <w:top w:val="none" w:sz="0" w:space="0"/>
            <w:left w:val="none" w:sz="0" w:space="0"/>
            <w:bottom w:val="none" w:sz="0" w:space="0"/>
            <w:right w:val="none" w:sz="0" w:space="0"/>
          </w:pgBorders>
          <w:pgNumType w:fmt="decimal"/>
          <w:cols w:space="720" w:num="1"/>
        </w:sectPr>
      </w:pPr>
    </w:p>
    <w:p w14:paraId="6446AAC1">
      <w:pPr>
        <w:spacing w:before="64" w:line="223" w:lineRule="auto"/>
        <w:ind w:left="2250"/>
        <w:outlineLvl w:val="0"/>
        <w:rPr>
          <w:rFonts w:ascii="宋体" w:hAnsi="宋体" w:eastAsia="宋体" w:cs="宋体"/>
          <w:color w:val="auto"/>
          <w:sz w:val="31"/>
          <w:szCs w:val="31"/>
          <w:highlight w:val="none"/>
        </w:rPr>
      </w:pPr>
      <w:bookmarkStart w:id="290" w:name="_Toc10892"/>
      <w:bookmarkStart w:id="291" w:name="_Toc10532"/>
      <w:r>
        <w:rPr>
          <w:rFonts w:hint="eastAsia" w:ascii="宋体" w:hAnsi="宋体" w:eastAsia="宋体" w:cs="宋体"/>
          <w:b/>
          <w:bCs/>
          <w:color w:val="auto"/>
          <w:spacing w:val="6"/>
          <w:sz w:val="31"/>
          <w:szCs w:val="31"/>
          <w:highlight w:val="none"/>
        </w:rPr>
        <w:t>第一节</w:t>
      </w:r>
      <w:r>
        <w:rPr>
          <w:rFonts w:ascii="宋体" w:hAnsi="宋体" w:eastAsia="宋体" w:cs="宋体"/>
          <w:b/>
          <w:bCs/>
          <w:color w:val="auto"/>
          <w:spacing w:val="6"/>
          <w:sz w:val="31"/>
          <w:szCs w:val="31"/>
          <w:highlight w:val="none"/>
        </w:rPr>
        <w:t xml:space="preserve">  评标</w:t>
      </w:r>
      <w:r>
        <w:rPr>
          <w:rFonts w:hint="eastAsia" w:ascii="宋体" w:hAnsi="宋体" w:eastAsia="宋体" w:cs="宋体"/>
          <w:b/>
          <w:bCs/>
          <w:color w:val="auto"/>
          <w:spacing w:val="6"/>
          <w:sz w:val="31"/>
          <w:szCs w:val="31"/>
          <w:highlight w:val="none"/>
          <w:lang w:val="en-US" w:eastAsia="zh-CN"/>
        </w:rPr>
        <w:t>办法</w:t>
      </w:r>
      <w:r>
        <w:rPr>
          <w:rFonts w:ascii="宋体" w:hAnsi="宋体" w:eastAsia="宋体" w:cs="宋体"/>
          <w:b/>
          <w:bCs/>
          <w:color w:val="auto"/>
          <w:spacing w:val="6"/>
          <w:sz w:val="31"/>
          <w:szCs w:val="31"/>
          <w:highlight w:val="none"/>
        </w:rPr>
        <w:t>（综合评估法）</w:t>
      </w:r>
      <w:bookmarkEnd w:id="290"/>
      <w:bookmarkEnd w:id="291"/>
    </w:p>
    <w:p w14:paraId="6A266066">
      <w:pPr>
        <w:spacing w:line="331" w:lineRule="auto"/>
        <w:rPr>
          <w:rFonts w:ascii="Arial"/>
          <w:color w:val="auto"/>
          <w:sz w:val="21"/>
          <w:highlight w:val="none"/>
        </w:rPr>
      </w:pPr>
    </w:p>
    <w:p w14:paraId="23081D03">
      <w:pPr>
        <w:spacing w:before="78" w:line="233" w:lineRule="auto"/>
        <w:ind w:left="120"/>
        <w:outlineLvl w:val="1"/>
        <w:rPr>
          <w:rFonts w:ascii="宋体" w:hAnsi="宋体" w:eastAsia="宋体" w:cs="宋体"/>
          <w:color w:val="auto"/>
          <w:sz w:val="12"/>
          <w:szCs w:val="12"/>
          <w:highlight w:val="none"/>
        </w:rPr>
      </w:pPr>
      <w:bookmarkStart w:id="292" w:name="_Toc20293"/>
      <w:bookmarkStart w:id="293" w:name="_Toc22205"/>
      <w:r>
        <w:rPr>
          <w:rFonts w:ascii="宋体" w:hAnsi="宋体" w:eastAsia="宋体" w:cs="宋体"/>
          <w:b/>
          <w:bCs/>
          <w:color w:val="auto"/>
          <w:spacing w:val="-3"/>
          <w:sz w:val="24"/>
          <w:szCs w:val="24"/>
          <w:highlight w:val="none"/>
        </w:rPr>
        <w:t>评标办法前附表</w:t>
      </w:r>
      <w:bookmarkEnd w:id="292"/>
      <w:bookmarkEnd w:id="293"/>
    </w:p>
    <w:p w14:paraId="49D75816">
      <w:pPr>
        <w:spacing w:line="16" w:lineRule="exact"/>
        <w:rPr>
          <w:color w:val="auto"/>
          <w:highlight w:val="none"/>
        </w:rPr>
      </w:pPr>
    </w:p>
    <w:tbl>
      <w:tblPr>
        <w:tblStyle w:val="22"/>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5D68D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blHeader/>
        </w:trPr>
        <w:tc>
          <w:tcPr>
            <w:tcW w:w="2370" w:type="dxa"/>
            <w:gridSpan w:val="2"/>
            <w:vAlign w:val="center"/>
          </w:tcPr>
          <w:p w14:paraId="2A258E53">
            <w:pPr>
              <w:pStyle w:val="23"/>
              <w:spacing w:before="35" w:line="228" w:lineRule="auto"/>
              <w:ind w:left="877"/>
              <w:jc w:val="both"/>
              <w:rPr>
                <w:color w:val="auto"/>
                <w:highlight w:val="none"/>
              </w:rPr>
            </w:pPr>
            <w:r>
              <w:rPr>
                <w:b/>
                <w:bCs/>
                <w:color w:val="auto"/>
                <w:spacing w:val="5"/>
                <w:highlight w:val="none"/>
              </w:rPr>
              <w:t>条款号</w:t>
            </w:r>
          </w:p>
        </w:tc>
        <w:tc>
          <w:tcPr>
            <w:tcW w:w="6916" w:type="dxa"/>
            <w:vAlign w:val="center"/>
          </w:tcPr>
          <w:p w14:paraId="72834D77">
            <w:pPr>
              <w:pStyle w:val="23"/>
              <w:spacing w:before="35" w:line="228" w:lineRule="auto"/>
              <w:ind w:left="2496"/>
              <w:jc w:val="both"/>
              <w:rPr>
                <w:color w:val="auto"/>
                <w:highlight w:val="none"/>
              </w:rPr>
            </w:pPr>
            <w:r>
              <w:rPr>
                <w:b/>
                <w:bCs/>
                <w:color w:val="auto"/>
                <w:spacing w:val="11"/>
                <w:highlight w:val="none"/>
              </w:rPr>
              <w:t>评审因素与评审标准</w:t>
            </w:r>
          </w:p>
        </w:tc>
      </w:tr>
      <w:tr w14:paraId="18F3F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5" w:hRule="atLeast"/>
        </w:trPr>
        <w:tc>
          <w:tcPr>
            <w:tcW w:w="1034" w:type="dxa"/>
            <w:vAlign w:val="top"/>
          </w:tcPr>
          <w:p w14:paraId="699CBAD6">
            <w:pPr>
              <w:spacing w:line="256" w:lineRule="auto"/>
              <w:rPr>
                <w:rFonts w:ascii="Arial"/>
                <w:color w:val="auto"/>
                <w:sz w:val="21"/>
                <w:highlight w:val="none"/>
              </w:rPr>
            </w:pPr>
          </w:p>
          <w:p w14:paraId="7D607FAF">
            <w:pPr>
              <w:spacing w:line="256" w:lineRule="auto"/>
              <w:rPr>
                <w:rFonts w:ascii="Arial"/>
                <w:color w:val="auto"/>
                <w:sz w:val="21"/>
                <w:highlight w:val="none"/>
              </w:rPr>
            </w:pPr>
          </w:p>
          <w:p w14:paraId="4AF460A6">
            <w:pPr>
              <w:spacing w:line="256" w:lineRule="auto"/>
              <w:rPr>
                <w:rFonts w:ascii="Arial"/>
                <w:color w:val="auto"/>
                <w:sz w:val="21"/>
                <w:highlight w:val="none"/>
              </w:rPr>
            </w:pPr>
          </w:p>
          <w:p w14:paraId="234173CE">
            <w:pPr>
              <w:spacing w:line="256" w:lineRule="auto"/>
              <w:rPr>
                <w:rFonts w:ascii="Arial"/>
                <w:color w:val="auto"/>
                <w:sz w:val="21"/>
                <w:highlight w:val="none"/>
              </w:rPr>
            </w:pPr>
          </w:p>
          <w:p w14:paraId="6E6279A4">
            <w:pPr>
              <w:spacing w:line="256" w:lineRule="auto"/>
              <w:rPr>
                <w:rFonts w:ascii="Arial"/>
                <w:color w:val="auto"/>
                <w:sz w:val="21"/>
                <w:highlight w:val="none"/>
              </w:rPr>
            </w:pPr>
          </w:p>
          <w:p w14:paraId="346DB391">
            <w:pPr>
              <w:spacing w:line="256" w:lineRule="auto"/>
              <w:rPr>
                <w:rFonts w:ascii="Arial"/>
                <w:color w:val="auto"/>
                <w:sz w:val="21"/>
                <w:highlight w:val="none"/>
              </w:rPr>
            </w:pPr>
          </w:p>
          <w:p w14:paraId="63C92757">
            <w:pPr>
              <w:spacing w:line="256" w:lineRule="auto"/>
              <w:rPr>
                <w:rFonts w:ascii="Arial"/>
                <w:color w:val="auto"/>
                <w:sz w:val="21"/>
                <w:highlight w:val="none"/>
              </w:rPr>
            </w:pPr>
          </w:p>
          <w:p w14:paraId="6313BED8">
            <w:pPr>
              <w:pStyle w:val="23"/>
              <w:spacing w:before="65" w:line="270" w:lineRule="exact"/>
              <w:ind w:left="485"/>
              <w:rPr>
                <w:color w:val="auto"/>
                <w:highlight w:val="none"/>
              </w:rPr>
            </w:pPr>
            <w:r>
              <w:rPr>
                <w:color w:val="auto"/>
                <w:position w:val="1"/>
                <w:highlight w:val="none"/>
              </w:rPr>
              <w:t>1</w:t>
            </w:r>
          </w:p>
        </w:tc>
        <w:tc>
          <w:tcPr>
            <w:tcW w:w="1336" w:type="dxa"/>
            <w:vAlign w:val="top"/>
          </w:tcPr>
          <w:p w14:paraId="1C15DCAF">
            <w:pPr>
              <w:spacing w:line="256" w:lineRule="auto"/>
              <w:rPr>
                <w:rFonts w:ascii="Arial"/>
                <w:color w:val="auto"/>
                <w:sz w:val="21"/>
                <w:highlight w:val="none"/>
              </w:rPr>
            </w:pPr>
          </w:p>
          <w:p w14:paraId="3C6A68F2">
            <w:pPr>
              <w:spacing w:line="256" w:lineRule="auto"/>
              <w:rPr>
                <w:rFonts w:ascii="Arial"/>
                <w:color w:val="auto"/>
                <w:sz w:val="21"/>
                <w:highlight w:val="none"/>
              </w:rPr>
            </w:pPr>
          </w:p>
          <w:p w14:paraId="2A512205">
            <w:pPr>
              <w:spacing w:line="256" w:lineRule="auto"/>
              <w:rPr>
                <w:rFonts w:ascii="Arial"/>
                <w:color w:val="auto"/>
                <w:sz w:val="21"/>
                <w:highlight w:val="none"/>
              </w:rPr>
            </w:pPr>
          </w:p>
          <w:p w14:paraId="07D57875">
            <w:pPr>
              <w:spacing w:line="256" w:lineRule="auto"/>
              <w:rPr>
                <w:rFonts w:ascii="Arial"/>
                <w:color w:val="auto"/>
                <w:sz w:val="21"/>
                <w:highlight w:val="none"/>
              </w:rPr>
            </w:pPr>
          </w:p>
          <w:p w14:paraId="1D67C25E">
            <w:pPr>
              <w:spacing w:line="256" w:lineRule="auto"/>
              <w:rPr>
                <w:rFonts w:ascii="Arial"/>
                <w:color w:val="auto"/>
                <w:sz w:val="21"/>
                <w:highlight w:val="none"/>
              </w:rPr>
            </w:pPr>
          </w:p>
          <w:p w14:paraId="2E8ADED4">
            <w:pPr>
              <w:spacing w:line="256" w:lineRule="auto"/>
              <w:rPr>
                <w:rFonts w:ascii="Arial"/>
                <w:color w:val="auto"/>
                <w:sz w:val="21"/>
                <w:highlight w:val="none"/>
              </w:rPr>
            </w:pPr>
          </w:p>
          <w:p w14:paraId="5F486F9B">
            <w:pPr>
              <w:spacing w:line="256" w:lineRule="auto"/>
              <w:rPr>
                <w:rFonts w:ascii="Arial"/>
                <w:color w:val="auto"/>
                <w:sz w:val="21"/>
                <w:highlight w:val="none"/>
              </w:rPr>
            </w:pPr>
          </w:p>
          <w:p w14:paraId="2DB8046A">
            <w:pPr>
              <w:pStyle w:val="23"/>
              <w:spacing w:before="65" w:line="228" w:lineRule="auto"/>
              <w:ind w:left="251"/>
              <w:rPr>
                <w:color w:val="auto"/>
                <w:highlight w:val="none"/>
              </w:rPr>
            </w:pPr>
            <w:r>
              <w:rPr>
                <w:color w:val="auto"/>
                <w:spacing w:val="7"/>
                <w:highlight w:val="none"/>
              </w:rPr>
              <w:t>评标方法</w:t>
            </w:r>
          </w:p>
        </w:tc>
        <w:tc>
          <w:tcPr>
            <w:tcW w:w="6916" w:type="dxa"/>
            <w:vAlign w:val="top"/>
          </w:tcPr>
          <w:p w14:paraId="2427448B">
            <w:pPr>
              <w:pStyle w:val="23"/>
              <w:keepNext w:val="0"/>
              <w:keepLines w:val="0"/>
              <w:pageBreakBefore w:val="0"/>
              <w:widowControl/>
              <w:kinsoku/>
              <w:wordWrap/>
              <w:overflowPunct/>
              <w:topLinePunct w:val="0"/>
              <w:autoSpaceDE w:val="0"/>
              <w:autoSpaceDN w:val="0"/>
              <w:bidi w:val="0"/>
              <w:adjustRightInd w:val="0"/>
              <w:snapToGrid w:val="0"/>
              <w:spacing w:before="29" w:line="380" w:lineRule="auto"/>
              <w:ind w:left="113" w:right="108" w:firstLine="289"/>
              <w:textAlignment w:val="baseline"/>
              <w:rPr>
                <w:color w:val="auto"/>
                <w:highlight w:val="none"/>
              </w:rPr>
            </w:pPr>
            <w:r>
              <w:rPr>
                <w:color w:val="auto"/>
                <w:spacing w:val="13"/>
                <w:highlight w:val="none"/>
              </w:rPr>
              <w:t>综合评分相等时，评标委员会依次按照以下优先顺序推荐</w:t>
            </w:r>
            <w:r>
              <w:rPr>
                <w:rFonts w:hint="eastAsia"/>
                <w:color w:val="auto"/>
                <w:spacing w:val="13"/>
                <w:highlight w:val="none"/>
                <w:lang w:val="en-US" w:eastAsia="zh-CN"/>
              </w:rPr>
              <w:t>定</w:t>
            </w:r>
            <w:r>
              <w:rPr>
                <w:color w:val="auto"/>
                <w:spacing w:val="13"/>
                <w:highlight w:val="none"/>
              </w:rPr>
              <w:t>标候选人</w:t>
            </w:r>
            <w:r>
              <w:rPr>
                <w:color w:val="auto"/>
                <w:spacing w:val="6"/>
                <w:highlight w:val="none"/>
              </w:rPr>
              <w:t>：</w:t>
            </w:r>
          </w:p>
          <w:p w14:paraId="2B788CC0">
            <w:pPr>
              <w:pStyle w:val="23"/>
              <w:spacing w:line="226" w:lineRule="auto"/>
              <w:ind w:left="411"/>
              <w:rPr>
                <w:color w:val="auto"/>
                <w:highlight w:val="none"/>
              </w:rPr>
            </w:pPr>
            <w:r>
              <w:rPr>
                <w:color w:val="auto"/>
                <w:spacing w:val="7"/>
                <w:highlight w:val="none"/>
              </w:rPr>
              <w:t>（1）评标价低的投标人优先；</w:t>
            </w:r>
          </w:p>
          <w:p w14:paraId="72EA3055">
            <w:pPr>
              <w:pStyle w:val="23"/>
              <w:spacing w:before="164" w:line="347" w:lineRule="auto"/>
              <w:ind w:left="113" w:right="109" w:firstLine="298"/>
              <w:rPr>
                <w:color w:val="auto"/>
                <w:highlight w:val="none"/>
              </w:rPr>
            </w:pPr>
            <w:r>
              <w:rPr>
                <w:color w:val="auto"/>
                <w:spacing w:val="9"/>
                <w:highlight w:val="none"/>
              </w:rPr>
              <w:t>（2）按招标文件规定被认定为广东省交通运输厅最新年度发布的广东</w:t>
            </w:r>
            <w:r>
              <w:rPr>
                <w:color w:val="auto"/>
                <w:spacing w:val="16"/>
                <w:highlight w:val="none"/>
              </w:rPr>
              <w:t>省公路工程从业单位信用等级（监理单位）较高的</w:t>
            </w:r>
            <w:r>
              <w:rPr>
                <w:color w:val="auto"/>
                <w:spacing w:val="15"/>
                <w:highlight w:val="none"/>
              </w:rPr>
              <w:t>投标人优先（采用如</w:t>
            </w:r>
            <w:r>
              <w:rPr>
                <w:color w:val="auto"/>
                <w:spacing w:val="19"/>
                <w:highlight w:val="none"/>
              </w:rPr>
              <w:t>下的优先顺序：承诺使用的</w:t>
            </w:r>
            <w:r>
              <w:rPr>
                <w:color w:val="auto"/>
                <w:highlight w:val="none"/>
              </w:rPr>
              <w:t>AA</w:t>
            </w:r>
            <w:r>
              <w:rPr>
                <w:color w:val="auto"/>
                <w:spacing w:val="-16"/>
                <w:highlight w:val="none"/>
              </w:rPr>
              <w:t xml:space="preserve"> </w:t>
            </w:r>
            <w:r>
              <w:rPr>
                <w:color w:val="auto"/>
                <w:spacing w:val="19"/>
                <w:highlight w:val="none"/>
              </w:rPr>
              <w:t>级投标人、不承诺使用的</w:t>
            </w:r>
            <w:r>
              <w:rPr>
                <w:color w:val="auto"/>
                <w:highlight w:val="none"/>
              </w:rPr>
              <w:t>AA</w:t>
            </w:r>
            <w:r>
              <w:rPr>
                <w:color w:val="auto"/>
                <w:spacing w:val="-29"/>
                <w:highlight w:val="none"/>
              </w:rPr>
              <w:t xml:space="preserve"> </w:t>
            </w:r>
            <w:r>
              <w:rPr>
                <w:color w:val="auto"/>
                <w:spacing w:val="19"/>
                <w:highlight w:val="none"/>
              </w:rPr>
              <w:t>级投标人、</w:t>
            </w:r>
            <w:r>
              <w:rPr>
                <w:color w:val="auto"/>
                <w:spacing w:val="9"/>
                <w:highlight w:val="none"/>
              </w:rPr>
              <w:t>承诺使用的</w:t>
            </w:r>
            <w:r>
              <w:rPr>
                <w:color w:val="auto"/>
                <w:spacing w:val="-46"/>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级投标人、不承诺使用的</w:t>
            </w:r>
            <w:r>
              <w:rPr>
                <w:color w:val="auto"/>
                <w:spacing w:val="-43"/>
                <w:highlight w:val="none"/>
              </w:rPr>
              <w:t xml:space="preserve"> </w:t>
            </w:r>
            <w:r>
              <w:rPr>
                <w:color w:val="auto"/>
                <w:spacing w:val="9"/>
                <w:highlight w:val="none"/>
              </w:rPr>
              <w:t>A</w:t>
            </w:r>
            <w:r>
              <w:rPr>
                <w:color w:val="auto"/>
                <w:spacing w:val="-35"/>
                <w:highlight w:val="none"/>
              </w:rPr>
              <w:t xml:space="preserve"> </w:t>
            </w:r>
            <w:r>
              <w:rPr>
                <w:color w:val="auto"/>
                <w:spacing w:val="9"/>
                <w:highlight w:val="none"/>
              </w:rPr>
              <w:t>级投标人、</w:t>
            </w:r>
            <w:r>
              <w:rPr>
                <w:color w:val="auto"/>
                <w:spacing w:val="8"/>
                <w:highlight w:val="none"/>
              </w:rPr>
              <w:t>B</w:t>
            </w:r>
            <w:r>
              <w:rPr>
                <w:color w:val="auto"/>
                <w:spacing w:val="-35"/>
                <w:highlight w:val="none"/>
              </w:rPr>
              <w:t xml:space="preserve"> </w:t>
            </w:r>
            <w:r>
              <w:rPr>
                <w:color w:val="auto"/>
                <w:spacing w:val="8"/>
                <w:highlight w:val="none"/>
              </w:rPr>
              <w:t>级投标人、未参评</w:t>
            </w:r>
            <w:r>
              <w:rPr>
                <w:color w:val="auto"/>
                <w:spacing w:val="6"/>
                <w:highlight w:val="none"/>
              </w:rPr>
              <w:t>且被确定为</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级投标人</w:t>
            </w:r>
            <w:r>
              <w:rPr>
                <w:color w:val="auto"/>
                <w:spacing w:val="3"/>
                <w:highlight w:val="none"/>
              </w:rPr>
              <w:t>）；</w:t>
            </w:r>
          </w:p>
          <w:p w14:paraId="7C09B4BE">
            <w:pPr>
              <w:pStyle w:val="23"/>
              <w:spacing w:before="160" w:line="228" w:lineRule="auto"/>
              <w:ind w:left="411"/>
              <w:rPr>
                <w:color w:val="auto"/>
                <w:highlight w:val="none"/>
              </w:rPr>
            </w:pPr>
            <w:r>
              <w:rPr>
                <w:color w:val="auto"/>
                <w:spacing w:val="8"/>
                <w:highlight w:val="none"/>
              </w:rPr>
              <w:t>（3）商务和技术得分较高的投标人优先；</w:t>
            </w:r>
          </w:p>
          <w:p w14:paraId="1EFB430A">
            <w:pPr>
              <w:pStyle w:val="23"/>
              <w:spacing w:before="161" w:line="227" w:lineRule="auto"/>
              <w:ind w:left="411"/>
              <w:rPr>
                <w:color w:val="auto"/>
                <w:highlight w:val="none"/>
              </w:rPr>
            </w:pPr>
            <w:r>
              <w:rPr>
                <w:color w:val="auto"/>
                <w:spacing w:val="8"/>
                <w:highlight w:val="none"/>
              </w:rPr>
              <w:t>（4）评标委员会视投标人情况综合比较，投票确定其名次。</w:t>
            </w:r>
          </w:p>
        </w:tc>
      </w:tr>
      <w:tr w14:paraId="45C92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1" w:hRule="atLeast"/>
        </w:trPr>
        <w:tc>
          <w:tcPr>
            <w:tcW w:w="1034" w:type="dxa"/>
            <w:vAlign w:val="top"/>
          </w:tcPr>
          <w:p w14:paraId="0229F54D">
            <w:pPr>
              <w:spacing w:line="251" w:lineRule="auto"/>
              <w:rPr>
                <w:rFonts w:ascii="Arial"/>
                <w:color w:val="auto"/>
                <w:sz w:val="21"/>
                <w:highlight w:val="none"/>
              </w:rPr>
            </w:pPr>
          </w:p>
          <w:p w14:paraId="1627E9EC">
            <w:pPr>
              <w:spacing w:line="251" w:lineRule="auto"/>
              <w:rPr>
                <w:rFonts w:ascii="Arial"/>
                <w:color w:val="auto"/>
                <w:sz w:val="21"/>
                <w:highlight w:val="none"/>
              </w:rPr>
            </w:pPr>
          </w:p>
          <w:p w14:paraId="6377CEB3">
            <w:pPr>
              <w:spacing w:line="251" w:lineRule="auto"/>
              <w:rPr>
                <w:rFonts w:ascii="Arial"/>
                <w:color w:val="auto"/>
                <w:sz w:val="21"/>
                <w:highlight w:val="none"/>
              </w:rPr>
            </w:pPr>
          </w:p>
          <w:p w14:paraId="4E1D92CD">
            <w:pPr>
              <w:spacing w:line="251" w:lineRule="auto"/>
              <w:rPr>
                <w:rFonts w:ascii="Arial"/>
                <w:color w:val="auto"/>
                <w:sz w:val="21"/>
                <w:highlight w:val="none"/>
              </w:rPr>
            </w:pPr>
          </w:p>
          <w:p w14:paraId="71918473">
            <w:pPr>
              <w:spacing w:line="251" w:lineRule="auto"/>
              <w:rPr>
                <w:rFonts w:ascii="Arial"/>
                <w:color w:val="auto"/>
                <w:sz w:val="21"/>
                <w:highlight w:val="none"/>
              </w:rPr>
            </w:pPr>
          </w:p>
          <w:p w14:paraId="0E26FC48">
            <w:pPr>
              <w:spacing w:line="251" w:lineRule="auto"/>
              <w:rPr>
                <w:rFonts w:ascii="Arial"/>
                <w:color w:val="auto"/>
                <w:sz w:val="21"/>
                <w:highlight w:val="none"/>
              </w:rPr>
            </w:pPr>
          </w:p>
          <w:p w14:paraId="0D7B2F8F">
            <w:pPr>
              <w:spacing w:line="251" w:lineRule="auto"/>
              <w:rPr>
                <w:rFonts w:ascii="Arial"/>
                <w:color w:val="auto"/>
                <w:sz w:val="21"/>
                <w:highlight w:val="none"/>
              </w:rPr>
            </w:pPr>
          </w:p>
          <w:p w14:paraId="0F8D3FB2">
            <w:pPr>
              <w:spacing w:line="251" w:lineRule="auto"/>
              <w:rPr>
                <w:rFonts w:ascii="Arial"/>
                <w:color w:val="auto"/>
                <w:sz w:val="21"/>
                <w:highlight w:val="none"/>
              </w:rPr>
            </w:pPr>
          </w:p>
          <w:p w14:paraId="549496E9">
            <w:pPr>
              <w:spacing w:line="251" w:lineRule="auto"/>
              <w:rPr>
                <w:rFonts w:ascii="Arial"/>
                <w:color w:val="auto"/>
                <w:sz w:val="21"/>
                <w:highlight w:val="none"/>
              </w:rPr>
            </w:pPr>
          </w:p>
          <w:p w14:paraId="5D3C3BF5">
            <w:pPr>
              <w:spacing w:line="251" w:lineRule="auto"/>
              <w:rPr>
                <w:rFonts w:ascii="Arial"/>
                <w:color w:val="auto"/>
                <w:sz w:val="21"/>
                <w:highlight w:val="none"/>
              </w:rPr>
            </w:pPr>
          </w:p>
          <w:p w14:paraId="55F28135">
            <w:pPr>
              <w:spacing w:line="251" w:lineRule="auto"/>
              <w:rPr>
                <w:rFonts w:ascii="Arial"/>
                <w:color w:val="auto"/>
                <w:sz w:val="21"/>
                <w:highlight w:val="none"/>
              </w:rPr>
            </w:pPr>
          </w:p>
          <w:p w14:paraId="4011D1B4">
            <w:pPr>
              <w:spacing w:line="251" w:lineRule="auto"/>
              <w:rPr>
                <w:rFonts w:ascii="Arial"/>
                <w:color w:val="auto"/>
                <w:sz w:val="21"/>
                <w:highlight w:val="none"/>
              </w:rPr>
            </w:pPr>
          </w:p>
          <w:p w14:paraId="58A694CD">
            <w:pPr>
              <w:pStyle w:val="23"/>
              <w:spacing w:before="65" w:line="268" w:lineRule="exact"/>
              <w:ind w:left="261"/>
              <w:rPr>
                <w:color w:val="auto"/>
                <w:highlight w:val="none"/>
              </w:rPr>
            </w:pPr>
            <w:r>
              <w:rPr>
                <w:color w:val="auto"/>
                <w:spacing w:val="2"/>
                <w:position w:val="1"/>
                <w:highlight w:val="none"/>
              </w:rPr>
              <w:t>2.1.1</w:t>
            </w:r>
          </w:p>
          <w:p w14:paraId="6E263760">
            <w:pPr>
              <w:pStyle w:val="23"/>
              <w:spacing w:before="140" w:line="267" w:lineRule="exact"/>
              <w:ind w:left="261"/>
              <w:rPr>
                <w:color w:val="auto"/>
                <w:highlight w:val="none"/>
              </w:rPr>
            </w:pPr>
            <w:r>
              <w:rPr>
                <w:color w:val="auto"/>
                <w:spacing w:val="2"/>
                <w:position w:val="1"/>
                <w:highlight w:val="none"/>
              </w:rPr>
              <w:t>2.1.3</w:t>
            </w:r>
          </w:p>
        </w:tc>
        <w:tc>
          <w:tcPr>
            <w:tcW w:w="1336" w:type="dxa"/>
            <w:vAlign w:val="top"/>
          </w:tcPr>
          <w:p w14:paraId="698DB3FD">
            <w:pPr>
              <w:spacing w:line="255" w:lineRule="auto"/>
              <w:rPr>
                <w:rFonts w:ascii="Arial"/>
                <w:color w:val="auto"/>
                <w:sz w:val="21"/>
                <w:highlight w:val="none"/>
              </w:rPr>
            </w:pPr>
          </w:p>
          <w:p w14:paraId="36B7A818">
            <w:pPr>
              <w:spacing w:line="255" w:lineRule="auto"/>
              <w:rPr>
                <w:rFonts w:ascii="Arial"/>
                <w:color w:val="auto"/>
                <w:sz w:val="21"/>
                <w:highlight w:val="none"/>
              </w:rPr>
            </w:pPr>
          </w:p>
          <w:p w14:paraId="04DD2A32">
            <w:pPr>
              <w:spacing w:line="255" w:lineRule="auto"/>
              <w:rPr>
                <w:rFonts w:ascii="Arial"/>
                <w:color w:val="auto"/>
                <w:sz w:val="21"/>
                <w:highlight w:val="none"/>
              </w:rPr>
            </w:pPr>
          </w:p>
          <w:p w14:paraId="229E73D0">
            <w:pPr>
              <w:spacing w:line="255" w:lineRule="auto"/>
              <w:rPr>
                <w:rFonts w:ascii="Arial"/>
                <w:color w:val="auto"/>
                <w:sz w:val="21"/>
                <w:highlight w:val="none"/>
              </w:rPr>
            </w:pPr>
          </w:p>
          <w:p w14:paraId="5050FD5F">
            <w:pPr>
              <w:spacing w:line="255" w:lineRule="auto"/>
              <w:rPr>
                <w:rFonts w:ascii="Arial"/>
                <w:color w:val="auto"/>
                <w:sz w:val="21"/>
                <w:highlight w:val="none"/>
              </w:rPr>
            </w:pPr>
          </w:p>
          <w:p w14:paraId="7092B998">
            <w:pPr>
              <w:spacing w:line="255" w:lineRule="auto"/>
              <w:rPr>
                <w:rFonts w:ascii="Arial"/>
                <w:color w:val="auto"/>
                <w:sz w:val="21"/>
                <w:highlight w:val="none"/>
              </w:rPr>
            </w:pPr>
          </w:p>
          <w:p w14:paraId="4D4E03F5">
            <w:pPr>
              <w:spacing w:line="256" w:lineRule="auto"/>
              <w:rPr>
                <w:rFonts w:ascii="Arial"/>
                <w:color w:val="auto"/>
                <w:sz w:val="21"/>
                <w:highlight w:val="none"/>
              </w:rPr>
            </w:pPr>
          </w:p>
          <w:p w14:paraId="7E5B4684">
            <w:pPr>
              <w:spacing w:line="256" w:lineRule="auto"/>
              <w:rPr>
                <w:rFonts w:ascii="Arial"/>
                <w:color w:val="auto"/>
                <w:sz w:val="21"/>
                <w:highlight w:val="none"/>
              </w:rPr>
            </w:pPr>
          </w:p>
          <w:p w14:paraId="42ECC862">
            <w:pPr>
              <w:spacing w:line="256" w:lineRule="auto"/>
              <w:rPr>
                <w:rFonts w:ascii="Arial"/>
                <w:color w:val="auto"/>
                <w:sz w:val="21"/>
                <w:highlight w:val="none"/>
              </w:rPr>
            </w:pPr>
          </w:p>
          <w:p w14:paraId="59C027E3">
            <w:pPr>
              <w:spacing w:line="256" w:lineRule="auto"/>
              <w:rPr>
                <w:rFonts w:ascii="Arial"/>
                <w:color w:val="auto"/>
                <w:sz w:val="21"/>
                <w:highlight w:val="none"/>
              </w:rPr>
            </w:pPr>
          </w:p>
          <w:p w14:paraId="269D9F87">
            <w:pPr>
              <w:spacing w:line="256" w:lineRule="auto"/>
              <w:rPr>
                <w:rFonts w:ascii="Arial"/>
                <w:color w:val="auto"/>
                <w:sz w:val="21"/>
                <w:highlight w:val="none"/>
              </w:rPr>
            </w:pPr>
          </w:p>
          <w:p w14:paraId="048A7646">
            <w:pPr>
              <w:pStyle w:val="23"/>
              <w:spacing w:before="65" w:line="228" w:lineRule="auto"/>
              <w:ind w:left="149"/>
              <w:rPr>
                <w:color w:val="auto"/>
                <w:highlight w:val="none"/>
              </w:rPr>
            </w:pPr>
            <w:r>
              <w:rPr>
                <w:color w:val="auto"/>
                <w:spacing w:val="7"/>
                <w:highlight w:val="none"/>
              </w:rPr>
              <w:t>形式评审与</w:t>
            </w:r>
          </w:p>
          <w:p w14:paraId="0DB40B88">
            <w:pPr>
              <w:pStyle w:val="23"/>
              <w:spacing w:before="160" w:line="228" w:lineRule="auto"/>
              <w:ind w:left="157"/>
              <w:rPr>
                <w:color w:val="auto"/>
                <w:highlight w:val="none"/>
              </w:rPr>
            </w:pPr>
            <w:r>
              <w:rPr>
                <w:color w:val="auto"/>
                <w:spacing w:val="6"/>
                <w:highlight w:val="none"/>
              </w:rPr>
              <w:t>响应性评审</w:t>
            </w:r>
          </w:p>
          <w:p w14:paraId="51A08C4E">
            <w:pPr>
              <w:pStyle w:val="23"/>
              <w:spacing w:before="143" w:line="265" w:lineRule="exact"/>
              <w:ind w:left="411"/>
              <w:rPr>
                <w:color w:val="auto"/>
                <w:sz w:val="10"/>
                <w:szCs w:val="10"/>
                <w:highlight w:val="none"/>
              </w:rPr>
            </w:pPr>
            <w:r>
              <w:rPr>
                <w:color w:val="auto"/>
                <w:spacing w:val="5"/>
                <w:highlight w:val="none"/>
              </w:rPr>
              <w:t>标准</w:t>
            </w:r>
          </w:p>
        </w:tc>
        <w:tc>
          <w:tcPr>
            <w:tcW w:w="6916" w:type="dxa"/>
            <w:vAlign w:val="top"/>
          </w:tcPr>
          <w:p w14:paraId="576C377C">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3"/>
              <w:textAlignment w:val="baseline"/>
              <w:rPr>
                <w:color w:val="auto"/>
                <w:highlight w:val="none"/>
              </w:rPr>
            </w:pPr>
            <w:r>
              <w:rPr>
                <w:b/>
                <w:bCs/>
                <w:color w:val="auto"/>
                <w:spacing w:val="7"/>
                <w:highlight w:val="none"/>
              </w:rPr>
              <w:t>第一个信封（商务及技术文件）评审标准：</w:t>
            </w:r>
          </w:p>
          <w:p w14:paraId="69BCD49A">
            <w:pPr>
              <w:pStyle w:val="23"/>
              <w:keepNext w:val="0"/>
              <w:keepLines w:val="0"/>
              <w:pageBreakBefore w:val="0"/>
              <w:widowControl/>
              <w:kinsoku w:val="0"/>
              <w:wordWrap/>
              <w:overflowPunct/>
              <w:topLinePunct w:val="0"/>
              <w:autoSpaceDE w:val="0"/>
              <w:autoSpaceDN w:val="0"/>
              <w:bidi w:val="0"/>
              <w:adjustRightInd w:val="0"/>
              <w:snapToGrid w:val="0"/>
              <w:spacing w:line="377" w:lineRule="auto"/>
              <w:ind w:left="114" w:right="106" w:firstLine="429"/>
              <w:textAlignment w:val="baseline"/>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highlight w:val="none"/>
              </w:rPr>
              <w:t>辨：</w:t>
            </w:r>
          </w:p>
          <w:p w14:paraId="298EDC54">
            <w:pPr>
              <w:pStyle w:val="23"/>
              <w:keepNext w:val="0"/>
              <w:keepLines w:val="0"/>
              <w:pageBreakBefore w:val="0"/>
              <w:widowControl/>
              <w:kinsoku w:val="0"/>
              <w:wordWrap/>
              <w:overflowPunct/>
              <w:topLinePunct w:val="0"/>
              <w:autoSpaceDE w:val="0"/>
              <w:autoSpaceDN w:val="0"/>
              <w:bidi w:val="0"/>
              <w:adjustRightInd w:val="0"/>
              <w:snapToGrid w:val="0"/>
              <w:spacing w:line="303" w:lineRule="auto"/>
              <w:ind w:left="113" w:right="106" w:firstLine="420"/>
              <w:textAlignment w:val="baseline"/>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、监理</w:t>
            </w:r>
            <w:r>
              <w:rPr>
                <w:color w:val="auto"/>
                <w:spacing w:val="8"/>
                <w:highlight w:val="none"/>
              </w:rPr>
              <w:t>服务期限、工程质量要求及安全目标；</w:t>
            </w:r>
          </w:p>
          <w:p w14:paraId="5605E36B">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0"/>
              <w:textAlignment w:val="baseline"/>
              <w:rPr>
                <w:color w:val="auto"/>
                <w:highlight w:val="none"/>
              </w:rPr>
            </w:pPr>
            <w:r>
              <w:rPr>
                <w:color w:val="auto"/>
                <w:spacing w:val="8"/>
                <w:highlight w:val="none"/>
              </w:rPr>
              <w:t>b.投标文件组成齐全完整，内容均按规定填写。</w:t>
            </w:r>
          </w:p>
          <w:p w14:paraId="368022DF">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22"/>
              <w:textAlignment w:val="baseline"/>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021177AE">
            <w:pPr>
              <w:pStyle w:val="23"/>
              <w:keepNext w:val="0"/>
              <w:keepLines w:val="0"/>
              <w:pageBreakBefore w:val="0"/>
              <w:widowControl/>
              <w:kinsoku w:val="0"/>
              <w:wordWrap/>
              <w:overflowPunct/>
              <w:topLinePunct w:val="0"/>
              <w:autoSpaceDE w:val="0"/>
              <w:autoSpaceDN w:val="0"/>
              <w:bidi w:val="0"/>
              <w:adjustRightInd w:val="0"/>
              <w:snapToGrid w:val="0"/>
              <w:spacing w:line="227" w:lineRule="auto"/>
              <w:ind w:left="543"/>
              <w:textAlignment w:val="baseline"/>
              <w:rPr>
                <w:color w:val="auto"/>
                <w:highlight w:val="none"/>
              </w:rPr>
            </w:pPr>
            <w:r>
              <w:rPr>
                <w:color w:val="auto"/>
                <w:spacing w:val="8"/>
                <w:highlight w:val="none"/>
              </w:rPr>
              <w:t>（3） 投标人按照招标文件的规定提供了投标保证金：</w:t>
            </w:r>
          </w:p>
          <w:p w14:paraId="2AAD3975">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highlight w:val="none"/>
              </w:rPr>
            </w:pPr>
            <w:r>
              <w:rPr>
                <w:color w:val="auto"/>
                <w:spacing w:val="15"/>
                <w:highlight w:val="none"/>
              </w:rPr>
              <w:t>a.投标保证金金额符合招标文件规定的金额，且投标保证金有效期</w:t>
            </w:r>
            <w:r>
              <w:rPr>
                <w:color w:val="auto"/>
                <w:spacing w:val="7"/>
                <w:highlight w:val="none"/>
              </w:rPr>
              <w:t>不少于投标有效期；</w:t>
            </w:r>
          </w:p>
          <w:p w14:paraId="0B460E0E">
            <w:pPr>
              <w:pStyle w:val="23"/>
              <w:keepNext w:val="0"/>
              <w:keepLines w:val="0"/>
              <w:pageBreakBefore w:val="0"/>
              <w:widowControl/>
              <w:kinsoku w:val="0"/>
              <w:wordWrap/>
              <w:overflowPunct/>
              <w:topLinePunct w:val="0"/>
              <w:autoSpaceDE w:val="0"/>
              <w:autoSpaceDN w:val="0"/>
              <w:bidi w:val="0"/>
              <w:adjustRightInd w:val="0"/>
              <w:snapToGrid w:val="0"/>
              <w:spacing w:line="327" w:lineRule="auto"/>
              <w:ind w:left="114" w:right="106" w:firstLine="415"/>
              <w:textAlignment w:val="baseline"/>
              <w:rPr>
                <w:color w:val="auto"/>
                <w:highlight w:val="none"/>
              </w:rPr>
            </w:pPr>
            <w:r>
              <w:rPr>
                <w:color w:val="auto"/>
                <w:spacing w:val="16"/>
                <w:highlight w:val="none"/>
              </w:rPr>
              <w:t>b.若投标保证金采用现金或支票形式提交，</w:t>
            </w:r>
            <w:r>
              <w:rPr>
                <w:color w:val="auto"/>
                <w:spacing w:val="15"/>
                <w:highlight w:val="none"/>
              </w:rPr>
              <w:t>投标人应在招标文件规</w:t>
            </w:r>
            <w:r>
              <w:rPr>
                <w:color w:val="auto"/>
                <w:spacing w:val="16"/>
                <w:highlight w:val="none"/>
              </w:rPr>
              <w:t>定的投标保证金递交截止时间之前，将投标保证金由</w:t>
            </w:r>
            <w:r>
              <w:rPr>
                <w:color w:val="auto"/>
                <w:spacing w:val="15"/>
                <w:highlight w:val="none"/>
              </w:rPr>
              <w:t>投标人的基本账户</w:t>
            </w:r>
            <w:r>
              <w:rPr>
                <w:color w:val="auto"/>
                <w:spacing w:val="7"/>
                <w:highlight w:val="none"/>
              </w:rPr>
              <w:t>转入招标人指定账户；</w:t>
            </w:r>
          </w:p>
          <w:p w14:paraId="1331EE6C">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6" w:firstLine="423"/>
              <w:textAlignment w:val="baseline"/>
              <w:rPr>
                <w:color w:val="auto"/>
                <w:highlight w:val="none"/>
              </w:rPr>
            </w:pPr>
            <w:r>
              <w:rPr>
                <w:color w:val="auto"/>
                <w:spacing w:val="13"/>
                <w:highlight w:val="none"/>
              </w:rPr>
              <w:t>c.若投标保证金采用银行保函或投标人须知前附表</w:t>
            </w:r>
            <w:r>
              <w:rPr>
                <w:color w:val="auto"/>
                <w:spacing w:val="-24"/>
                <w:highlight w:val="none"/>
              </w:rPr>
              <w:t xml:space="preserve"> </w:t>
            </w:r>
            <w:r>
              <w:rPr>
                <w:color w:val="auto"/>
                <w:spacing w:val="13"/>
                <w:highlight w:val="none"/>
              </w:rPr>
              <w:t>3.4.1</w:t>
            </w:r>
            <w:r>
              <w:rPr>
                <w:color w:val="auto"/>
                <w:spacing w:val="-27"/>
                <w:highlight w:val="none"/>
              </w:rPr>
              <w:t xml:space="preserve"> </w:t>
            </w:r>
            <w:r>
              <w:rPr>
                <w:color w:val="auto"/>
                <w:spacing w:val="13"/>
                <w:highlight w:val="none"/>
              </w:rPr>
              <w:t>项规定的</w:t>
            </w:r>
            <w:r>
              <w:rPr>
                <w:color w:val="auto"/>
                <w:spacing w:val="8"/>
                <w:highlight w:val="none"/>
              </w:rPr>
              <w:t>其他形式提交，应满足招标文件要求。</w:t>
            </w:r>
          </w:p>
          <w:p w14:paraId="7244927F">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43"/>
              <w:textAlignment w:val="baseline"/>
              <w:rPr>
                <w:color w:val="auto"/>
                <w:spacing w:val="12"/>
                <w:highlight w:val="none"/>
              </w:rPr>
            </w:pPr>
            <w:r>
              <w:rPr>
                <w:color w:val="auto"/>
                <w:spacing w:val="12"/>
                <w:highlight w:val="none"/>
              </w:rPr>
              <w:t>（4）投标人法定代表人授权委托代理人签署投标文件的，</w:t>
            </w:r>
            <w:r>
              <w:rPr>
                <w:color w:val="auto"/>
                <w:spacing w:val="11"/>
                <w:highlight w:val="none"/>
              </w:rPr>
              <w:t>须提交授</w:t>
            </w:r>
          </w:p>
          <w:p w14:paraId="76623498">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2" w:right="106"/>
              <w:textAlignment w:val="baseline"/>
              <w:rPr>
                <w:color w:val="auto"/>
                <w:highlight w:val="none"/>
              </w:rPr>
            </w:pPr>
            <w:r>
              <w:rPr>
                <w:color w:val="auto"/>
                <w:spacing w:val="16"/>
                <w:highlight w:val="none"/>
              </w:rPr>
              <w:t>权委托书，且授权人和被授权人均在授权委托书上使用个</w:t>
            </w:r>
            <w:r>
              <w:rPr>
                <w:color w:val="auto"/>
                <w:spacing w:val="15"/>
                <w:highlight w:val="none"/>
              </w:rPr>
              <w:t>人电子签名章</w:t>
            </w:r>
            <w:r>
              <w:rPr>
                <w:color w:val="auto"/>
                <w:spacing w:val="8"/>
                <w:highlight w:val="none"/>
              </w:rPr>
              <w:t>进行签名或亲笔签名。</w:t>
            </w:r>
          </w:p>
          <w:p w14:paraId="144FF32E">
            <w:pPr>
              <w:pStyle w:val="23"/>
              <w:keepNext w:val="0"/>
              <w:keepLines w:val="0"/>
              <w:pageBreakBefore w:val="0"/>
              <w:widowControl/>
              <w:kinsoku w:val="0"/>
              <w:wordWrap/>
              <w:overflowPunct/>
              <w:topLinePunct w:val="0"/>
              <w:autoSpaceDE w:val="0"/>
              <w:autoSpaceDN w:val="0"/>
              <w:bidi w:val="0"/>
              <w:adjustRightInd w:val="0"/>
              <w:snapToGrid w:val="0"/>
              <w:spacing w:line="326" w:lineRule="auto"/>
              <w:ind w:left="113" w:right="106" w:firstLine="430"/>
              <w:textAlignment w:val="baseline"/>
              <w:rPr>
                <w:color w:val="auto"/>
                <w:highlight w:val="none"/>
              </w:rPr>
            </w:pPr>
            <w:r>
              <w:rPr>
                <w:color w:val="auto"/>
                <w:spacing w:val="12"/>
                <w:highlight w:val="none"/>
              </w:rPr>
              <w:t>（5）投标人法定代表人亲自签署投标文件的，提供了法定</w:t>
            </w:r>
            <w:r>
              <w:rPr>
                <w:color w:val="auto"/>
                <w:spacing w:val="11"/>
                <w:highlight w:val="none"/>
              </w:rPr>
              <w:t>代表人身</w:t>
            </w:r>
            <w:r>
              <w:rPr>
                <w:color w:val="auto"/>
                <w:spacing w:val="16"/>
                <w:highlight w:val="none"/>
              </w:rPr>
              <w:t>份证明，且法定代表人在法定代表人身份证明上使用个</w:t>
            </w:r>
            <w:r>
              <w:rPr>
                <w:color w:val="auto"/>
                <w:spacing w:val="15"/>
                <w:highlight w:val="none"/>
              </w:rPr>
              <w:t>人电子签名章进</w:t>
            </w:r>
            <w:r>
              <w:rPr>
                <w:color w:val="auto"/>
                <w:spacing w:val="7"/>
                <w:highlight w:val="none"/>
              </w:rPr>
              <w:t>行签名或亲笔签名。</w:t>
            </w:r>
          </w:p>
          <w:p w14:paraId="78B74F78">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4" w:right="109" w:firstLine="421"/>
              <w:textAlignment w:val="baseline"/>
              <w:rPr>
                <w:color w:val="auto"/>
                <w:highlight w:val="none"/>
              </w:rPr>
            </w:pPr>
            <w:r>
              <w:rPr>
                <w:color w:val="auto"/>
                <w:spacing w:val="9"/>
                <w:highlight w:val="none"/>
              </w:rPr>
              <w:t>（6）投标人未以联合体形式投标。</w:t>
            </w:r>
          </w:p>
          <w:p w14:paraId="0D6F96B8">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9" w:firstLine="429"/>
              <w:textAlignment w:val="baseline"/>
              <w:rPr>
                <w:color w:val="auto"/>
                <w:highlight w:val="none"/>
              </w:rPr>
            </w:pPr>
            <w:r>
              <w:rPr>
                <w:color w:val="auto"/>
                <w:spacing w:val="10"/>
                <w:highlight w:val="none"/>
              </w:rPr>
              <w:t>（7）</w:t>
            </w:r>
            <w:r>
              <w:rPr>
                <w:color w:val="auto"/>
                <w:spacing w:val="-44"/>
                <w:highlight w:val="none"/>
              </w:rPr>
              <w:t xml:space="preserve"> </w:t>
            </w:r>
            <w:r>
              <w:rPr>
                <w:color w:val="auto"/>
                <w:spacing w:val="10"/>
                <w:highlight w:val="none"/>
              </w:rPr>
              <w:t>同一投标人未提交两个以上不同的投标文件，但招标文件要求</w:t>
            </w:r>
            <w:r>
              <w:rPr>
                <w:color w:val="auto"/>
                <w:spacing w:val="7"/>
                <w:highlight w:val="none"/>
              </w:rPr>
              <w:t>提交备选投标的除外。</w:t>
            </w:r>
          </w:p>
          <w:p w14:paraId="2745CA94">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（8）投标文件中未出现有关投标报价的内容。</w:t>
            </w:r>
          </w:p>
          <w:p w14:paraId="52CE6923">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（9） 投标文件载明的招标项目完成期限未超过招标文件规定的时限。</w:t>
            </w:r>
          </w:p>
          <w:p w14:paraId="4B7A403C">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（10）投标文件对招标文件的实质性要求和条件作出响应。</w:t>
            </w:r>
          </w:p>
          <w:p w14:paraId="5532B84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（11）权利义务符合招标文件规定：</w:t>
            </w:r>
          </w:p>
          <w:p w14:paraId="47AFEB90">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a.投标人应接受招标文件规定的风险划分原则，未提出新的风险划分办法；</w:t>
            </w:r>
          </w:p>
          <w:p w14:paraId="3081709A">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b.投标人未增加委托人的责任范围，或减少投标人义务；</w:t>
            </w:r>
          </w:p>
          <w:p w14:paraId="2B40F468">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c.投标人未提出不同的支付办法；</w:t>
            </w:r>
          </w:p>
          <w:p w14:paraId="200D30C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d.投标人对合同纠纷、事故处理办法未提出异议；</w:t>
            </w:r>
          </w:p>
          <w:p w14:paraId="709A2219">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e.投标人在投标活动中无欺诈行为；</w:t>
            </w:r>
          </w:p>
          <w:p w14:paraId="34BFBB6D">
            <w:pPr>
              <w:pStyle w:val="23"/>
              <w:keepNext w:val="0"/>
              <w:keepLines w:val="0"/>
              <w:pageBreakBefore w:val="0"/>
              <w:widowControl/>
              <w:kinsoku w:val="0"/>
              <w:wordWrap/>
              <w:overflowPunct/>
              <w:topLinePunct w:val="0"/>
              <w:autoSpaceDE w:val="0"/>
              <w:autoSpaceDN w:val="0"/>
              <w:bidi w:val="0"/>
              <w:adjustRightInd w:val="0"/>
              <w:snapToGrid w:val="0"/>
              <w:spacing w:line="304" w:lineRule="auto"/>
              <w:ind w:left="117" w:right="109" w:firstLine="417"/>
              <w:textAlignment w:val="baseline"/>
              <w:rPr>
                <w:color w:val="auto"/>
                <w:spacing w:val="15"/>
                <w:highlight w:val="none"/>
              </w:rPr>
            </w:pPr>
            <w:r>
              <w:rPr>
                <w:color w:val="auto"/>
                <w:spacing w:val="15"/>
                <w:highlight w:val="none"/>
              </w:rPr>
              <w:t>f.投标人未对合同条款有重要保留。</w:t>
            </w:r>
          </w:p>
          <w:p w14:paraId="1372C2EC">
            <w:pPr>
              <w:keepNext w:val="0"/>
              <w:keepLines w:val="0"/>
              <w:pageBreakBefore w:val="0"/>
              <w:widowControl/>
              <w:kinsoku w:val="0"/>
              <w:wordWrap/>
              <w:overflowPunct/>
              <w:topLinePunct w:val="0"/>
              <w:autoSpaceDE w:val="0"/>
              <w:autoSpaceDN w:val="0"/>
              <w:bidi w:val="0"/>
              <w:adjustRightInd w:val="0"/>
              <w:snapToGrid w:val="0"/>
              <w:spacing w:line="251" w:lineRule="auto"/>
              <w:textAlignment w:val="baseline"/>
              <w:rPr>
                <w:rFonts w:ascii="Arial"/>
                <w:color w:val="auto"/>
                <w:sz w:val="21"/>
                <w:highlight w:val="none"/>
              </w:rPr>
            </w:pPr>
          </w:p>
          <w:p w14:paraId="0ABE307C">
            <w:pPr>
              <w:keepNext w:val="0"/>
              <w:keepLines w:val="0"/>
              <w:pageBreakBefore w:val="0"/>
              <w:widowControl/>
              <w:kinsoku w:val="0"/>
              <w:wordWrap/>
              <w:overflowPunct/>
              <w:topLinePunct w:val="0"/>
              <w:autoSpaceDE w:val="0"/>
              <w:autoSpaceDN w:val="0"/>
              <w:bidi w:val="0"/>
              <w:adjustRightInd w:val="0"/>
              <w:snapToGrid w:val="0"/>
              <w:spacing w:line="252" w:lineRule="auto"/>
              <w:textAlignment w:val="baseline"/>
              <w:rPr>
                <w:rFonts w:ascii="Arial"/>
                <w:color w:val="auto"/>
                <w:sz w:val="21"/>
                <w:highlight w:val="none"/>
              </w:rPr>
            </w:pPr>
          </w:p>
          <w:p w14:paraId="265CFCDD">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33"/>
              <w:textAlignment w:val="baseline"/>
              <w:rPr>
                <w:color w:val="auto"/>
                <w:highlight w:val="none"/>
              </w:rPr>
            </w:pPr>
            <w:r>
              <w:rPr>
                <w:b/>
                <w:bCs/>
                <w:color w:val="auto"/>
                <w:spacing w:val="7"/>
                <w:highlight w:val="none"/>
              </w:rPr>
              <w:t>第二个信封（报价文件）评审标准：</w:t>
            </w:r>
          </w:p>
          <w:p w14:paraId="05E8262C">
            <w:pPr>
              <w:pStyle w:val="23"/>
              <w:keepNext w:val="0"/>
              <w:keepLines w:val="0"/>
              <w:pageBreakBefore w:val="0"/>
              <w:widowControl/>
              <w:kinsoku w:val="0"/>
              <w:wordWrap/>
              <w:overflowPunct/>
              <w:topLinePunct w:val="0"/>
              <w:autoSpaceDE w:val="0"/>
              <w:autoSpaceDN w:val="0"/>
              <w:bidi w:val="0"/>
              <w:adjustRightInd w:val="0"/>
              <w:snapToGrid w:val="0"/>
              <w:spacing w:line="378" w:lineRule="auto"/>
              <w:ind w:left="114" w:right="106" w:firstLine="429"/>
              <w:textAlignment w:val="baseline"/>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spacing w:val="2"/>
                <w:highlight w:val="none"/>
              </w:rPr>
              <w:t>辨，</w:t>
            </w:r>
            <w:r>
              <w:rPr>
                <w:color w:val="auto"/>
                <w:spacing w:val="-51"/>
                <w:highlight w:val="none"/>
              </w:rPr>
              <w:t xml:space="preserve"> </w:t>
            </w:r>
            <w:r>
              <w:rPr>
                <w:color w:val="auto"/>
                <w:spacing w:val="2"/>
                <w:highlight w:val="none"/>
              </w:rPr>
              <w:t>内容齐全完整：</w:t>
            </w:r>
          </w:p>
          <w:p w14:paraId="13918FBC">
            <w:pPr>
              <w:pStyle w:val="23"/>
              <w:keepNext w:val="0"/>
              <w:keepLines w:val="0"/>
              <w:pageBreakBefore w:val="0"/>
              <w:widowControl/>
              <w:kinsoku w:val="0"/>
              <w:wordWrap/>
              <w:overflowPunct/>
              <w:topLinePunct w:val="0"/>
              <w:autoSpaceDE w:val="0"/>
              <w:autoSpaceDN w:val="0"/>
              <w:bidi w:val="0"/>
              <w:adjustRightInd w:val="0"/>
              <w:snapToGrid w:val="0"/>
              <w:spacing w:line="301" w:lineRule="auto"/>
              <w:ind w:left="119" w:right="106" w:firstLine="415"/>
              <w:textAlignment w:val="baseline"/>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、投标</w:t>
            </w:r>
            <w:r>
              <w:rPr>
                <w:color w:val="auto"/>
                <w:spacing w:val="9"/>
                <w:highlight w:val="none"/>
              </w:rPr>
              <w:t>总报价（包括大写金额和小写金额</w:t>
            </w:r>
            <w:r>
              <w:rPr>
                <w:color w:val="auto"/>
                <w:highlight w:val="none"/>
              </w:rPr>
              <w:t>）；</w:t>
            </w:r>
          </w:p>
          <w:p w14:paraId="6F5F3910">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09"/>
              <w:textAlignment w:val="baseline"/>
              <w:rPr>
                <w:color w:val="auto"/>
                <w:highlight w:val="none"/>
              </w:rPr>
            </w:pPr>
            <w:r>
              <w:rPr>
                <w:color w:val="auto"/>
                <w:spacing w:val="16"/>
                <w:highlight w:val="none"/>
              </w:rPr>
              <w:t>b.已标价报价清单说明文字与招标文件规定</w:t>
            </w:r>
            <w:r>
              <w:rPr>
                <w:color w:val="auto"/>
                <w:spacing w:val="15"/>
                <w:highlight w:val="none"/>
              </w:rPr>
              <w:t>一致，未进行实质性修</w:t>
            </w:r>
            <w:r>
              <w:rPr>
                <w:color w:val="auto"/>
                <w:spacing w:val="4"/>
                <w:highlight w:val="none"/>
              </w:rPr>
              <w:t>改和删减；</w:t>
            </w:r>
          </w:p>
          <w:p w14:paraId="082E850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537"/>
              <w:textAlignment w:val="baseline"/>
              <w:rPr>
                <w:color w:val="auto"/>
                <w:highlight w:val="none"/>
              </w:rPr>
            </w:pPr>
            <w:r>
              <w:rPr>
                <w:color w:val="auto"/>
                <w:spacing w:val="8"/>
                <w:highlight w:val="none"/>
              </w:rPr>
              <w:t>c.投标文件组成齐全完整，内容均按规定填写。</w:t>
            </w:r>
          </w:p>
          <w:p w14:paraId="388B8BBC">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21" w:right="109" w:firstLine="422"/>
              <w:textAlignment w:val="baseline"/>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65444622">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43"/>
              <w:textAlignment w:val="baseline"/>
              <w:rPr>
                <w:color w:val="auto"/>
                <w:highlight w:val="none"/>
              </w:rPr>
            </w:pPr>
            <w:r>
              <w:rPr>
                <w:color w:val="auto"/>
                <w:spacing w:val="8"/>
                <w:highlight w:val="none"/>
              </w:rPr>
              <w:t>（3）投标报价未超过招标文件设定的最高投标限价（如有）。</w:t>
            </w:r>
          </w:p>
          <w:p w14:paraId="28686E4A">
            <w:pPr>
              <w:pStyle w:val="23"/>
              <w:keepNext w:val="0"/>
              <w:keepLines w:val="0"/>
              <w:pageBreakBefore w:val="0"/>
              <w:widowControl/>
              <w:kinsoku w:val="0"/>
              <w:wordWrap/>
              <w:overflowPunct/>
              <w:topLinePunct w:val="0"/>
              <w:autoSpaceDE w:val="0"/>
              <w:autoSpaceDN w:val="0"/>
              <w:bidi w:val="0"/>
              <w:adjustRightInd w:val="0"/>
              <w:snapToGrid w:val="0"/>
              <w:spacing w:line="226" w:lineRule="auto"/>
              <w:ind w:left="543"/>
              <w:textAlignment w:val="baseline"/>
              <w:rPr>
                <w:color w:val="auto"/>
                <w:highlight w:val="none"/>
              </w:rPr>
            </w:pPr>
            <w:r>
              <w:rPr>
                <w:color w:val="auto"/>
                <w:spacing w:val="8"/>
                <w:highlight w:val="none"/>
              </w:rPr>
              <w:t>（4）投标总报价的大写金额能够确定具体数值。</w:t>
            </w:r>
          </w:p>
          <w:p w14:paraId="041AAFB7">
            <w:pPr>
              <w:pStyle w:val="23"/>
              <w:keepNext w:val="0"/>
              <w:keepLines w:val="0"/>
              <w:pageBreakBefore w:val="0"/>
              <w:widowControl/>
              <w:kinsoku w:val="0"/>
              <w:wordWrap/>
              <w:overflowPunct/>
              <w:topLinePunct w:val="0"/>
              <w:autoSpaceDE w:val="0"/>
              <w:autoSpaceDN w:val="0"/>
              <w:bidi w:val="0"/>
              <w:adjustRightInd w:val="0"/>
              <w:snapToGrid w:val="0"/>
              <w:spacing w:line="302" w:lineRule="auto"/>
              <w:ind w:left="114" w:right="109" w:firstLine="429"/>
              <w:textAlignment w:val="baseline"/>
              <w:rPr>
                <w:color w:val="auto"/>
                <w:highlight w:val="none"/>
              </w:rPr>
            </w:pPr>
            <w:r>
              <w:rPr>
                <w:color w:val="auto"/>
                <w:spacing w:val="10"/>
                <w:highlight w:val="none"/>
              </w:rPr>
              <w:t>（5）</w:t>
            </w:r>
            <w:r>
              <w:rPr>
                <w:color w:val="auto"/>
                <w:spacing w:val="-44"/>
                <w:highlight w:val="none"/>
              </w:rPr>
              <w:t xml:space="preserve"> </w:t>
            </w:r>
            <w:r>
              <w:rPr>
                <w:color w:val="auto"/>
                <w:spacing w:val="10"/>
                <w:highlight w:val="none"/>
              </w:rPr>
              <w:t>同一投标人未提交两个以上不同的投标报价，但招标文件要求</w:t>
            </w:r>
            <w:r>
              <w:rPr>
                <w:color w:val="auto"/>
                <w:spacing w:val="7"/>
                <w:highlight w:val="none"/>
              </w:rPr>
              <w:t>提交备选投标的除外。</w:t>
            </w:r>
          </w:p>
        </w:tc>
      </w:tr>
      <w:tr w14:paraId="505A6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34" w:type="dxa"/>
            <w:vAlign w:val="center"/>
          </w:tcPr>
          <w:p w14:paraId="40C4A46F">
            <w:pPr>
              <w:pStyle w:val="23"/>
              <w:keepNext w:val="0"/>
              <w:keepLines w:val="0"/>
              <w:pageBreakBefore w:val="0"/>
              <w:widowControl/>
              <w:kinsoku w:val="0"/>
              <w:wordWrap/>
              <w:overflowPunct/>
              <w:topLinePunct w:val="0"/>
              <w:autoSpaceDE w:val="0"/>
              <w:autoSpaceDN w:val="0"/>
              <w:bidi w:val="0"/>
              <w:adjustRightInd w:val="0"/>
              <w:snapToGrid w:val="0"/>
              <w:spacing w:line="267" w:lineRule="exact"/>
              <w:ind w:left="0" w:right="0" w:firstLine="0"/>
              <w:jc w:val="center"/>
              <w:textAlignment w:val="baseline"/>
              <w:rPr>
                <w:color w:val="auto"/>
                <w:highlight w:val="none"/>
              </w:rPr>
            </w:pPr>
            <w:bookmarkStart w:id="294" w:name="bookmark114"/>
            <w:bookmarkEnd w:id="294"/>
            <w:r>
              <w:rPr>
                <w:color w:val="auto"/>
                <w:spacing w:val="2"/>
                <w:position w:val="1"/>
                <w:highlight w:val="none"/>
              </w:rPr>
              <w:t>2.1.2</w:t>
            </w:r>
          </w:p>
        </w:tc>
        <w:tc>
          <w:tcPr>
            <w:tcW w:w="1336" w:type="dxa"/>
            <w:vAlign w:val="center"/>
          </w:tcPr>
          <w:p w14:paraId="58807110">
            <w:pPr>
              <w:pStyle w:val="23"/>
              <w:keepNext w:val="0"/>
              <w:keepLines w:val="0"/>
              <w:pageBreakBefore w:val="0"/>
              <w:widowControl/>
              <w:kinsoku w:val="0"/>
              <w:wordWrap/>
              <w:overflowPunct/>
              <w:topLinePunct w:val="0"/>
              <w:autoSpaceDE w:val="0"/>
              <w:autoSpaceDN w:val="0"/>
              <w:bidi w:val="0"/>
              <w:adjustRightInd w:val="0"/>
              <w:snapToGrid w:val="0"/>
              <w:spacing w:line="379" w:lineRule="auto"/>
              <w:ind w:left="0" w:right="0" w:firstLine="0"/>
              <w:jc w:val="center"/>
              <w:textAlignment w:val="baseline"/>
              <w:rPr>
                <w:color w:val="auto"/>
                <w:highlight w:val="none"/>
              </w:rPr>
            </w:pPr>
            <w:r>
              <w:rPr>
                <w:color w:val="auto"/>
                <w:spacing w:val="6"/>
                <w:highlight w:val="none"/>
              </w:rPr>
              <w:t>资格评审标</w:t>
            </w:r>
            <w:r>
              <w:rPr>
                <w:color w:val="auto"/>
                <w:highlight w:val="none"/>
              </w:rPr>
              <w:t>准</w:t>
            </w:r>
          </w:p>
        </w:tc>
        <w:tc>
          <w:tcPr>
            <w:tcW w:w="6916" w:type="dxa"/>
            <w:vAlign w:val="top"/>
          </w:tcPr>
          <w:p w14:paraId="003587BB">
            <w:pPr>
              <w:pStyle w:val="23"/>
              <w:keepNext w:val="0"/>
              <w:keepLines w:val="0"/>
              <w:pageBreakBefore w:val="0"/>
              <w:widowControl/>
              <w:kinsoku w:val="0"/>
              <w:wordWrap/>
              <w:overflowPunct/>
              <w:topLinePunct w:val="0"/>
              <w:autoSpaceDE w:val="0"/>
              <w:autoSpaceDN w:val="0"/>
              <w:bidi w:val="0"/>
              <w:adjustRightInd w:val="0"/>
              <w:snapToGrid w:val="0"/>
              <w:spacing w:line="339" w:lineRule="auto"/>
              <w:ind w:left="113" w:right="108" w:firstLine="425"/>
              <w:textAlignment w:val="baseline"/>
              <w:rPr>
                <w:color w:val="auto"/>
                <w:highlight w:val="none"/>
              </w:rPr>
            </w:pPr>
            <w:r>
              <w:rPr>
                <w:color w:val="auto"/>
                <w:spacing w:val="12"/>
                <w:highlight w:val="none"/>
              </w:rPr>
              <w:t>（1）投标人具备有效的营业执照、监理资质证书和基本账</w:t>
            </w:r>
            <w:r>
              <w:rPr>
                <w:color w:val="auto"/>
                <w:spacing w:val="11"/>
                <w:highlight w:val="none"/>
              </w:rPr>
              <w:t>户开户许</w:t>
            </w:r>
            <w:r>
              <w:rPr>
                <w:color w:val="auto"/>
                <w:spacing w:val="23"/>
                <w:highlight w:val="none"/>
              </w:rPr>
              <w:t>可证（如企业所在地已取消企业银行账户许可而无法提供开户</w:t>
            </w:r>
            <w:r>
              <w:rPr>
                <w:color w:val="auto"/>
                <w:spacing w:val="22"/>
                <w:highlight w:val="none"/>
              </w:rPr>
              <w:t>许可证</w:t>
            </w:r>
            <w:r>
              <w:rPr>
                <w:color w:val="auto"/>
                <w:spacing w:val="14"/>
                <w:highlight w:val="none"/>
              </w:rPr>
              <w:t>的，则需附上开户银行出具的“基本存款账户信息</w:t>
            </w:r>
            <w:r>
              <w:rPr>
                <w:color w:val="auto"/>
                <w:spacing w:val="-47"/>
                <w:highlight w:val="none"/>
              </w:rPr>
              <w:t xml:space="preserve"> </w:t>
            </w:r>
            <w:r>
              <w:rPr>
                <w:color w:val="auto"/>
                <w:spacing w:val="14"/>
                <w:highlight w:val="none"/>
              </w:rPr>
              <w:t>”或“人民银行账户</w:t>
            </w:r>
            <w:r>
              <w:rPr>
                <w:color w:val="auto"/>
                <w:spacing w:val="7"/>
                <w:highlight w:val="none"/>
              </w:rPr>
              <w:t>管理系统查询的基本账户信息截图</w:t>
            </w:r>
            <w:r>
              <w:rPr>
                <w:color w:val="auto"/>
                <w:spacing w:val="-73"/>
                <w:highlight w:val="none"/>
              </w:rPr>
              <w:t xml:space="preserve"> </w:t>
            </w:r>
            <w:r>
              <w:rPr>
                <w:color w:val="auto"/>
                <w:spacing w:val="7"/>
                <w:highlight w:val="none"/>
              </w:rPr>
              <w:t>”）。</w:t>
            </w:r>
          </w:p>
          <w:p w14:paraId="6EE54B91">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（2）投标人的资质等级符合招标文件规定。</w:t>
            </w:r>
          </w:p>
          <w:p w14:paraId="60CED54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（3）投标人的类似工程业绩符合招标文件规定。</w:t>
            </w:r>
          </w:p>
          <w:p w14:paraId="4E6841CB">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8"/>
                <w:highlight w:val="none"/>
              </w:rPr>
              <w:t>（4）投标人的信誉符合招标文件规定。</w:t>
            </w:r>
          </w:p>
          <w:p w14:paraId="416BA9E0">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122" w:right="127" w:firstLine="421"/>
              <w:textAlignment w:val="baseline"/>
              <w:rPr>
                <w:color w:val="auto"/>
                <w:highlight w:val="none"/>
              </w:rPr>
            </w:pPr>
            <w:r>
              <w:rPr>
                <w:color w:val="auto"/>
                <w:spacing w:val="11"/>
                <w:highlight w:val="none"/>
              </w:rPr>
              <w:t>（5）投标人的总监理工程师或驻地监理工程师（含备选人，如有）</w:t>
            </w:r>
            <w:r>
              <w:rPr>
                <w:color w:val="auto"/>
                <w:spacing w:val="9"/>
                <w:highlight w:val="none"/>
              </w:rPr>
              <w:t>资格、在岗情况符合招标文件规定，并按规定在投标文件中签字确认。</w:t>
            </w:r>
          </w:p>
          <w:p w14:paraId="4CEE18DE">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sz w:val="10"/>
                <w:szCs w:val="10"/>
                <w:highlight w:val="none"/>
              </w:rPr>
            </w:pPr>
            <w:r>
              <w:rPr>
                <w:color w:val="auto"/>
                <w:spacing w:val="8"/>
                <w:position w:val="4"/>
                <w:highlight w:val="none"/>
              </w:rPr>
              <w:t>（6）投标人的其他要求符合招标文件规定。</w:t>
            </w:r>
          </w:p>
          <w:p w14:paraId="403A3777">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114" w:right="109" w:firstLine="429"/>
              <w:textAlignment w:val="baseline"/>
              <w:rPr>
                <w:color w:val="auto"/>
                <w:highlight w:val="none"/>
              </w:rPr>
            </w:pPr>
            <w:r>
              <w:rPr>
                <w:color w:val="auto"/>
                <w:spacing w:val="7"/>
                <w:highlight w:val="none"/>
              </w:rPr>
              <w:t>（7）投标人不存在第二章“投标人须知</w:t>
            </w:r>
            <w:r>
              <w:rPr>
                <w:color w:val="auto"/>
                <w:spacing w:val="-68"/>
                <w:highlight w:val="none"/>
              </w:rPr>
              <w:t xml:space="preserve"> </w:t>
            </w:r>
            <w:r>
              <w:rPr>
                <w:color w:val="auto"/>
                <w:spacing w:val="7"/>
                <w:highlight w:val="none"/>
              </w:rPr>
              <w:t>”第</w:t>
            </w:r>
            <w:r>
              <w:rPr>
                <w:color w:val="auto"/>
                <w:spacing w:val="-21"/>
                <w:highlight w:val="none"/>
              </w:rPr>
              <w:t xml:space="preserve"> </w:t>
            </w:r>
            <w:r>
              <w:rPr>
                <w:color w:val="auto"/>
                <w:spacing w:val="7"/>
                <w:highlight w:val="none"/>
              </w:rPr>
              <w:t>1.4.3</w:t>
            </w:r>
            <w:r>
              <w:rPr>
                <w:color w:val="auto"/>
                <w:spacing w:val="-30"/>
                <w:highlight w:val="none"/>
              </w:rPr>
              <w:t xml:space="preserve"> </w:t>
            </w:r>
            <w:r>
              <w:rPr>
                <w:color w:val="auto"/>
                <w:spacing w:val="6"/>
                <w:highlight w:val="none"/>
              </w:rPr>
              <w:t>项或第</w:t>
            </w:r>
            <w:r>
              <w:rPr>
                <w:color w:val="auto"/>
                <w:spacing w:val="-21"/>
                <w:highlight w:val="none"/>
              </w:rPr>
              <w:t xml:space="preserve"> </w:t>
            </w:r>
            <w:r>
              <w:rPr>
                <w:color w:val="auto"/>
                <w:spacing w:val="6"/>
                <w:highlight w:val="none"/>
              </w:rPr>
              <w:t>1.4.4</w:t>
            </w:r>
            <w:r>
              <w:rPr>
                <w:color w:val="auto"/>
                <w:spacing w:val="-33"/>
                <w:highlight w:val="none"/>
              </w:rPr>
              <w:t xml:space="preserve"> </w:t>
            </w:r>
            <w:r>
              <w:rPr>
                <w:color w:val="auto"/>
                <w:spacing w:val="6"/>
                <w:highlight w:val="none"/>
              </w:rPr>
              <w:t>项</w:t>
            </w:r>
            <w:r>
              <w:rPr>
                <w:color w:val="auto"/>
                <w:spacing w:val="7"/>
                <w:highlight w:val="none"/>
              </w:rPr>
              <w:t>规定的任何一种情形。</w:t>
            </w:r>
          </w:p>
          <w:p w14:paraId="320112F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543"/>
              <w:textAlignment w:val="baseline"/>
              <w:rPr>
                <w:color w:val="auto"/>
                <w:highlight w:val="none"/>
              </w:rPr>
            </w:pPr>
            <w:r>
              <w:rPr>
                <w:color w:val="auto"/>
                <w:spacing w:val="6"/>
                <w:position w:val="4"/>
                <w:highlight w:val="none"/>
              </w:rPr>
              <w:t>（8）投标人符合第二章“投标人须知</w:t>
            </w:r>
            <w:r>
              <w:rPr>
                <w:color w:val="auto"/>
                <w:spacing w:val="-72"/>
                <w:position w:val="4"/>
                <w:highlight w:val="none"/>
              </w:rPr>
              <w:t xml:space="preserve"> </w:t>
            </w:r>
            <w:r>
              <w:rPr>
                <w:color w:val="auto"/>
                <w:spacing w:val="6"/>
                <w:position w:val="4"/>
                <w:highlight w:val="none"/>
              </w:rPr>
              <w:t>”第</w:t>
            </w:r>
            <w:r>
              <w:rPr>
                <w:color w:val="auto"/>
                <w:spacing w:val="-24"/>
                <w:position w:val="4"/>
                <w:highlight w:val="none"/>
              </w:rPr>
              <w:t xml:space="preserve"> </w:t>
            </w:r>
            <w:r>
              <w:rPr>
                <w:color w:val="auto"/>
                <w:spacing w:val="6"/>
                <w:position w:val="4"/>
                <w:highlight w:val="none"/>
              </w:rPr>
              <w:t>1.4.5</w:t>
            </w:r>
            <w:r>
              <w:rPr>
                <w:color w:val="auto"/>
                <w:spacing w:val="-34"/>
                <w:position w:val="4"/>
                <w:highlight w:val="none"/>
              </w:rPr>
              <w:t xml:space="preserve"> </w:t>
            </w:r>
            <w:r>
              <w:rPr>
                <w:color w:val="auto"/>
                <w:spacing w:val="6"/>
                <w:position w:val="4"/>
                <w:highlight w:val="none"/>
              </w:rPr>
              <w:t>项规</w:t>
            </w:r>
            <w:r>
              <w:rPr>
                <w:color w:val="auto"/>
                <w:spacing w:val="5"/>
                <w:position w:val="4"/>
                <w:highlight w:val="none"/>
              </w:rPr>
              <w:t>定。</w:t>
            </w:r>
          </w:p>
        </w:tc>
      </w:tr>
    </w:tbl>
    <w:p w14:paraId="180E398C">
      <w:pPr>
        <w:jc w:val="right"/>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续上表</w:t>
      </w:r>
    </w:p>
    <w:tbl>
      <w:tblPr>
        <w:tblStyle w:val="22"/>
        <w:tblW w:w="92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3"/>
        <w:gridCol w:w="1336"/>
        <w:gridCol w:w="6900"/>
      </w:tblGrid>
      <w:tr w14:paraId="44451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033" w:type="dxa"/>
            <w:vAlign w:val="top"/>
          </w:tcPr>
          <w:p w14:paraId="241DD175">
            <w:pPr>
              <w:pStyle w:val="23"/>
              <w:spacing w:before="143" w:line="217" w:lineRule="auto"/>
              <w:ind w:left="159"/>
              <w:rPr>
                <w:color w:val="auto"/>
                <w:highlight w:val="none"/>
              </w:rPr>
            </w:pPr>
            <w:r>
              <w:rPr>
                <w:b/>
                <w:bCs/>
                <w:color w:val="auto"/>
                <w:spacing w:val="5"/>
                <w:highlight w:val="none"/>
              </w:rPr>
              <w:t>条款号</w:t>
            </w:r>
          </w:p>
        </w:tc>
        <w:tc>
          <w:tcPr>
            <w:tcW w:w="1336" w:type="dxa"/>
            <w:vAlign w:val="top"/>
          </w:tcPr>
          <w:p w14:paraId="5A9A1203">
            <w:pPr>
              <w:pStyle w:val="23"/>
              <w:spacing w:before="143" w:line="217" w:lineRule="auto"/>
              <w:ind w:left="253"/>
              <w:rPr>
                <w:color w:val="auto"/>
                <w:highlight w:val="none"/>
              </w:rPr>
            </w:pPr>
            <w:r>
              <w:rPr>
                <w:b/>
                <w:bCs/>
                <w:color w:val="auto"/>
                <w:spacing w:val="6"/>
                <w:highlight w:val="none"/>
              </w:rPr>
              <w:t>条款内容</w:t>
            </w:r>
          </w:p>
        </w:tc>
        <w:tc>
          <w:tcPr>
            <w:tcW w:w="6900" w:type="dxa"/>
            <w:vAlign w:val="top"/>
          </w:tcPr>
          <w:p w14:paraId="4891D059">
            <w:pPr>
              <w:pStyle w:val="23"/>
              <w:spacing w:before="143" w:line="217" w:lineRule="auto"/>
              <w:ind w:left="2896"/>
              <w:rPr>
                <w:color w:val="auto"/>
                <w:highlight w:val="none"/>
              </w:rPr>
            </w:pPr>
            <w:r>
              <w:rPr>
                <w:b/>
                <w:bCs/>
                <w:color w:val="auto"/>
                <w:spacing w:val="6"/>
                <w:highlight w:val="none"/>
              </w:rPr>
              <w:t>编列内容</w:t>
            </w:r>
          </w:p>
        </w:tc>
      </w:tr>
      <w:tr w14:paraId="5303A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33" w:type="dxa"/>
            <w:vAlign w:val="top"/>
          </w:tcPr>
          <w:p w14:paraId="03C62B2A">
            <w:pPr>
              <w:spacing w:line="249" w:lineRule="auto"/>
              <w:rPr>
                <w:rFonts w:ascii="Arial"/>
                <w:color w:val="auto"/>
                <w:sz w:val="21"/>
                <w:highlight w:val="none"/>
              </w:rPr>
            </w:pPr>
          </w:p>
          <w:p w14:paraId="46AF132C">
            <w:pPr>
              <w:spacing w:line="249" w:lineRule="auto"/>
              <w:rPr>
                <w:rFonts w:ascii="Arial"/>
                <w:color w:val="auto"/>
                <w:sz w:val="21"/>
                <w:highlight w:val="none"/>
              </w:rPr>
            </w:pPr>
          </w:p>
          <w:p w14:paraId="46FC3273">
            <w:pPr>
              <w:spacing w:line="249" w:lineRule="auto"/>
              <w:rPr>
                <w:rFonts w:ascii="Arial"/>
                <w:color w:val="auto"/>
                <w:sz w:val="21"/>
                <w:highlight w:val="none"/>
              </w:rPr>
            </w:pPr>
          </w:p>
          <w:p w14:paraId="3057C688">
            <w:pPr>
              <w:spacing w:line="249" w:lineRule="auto"/>
              <w:rPr>
                <w:rFonts w:ascii="Arial"/>
                <w:color w:val="auto"/>
                <w:sz w:val="21"/>
                <w:highlight w:val="none"/>
              </w:rPr>
            </w:pPr>
          </w:p>
          <w:p w14:paraId="09487A51">
            <w:pPr>
              <w:spacing w:line="250" w:lineRule="auto"/>
              <w:rPr>
                <w:rFonts w:ascii="Arial"/>
                <w:color w:val="auto"/>
                <w:sz w:val="21"/>
                <w:highlight w:val="none"/>
              </w:rPr>
            </w:pPr>
          </w:p>
          <w:p w14:paraId="5BD95B5C">
            <w:pPr>
              <w:spacing w:line="250" w:lineRule="auto"/>
              <w:rPr>
                <w:rFonts w:ascii="Arial"/>
                <w:color w:val="auto"/>
                <w:sz w:val="21"/>
                <w:highlight w:val="none"/>
              </w:rPr>
            </w:pPr>
          </w:p>
          <w:p w14:paraId="70AF6866">
            <w:pPr>
              <w:pStyle w:val="23"/>
              <w:spacing w:before="65" w:line="268" w:lineRule="exact"/>
              <w:ind w:left="213"/>
              <w:rPr>
                <w:color w:val="auto"/>
                <w:highlight w:val="none"/>
              </w:rPr>
            </w:pPr>
            <w:r>
              <w:rPr>
                <w:color w:val="auto"/>
                <w:spacing w:val="2"/>
                <w:position w:val="1"/>
                <w:highlight w:val="none"/>
              </w:rPr>
              <w:t>2.2.1</w:t>
            </w:r>
          </w:p>
        </w:tc>
        <w:tc>
          <w:tcPr>
            <w:tcW w:w="1336" w:type="dxa"/>
            <w:vAlign w:val="top"/>
          </w:tcPr>
          <w:p w14:paraId="43BDC482">
            <w:pPr>
              <w:spacing w:line="279" w:lineRule="auto"/>
              <w:rPr>
                <w:rFonts w:ascii="Arial"/>
                <w:color w:val="auto"/>
                <w:sz w:val="21"/>
                <w:highlight w:val="none"/>
              </w:rPr>
            </w:pPr>
          </w:p>
          <w:p w14:paraId="4535481B">
            <w:pPr>
              <w:spacing w:line="279" w:lineRule="auto"/>
              <w:rPr>
                <w:rFonts w:ascii="Arial"/>
                <w:color w:val="auto"/>
                <w:sz w:val="21"/>
                <w:highlight w:val="none"/>
              </w:rPr>
            </w:pPr>
          </w:p>
          <w:p w14:paraId="474E9F38">
            <w:pPr>
              <w:spacing w:line="279" w:lineRule="auto"/>
              <w:rPr>
                <w:rFonts w:ascii="Arial"/>
                <w:color w:val="auto"/>
                <w:sz w:val="21"/>
                <w:highlight w:val="none"/>
              </w:rPr>
            </w:pPr>
          </w:p>
          <w:p w14:paraId="3D17EEE9">
            <w:pPr>
              <w:spacing w:line="280" w:lineRule="auto"/>
              <w:rPr>
                <w:rFonts w:ascii="Arial"/>
                <w:color w:val="auto"/>
                <w:sz w:val="21"/>
                <w:highlight w:val="none"/>
              </w:rPr>
            </w:pPr>
          </w:p>
          <w:p w14:paraId="17896490">
            <w:pPr>
              <w:pStyle w:val="23"/>
              <w:spacing w:before="65" w:line="228" w:lineRule="auto"/>
              <w:ind w:left="254"/>
              <w:rPr>
                <w:color w:val="auto"/>
                <w:highlight w:val="none"/>
              </w:rPr>
            </w:pPr>
            <w:r>
              <w:rPr>
                <w:color w:val="auto"/>
                <w:spacing w:val="6"/>
                <w:highlight w:val="none"/>
              </w:rPr>
              <w:t>分值构成</w:t>
            </w:r>
          </w:p>
          <w:p w14:paraId="35004444">
            <w:pPr>
              <w:pStyle w:val="23"/>
              <w:spacing w:before="135" w:line="228" w:lineRule="auto"/>
              <w:ind w:left="182"/>
              <w:rPr>
                <w:color w:val="auto"/>
                <w:highlight w:val="none"/>
              </w:rPr>
            </w:pPr>
            <w:r>
              <w:rPr>
                <w:color w:val="auto"/>
                <w:highlight w:val="none"/>
              </w:rPr>
              <w:t>（总分</w:t>
            </w:r>
            <w:r>
              <w:rPr>
                <w:color w:val="auto"/>
                <w:spacing w:val="-22"/>
                <w:highlight w:val="none"/>
              </w:rPr>
              <w:t xml:space="preserve"> </w:t>
            </w:r>
            <w:r>
              <w:rPr>
                <w:color w:val="auto"/>
                <w:highlight w:val="none"/>
              </w:rPr>
              <w:t>100</w:t>
            </w:r>
          </w:p>
          <w:p w14:paraId="3318CE1F">
            <w:pPr>
              <w:pStyle w:val="23"/>
              <w:spacing w:before="132" w:line="228" w:lineRule="auto"/>
              <w:ind w:left="465"/>
              <w:rPr>
                <w:color w:val="auto"/>
                <w:highlight w:val="none"/>
              </w:rPr>
            </w:pPr>
            <w:r>
              <w:rPr>
                <w:color w:val="auto"/>
                <w:spacing w:val="-1"/>
                <w:highlight w:val="none"/>
              </w:rPr>
              <w:t>分）</w:t>
            </w:r>
          </w:p>
        </w:tc>
        <w:tc>
          <w:tcPr>
            <w:tcW w:w="6900" w:type="dxa"/>
            <w:vAlign w:val="top"/>
          </w:tcPr>
          <w:p w14:paraId="52420A34">
            <w:pPr>
              <w:pStyle w:val="23"/>
              <w:spacing w:before="101" w:line="267" w:lineRule="exact"/>
              <w:ind w:left="533"/>
              <w:rPr>
                <w:color w:val="auto"/>
                <w:highlight w:val="none"/>
              </w:rPr>
            </w:pPr>
            <w:r>
              <w:rPr>
                <w:b/>
                <w:bCs/>
                <w:color w:val="auto"/>
                <w:spacing w:val="7"/>
                <w:highlight w:val="none"/>
              </w:rPr>
              <w:t>第一个信封（商务及技术文件）评分分值构成:</w:t>
            </w:r>
            <w:r>
              <w:rPr>
                <w:color w:val="auto"/>
                <w:spacing w:val="1"/>
                <w:highlight w:val="none"/>
              </w:rPr>
              <w:t xml:space="preserve">               </w:t>
            </w:r>
            <w:r>
              <w:rPr>
                <w:color w:val="auto"/>
                <w:highlight w:val="none"/>
              </w:rPr>
              <w:t xml:space="preserve">   </w:t>
            </w:r>
          </w:p>
          <w:p w14:paraId="4CBE9AB1">
            <w:pPr>
              <w:pStyle w:val="23"/>
              <w:spacing w:before="112" w:line="227" w:lineRule="auto"/>
              <w:ind w:left="534"/>
              <w:rPr>
                <w:color w:val="auto"/>
                <w:highlight w:val="none"/>
              </w:rPr>
            </w:pPr>
            <w:r>
              <w:rPr>
                <w:color w:val="auto"/>
                <w:spacing w:val="6"/>
                <w:highlight w:val="none"/>
              </w:rPr>
              <w:t>技术建议书：30</w:t>
            </w:r>
            <w:r>
              <w:rPr>
                <w:color w:val="auto"/>
                <w:spacing w:val="-30"/>
                <w:highlight w:val="none"/>
              </w:rPr>
              <w:t xml:space="preserve"> </w:t>
            </w:r>
            <w:r>
              <w:rPr>
                <w:color w:val="auto"/>
                <w:spacing w:val="6"/>
                <w:highlight w:val="none"/>
              </w:rPr>
              <w:t xml:space="preserve">分            </w:t>
            </w:r>
          </w:p>
          <w:p w14:paraId="240B526A">
            <w:pPr>
              <w:pStyle w:val="23"/>
              <w:spacing w:before="114" w:line="228" w:lineRule="auto"/>
              <w:ind w:left="535"/>
              <w:rPr>
                <w:color w:val="auto"/>
                <w:highlight w:val="none"/>
              </w:rPr>
            </w:pPr>
            <w:r>
              <w:rPr>
                <w:color w:val="auto"/>
                <w:spacing w:val="6"/>
                <w:highlight w:val="none"/>
              </w:rPr>
              <w:t>主要人员：20</w:t>
            </w:r>
            <w:r>
              <w:rPr>
                <w:color w:val="auto"/>
                <w:spacing w:val="-38"/>
                <w:highlight w:val="none"/>
              </w:rPr>
              <w:t xml:space="preserve"> </w:t>
            </w:r>
            <w:r>
              <w:rPr>
                <w:color w:val="auto"/>
                <w:spacing w:val="6"/>
                <w:highlight w:val="none"/>
              </w:rPr>
              <w:t xml:space="preserve">分              </w:t>
            </w:r>
          </w:p>
          <w:p w14:paraId="193D788A">
            <w:pPr>
              <w:pStyle w:val="23"/>
              <w:spacing w:before="112" w:line="228" w:lineRule="auto"/>
              <w:ind w:left="534"/>
              <w:rPr>
                <w:color w:val="auto"/>
                <w:highlight w:val="none"/>
              </w:rPr>
            </w:pPr>
            <w:r>
              <w:rPr>
                <w:color w:val="auto"/>
                <w:spacing w:val="6"/>
                <w:highlight w:val="none"/>
              </w:rPr>
              <w:t>技术能力：0</w:t>
            </w:r>
            <w:r>
              <w:rPr>
                <w:color w:val="auto"/>
                <w:spacing w:val="-35"/>
                <w:highlight w:val="none"/>
              </w:rPr>
              <w:t xml:space="preserve"> </w:t>
            </w:r>
            <w:r>
              <w:rPr>
                <w:color w:val="auto"/>
                <w:spacing w:val="6"/>
                <w:highlight w:val="none"/>
              </w:rPr>
              <w:t xml:space="preserve">分               </w:t>
            </w:r>
          </w:p>
          <w:p w14:paraId="29402DAD">
            <w:pPr>
              <w:pStyle w:val="23"/>
              <w:spacing w:before="113" w:line="228" w:lineRule="auto"/>
              <w:ind w:left="532"/>
              <w:rPr>
                <w:color w:val="auto"/>
                <w:highlight w:val="none"/>
              </w:rPr>
            </w:pPr>
            <w:r>
              <w:rPr>
                <w:color w:val="auto"/>
                <w:spacing w:val="5"/>
                <w:highlight w:val="none"/>
              </w:rPr>
              <w:t>业绩：25</w:t>
            </w:r>
            <w:r>
              <w:rPr>
                <w:color w:val="auto"/>
                <w:spacing w:val="-35"/>
                <w:highlight w:val="none"/>
              </w:rPr>
              <w:t xml:space="preserve"> </w:t>
            </w:r>
            <w:r>
              <w:rPr>
                <w:color w:val="auto"/>
                <w:spacing w:val="5"/>
                <w:highlight w:val="none"/>
              </w:rPr>
              <w:t xml:space="preserve">分                  </w:t>
            </w:r>
          </w:p>
          <w:p w14:paraId="2EF3A7FD">
            <w:pPr>
              <w:pStyle w:val="23"/>
              <w:spacing w:before="113" w:line="227" w:lineRule="auto"/>
              <w:ind w:left="536"/>
              <w:rPr>
                <w:color w:val="auto"/>
                <w:highlight w:val="none"/>
              </w:rPr>
            </w:pPr>
            <w:r>
              <w:rPr>
                <w:color w:val="auto"/>
                <w:spacing w:val="6"/>
                <w:highlight w:val="none"/>
              </w:rPr>
              <w:t>履约信誉：15</w:t>
            </w:r>
            <w:r>
              <w:rPr>
                <w:color w:val="auto"/>
                <w:spacing w:val="-38"/>
                <w:highlight w:val="none"/>
              </w:rPr>
              <w:t xml:space="preserve"> </w:t>
            </w:r>
            <w:r>
              <w:rPr>
                <w:color w:val="auto"/>
                <w:spacing w:val="6"/>
                <w:highlight w:val="none"/>
              </w:rPr>
              <w:t xml:space="preserve">分              </w:t>
            </w:r>
          </w:p>
          <w:p w14:paraId="2F1D9326">
            <w:pPr>
              <w:pStyle w:val="23"/>
              <w:spacing w:before="114" w:line="226" w:lineRule="auto"/>
              <w:ind w:left="533"/>
              <w:rPr>
                <w:color w:val="auto"/>
                <w:highlight w:val="none"/>
              </w:rPr>
            </w:pPr>
            <w:r>
              <w:rPr>
                <w:b/>
                <w:bCs/>
                <w:color w:val="auto"/>
                <w:spacing w:val="7"/>
                <w:highlight w:val="none"/>
              </w:rPr>
              <w:t>第二个信封（报价文件）评分分值构成：</w:t>
            </w:r>
          </w:p>
          <w:p w14:paraId="6574B949">
            <w:pPr>
              <w:pStyle w:val="23"/>
              <w:spacing w:before="115" w:line="215" w:lineRule="auto"/>
              <w:ind w:left="532"/>
              <w:rPr>
                <w:color w:val="auto"/>
                <w:highlight w:val="none"/>
              </w:rPr>
            </w:pPr>
            <w:r>
              <w:rPr>
                <w:color w:val="auto"/>
                <w:spacing w:val="6"/>
                <w:highlight w:val="none"/>
              </w:rPr>
              <w:t>评标价：10</w:t>
            </w:r>
            <w:r>
              <w:rPr>
                <w:color w:val="auto"/>
                <w:spacing w:val="-38"/>
                <w:highlight w:val="none"/>
              </w:rPr>
              <w:t xml:space="preserve"> </w:t>
            </w:r>
            <w:r>
              <w:rPr>
                <w:color w:val="auto"/>
                <w:spacing w:val="6"/>
                <w:highlight w:val="none"/>
              </w:rPr>
              <w:t>分</w:t>
            </w:r>
          </w:p>
        </w:tc>
      </w:tr>
      <w:tr w14:paraId="10711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3" w:type="dxa"/>
            <w:vAlign w:val="center"/>
          </w:tcPr>
          <w:p w14:paraId="3AC2B751">
            <w:pPr>
              <w:pStyle w:val="23"/>
              <w:spacing w:before="65" w:line="268" w:lineRule="exact"/>
              <w:ind w:left="213"/>
              <w:jc w:val="center"/>
              <w:rPr>
                <w:color w:val="auto"/>
                <w:highlight w:val="none"/>
              </w:rPr>
            </w:pPr>
            <w:r>
              <w:rPr>
                <w:color w:val="auto"/>
                <w:spacing w:val="2"/>
                <w:position w:val="1"/>
                <w:highlight w:val="none"/>
              </w:rPr>
              <w:t>2.2.2</w:t>
            </w:r>
          </w:p>
        </w:tc>
        <w:tc>
          <w:tcPr>
            <w:tcW w:w="1336" w:type="dxa"/>
            <w:vAlign w:val="center"/>
          </w:tcPr>
          <w:p w14:paraId="176BDD56">
            <w:pPr>
              <w:pStyle w:val="23"/>
              <w:spacing w:before="65" w:line="351" w:lineRule="auto"/>
              <w:ind w:left="251" w:right="144" w:hanging="106"/>
              <w:jc w:val="center"/>
              <w:rPr>
                <w:color w:val="auto"/>
                <w:highlight w:val="none"/>
              </w:rPr>
            </w:pPr>
            <w:r>
              <w:rPr>
                <w:color w:val="auto"/>
                <w:spacing w:val="8"/>
                <w:highlight w:val="none"/>
              </w:rPr>
              <w:t>评标基准价</w:t>
            </w:r>
            <w:r>
              <w:rPr>
                <w:color w:val="auto"/>
                <w:spacing w:val="7"/>
                <w:highlight w:val="none"/>
              </w:rPr>
              <w:t>计算方法</w:t>
            </w:r>
          </w:p>
        </w:tc>
        <w:tc>
          <w:tcPr>
            <w:tcW w:w="6900" w:type="dxa"/>
            <w:vAlign w:val="top"/>
          </w:tcPr>
          <w:p w14:paraId="65B98FF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7"/>
                <w:highlight w:val="none"/>
              </w:rPr>
              <w:t>评标基准价的计算：</w:t>
            </w:r>
          </w:p>
          <w:p w14:paraId="5426CCAE">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在开标现场，招标人将当场计算并宣布评标基准价。</w:t>
            </w:r>
          </w:p>
          <w:p w14:paraId="1E7F1CF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43"/>
              <w:textAlignment w:val="baseline"/>
              <w:rPr>
                <w:color w:val="auto"/>
                <w:highlight w:val="none"/>
              </w:rPr>
            </w:pPr>
            <w:r>
              <w:rPr>
                <w:color w:val="auto"/>
                <w:spacing w:val="6"/>
                <w:highlight w:val="none"/>
              </w:rPr>
              <w:t>（1）评标价的确定：</w:t>
            </w:r>
          </w:p>
          <w:p w14:paraId="29E7AE7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评标价＝投标函文字报价</w:t>
            </w:r>
          </w:p>
          <w:p w14:paraId="5E55E31C">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9" w:firstLine="430"/>
              <w:textAlignment w:val="baseline"/>
              <w:rPr>
                <w:color w:val="auto"/>
                <w:sz w:val="10"/>
                <w:szCs w:val="10"/>
                <w:highlight w:val="none"/>
              </w:rPr>
            </w:pPr>
            <w:r>
              <w:rPr>
                <w:color w:val="auto"/>
                <w:spacing w:val="10"/>
                <w:highlight w:val="none"/>
              </w:rPr>
              <w:t>（2）</w:t>
            </w:r>
            <w:r>
              <w:rPr>
                <w:color w:val="auto"/>
                <w:spacing w:val="10"/>
                <w:highlight w:val="none"/>
                <w:u w:val="single" w:color="auto"/>
              </w:rPr>
              <w:t>评标价的最高评标限价的计算</w:t>
            </w:r>
            <w:r>
              <w:rPr>
                <w:color w:val="auto"/>
                <w:spacing w:val="-3"/>
                <w:highlight w:val="none"/>
              </w:rPr>
              <w:t>：</w:t>
            </w:r>
          </w:p>
          <w:p w14:paraId="0137963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2"/>
              <w:textAlignment w:val="baseline"/>
              <w:rPr>
                <w:color w:val="auto"/>
                <w:highlight w:val="none"/>
              </w:rPr>
            </w:pPr>
            <w:r>
              <w:rPr>
                <w:color w:val="auto"/>
                <w:spacing w:val="9"/>
                <w:highlight w:val="none"/>
              </w:rPr>
              <w:t>①最高投标限价下浮率的确定</w:t>
            </w:r>
          </w:p>
          <w:p w14:paraId="37B828A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7" w:firstLine="426"/>
              <w:textAlignment w:val="baseline"/>
              <w:rPr>
                <w:color w:val="auto"/>
                <w:highlight w:val="none"/>
              </w:rPr>
            </w:pPr>
            <w:r>
              <w:rPr>
                <w:color w:val="auto"/>
                <w:spacing w:val="13"/>
                <w:highlight w:val="none"/>
              </w:rPr>
              <w:t>下浮率在第二个信封（报价文件）开标前在开标现场采取摇珠方</w:t>
            </w:r>
            <w:r>
              <w:rPr>
                <w:color w:val="auto"/>
                <w:spacing w:val="9"/>
                <w:highlight w:val="none"/>
              </w:rPr>
              <w:t>式确定。摇珠操作办法如下：在下浮率摇珠范围内，</w:t>
            </w:r>
            <w:r>
              <w:rPr>
                <w:color w:val="auto"/>
                <w:spacing w:val="-57"/>
                <w:highlight w:val="none"/>
              </w:rPr>
              <w:t xml:space="preserve"> </w:t>
            </w:r>
            <w:r>
              <w:rPr>
                <w:color w:val="auto"/>
                <w:spacing w:val="9"/>
                <w:highlight w:val="none"/>
              </w:rPr>
              <w:t>以</w:t>
            </w:r>
            <w:r>
              <w:rPr>
                <w:color w:val="auto"/>
                <w:spacing w:val="-37"/>
                <w:highlight w:val="none"/>
              </w:rPr>
              <w:t xml:space="preserve"> </w:t>
            </w:r>
            <w:r>
              <w:rPr>
                <w:color w:val="auto"/>
                <w:spacing w:val="9"/>
                <w:highlight w:val="none"/>
              </w:rPr>
              <w:t>0.1%为一档次</w:t>
            </w:r>
            <w:r>
              <w:rPr>
                <w:color w:val="auto"/>
                <w:spacing w:val="5"/>
                <w:highlight w:val="none"/>
              </w:rPr>
              <w:t>增序确定摇珠号码，</w:t>
            </w:r>
            <w:r>
              <w:rPr>
                <w:color w:val="auto"/>
                <w:spacing w:val="5"/>
                <w:highlight w:val="none"/>
                <w:u w:val="single" w:color="auto"/>
              </w:rPr>
              <w:t xml:space="preserve"> </w:t>
            </w:r>
            <w:r>
              <w:rPr>
                <w:rFonts w:hint="eastAsia"/>
                <w:color w:val="auto"/>
                <w:spacing w:val="5"/>
                <w:highlight w:val="none"/>
                <w:u w:val="single" w:color="auto"/>
                <w:lang w:val="en-US" w:eastAsia="zh-CN"/>
              </w:rPr>
              <w:t>31</w:t>
            </w:r>
            <w:r>
              <w:rPr>
                <w:color w:val="auto"/>
                <w:spacing w:val="5"/>
                <w:highlight w:val="none"/>
                <w:u w:val="single" w:color="auto"/>
              </w:rPr>
              <w:t xml:space="preserve"> </w:t>
            </w:r>
            <w:r>
              <w:rPr>
                <w:color w:val="auto"/>
                <w:spacing w:val="-77"/>
                <w:highlight w:val="none"/>
              </w:rPr>
              <w:t xml:space="preserve"> </w:t>
            </w:r>
            <w:r>
              <w:rPr>
                <w:color w:val="auto"/>
                <w:spacing w:val="5"/>
                <w:highlight w:val="none"/>
              </w:rPr>
              <w:t>个球</w:t>
            </w:r>
            <w:r>
              <w:rPr>
                <w:color w:val="auto"/>
                <w:spacing w:val="-25"/>
                <w:position w:val="10"/>
                <w:sz w:val="10"/>
                <w:szCs w:val="10"/>
                <w:highlight w:val="none"/>
              </w:rPr>
              <w:t xml:space="preserve"> </w:t>
            </w:r>
            <w:r>
              <w:rPr>
                <w:color w:val="auto"/>
                <w:spacing w:val="5"/>
                <w:highlight w:val="none"/>
              </w:rPr>
              <w:t>,一次性摇取</w:t>
            </w:r>
            <w:r>
              <w:rPr>
                <w:color w:val="auto"/>
                <w:spacing w:val="-35"/>
                <w:highlight w:val="none"/>
              </w:rPr>
              <w:t xml:space="preserve"> </w:t>
            </w:r>
            <w:r>
              <w:rPr>
                <w:color w:val="auto"/>
                <w:spacing w:val="5"/>
                <w:highlight w:val="none"/>
              </w:rPr>
              <w:t>3</w:t>
            </w:r>
            <w:r>
              <w:rPr>
                <w:color w:val="auto"/>
                <w:spacing w:val="-38"/>
                <w:highlight w:val="none"/>
              </w:rPr>
              <w:t xml:space="preserve"> </w:t>
            </w:r>
            <w:r>
              <w:rPr>
                <w:color w:val="auto"/>
                <w:spacing w:val="5"/>
                <w:highlight w:val="none"/>
              </w:rPr>
              <w:t>个球（摇出的</w:t>
            </w:r>
            <w:r>
              <w:rPr>
                <w:color w:val="auto"/>
                <w:spacing w:val="11"/>
                <w:highlight w:val="none"/>
              </w:rPr>
              <w:t>球不放回</w:t>
            </w:r>
            <w:r>
              <w:rPr>
                <w:color w:val="auto"/>
                <w:spacing w:val="4"/>
                <w:highlight w:val="none"/>
              </w:rPr>
              <w:t>）</w:t>
            </w:r>
            <w:r>
              <w:rPr>
                <w:color w:val="auto"/>
                <w:spacing w:val="-57"/>
                <w:highlight w:val="none"/>
              </w:rPr>
              <w:t xml:space="preserve"> </w:t>
            </w:r>
            <w:r>
              <w:rPr>
                <w:color w:val="auto"/>
                <w:spacing w:val="4"/>
                <w:highlight w:val="none"/>
              </w:rPr>
              <w:t>，</w:t>
            </w:r>
            <w:r>
              <w:rPr>
                <w:color w:val="auto"/>
                <w:spacing w:val="11"/>
                <w:highlight w:val="none"/>
              </w:rPr>
              <w:t>摇出</w:t>
            </w:r>
            <w:r>
              <w:rPr>
                <w:color w:val="auto"/>
                <w:spacing w:val="-30"/>
                <w:highlight w:val="none"/>
              </w:rPr>
              <w:t xml:space="preserve"> </w:t>
            </w:r>
            <w:r>
              <w:rPr>
                <w:color w:val="auto"/>
                <w:spacing w:val="11"/>
                <w:highlight w:val="none"/>
              </w:rPr>
              <w:t>3</w:t>
            </w:r>
            <w:r>
              <w:rPr>
                <w:color w:val="auto"/>
                <w:spacing w:val="-35"/>
                <w:highlight w:val="none"/>
              </w:rPr>
              <w:t xml:space="preserve"> </w:t>
            </w:r>
            <w:r>
              <w:rPr>
                <w:color w:val="auto"/>
                <w:spacing w:val="11"/>
                <w:highlight w:val="none"/>
              </w:rPr>
              <w:t>个球对应的下浮率的平均值即为本标段招标的下浮率。（注：下浮率摇珠区间</w:t>
            </w:r>
            <w:r>
              <w:rPr>
                <w:rFonts w:hint="eastAsia" w:ascii="宋体" w:hAnsi="宋体" w:cs="宋体"/>
                <w:color w:val="auto"/>
                <w:szCs w:val="21"/>
                <w:highlight w:val="none"/>
              </w:rPr>
              <w:t>为0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color w:val="auto"/>
                <w:spacing w:val="10"/>
                <w:highlight w:val="none"/>
              </w:rPr>
              <w:t>，摇出三个</w:t>
            </w:r>
            <w:r>
              <w:rPr>
                <w:color w:val="auto"/>
                <w:spacing w:val="6"/>
                <w:highlight w:val="none"/>
              </w:rPr>
              <w:t>下浮率的平均值四舍五入取整到</w:t>
            </w:r>
            <w:r>
              <w:rPr>
                <w:color w:val="auto"/>
                <w:spacing w:val="-21"/>
                <w:highlight w:val="none"/>
              </w:rPr>
              <w:t xml:space="preserve"> </w:t>
            </w:r>
            <w:r>
              <w:rPr>
                <w:color w:val="auto"/>
                <w:spacing w:val="6"/>
                <w:highlight w:val="none"/>
              </w:rPr>
              <w:t>0.001%）。</w:t>
            </w:r>
          </w:p>
          <w:p w14:paraId="175CC45A">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31"/>
              <w:textAlignment w:val="baseline"/>
              <w:rPr>
                <w:color w:val="auto"/>
                <w:highlight w:val="none"/>
              </w:rPr>
            </w:pPr>
            <w:r>
              <w:rPr>
                <w:color w:val="auto"/>
                <w:spacing w:val="9"/>
                <w:highlight w:val="none"/>
              </w:rPr>
              <w:t>②最高评标限价=最高投标限价×（1-最高投标限</w:t>
            </w:r>
            <w:r>
              <w:rPr>
                <w:color w:val="auto"/>
                <w:spacing w:val="8"/>
                <w:highlight w:val="none"/>
              </w:rPr>
              <w:t>价下浮率）</w:t>
            </w:r>
          </w:p>
          <w:p w14:paraId="2E74993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4" w:right="141" w:firstLine="420"/>
              <w:textAlignment w:val="baseline"/>
              <w:rPr>
                <w:color w:val="auto"/>
                <w:highlight w:val="none"/>
              </w:rPr>
            </w:pPr>
            <w:r>
              <w:rPr>
                <w:color w:val="auto"/>
                <w:spacing w:val="12"/>
                <w:highlight w:val="none"/>
              </w:rPr>
              <w:t>有效评标价范围：不大于最高评标限价的评标价为有效评标价。</w:t>
            </w:r>
            <w:r>
              <w:rPr>
                <w:color w:val="auto"/>
                <w:spacing w:val="10"/>
                <w:highlight w:val="none"/>
              </w:rPr>
              <w:t>若大于最高评标限价的评标价，其评标价得分为0分。</w:t>
            </w:r>
          </w:p>
          <w:p w14:paraId="3FA8A80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543"/>
              <w:textAlignment w:val="baseline"/>
              <w:rPr>
                <w:color w:val="auto"/>
                <w:sz w:val="10"/>
                <w:szCs w:val="10"/>
                <w:highlight w:val="none"/>
              </w:rPr>
            </w:pPr>
            <w:r>
              <w:rPr>
                <w:color w:val="auto"/>
                <w:spacing w:val="10"/>
                <w:position w:val="3"/>
                <w:highlight w:val="none"/>
              </w:rPr>
              <w:t>（3）评标基准价的确定</w:t>
            </w:r>
            <w:r>
              <w:rPr>
                <w:color w:val="auto"/>
                <w:spacing w:val="-5"/>
                <w:position w:val="3"/>
                <w:highlight w:val="none"/>
              </w:rPr>
              <w:t>：</w:t>
            </w:r>
          </w:p>
          <w:p w14:paraId="2CA0A287">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32" w:right="107" w:firstLine="402"/>
              <w:textAlignment w:val="baseline"/>
              <w:rPr>
                <w:color w:val="auto"/>
                <w:highlight w:val="none"/>
              </w:rPr>
            </w:pPr>
            <w:r>
              <w:rPr>
                <w:color w:val="auto"/>
                <w:spacing w:val="15"/>
                <w:highlight w:val="none"/>
              </w:rPr>
              <w:t>最高评标限价下浮</w:t>
            </w:r>
            <w:r>
              <w:rPr>
                <w:color w:val="auto"/>
                <w:spacing w:val="-72"/>
                <w:highlight w:val="none"/>
              </w:rPr>
              <w:t xml:space="preserve"> </w:t>
            </w:r>
            <w:r>
              <w:rPr>
                <w:color w:val="auto"/>
                <w:spacing w:val="12"/>
                <w:highlight w:val="none"/>
                <w:u w:val="single" w:color="auto"/>
              </w:rPr>
              <w:t xml:space="preserve"> </w:t>
            </w:r>
            <w:r>
              <w:rPr>
                <w:rFonts w:hint="eastAsia"/>
                <w:color w:val="auto"/>
                <w:spacing w:val="12"/>
                <w:highlight w:val="none"/>
                <w:u w:val="single" w:color="auto"/>
                <w:lang w:val="en-US" w:eastAsia="zh-CN"/>
              </w:rPr>
              <w:t>1.0</w:t>
            </w:r>
            <w:r>
              <w:rPr>
                <w:color w:val="auto"/>
                <w:spacing w:val="12"/>
                <w:highlight w:val="none"/>
                <w:u w:val="single" w:color="auto"/>
              </w:rPr>
              <w:t xml:space="preserve"> </w:t>
            </w:r>
            <w:r>
              <w:rPr>
                <w:color w:val="auto"/>
                <w:spacing w:val="-99"/>
                <w:highlight w:val="none"/>
              </w:rPr>
              <w:t xml:space="preserve"> </w:t>
            </w:r>
            <w:r>
              <w:rPr>
                <w:rFonts w:hint="eastAsia"/>
                <w:color w:val="auto"/>
                <w:spacing w:val="15"/>
                <w:highlight w:val="none"/>
                <w:lang w:val="en-US" w:eastAsia="zh-CN"/>
              </w:rPr>
              <w:t>%</w:t>
            </w:r>
            <w:r>
              <w:rPr>
                <w:color w:val="auto"/>
                <w:spacing w:val="15"/>
                <w:highlight w:val="none"/>
              </w:rPr>
              <w:t>，作为评标基准价。</w:t>
            </w:r>
          </w:p>
          <w:p w14:paraId="6DD7E2B1">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5" w:right="107" w:firstLine="416"/>
              <w:jc w:val="both"/>
              <w:textAlignment w:val="baseline"/>
              <w:rPr>
                <w:color w:val="auto"/>
                <w:highlight w:val="none"/>
              </w:rPr>
            </w:pPr>
            <w:r>
              <w:rPr>
                <w:color w:val="auto"/>
                <w:spacing w:val="13"/>
                <w:highlight w:val="none"/>
              </w:rPr>
              <w:t>在评标过程中，评标委员会应对招标人计算的评标基准价进行复</w:t>
            </w:r>
            <w:r>
              <w:rPr>
                <w:color w:val="auto"/>
                <w:spacing w:val="19"/>
                <w:highlight w:val="none"/>
              </w:rPr>
              <w:t>核，存在计算错误的应予以修正并在评标报告中作出说明</w:t>
            </w:r>
            <w:r>
              <w:rPr>
                <w:color w:val="auto"/>
                <w:spacing w:val="-57"/>
                <w:highlight w:val="none"/>
              </w:rPr>
              <w:t xml:space="preserve"> </w:t>
            </w:r>
            <w:r>
              <w:rPr>
                <w:color w:val="auto"/>
                <w:spacing w:val="19"/>
                <w:highlight w:val="none"/>
              </w:rPr>
              <w:t>。除此之</w:t>
            </w:r>
            <w:r>
              <w:rPr>
                <w:color w:val="auto"/>
                <w:spacing w:val="9"/>
                <w:highlight w:val="none"/>
              </w:rPr>
              <w:t>外，评标基准价在整个评标期间保持不变，不随任何因素发生变化。</w:t>
            </w:r>
          </w:p>
          <w:p w14:paraId="5A69068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113" w:right="107" w:firstLine="420"/>
              <w:jc w:val="both"/>
              <w:textAlignment w:val="baseline"/>
              <w:rPr>
                <w:color w:val="auto"/>
                <w:highlight w:val="none"/>
              </w:rPr>
            </w:pPr>
            <w:r>
              <w:rPr>
                <w:color w:val="auto"/>
                <w:spacing w:val="13"/>
                <w:highlight w:val="none"/>
              </w:rPr>
              <w:t>注：评标价平均值、最高评标限价、评标基准价均四舍五入至个</w:t>
            </w:r>
            <w:r>
              <w:rPr>
                <w:color w:val="auto"/>
                <w:spacing w:val="5"/>
                <w:highlight w:val="none"/>
              </w:rPr>
              <w:t>位整数。</w:t>
            </w:r>
          </w:p>
        </w:tc>
      </w:tr>
      <w:tr w14:paraId="5CD2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1033" w:type="dxa"/>
            <w:vAlign w:val="top"/>
          </w:tcPr>
          <w:p w14:paraId="57E54CF2">
            <w:pPr>
              <w:spacing w:line="455" w:lineRule="auto"/>
              <w:rPr>
                <w:rFonts w:ascii="Arial"/>
                <w:color w:val="auto"/>
                <w:sz w:val="21"/>
                <w:highlight w:val="none"/>
              </w:rPr>
            </w:pPr>
            <w:bookmarkStart w:id="295" w:name="bookmark118"/>
            <w:bookmarkEnd w:id="295"/>
            <w:bookmarkStart w:id="296" w:name="bookmark119"/>
            <w:bookmarkEnd w:id="296"/>
          </w:p>
          <w:p w14:paraId="2F025AC3">
            <w:pPr>
              <w:pStyle w:val="23"/>
              <w:spacing w:before="65" w:line="268" w:lineRule="exact"/>
              <w:ind w:left="213" w:leftChars="0"/>
              <w:rPr>
                <w:rFonts w:ascii="Arial"/>
                <w:color w:val="auto"/>
                <w:sz w:val="21"/>
                <w:highlight w:val="none"/>
              </w:rPr>
            </w:pPr>
            <w:r>
              <w:rPr>
                <w:color w:val="auto"/>
                <w:spacing w:val="2"/>
                <w:position w:val="1"/>
                <w:highlight w:val="none"/>
              </w:rPr>
              <w:t>2.2.3</w:t>
            </w:r>
          </w:p>
        </w:tc>
        <w:tc>
          <w:tcPr>
            <w:tcW w:w="1336" w:type="dxa"/>
            <w:vAlign w:val="top"/>
          </w:tcPr>
          <w:p w14:paraId="1C2E197D">
            <w:pPr>
              <w:pStyle w:val="23"/>
              <w:spacing w:before="144" w:line="226" w:lineRule="auto"/>
              <w:ind w:left="145"/>
              <w:rPr>
                <w:color w:val="auto"/>
                <w:highlight w:val="none"/>
              </w:rPr>
            </w:pPr>
            <w:r>
              <w:rPr>
                <w:color w:val="auto"/>
                <w:spacing w:val="8"/>
                <w:highlight w:val="none"/>
              </w:rPr>
              <w:t>评标价的偏</w:t>
            </w:r>
          </w:p>
          <w:p w14:paraId="5FACD634">
            <w:pPr>
              <w:pStyle w:val="23"/>
              <w:spacing w:before="134" w:line="284" w:lineRule="auto"/>
              <w:ind w:left="569" w:leftChars="0" w:right="144" w:rightChars="0" w:hanging="421" w:firstLineChars="0"/>
              <w:rPr>
                <w:rFonts w:ascii="Arial"/>
                <w:color w:val="auto"/>
                <w:sz w:val="21"/>
                <w:highlight w:val="none"/>
              </w:rPr>
            </w:pPr>
            <w:r>
              <w:rPr>
                <w:color w:val="auto"/>
                <w:spacing w:val="7"/>
                <w:highlight w:val="none"/>
              </w:rPr>
              <w:t>差率计算公</w:t>
            </w:r>
            <w:r>
              <w:rPr>
                <w:color w:val="auto"/>
                <w:highlight w:val="none"/>
              </w:rPr>
              <w:t>式</w:t>
            </w:r>
          </w:p>
        </w:tc>
        <w:tc>
          <w:tcPr>
            <w:tcW w:w="6900" w:type="dxa"/>
            <w:vAlign w:val="top"/>
          </w:tcPr>
          <w:p w14:paraId="7484AA4D">
            <w:pPr>
              <w:pStyle w:val="23"/>
              <w:spacing w:before="154" w:line="226" w:lineRule="auto"/>
              <w:ind w:left="533"/>
              <w:rPr>
                <w:color w:val="auto"/>
                <w:highlight w:val="none"/>
              </w:rPr>
            </w:pPr>
            <w:r>
              <w:rPr>
                <w:color w:val="auto"/>
                <w:spacing w:val="7"/>
                <w:highlight w:val="none"/>
              </w:rPr>
              <w:t>偏差率=100%</w:t>
            </w:r>
            <w:r>
              <w:rPr>
                <w:color w:val="auto"/>
                <w:spacing w:val="51"/>
                <w:highlight w:val="none"/>
              </w:rPr>
              <w:t xml:space="preserve"> </w:t>
            </w:r>
            <w:r>
              <w:rPr>
                <w:color w:val="auto"/>
                <w:spacing w:val="7"/>
                <w:highlight w:val="none"/>
              </w:rPr>
              <w:t>×（投标人评标价－评标基准价）/评标基准价</w:t>
            </w:r>
          </w:p>
          <w:p w14:paraId="4279475A">
            <w:pPr>
              <w:pStyle w:val="23"/>
              <w:spacing w:before="113" w:line="289" w:lineRule="auto"/>
              <w:ind w:left="113" w:leftChars="0" w:right="158" w:rightChars="0" w:firstLine="420" w:firstLineChars="0"/>
              <w:rPr>
                <w:color w:val="auto"/>
                <w:spacing w:val="13"/>
                <w:highlight w:val="none"/>
              </w:rPr>
            </w:pPr>
            <w:r>
              <w:rPr>
                <w:color w:val="auto"/>
                <w:spacing w:val="11"/>
                <w:highlight w:val="none"/>
              </w:rPr>
              <w:t>注：偏差率保留百分比后四位小数，小数点后第五位四舍五入，</w:t>
            </w:r>
            <w:r>
              <w:rPr>
                <w:color w:val="auto"/>
                <w:spacing w:val="2"/>
                <w:highlight w:val="none"/>
              </w:rPr>
              <w:t>例如</w:t>
            </w:r>
            <w:r>
              <w:rPr>
                <w:color w:val="auto"/>
                <w:spacing w:val="-24"/>
                <w:highlight w:val="none"/>
              </w:rPr>
              <w:t xml:space="preserve"> </w:t>
            </w:r>
            <w:r>
              <w:rPr>
                <w:color w:val="auto"/>
                <w:spacing w:val="2"/>
                <w:highlight w:val="none"/>
              </w:rPr>
              <w:t>1.2345%。</w:t>
            </w:r>
          </w:p>
        </w:tc>
      </w:tr>
    </w:tbl>
    <w:p w14:paraId="5828D7D8">
      <w:pPr>
        <w:spacing w:line="259" w:lineRule="auto"/>
        <w:rPr>
          <w:rFonts w:ascii="Arial"/>
          <w:color w:val="auto"/>
          <w:sz w:val="21"/>
          <w:highlight w:val="none"/>
        </w:rPr>
      </w:pPr>
    </w:p>
    <w:p w14:paraId="3FB58C77">
      <w:pPr>
        <w:rPr>
          <w:rFonts w:ascii="Arial"/>
          <w:color w:val="auto"/>
          <w:sz w:val="21"/>
          <w:highlight w:val="none"/>
        </w:rPr>
      </w:pPr>
      <w:bookmarkStart w:id="297" w:name="bookmark121"/>
      <w:bookmarkEnd w:id="297"/>
    </w:p>
    <w:p w14:paraId="2A6CB2CD">
      <w:pPr>
        <w:rPr>
          <w:rFonts w:ascii="Arial" w:hAnsi="Arial" w:eastAsia="Arial" w:cs="Arial"/>
          <w:color w:val="auto"/>
          <w:sz w:val="21"/>
          <w:szCs w:val="21"/>
          <w:highlight w:val="none"/>
        </w:rPr>
        <w:sectPr>
          <w:footerReference r:id="rId18" w:type="default"/>
          <w:pgSz w:w="11906" w:h="16839"/>
          <w:pgMar w:top="1416" w:right="1701" w:bottom="1297" w:left="1304" w:header="0" w:footer="1067" w:gutter="0"/>
          <w:pgBorders>
            <w:top w:val="none" w:sz="0" w:space="0"/>
            <w:left w:val="none" w:sz="0" w:space="0"/>
            <w:bottom w:val="none" w:sz="0" w:space="0"/>
            <w:right w:val="none" w:sz="0" w:space="0"/>
          </w:pgBorders>
          <w:pgNumType w:fmt="decimal"/>
          <w:cols w:space="720" w:num="1"/>
        </w:sectPr>
      </w:pPr>
    </w:p>
    <w:p w14:paraId="1A44699B">
      <w:pPr>
        <w:spacing w:before="41" w:line="222" w:lineRule="auto"/>
        <w:jc w:val="right"/>
        <w:rPr>
          <w:rFonts w:ascii="宋体" w:hAnsi="宋体" w:eastAsia="宋体" w:cs="宋体"/>
          <w:b/>
          <w:bCs/>
          <w:color w:val="auto"/>
          <w:sz w:val="20"/>
          <w:szCs w:val="20"/>
          <w:highlight w:val="none"/>
        </w:rPr>
      </w:pPr>
      <w:r>
        <w:rPr>
          <w:rFonts w:ascii="宋体" w:hAnsi="宋体" w:eastAsia="宋体" w:cs="宋体"/>
          <w:b/>
          <w:bCs/>
          <w:color w:val="auto"/>
          <w:spacing w:val="8"/>
          <w:sz w:val="20"/>
          <w:szCs w:val="20"/>
          <w:highlight w:val="none"/>
        </w:rPr>
        <w:t>续上表</w:t>
      </w:r>
    </w:p>
    <w:tbl>
      <w:tblPr>
        <w:tblStyle w:val="22"/>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309"/>
        <w:gridCol w:w="345"/>
        <w:gridCol w:w="519"/>
        <w:gridCol w:w="919"/>
        <w:gridCol w:w="946"/>
        <w:gridCol w:w="581"/>
        <w:gridCol w:w="19"/>
        <w:gridCol w:w="1181"/>
        <w:gridCol w:w="3149"/>
      </w:tblGrid>
      <w:tr w14:paraId="10592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565" w:type="dxa"/>
            <w:gridSpan w:val="8"/>
            <w:vAlign w:val="top"/>
          </w:tcPr>
          <w:p w14:paraId="1A66B0F2">
            <w:pPr>
              <w:pStyle w:val="23"/>
              <w:spacing w:before="126" w:line="233" w:lineRule="auto"/>
              <w:ind w:left="1287"/>
              <w:rPr>
                <w:color w:val="auto"/>
                <w:sz w:val="10"/>
                <w:szCs w:val="10"/>
                <w:highlight w:val="none"/>
              </w:rPr>
            </w:pPr>
            <w:r>
              <w:rPr>
                <w:b/>
                <w:bCs/>
                <w:color w:val="auto"/>
                <w:spacing w:val="7"/>
                <w:highlight w:val="none"/>
              </w:rPr>
              <w:t>评分因素与权重分值</w:t>
            </w:r>
          </w:p>
        </w:tc>
        <w:tc>
          <w:tcPr>
            <w:tcW w:w="4330" w:type="dxa"/>
            <w:gridSpan w:val="2"/>
            <w:vMerge w:val="restart"/>
            <w:tcBorders>
              <w:bottom w:val="nil"/>
            </w:tcBorders>
            <w:vAlign w:val="top"/>
          </w:tcPr>
          <w:p w14:paraId="62F877D4">
            <w:pPr>
              <w:spacing w:line="316" w:lineRule="auto"/>
              <w:rPr>
                <w:rFonts w:ascii="Arial"/>
                <w:color w:val="auto"/>
                <w:sz w:val="21"/>
                <w:highlight w:val="none"/>
              </w:rPr>
            </w:pPr>
          </w:p>
          <w:p w14:paraId="3EDE2670">
            <w:pPr>
              <w:spacing w:line="317" w:lineRule="auto"/>
              <w:rPr>
                <w:rFonts w:ascii="Arial"/>
                <w:color w:val="auto"/>
                <w:sz w:val="21"/>
                <w:highlight w:val="none"/>
              </w:rPr>
            </w:pPr>
          </w:p>
          <w:p w14:paraId="7ACEAC26">
            <w:pPr>
              <w:pStyle w:val="23"/>
              <w:spacing w:before="65" w:line="264" w:lineRule="exact"/>
              <w:ind w:left="1694"/>
              <w:rPr>
                <w:color w:val="auto"/>
                <w:sz w:val="10"/>
                <w:szCs w:val="10"/>
                <w:highlight w:val="none"/>
              </w:rPr>
            </w:pPr>
            <w:r>
              <w:rPr>
                <w:b/>
                <w:bCs/>
                <w:color w:val="auto"/>
                <w:spacing w:val="6"/>
                <w:highlight w:val="none"/>
              </w:rPr>
              <w:t>评分标准</w:t>
            </w:r>
          </w:p>
        </w:tc>
      </w:tr>
      <w:tr w14:paraId="18CC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7" w:type="dxa"/>
            <w:vAlign w:val="top"/>
          </w:tcPr>
          <w:p w14:paraId="4BE29F89">
            <w:pPr>
              <w:spacing w:line="451" w:lineRule="auto"/>
              <w:rPr>
                <w:rFonts w:ascii="Arial"/>
                <w:color w:val="auto"/>
                <w:sz w:val="21"/>
                <w:highlight w:val="none"/>
              </w:rPr>
            </w:pPr>
          </w:p>
          <w:p w14:paraId="4829AEE4">
            <w:pPr>
              <w:pStyle w:val="23"/>
              <w:spacing w:before="65" w:line="228" w:lineRule="auto"/>
              <w:ind w:left="155"/>
              <w:rPr>
                <w:color w:val="auto"/>
                <w:highlight w:val="none"/>
              </w:rPr>
            </w:pPr>
            <w:r>
              <w:rPr>
                <w:b/>
                <w:bCs/>
                <w:color w:val="auto"/>
                <w:spacing w:val="5"/>
                <w:highlight w:val="none"/>
              </w:rPr>
              <w:t>条款号</w:t>
            </w:r>
          </w:p>
        </w:tc>
        <w:tc>
          <w:tcPr>
            <w:tcW w:w="1173" w:type="dxa"/>
            <w:gridSpan w:val="3"/>
            <w:vAlign w:val="top"/>
          </w:tcPr>
          <w:p w14:paraId="5877B8B6">
            <w:pPr>
              <w:spacing w:line="451" w:lineRule="auto"/>
              <w:rPr>
                <w:rFonts w:ascii="Arial"/>
                <w:color w:val="auto"/>
                <w:sz w:val="21"/>
                <w:highlight w:val="none"/>
              </w:rPr>
            </w:pPr>
          </w:p>
          <w:p w14:paraId="51209D8D">
            <w:pPr>
              <w:pStyle w:val="23"/>
              <w:spacing w:before="65" w:line="228" w:lineRule="auto"/>
              <w:ind w:left="168"/>
              <w:rPr>
                <w:color w:val="auto"/>
                <w:highlight w:val="none"/>
              </w:rPr>
            </w:pPr>
            <w:r>
              <w:rPr>
                <w:b/>
                <w:bCs/>
                <w:color w:val="auto"/>
                <w:spacing w:val="6"/>
                <w:highlight w:val="none"/>
              </w:rPr>
              <w:t>评分因素</w:t>
            </w:r>
          </w:p>
        </w:tc>
        <w:tc>
          <w:tcPr>
            <w:tcW w:w="919" w:type="dxa"/>
            <w:vAlign w:val="top"/>
          </w:tcPr>
          <w:p w14:paraId="693C2BDA">
            <w:pPr>
              <w:spacing w:line="264" w:lineRule="auto"/>
              <w:rPr>
                <w:rFonts w:ascii="Arial"/>
                <w:color w:val="auto"/>
                <w:sz w:val="21"/>
                <w:highlight w:val="none"/>
              </w:rPr>
            </w:pPr>
          </w:p>
          <w:p w14:paraId="0949FD7D">
            <w:pPr>
              <w:pStyle w:val="23"/>
              <w:spacing w:before="65" w:line="351" w:lineRule="auto"/>
              <w:ind w:left="43" w:right="35"/>
              <w:rPr>
                <w:color w:val="auto"/>
                <w:highlight w:val="none"/>
              </w:rPr>
            </w:pPr>
            <w:r>
              <w:rPr>
                <w:b/>
                <w:bCs/>
                <w:color w:val="auto"/>
                <w:spacing w:val="6"/>
                <w:highlight w:val="none"/>
              </w:rPr>
              <w:t>评分因素权重分值</w:t>
            </w:r>
          </w:p>
        </w:tc>
        <w:tc>
          <w:tcPr>
            <w:tcW w:w="946" w:type="dxa"/>
            <w:vAlign w:val="top"/>
          </w:tcPr>
          <w:p w14:paraId="2E945E89">
            <w:pPr>
              <w:pStyle w:val="23"/>
              <w:spacing w:before="141" w:line="228" w:lineRule="auto"/>
              <w:ind w:left="164"/>
              <w:rPr>
                <w:color w:val="auto"/>
                <w:highlight w:val="none"/>
              </w:rPr>
            </w:pPr>
            <w:r>
              <w:rPr>
                <w:b/>
                <w:bCs/>
                <w:color w:val="auto"/>
                <w:spacing w:val="4"/>
                <w:highlight w:val="none"/>
              </w:rPr>
              <w:t>各评分</w:t>
            </w:r>
          </w:p>
          <w:p w14:paraId="3A1B62E7">
            <w:pPr>
              <w:pStyle w:val="23"/>
              <w:spacing w:before="132" w:line="283" w:lineRule="auto"/>
              <w:ind w:left="269" w:right="156" w:hanging="91"/>
              <w:rPr>
                <w:color w:val="auto"/>
                <w:highlight w:val="none"/>
              </w:rPr>
            </w:pPr>
            <w:r>
              <w:rPr>
                <w:b/>
                <w:bCs/>
                <w:color w:val="auto"/>
                <w:highlight w:val="none"/>
              </w:rPr>
              <w:t>因素细</w:t>
            </w:r>
            <w:r>
              <w:rPr>
                <w:b/>
                <w:bCs/>
                <w:color w:val="auto"/>
                <w:spacing w:val="2"/>
                <w:highlight w:val="none"/>
              </w:rPr>
              <w:t>分项</w:t>
            </w:r>
          </w:p>
        </w:tc>
        <w:tc>
          <w:tcPr>
            <w:tcW w:w="600" w:type="dxa"/>
            <w:gridSpan w:val="2"/>
            <w:textDirection w:val="tbRlV"/>
            <w:vAlign w:val="top"/>
          </w:tcPr>
          <w:p w14:paraId="32ADDDA5">
            <w:pPr>
              <w:pStyle w:val="23"/>
              <w:spacing w:before="193" w:line="216" w:lineRule="auto"/>
              <w:ind w:left="330"/>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30" w:type="dxa"/>
            <w:gridSpan w:val="2"/>
            <w:vMerge w:val="continue"/>
            <w:tcBorders>
              <w:top w:val="nil"/>
            </w:tcBorders>
            <w:vAlign w:val="top"/>
          </w:tcPr>
          <w:p w14:paraId="66B43BE6">
            <w:pPr>
              <w:rPr>
                <w:rFonts w:ascii="Arial"/>
                <w:color w:val="auto"/>
                <w:sz w:val="21"/>
                <w:highlight w:val="none"/>
              </w:rPr>
            </w:pPr>
          </w:p>
        </w:tc>
      </w:tr>
      <w:tr w14:paraId="48BE8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3" w:hRule="atLeast"/>
        </w:trPr>
        <w:tc>
          <w:tcPr>
            <w:tcW w:w="927" w:type="dxa"/>
            <w:vMerge w:val="restart"/>
            <w:vAlign w:val="center"/>
          </w:tcPr>
          <w:p w14:paraId="426AA916">
            <w:pPr>
              <w:pStyle w:val="23"/>
              <w:spacing w:before="65" w:line="268" w:lineRule="exact"/>
              <w:ind w:left="208"/>
              <w:jc w:val="center"/>
              <w:rPr>
                <w:color w:val="auto"/>
                <w:highlight w:val="none"/>
              </w:rPr>
            </w:pPr>
            <w:r>
              <w:rPr>
                <w:color w:val="auto"/>
                <w:spacing w:val="2"/>
                <w:position w:val="1"/>
                <w:highlight w:val="none"/>
              </w:rPr>
              <w:t>2.2.4</w:t>
            </w:r>
          </w:p>
          <w:p w14:paraId="339E0E85">
            <w:pPr>
              <w:pStyle w:val="23"/>
              <w:spacing w:before="113" w:line="231" w:lineRule="auto"/>
              <w:ind w:left="348"/>
              <w:jc w:val="center"/>
              <w:rPr>
                <w:color w:val="auto"/>
                <w:highlight w:val="none"/>
              </w:rPr>
            </w:pPr>
            <w:r>
              <w:rPr>
                <w:color w:val="auto"/>
                <w:spacing w:val="-10"/>
                <w:highlight w:val="none"/>
              </w:rPr>
              <w:t>(1)</w:t>
            </w:r>
          </w:p>
        </w:tc>
        <w:tc>
          <w:tcPr>
            <w:tcW w:w="1173" w:type="dxa"/>
            <w:gridSpan w:val="3"/>
            <w:vMerge w:val="restart"/>
            <w:vAlign w:val="center"/>
          </w:tcPr>
          <w:p w14:paraId="2B81D097">
            <w:pPr>
              <w:pStyle w:val="23"/>
              <w:spacing w:before="65" w:line="347" w:lineRule="auto"/>
              <w:ind w:left="17" w:leftChars="0" w:right="167" w:firstLine="153" w:firstLineChars="0"/>
              <w:jc w:val="center"/>
              <w:rPr>
                <w:color w:val="auto"/>
                <w:sz w:val="10"/>
                <w:szCs w:val="10"/>
                <w:highlight w:val="none"/>
              </w:rPr>
            </w:pPr>
            <w:r>
              <w:rPr>
                <w:color w:val="auto"/>
                <w:spacing w:val="7"/>
                <w:highlight w:val="none"/>
              </w:rPr>
              <w:t>技术建议</w:t>
            </w:r>
            <w:r>
              <w:rPr>
                <w:color w:val="auto"/>
                <w:spacing w:val="1"/>
                <w:position w:val="-2"/>
                <w:highlight w:val="none"/>
              </w:rPr>
              <w:t>书</w:t>
            </w:r>
          </w:p>
        </w:tc>
        <w:tc>
          <w:tcPr>
            <w:tcW w:w="919" w:type="dxa"/>
            <w:vMerge w:val="restart"/>
            <w:vAlign w:val="top"/>
          </w:tcPr>
          <w:p w14:paraId="49919683">
            <w:pPr>
              <w:spacing w:line="250" w:lineRule="auto"/>
              <w:rPr>
                <w:rFonts w:ascii="Arial"/>
                <w:color w:val="auto"/>
                <w:sz w:val="21"/>
                <w:highlight w:val="none"/>
              </w:rPr>
            </w:pPr>
          </w:p>
          <w:p w14:paraId="2A1747F7">
            <w:pPr>
              <w:spacing w:line="250" w:lineRule="auto"/>
              <w:rPr>
                <w:rFonts w:ascii="Arial"/>
                <w:color w:val="auto"/>
                <w:sz w:val="21"/>
                <w:highlight w:val="none"/>
              </w:rPr>
            </w:pPr>
          </w:p>
          <w:p w14:paraId="0E2F8336">
            <w:pPr>
              <w:spacing w:line="250" w:lineRule="auto"/>
              <w:rPr>
                <w:rFonts w:ascii="Arial"/>
                <w:color w:val="auto"/>
                <w:sz w:val="21"/>
                <w:highlight w:val="none"/>
              </w:rPr>
            </w:pPr>
          </w:p>
          <w:p w14:paraId="20CDC19B">
            <w:pPr>
              <w:spacing w:line="250" w:lineRule="auto"/>
              <w:rPr>
                <w:rFonts w:ascii="Arial"/>
                <w:color w:val="auto"/>
                <w:sz w:val="21"/>
                <w:highlight w:val="none"/>
              </w:rPr>
            </w:pPr>
          </w:p>
          <w:p w14:paraId="2D2A51D6">
            <w:pPr>
              <w:spacing w:line="250" w:lineRule="auto"/>
              <w:rPr>
                <w:rFonts w:ascii="Arial"/>
                <w:color w:val="auto"/>
                <w:sz w:val="21"/>
                <w:highlight w:val="none"/>
              </w:rPr>
            </w:pPr>
          </w:p>
          <w:p w14:paraId="15ED0982">
            <w:pPr>
              <w:spacing w:line="250" w:lineRule="auto"/>
              <w:rPr>
                <w:rFonts w:ascii="Arial"/>
                <w:color w:val="auto"/>
                <w:sz w:val="21"/>
                <w:highlight w:val="none"/>
              </w:rPr>
            </w:pPr>
          </w:p>
          <w:p w14:paraId="79B0BC30">
            <w:pPr>
              <w:spacing w:line="250" w:lineRule="auto"/>
              <w:rPr>
                <w:rFonts w:ascii="Arial"/>
                <w:color w:val="auto"/>
                <w:sz w:val="21"/>
                <w:highlight w:val="none"/>
              </w:rPr>
            </w:pPr>
          </w:p>
          <w:p w14:paraId="79513B81">
            <w:pPr>
              <w:spacing w:line="250" w:lineRule="auto"/>
              <w:rPr>
                <w:rFonts w:ascii="Arial"/>
                <w:color w:val="auto"/>
                <w:sz w:val="21"/>
                <w:highlight w:val="none"/>
              </w:rPr>
            </w:pPr>
          </w:p>
          <w:p w14:paraId="1F55FF34">
            <w:pPr>
              <w:spacing w:line="250" w:lineRule="auto"/>
              <w:rPr>
                <w:rFonts w:ascii="Arial"/>
                <w:color w:val="auto"/>
                <w:sz w:val="21"/>
                <w:highlight w:val="none"/>
              </w:rPr>
            </w:pPr>
          </w:p>
          <w:p w14:paraId="3722970B">
            <w:pPr>
              <w:spacing w:line="250" w:lineRule="auto"/>
              <w:rPr>
                <w:rFonts w:ascii="Arial"/>
                <w:color w:val="auto"/>
                <w:sz w:val="21"/>
                <w:highlight w:val="none"/>
              </w:rPr>
            </w:pPr>
          </w:p>
          <w:p w14:paraId="2134ECAE">
            <w:pPr>
              <w:spacing w:line="250" w:lineRule="auto"/>
              <w:rPr>
                <w:rFonts w:ascii="Arial"/>
                <w:color w:val="auto"/>
                <w:sz w:val="21"/>
                <w:highlight w:val="none"/>
              </w:rPr>
            </w:pPr>
          </w:p>
          <w:p w14:paraId="4FB601D1">
            <w:pPr>
              <w:spacing w:line="250" w:lineRule="auto"/>
              <w:rPr>
                <w:rFonts w:ascii="Arial"/>
                <w:color w:val="auto"/>
                <w:sz w:val="21"/>
                <w:highlight w:val="none"/>
              </w:rPr>
            </w:pPr>
          </w:p>
          <w:p w14:paraId="25FC5C8E">
            <w:pPr>
              <w:spacing w:line="250" w:lineRule="auto"/>
              <w:rPr>
                <w:rFonts w:ascii="Arial"/>
                <w:color w:val="auto"/>
                <w:sz w:val="21"/>
                <w:highlight w:val="none"/>
              </w:rPr>
            </w:pPr>
          </w:p>
          <w:p w14:paraId="5B744493">
            <w:pPr>
              <w:spacing w:line="250" w:lineRule="auto"/>
              <w:rPr>
                <w:rFonts w:ascii="Arial"/>
                <w:color w:val="auto"/>
                <w:sz w:val="21"/>
                <w:highlight w:val="none"/>
              </w:rPr>
            </w:pPr>
          </w:p>
          <w:p w14:paraId="624AA2BC">
            <w:pPr>
              <w:spacing w:line="250" w:lineRule="auto"/>
              <w:rPr>
                <w:rFonts w:ascii="Arial"/>
                <w:color w:val="auto"/>
                <w:sz w:val="21"/>
                <w:highlight w:val="none"/>
              </w:rPr>
            </w:pPr>
          </w:p>
          <w:p w14:paraId="1D46A795">
            <w:pPr>
              <w:spacing w:line="250" w:lineRule="auto"/>
              <w:rPr>
                <w:rFonts w:ascii="Arial"/>
                <w:color w:val="auto"/>
                <w:sz w:val="21"/>
                <w:highlight w:val="none"/>
              </w:rPr>
            </w:pPr>
          </w:p>
          <w:p w14:paraId="1D7B99A7">
            <w:pPr>
              <w:spacing w:line="250" w:lineRule="auto"/>
              <w:rPr>
                <w:rFonts w:ascii="Arial"/>
                <w:color w:val="auto"/>
                <w:sz w:val="21"/>
                <w:highlight w:val="none"/>
              </w:rPr>
            </w:pPr>
          </w:p>
          <w:p w14:paraId="3D060CCE">
            <w:pPr>
              <w:spacing w:line="250" w:lineRule="auto"/>
              <w:rPr>
                <w:rFonts w:ascii="Arial"/>
                <w:color w:val="auto"/>
                <w:sz w:val="21"/>
                <w:highlight w:val="none"/>
              </w:rPr>
            </w:pPr>
          </w:p>
          <w:p w14:paraId="347237D4">
            <w:pPr>
              <w:spacing w:line="250" w:lineRule="auto"/>
              <w:rPr>
                <w:rFonts w:ascii="Arial"/>
                <w:color w:val="auto"/>
                <w:sz w:val="21"/>
                <w:highlight w:val="none"/>
              </w:rPr>
            </w:pPr>
          </w:p>
          <w:p w14:paraId="0503EA93">
            <w:pPr>
              <w:spacing w:line="251" w:lineRule="auto"/>
              <w:rPr>
                <w:rFonts w:ascii="Arial"/>
                <w:color w:val="auto"/>
                <w:sz w:val="21"/>
                <w:highlight w:val="none"/>
              </w:rPr>
            </w:pPr>
          </w:p>
          <w:p w14:paraId="4362099E">
            <w:pPr>
              <w:pStyle w:val="23"/>
              <w:spacing w:before="65" w:line="228" w:lineRule="auto"/>
              <w:ind w:left="232"/>
              <w:rPr>
                <w:color w:val="auto"/>
                <w:highlight w:val="none"/>
              </w:rPr>
            </w:pPr>
            <w:r>
              <w:rPr>
                <w:color w:val="auto"/>
                <w:spacing w:val="-1"/>
                <w:highlight w:val="none"/>
              </w:rPr>
              <w:t>30</w:t>
            </w:r>
            <w:r>
              <w:rPr>
                <w:color w:val="auto"/>
                <w:spacing w:val="-38"/>
                <w:highlight w:val="none"/>
              </w:rPr>
              <w:t xml:space="preserve"> </w:t>
            </w:r>
            <w:r>
              <w:rPr>
                <w:color w:val="auto"/>
                <w:spacing w:val="-1"/>
                <w:highlight w:val="none"/>
              </w:rPr>
              <w:t>分</w:t>
            </w:r>
          </w:p>
        </w:tc>
        <w:tc>
          <w:tcPr>
            <w:tcW w:w="946" w:type="dxa"/>
            <w:vMerge w:val="restart"/>
            <w:vAlign w:val="top"/>
          </w:tcPr>
          <w:p w14:paraId="33712776">
            <w:pPr>
              <w:spacing w:line="249" w:lineRule="auto"/>
              <w:rPr>
                <w:rFonts w:ascii="Arial"/>
                <w:color w:val="auto"/>
                <w:sz w:val="21"/>
                <w:highlight w:val="none"/>
              </w:rPr>
            </w:pPr>
          </w:p>
          <w:p w14:paraId="3DE4C714">
            <w:pPr>
              <w:spacing w:line="249" w:lineRule="auto"/>
              <w:rPr>
                <w:rFonts w:ascii="Arial"/>
                <w:color w:val="auto"/>
                <w:sz w:val="21"/>
                <w:highlight w:val="none"/>
              </w:rPr>
            </w:pPr>
          </w:p>
          <w:p w14:paraId="74EB74CE">
            <w:pPr>
              <w:spacing w:line="249" w:lineRule="auto"/>
              <w:rPr>
                <w:rFonts w:ascii="Arial"/>
                <w:color w:val="auto"/>
                <w:sz w:val="21"/>
                <w:highlight w:val="none"/>
              </w:rPr>
            </w:pPr>
          </w:p>
          <w:p w14:paraId="06E13185">
            <w:pPr>
              <w:spacing w:line="249" w:lineRule="auto"/>
              <w:rPr>
                <w:rFonts w:ascii="Arial"/>
                <w:color w:val="auto"/>
                <w:sz w:val="21"/>
                <w:highlight w:val="none"/>
              </w:rPr>
            </w:pPr>
          </w:p>
          <w:p w14:paraId="1DA8DF7F">
            <w:pPr>
              <w:spacing w:line="249" w:lineRule="auto"/>
              <w:rPr>
                <w:rFonts w:ascii="Arial"/>
                <w:color w:val="auto"/>
                <w:sz w:val="21"/>
                <w:highlight w:val="none"/>
              </w:rPr>
            </w:pPr>
          </w:p>
          <w:p w14:paraId="52CDFF22">
            <w:pPr>
              <w:spacing w:line="250" w:lineRule="auto"/>
              <w:rPr>
                <w:rFonts w:ascii="Arial"/>
                <w:color w:val="auto"/>
                <w:sz w:val="21"/>
                <w:highlight w:val="none"/>
              </w:rPr>
            </w:pPr>
          </w:p>
          <w:p w14:paraId="594230CF">
            <w:pPr>
              <w:spacing w:line="250" w:lineRule="auto"/>
              <w:rPr>
                <w:rFonts w:ascii="Arial"/>
                <w:color w:val="auto"/>
                <w:sz w:val="21"/>
                <w:highlight w:val="none"/>
              </w:rPr>
            </w:pPr>
          </w:p>
          <w:p w14:paraId="1584C608">
            <w:pPr>
              <w:spacing w:line="250" w:lineRule="auto"/>
              <w:rPr>
                <w:rFonts w:ascii="Arial"/>
                <w:color w:val="auto"/>
                <w:sz w:val="21"/>
                <w:highlight w:val="none"/>
              </w:rPr>
            </w:pPr>
          </w:p>
          <w:p w14:paraId="2E726279">
            <w:pPr>
              <w:spacing w:line="250" w:lineRule="auto"/>
              <w:rPr>
                <w:rFonts w:ascii="Arial"/>
                <w:color w:val="auto"/>
                <w:sz w:val="21"/>
                <w:highlight w:val="none"/>
              </w:rPr>
            </w:pPr>
          </w:p>
          <w:p w14:paraId="578934C3">
            <w:pPr>
              <w:spacing w:line="250" w:lineRule="auto"/>
              <w:rPr>
                <w:rFonts w:ascii="Arial"/>
                <w:color w:val="auto"/>
                <w:sz w:val="21"/>
                <w:highlight w:val="none"/>
              </w:rPr>
            </w:pPr>
          </w:p>
          <w:p w14:paraId="5B1B3CEF">
            <w:pPr>
              <w:spacing w:line="250" w:lineRule="auto"/>
              <w:rPr>
                <w:rFonts w:ascii="Arial"/>
                <w:color w:val="auto"/>
                <w:sz w:val="21"/>
                <w:highlight w:val="none"/>
              </w:rPr>
            </w:pPr>
          </w:p>
          <w:p w14:paraId="0B64BD80">
            <w:pPr>
              <w:spacing w:line="250" w:lineRule="auto"/>
              <w:rPr>
                <w:rFonts w:ascii="Arial"/>
                <w:color w:val="auto"/>
                <w:sz w:val="21"/>
                <w:highlight w:val="none"/>
              </w:rPr>
            </w:pPr>
          </w:p>
          <w:p w14:paraId="7BD043F5">
            <w:pPr>
              <w:spacing w:line="250" w:lineRule="auto"/>
              <w:rPr>
                <w:rFonts w:ascii="Arial"/>
                <w:color w:val="auto"/>
                <w:sz w:val="21"/>
                <w:highlight w:val="none"/>
              </w:rPr>
            </w:pPr>
          </w:p>
          <w:p w14:paraId="3004F4D5">
            <w:pPr>
              <w:spacing w:line="250" w:lineRule="auto"/>
              <w:rPr>
                <w:rFonts w:ascii="Arial"/>
                <w:color w:val="auto"/>
                <w:sz w:val="21"/>
                <w:highlight w:val="none"/>
              </w:rPr>
            </w:pPr>
          </w:p>
          <w:p w14:paraId="5D292618">
            <w:pPr>
              <w:spacing w:line="250" w:lineRule="auto"/>
              <w:rPr>
                <w:rFonts w:ascii="Arial"/>
                <w:color w:val="auto"/>
                <w:sz w:val="21"/>
                <w:highlight w:val="none"/>
              </w:rPr>
            </w:pPr>
          </w:p>
          <w:p w14:paraId="58A6DC9D">
            <w:pPr>
              <w:spacing w:line="250" w:lineRule="auto"/>
              <w:rPr>
                <w:rFonts w:ascii="Arial"/>
                <w:color w:val="auto"/>
                <w:sz w:val="21"/>
                <w:highlight w:val="none"/>
              </w:rPr>
            </w:pPr>
          </w:p>
          <w:p w14:paraId="4A3BA6BE">
            <w:pPr>
              <w:spacing w:line="250" w:lineRule="auto"/>
              <w:rPr>
                <w:rFonts w:ascii="Arial"/>
                <w:color w:val="auto"/>
                <w:sz w:val="21"/>
                <w:highlight w:val="none"/>
              </w:rPr>
            </w:pPr>
          </w:p>
          <w:p w14:paraId="0BC8ED70">
            <w:pPr>
              <w:pStyle w:val="23"/>
              <w:spacing w:before="65" w:line="228" w:lineRule="auto"/>
              <w:ind w:left="162"/>
              <w:rPr>
                <w:color w:val="auto"/>
                <w:highlight w:val="none"/>
              </w:rPr>
            </w:pPr>
            <w:r>
              <w:rPr>
                <w:color w:val="auto"/>
                <w:spacing w:val="6"/>
                <w:highlight w:val="none"/>
              </w:rPr>
              <w:t>监理大</w:t>
            </w:r>
          </w:p>
          <w:p w14:paraId="6FA25EC7">
            <w:pPr>
              <w:pStyle w:val="23"/>
              <w:spacing w:before="131" w:line="231" w:lineRule="auto"/>
              <w:ind w:left="165"/>
              <w:rPr>
                <w:color w:val="auto"/>
                <w:highlight w:val="none"/>
              </w:rPr>
            </w:pPr>
            <w:r>
              <w:rPr>
                <w:color w:val="auto"/>
                <w:spacing w:val="5"/>
                <w:highlight w:val="none"/>
              </w:rPr>
              <w:t>纲（或</w:t>
            </w:r>
          </w:p>
          <w:p w14:paraId="7FA80903">
            <w:pPr>
              <w:pStyle w:val="23"/>
              <w:spacing w:before="131" w:line="229" w:lineRule="auto"/>
              <w:ind w:left="162"/>
              <w:rPr>
                <w:color w:val="auto"/>
                <w:highlight w:val="none"/>
              </w:rPr>
            </w:pPr>
            <w:r>
              <w:rPr>
                <w:color w:val="auto"/>
                <w:spacing w:val="6"/>
                <w:highlight w:val="none"/>
              </w:rPr>
              <w:t>监理方</w:t>
            </w:r>
          </w:p>
          <w:p w14:paraId="0CC46874">
            <w:pPr>
              <w:pStyle w:val="23"/>
              <w:spacing w:before="131" w:line="228" w:lineRule="auto"/>
              <w:ind w:left="163"/>
              <w:rPr>
                <w:color w:val="auto"/>
                <w:highlight w:val="none"/>
              </w:rPr>
            </w:pPr>
            <w:r>
              <w:rPr>
                <w:color w:val="auto"/>
                <w:spacing w:val="6"/>
                <w:highlight w:val="none"/>
              </w:rPr>
              <w:t>案）和</w:t>
            </w:r>
          </w:p>
          <w:p w14:paraId="32A47B64">
            <w:pPr>
              <w:pStyle w:val="23"/>
              <w:spacing w:before="132" w:line="228" w:lineRule="auto"/>
              <w:ind w:left="267"/>
              <w:rPr>
                <w:color w:val="auto"/>
                <w:highlight w:val="none"/>
              </w:rPr>
            </w:pPr>
            <w:r>
              <w:rPr>
                <w:color w:val="auto"/>
                <w:spacing w:val="4"/>
                <w:highlight w:val="none"/>
              </w:rPr>
              <w:t>措施</w:t>
            </w:r>
          </w:p>
        </w:tc>
        <w:tc>
          <w:tcPr>
            <w:tcW w:w="600" w:type="dxa"/>
            <w:gridSpan w:val="2"/>
            <w:vMerge w:val="restart"/>
            <w:vAlign w:val="top"/>
          </w:tcPr>
          <w:p w14:paraId="4AC4964B">
            <w:pPr>
              <w:rPr>
                <w:rFonts w:ascii="Arial"/>
                <w:color w:val="auto"/>
                <w:sz w:val="21"/>
                <w:highlight w:val="none"/>
              </w:rPr>
            </w:pPr>
          </w:p>
          <w:p w14:paraId="559B3B94">
            <w:pPr>
              <w:rPr>
                <w:rFonts w:ascii="Arial"/>
                <w:color w:val="auto"/>
                <w:sz w:val="21"/>
                <w:highlight w:val="none"/>
              </w:rPr>
            </w:pPr>
          </w:p>
          <w:p w14:paraId="79427A60">
            <w:pPr>
              <w:rPr>
                <w:rFonts w:ascii="Arial"/>
                <w:color w:val="auto"/>
                <w:sz w:val="21"/>
                <w:highlight w:val="none"/>
              </w:rPr>
            </w:pPr>
          </w:p>
          <w:p w14:paraId="3B52AA47">
            <w:pPr>
              <w:rPr>
                <w:rFonts w:ascii="Arial"/>
                <w:color w:val="auto"/>
                <w:sz w:val="21"/>
                <w:highlight w:val="none"/>
              </w:rPr>
            </w:pPr>
          </w:p>
          <w:p w14:paraId="5943CE4D">
            <w:pPr>
              <w:rPr>
                <w:rFonts w:ascii="Arial"/>
                <w:color w:val="auto"/>
                <w:sz w:val="21"/>
                <w:highlight w:val="none"/>
              </w:rPr>
            </w:pPr>
          </w:p>
          <w:p w14:paraId="24862676">
            <w:pPr>
              <w:rPr>
                <w:rFonts w:ascii="Arial"/>
                <w:color w:val="auto"/>
                <w:sz w:val="21"/>
                <w:highlight w:val="none"/>
              </w:rPr>
            </w:pPr>
          </w:p>
          <w:p w14:paraId="0573E48A">
            <w:pPr>
              <w:rPr>
                <w:rFonts w:ascii="Arial"/>
                <w:color w:val="auto"/>
                <w:sz w:val="21"/>
                <w:highlight w:val="none"/>
              </w:rPr>
            </w:pPr>
          </w:p>
          <w:p w14:paraId="2B4F2240">
            <w:pPr>
              <w:rPr>
                <w:rFonts w:ascii="Arial"/>
                <w:color w:val="auto"/>
                <w:sz w:val="21"/>
                <w:highlight w:val="none"/>
              </w:rPr>
            </w:pPr>
          </w:p>
          <w:p w14:paraId="7533F6F6">
            <w:pPr>
              <w:rPr>
                <w:rFonts w:ascii="Arial"/>
                <w:color w:val="auto"/>
                <w:sz w:val="21"/>
                <w:highlight w:val="none"/>
              </w:rPr>
            </w:pPr>
          </w:p>
          <w:p w14:paraId="0B9BCB0B">
            <w:pPr>
              <w:rPr>
                <w:rFonts w:ascii="Arial"/>
                <w:color w:val="auto"/>
                <w:sz w:val="21"/>
                <w:highlight w:val="none"/>
              </w:rPr>
            </w:pPr>
          </w:p>
          <w:p w14:paraId="5DAB6EA6">
            <w:pPr>
              <w:spacing w:line="241" w:lineRule="auto"/>
              <w:rPr>
                <w:rFonts w:ascii="Arial"/>
                <w:color w:val="auto"/>
                <w:sz w:val="21"/>
                <w:highlight w:val="none"/>
              </w:rPr>
            </w:pPr>
          </w:p>
          <w:p w14:paraId="2A6A236B">
            <w:pPr>
              <w:spacing w:line="241" w:lineRule="auto"/>
              <w:rPr>
                <w:rFonts w:ascii="Arial"/>
                <w:color w:val="auto"/>
                <w:sz w:val="21"/>
                <w:highlight w:val="none"/>
              </w:rPr>
            </w:pPr>
          </w:p>
          <w:p w14:paraId="33EF3024">
            <w:pPr>
              <w:spacing w:line="241" w:lineRule="auto"/>
              <w:rPr>
                <w:rFonts w:ascii="Arial"/>
                <w:color w:val="auto"/>
                <w:sz w:val="21"/>
                <w:highlight w:val="none"/>
              </w:rPr>
            </w:pPr>
          </w:p>
          <w:p w14:paraId="70D4AEFD">
            <w:pPr>
              <w:spacing w:line="241" w:lineRule="auto"/>
              <w:rPr>
                <w:rFonts w:ascii="Arial"/>
                <w:color w:val="auto"/>
                <w:sz w:val="21"/>
                <w:highlight w:val="none"/>
              </w:rPr>
            </w:pPr>
          </w:p>
          <w:p w14:paraId="41EC027C">
            <w:pPr>
              <w:spacing w:line="241" w:lineRule="auto"/>
              <w:rPr>
                <w:rFonts w:ascii="Arial"/>
                <w:color w:val="auto"/>
                <w:sz w:val="21"/>
                <w:highlight w:val="none"/>
              </w:rPr>
            </w:pPr>
          </w:p>
          <w:p w14:paraId="7957B1E5">
            <w:pPr>
              <w:spacing w:line="241" w:lineRule="auto"/>
              <w:rPr>
                <w:rFonts w:ascii="Arial"/>
                <w:color w:val="auto"/>
                <w:sz w:val="21"/>
                <w:highlight w:val="none"/>
              </w:rPr>
            </w:pPr>
          </w:p>
          <w:p w14:paraId="132FBBFF">
            <w:pPr>
              <w:spacing w:line="241" w:lineRule="auto"/>
              <w:rPr>
                <w:rFonts w:ascii="Arial"/>
                <w:color w:val="auto"/>
                <w:sz w:val="21"/>
                <w:highlight w:val="none"/>
              </w:rPr>
            </w:pPr>
          </w:p>
          <w:p w14:paraId="50BC5A6E">
            <w:pPr>
              <w:spacing w:line="241" w:lineRule="auto"/>
              <w:rPr>
                <w:rFonts w:ascii="Arial"/>
                <w:color w:val="auto"/>
                <w:sz w:val="21"/>
                <w:highlight w:val="none"/>
              </w:rPr>
            </w:pPr>
          </w:p>
          <w:p w14:paraId="4B9EC909">
            <w:pPr>
              <w:spacing w:line="241" w:lineRule="auto"/>
              <w:rPr>
                <w:rFonts w:ascii="Arial"/>
                <w:color w:val="auto"/>
                <w:sz w:val="21"/>
                <w:highlight w:val="none"/>
              </w:rPr>
            </w:pPr>
          </w:p>
          <w:p w14:paraId="3BD36118">
            <w:pPr>
              <w:spacing w:line="241" w:lineRule="auto"/>
              <w:rPr>
                <w:rFonts w:ascii="Arial"/>
                <w:color w:val="auto"/>
                <w:sz w:val="21"/>
                <w:highlight w:val="none"/>
              </w:rPr>
            </w:pPr>
          </w:p>
          <w:p w14:paraId="2AD2C8DE">
            <w:pPr>
              <w:pStyle w:val="23"/>
              <w:spacing w:before="65" w:line="354" w:lineRule="auto"/>
              <w:ind w:left="202" w:right="193" w:firstLine="12"/>
              <w:rPr>
                <w:color w:val="auto"/>
                <w:highlight w:val="none"/>
              </w:rPr>
            </w:pPr>
            <w:r>
              <w:rPr>
                <w:color w:val="auto"/>
                <w:spacing w:val="-7"/>
                <w:highlight w:val="none"/>
                <w:u w:val="single" w:color="auto"/>
              </w:rPr>
              <w:t>15</w:t>
            </w:r>
            <w:r>
              <w:rPr>
                <w:color w:val="auto"/>
                <w:spacing w:val="-2"/>
                <w:highlight w:val="none"/>
              </w:rPr>
              <w:t>分</w:t>
            </w:r>
          </w:p>
        </w:tc>
        <w:tc>
          <w:tcPr>
            <w:tcW w:w="1181" w:type="dxa"/>
            <w:vAlign w:val="top"/>
          </w:tcPr>
          <w:p w14:paraId="050FA668">
            <w:pPr>
              <w:spacing w:line="265" w:lineRule="auto"/>
              <w:rPr>
                <w:rFonts w:ascii="Arial"/>
                <w:color w:val="auto"/>
                <w:sz w:val="21"/>
                <w:highlight w:val="none"/>
              </w:rPr>
            </w:pPr>
          </w:p>
          <w:p w14:paraId="12950DFF">
            <w:pPr>
              <w:spacing w:line="265" w:lineRule="auto"/>
              <w:rPr>
                <w:rFonts w:ascii="Arial"/>
                <w:color w:val="auto"/>
                <w:sz w:val="21"/>
                <w:highlight w:val="none"/>
              </w:rPr>
            </w:pPr>
          </w:p>
          <w:p w14:paraId="337569F2">
            <w:pPr>
              <w:spacing w:line="265" w:lineRule="auto"/>
              <w:rPr>
                <w:rFonts w:ascii="Arial"/>
                <w:color w:val="auto"/>
                <w:sz w:val="21"/>
                <w:highlight w:val="none"/>
              </w:rPr>
            </w:pPr>
          </w:p>
          <w:p w14:paraId="78E99C9A">
            <w:pPr>
              <w:spacing w:line="266" w:lineRule="auto"/>
              <w:rPr>
                <w:rFonts w:ascii="Arial"/>
                <w:color w:val="auto"/>
                <w:sz w:val="21"/>
                <w:highlight w:val="none"/>
              </w:rPr>
            </w:pPr>
          </w:p>
          <w:p w14:paraId="59C5702B">
            <w:pPr>
              <w:pStyle w:val="23"/>
              <w:spacing w:before="65" w:line="228" w:lineRule="auto"/>
              <w:ind w:left="176"/>
              <w:rPr>
                <w:color w:val="auto"/>
                <w:highlight w:val="none"/>
              </w:rPr>
            </w:pPr>
            <w:r>
              <w:rPr>
                <w:color w:val="auto"/>
                <w:spacing w:val="7"/>
                <w:highlight w:val="none"/>
              </w:rPr>
              <w:t>质量和安</w:t>
            </w:r>
          </w:p>
          <w:p w14:paraId="7B0D01D4">
            <w:pPr>
              <w:pStyle w:val="23"/>
              <w:spacing w:before="52" w:line="236" w:lineRule="auto"/>
              <w:ind w:left="281"/>
              <w:rPr>
                <w:color w:val="auto"/>
                <w:highlight w:val="none"/>
              </w:rPr>
            </w:pPr>
            <w:r>
              <w:rPr>
                <w:color w:val="auto"/>
                <w:spacing w:val="6"/>
                <w:highlight w:val="none"/>
              </w:rPr>
              <w:t>全监理</w:t>
            </w:r>
          </w:p>
          <w:p w14:paraId="75E7F672">
            <w:pPr>
              <w:pStyle w:val="23"/>
              <w:spacing w:before="45" w:line="228" w:lineRule="auto"/>
              <w:ind w:left="212"/>
              <w:rPr>
                <w:color w:val="auto"/>
                <w:highlight w:val="none"/>
              </w:rPr>
            </w:pP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49" w:type="dxa"/>
            <w:vAlign w:val="top"/>
          </w:tcPr>
          <w:p w14:paraId="277FB96C">
            <w:pPr>
              <w:pStyle w:val="23"/>
              <w:spacing w:before="144" w:line="331" w:lineRule="auto"/>
              <w:ind w:left="114" w:right="107" w:firstLine="1"/>
              <w:rPr>
                <w:color w:val="auto"/>
                <w:highlight w:val="none"/>
              </w:rPr>
            </w:pPr>
            <w:r>
              <w:rPr>
                <w:color w:val="auto"/>
                <w:spacing w:val="21"/>
                <w:highlight w:val="none"/>
              </w:rPr>
              <w:t>质量和安全监理目标明确</w:t>
            </w:r>
            <w:r>
              <w:rPr>
                <w:color w:val="auto"/>
                <w:spacing w:val="-53"/>
                <w:highlight w:val="none"/>
              </w:rPr>
              <w:t xml:space="preserve"> </w:t>
            </w:r>
            <w:r>
              <w:rPr>
                <w:color w:val="auto"/>
                <w:spacing w:val="21"/>
                <w:highlight w:val="none"/>
              </w:rPr>
              <w:t>，且</w:t>
            </w:r>
            <w:r>
              <w:rPr>
                <w:color w:val="auto"/>
                <w:spacing w:val="24"/>
                <w:highlight w:val="none"/>
              </w:rPr>
              <w:t>完全响应广东省施工标准化和</w:t>
            </w:r>
            <w:r>
              <w:rPr>
                <w:color w:val="auto"/>
                <w:spacing w:val="15"/>
                <w:highlight w:val="none"/>
              </w:rPr>
              <w:t>安全标准化指南的得</w:t>
            </w:r>
            <w:r>
              <w:rPr>
                <w:color w:val="auto"/>
                <w:spacing w:val="-15"/>
                <w:highlight w:val="none"/>
              </w:rPr>
              <w:t xml:space="preserve"> </w:t>
            </w:r>
            <w:r>
              <w:rPr>
                <w:color w:val="auto"/>
                <w:spacing w:val="15"/>
                <w:highlight w:val="none"/>
                <w:u w:val="single" w:color="auto"/>
              </w:rPr>
              <w:t>3.0</w:t>
            </w:r>
            <w:r>
              <w:rPr>
                <w:color w:val="auto"/>
                <w:spacing w:val="-18"/>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w:t>
            </w:r>
            <w:r>
              <w:rPr>
                <w:color w:val="auto"/>
                <w:spacing w:val="21"/>
                <w:highlight w:val="none"/>
              </w:rPr>
              <w:t>监理措施具体且有效</w:t>
            </w:r>
            <w:r>
              <w:rPr>
                <w:color w:val="auto"/>
                <w:spacing w:val="-51"/>
                <w:highlight w:val="none"/>
              </w:rPr>
              <w:t xml:space="preserve"> </w:t>
            </w:r>
            <w:r>
              <w:rPr>
                <w:color w:val="auto"/>
                <w:spacing w:val="21"/>
                <w:highlight w:val="none"/>
              </w:rPr>
              <w:t>，对质量</w:t>
            </w:r>
            <w:r>
              <w:rPr>
                <w:color w:val="auto"/>
                <w:spacing w:val="24"/>
                <w:highlight w:val="none"/>
              </w:rPr>
              <w:t>和安全问题所采取的对策及预</w:t>
            </w:r>
            <w:r>
              <w:rPr>
                <w:color w:val="auto"/>
                <w:spacing w:val="18"/>
                <w:highlight w:val="none"/>
              </w:rPr>
              <w:t>控方法合理可行的</w:t>
            </w:r>
            <w:r>
              <w:rPr>
                <w:color w:val="auto"/>
                <w:spacing w:val="-54"/>
                <w:highlight w:val="none"/>
              </w:rPr>
              <w:t xml:space="preserve"> </w:t>
            </w:r>
            <w:r>
              <w:rPr>
                <w:color w:val="auto"/>
                <w:spacing w:val="18"/>
                <w:highlight w:val="none"/>
              </w:rPr>
              <w:t>，</w:t>
            </w:r>
            <w:r>
              <w:rPr>
                <w:color w:val="auto"/>
                <w:spacing w:val="-58"/>
                <w:highlight w:val="none"/>
              </w:rPr>
              <w:t xml:space="preserve"> </w:t>
            </w:r>
            <w:r>
              <w:rPr>
                <w:color w:val="auto"/>
                <w:spacing w:val="18"/>
                <w:highlight w:val="none"/>
              </w:rPr>
              <w:t>响应广东</w:t>
            </w:r>
            <w:r>
              <w:rPr>
                <w:color w:val="auto"/>
                <w:spacing w:val="24"/>
                <w:highlight w:val="none"/>
              </w:rPr>
              <w:t>省施工标准化和安全标准化指</w:t>
            </w:r>
            <w:r>
              <w:rPr>
                <w:color w:val="auto"/>
                <w:spacing w:val="5"/>
                <w:highlight w:val="none"/>
              </w:rPr>
              <w:t>南程度，酌情加</w:t>
            </w:r>
            <w:r>
              <w:rPr>
                <w:color w:val="auto"/>
                <w:spacing w:val="-34"/>
                <w:highlight w:val="none"/>
                <w:u w:val="single"/>
              </w:rPr>
              <w:t xml:space="preserve"> </w:t>
            </w:r>
            <w:r>
              <w:rPr>
                <w:color w:val="auto"/>
                <w:spacing w:val="5"/>
                <w:highlight w:val="none"/>
                <w:u w:val="single"/>
              </w:rPr>
              <w:t>0-</w:t>
            </w:r>
            <w:r>
              <w:rPr>
                <w:color w:val="auto"/>
                <w:spacing w:val="5"/>
                <w:highlight w:val="none"/>
                <w:u w:val="single" w:color="auto"/>
              </w:rPr>
              <w:t>2.0</w:t>
            </w:r>
            <w:r>
              <w:rPr>
                <w:color w:val="auto"/>
                <w:spacing w:val="-36"/>
                <w:highlight w:val="none"/>
                <w:u w:val="single" w:color="auto"/>
              </w:rPr>
              <w:t xml:space="preserve"> </w:t>
            </w:r>
            <w:r>
              <w:rPr>
                <w:color w:val="auto"/>
                <w:spacing w:val="5"/>
                <w:highlight w:val="none"/>
              </w:rPr>
              <w:t>分；</w:t>
            </w:r>
          </w:p>
        </w:tc>
      </w:tr>
      <w:tr w14:paraId="31905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927" w:type="dxa"/>
            <w:vMerge w:val="continue"/>
            <w:vAlign w:val="center"/>
          </w:tcPr>
          <w:p w14:paraId="1467400F">
            <w:pPr>
              <w:jc w:val="center"/>
              <w:rPr>
                <w:rFonts w:ascii="Arial"/>
                <w:color w:val="auto"/>
                <w:sz w:val="21"/>
                <w:highlight w:val="none"/>
              </w:rPr>
            </w:pPr>
          </w:p>
        </w:tc>
        <w:tc>
          <w:tcPr>
            <w:tcW w:w="1173" w:type="dxa"/>
            <w:gridSpan w:val="3"/>
            <w:vMerge w:val="continue"/>
            <w:vAlign w:val="center"/>
          </w:tcPr>
          <w:p w14:paraId="39291BFC">
            <w:pPr>
              <w:jc w:val="center"/>
              <w:rPr>
                <w:rFonts w:ascii="Arial"/>
                <w:color w:val="auto"/>
                <w:sz w:val="21"/>
                <w:highlight w:val="none"/>
              </w:rPr>
            </w:pPr>
          </w:p>
        </w:tc>
        <w:tc>
          <w:tcPr>
            <w:tcW w:w="919" w:type="dxa"/>
            <w:vMerge w:val="continue"/>
            <w:vAlign w:val="top"/>
          </w:tcPr>
          <w:p w14:paraId="111D0555">
            <w:pPr>
              <w:rPr>
                <w:rFonts w:ascii="Arial"/>
                <w:color w:val="auto"/>
                <w:sz w:val="21"/>
                <w:highlight w:val="none"/>
              </w:rPr>
            </w:pPr>
          </w:p>
        </w:tc>
        <w:tc>
          <w:tcPr>
            <w:tcW w:w="946" w:type="dxa"/>
            <w:vMerge w:val="continue"/>
            <w:vAlign w:val="top"/>
          </w:tcPr>
          <w:p w14:paraId="2DCED88B">
            <w:pPr>
              <w:rPr>
                <w:rFonts w:ascii="Arial"/>
                <w:color w:val="auto"/>
                <w:sz w:val="21"/>
                <w:highlight w:val="none"/>
              </w:rPr>
            </w:pPr>
          </w:p>
        </w:tc>
        <w:tc>
          <w:tcPr>
            <w:tcW w:w="600" w:type="dxa"/>
            <w:gridSpan w:val="2"/>
            <w:vMerge w:val="continue"/>
            <w:vAlign w:val="top"/>
          </w:tcPr>
          <w:p w14:paraId="18531080">
            <w:pPr>
              <w:rPr>
                <w:rFonts w:ascii="Arial"/>
                <w:color w:val="auto"/>
                <w:sz w:val="21"/>
                <w:highlight w:val="none"/>
              </w:rPr>
            </w:pPr>
          </w:p>
        </w:tc>
        <w:tc>
          <w:tcPr>
            <w:tcW w:w="1181" w:type="dxa"/>
            <w:vAlign w:val="top"/>
          </w:tcPr>
          <w:p w14:paraId="3C541553">
            <w:pPr>
              <w:spacing w:line="331" w:lineRule="auto"/>
              <w:rPr>
                <w:rFonts w:ascii="Arial"/>
                <w:color w:val="auto"/>
                <w:sz w:val="21"/>
                <w:highlight w:val="none"/>
              </w:rPr>
            </w:pPr>
          </w:p>
          <w:p w14:paraId="7BCFF56D">
            <w:pPr>
              <w:spacing w:line="332" w:lineRule="auto"/>
              <w:rPr>
                <w:rFonts w:ascii="Arial"/>
                <w:color w:val="auto"/>
                <w:sz w:val="21"/>
                <w:highlight w:val="none"/>
              </w:rPr>
            </w:pPr>
          </w:p>
          <w:p w14:paraId="4363309E">
            <w:pPr>
              <w:pStyle w:val="23"/>
              <w:spacing w:before="65" w:line="354" w:lineRule="auto"/>
              <w:ind w:left="212" w:right="170" w:hanging="38"/>
              <w:rPr>
                <w:color w:val="auto"/>
                <w:highlight w:val="none"/>
              </w:rPr>
            </w:pPr>
            <w:r>
              <w:rPr>
                <w:color w:val="auto"/>
                <w:spacing w:val="7"/>
                <w:highlight w:val="none"/>
              </w:rPr>
              <w:t>进度监理</w:t>
            </w: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49" w:type="dxa"/>
            <w:vAlign w:val="top"/>
          </w:tcPr>
          <w:p w14:paraId="3631428F">
            <w:pPr>
              <w:pStyle w:val="23"/>
              <w:spacing w:before="165" w:line="323" w:lineRule="auto"/>
              <w:ind w:left="113" w:right="107"/>
              <w:jc w:val="both"/>
              <w:rPr>
                <w:color w:val="auto"/>
                <w:highlight w:val="none"/>
              </w:rPr>
            </w:pPr>
            <w:r>
              <w:rPr>
                <w:color w:val="auto"/>
                <w:spacing w:val="24"/>
                <w:highlight w:val="none"/>
              </w:rPr>
              <w:t>进度监理目标明确并满足招标</w:t>
            </w:r>
            <w:r>
              <w:rPr>
                <w:color w:val="auto"/>
                <w:spacing w:val="15"/>
                <w:highlight w:val="none"/>
              </w:rPr>
              <w:t>文件的要求得</w:t>
            </w:r>
            <w:r>
              <w:rPr>
                <w:color w:val="auto"/>
                <w:spacing w:val="-17"/>
                <w:highlight w:val="none"/>
              </w:rPr>
              <w:t xml:space="preserve"> </w:t>
            </w:r>
            <w:r>
              <w:rPr>
                <w:color w:val="auto"/>
                <w:spacing w:val="15"/>
                <w:highlight w:val="none"/>
                <w:u w:val="single" w:color="auto"/>
              </w:rPr>
              <w:t>3.0</w:t>
            </w:r>
            <w:r>
              <w:rPr>
                <w:color w:val="auto"/>
                <w:spacing w:val="-19"/>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；监理措</w:t>
            </w:r>
            <w:r>
              <w:rPr>
                <w:color w:val="auto"/>
                <w:spacing w:val="21"/>
                <w:highlight w:val="none"/>
              </w:rPr>
              <w:t>施具体且有效</w:t>
            </w:r>
            <w:r>
              <w:rPr>
                <w:color w:val="auto"/>
                <w:spacing w:val="-51"/>
                <w:highlight w:val="none"/>
              </w:rPr>
              <w:t xml:space="preserve"> </w:t>
            </w:r>
            <w:r>
              <w:rPr>
                <w:color w:val="auto"/>
                <w:spacing w:val="21"/>
                <w:highlight w:val="none"/>
              </w:rPr>
              <w:t>，对保证工期所</w:t>
            </w:r>
            <w:r>
              <w:rPr>
                <w:color w:val="auto"/>
                <w:spacing w:val="24"/>
                <w:highlight w:val="none"/>
              </w:rPr>
              <w:t>采取的对策及预控方法合理可</w:t>
            </w:r>
            <w:r>
              <w:rPr>
                <w:color w:val="auto"/>
                <w:spacing w:val="5"/>
                <w:highlight w:val="none"/>
              </w:rPr>
              <w:t>行的，酌情加</w:t>
            </w:r>
            <w:r>
              <w:rPr>
                <w:color w:val="auto"/>
                <w:spacing w:val="-38"/>
                <w:highlight w:val="none"/>
              </w:rPr>
              <w:t xml:space="preserve"> </w:t>
            </w:r>
            <w:r>
              <w:rPr>
                <w:color w:val="auto"/>
                <w:spacing w:val="5"/>
                <w:highlight w:val="none"/>
                <w:u w:val="single" w:color="auto"/>
              </w:rPr>
              <w:t>0-2.0</w:t>
            </w:r>
            <w:r>
              <w:rPr>
                <w:color w:val="auto"/>
                <w:spacing w:val="-38"/>
                <w:highlight w:val="none"/>
                <w:u w:val="single" w:color="auto"/>
              </w:rPr>
              <w:t xml:space="preserve"> </w:t>
            </w:r>
            <w:r>
              <w:rPr>
                <w:color w:val="auto"/>
                <w:spacing w:val="5"/>
                <w:highlight w:val="none"/>
              </w:rPr>
              <w:t>分。</w:t>
            </w:r>
          </w:p>
        </w:tc>
      </w:tr>
      <w:tr w14:paraId="2051F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4" w:hRule="atLeast"/>
        </w:trPr>
        <w:tc>
          <w:tcPr>
            <w:tcW w:w="927" w:type="dxa"/>
            <w:vMerge w:val="continue"/>
            <w:vAlign w:val="center"/>
          </w:tcPr>
          <w:p w14:paraId="51856E57">
            <w:pPr>
              <w:jc w:val="center"/>
              <w:rPr>
                <w:rFonts w:ascii="Arial"/>
                <w:color w:val="auto"/>
                <w:sz w:val="21"/>
                <w:highlight w:val="none"/>
              </w:rPr>
            </w:pPr>
          </w:p>
        </w:tc>
        <w:tc>
          <w:tcPr>
            <w:tcW w:w="1173" w:type="dxa"/>
            <w:gridSpan w:val="3"/>
            <w:vMerge w:val="continue"/>
            <w:vAlign w:val="center"/>
          </w:tcPr>
          <w:p w14:paraId="0CA7239F">
            <w:pPr>
              <w:jc w:val="center"/>
              <w:rPr>
                <w:rFonts w:ascii="Arial"/>
                <w:color w:val="auto"/>
                <w:sz w:val="21"/>
                <w:highlight w:val="none"/>
              </w:rPr>
            </w:pPr>
          </w:p>
        </w:tc>
        <w:tc>
          <w:tcPr>
            <w:tcW w:w="919" w:type="dxa"/>
            <w:vMerge w:val="continue"/>
            <w:vAlign w:val="top"/>
          </w:tcPr>
          <w:p w14:paraId="08342C39">
            <w:pPr>
              <w:rPr>
                <w:rFonts w:ascii="Arial"/>
                <w:color w:val="auto"/>
                <w:sz w:val="21"/>
                <w:highlight w:val="none"/>
              </w:rPr>
            </w:pPr>
          </w:p>
        </w:tc>
        <w:tc>
          <w:tcPr>
            <w:tcW w:w="946" w:type="dxa"/>
            <w:vMerge w:val="continue"/>
            <w:vAlign w:val="top"/>
          </w:tcPr>
          <w:p w14:paraId="680C377E">
            <w:pPr>
              <w:rPr>
                <w:rFonts w:ascii="Arial"/>
                <w:color w:val="auto"/>
                <w:sz w:val="21"/>
                <w:highlight w:val="none"/>
              </w:rPr>
            </w:pPr>
          </w:p>
        </w:tc>
        <w:tc>
          <w:tcPr>
            <w:tcW w:w="600" w:type="dxa"/>
            <w:gridSpan w:val="2"/>
            <w:vMerge w:val="continue"/>
            <w:vAlign w:val="top"/>
          </w:tcPr>
          <w:p w14:paraId="6AC216D3">
            <w:pPr>
              <w:rPr>
                <w:rFonts w:ascii="Arial"/>
                <w:color w:val="auto"/>
                <w:sz w:val="21"/>
                <w:highlight w:val="none"/>
              </w:rPr>
            </w:pPr>
          </w:p>
        </w:tc>
        <w:tc>
          <w:tcPr>
            <w:tcW w:w="1181" w:type="dxa"/>
            <w:vAlign w:val="top"/>
          </w:tcPr>
          <w:p w14:paraId="7858921E">
            <w:pPr>
              <w:spacing w:line="255" w:lineRule="auto"/>
              <w:rPr>
                <w:rFonts w:ascii="Arial"/>
                <w:color w:val="auto"/>
                <w:sz w:val="21"/>
                <w:highlight w:val="none"/>
              </w:rPr>
            </w:pPr>
          </w:p>
          <w:p w14:paraId="60720612">
            <w:pPr>
              <w:spacing w:line="256" w:lineRule="auto"/>
              <w:rPr>
                <w:rFonts w:ascii="Arial"/>
                <w:color w:val="auto"/>
                <w:sz w:val="21"/>
                <w:highlight w:val="none"/>
              </w:rPr>
            </w:pPr>
          </w:p>
          <w:p w14:paraId="55E4A47D">
            <w:pPr>
              <w:spacing w:line="256" w:lineRule="auto"/>
              <w:rPr>
                <w:rFonts w:ascii="Arial"/>
                <w:color w:val="auto"/>
                <w:sz w:val="21"/>
                <w:highlight w:val="none"/>
              </w:rPr>
            </w:pPr>
          </w:p>
          <w:p w14:paraId="20CF1DA8">
            <w:pPr>
              <w:spacing w:line="256" w:lineRule="auto"/>
              <w:rPr>
                <w:rFonts w:ascii="Arial"/>
                <w:color w:val="auto"/>
                <w:sz w:val="21"/>
                <w:highlight w:val="none"/>
              </w:rPr>
            </w:pPr>
          </w:p>
          <w:p w14:paraId="49362EC8">
            <w:pPr>
              <w:pStyle w:val="23"/>
              <w:spacing w:before="65" w:line="228" w:lineRule="auto"/>
              <w:ind w:left="187"/>
              <w:rPr>
                <w:color w:val="auto"/>
                <w:highlight w:val="none"/>
              </w:rPr>
            </w:pPr>
            <w:r>
              <w:rPr>
                <w:color w:val="auto"/>
                <w:spacing w:val="4"/>
                <w:highlight w:val="none"/>
              </w:rPr>
              <w:t>费用和合</w:t>
            </w:r>
          </w:p>
          <w:p w14:paraId="5DA4571E">
            <w:pPr>
              <w:pStyle w:val="23"/>
              <w:spacing w:before="131" w:line="230" w:lineRule="auto"/>
              <w:ind w:left="301"/>
              <w:rPr>
                <w:color w:val="auto"/>
                <w:highlight w:val="none"/>
              </w:rPr>
            </w:pPr>
            <w:r>
              <w:rPr>
                <w:color w:val="auto"/>
                <w:highlight w:val="none"/>
              </w:rPr>
              <w:t>同监理</w:t>
            </w:r>
          </w:p>
          <w:p w14:paraId="10A2409F">
            <w:pPr>
              <w:pStyle w:val="23"/>
              <w:spacing w:before="130" w:line="228" w:lineRule="auto"/>
              <w:ind w:left="212"/>
              <w:rPr>
                <w:color w:val="auto"/>
                <w:highlight w:val="none"/>
              </w:rPr>
            </w:pPr>
            <w:r>
              <w:rPr>
                <w:color w:val="auto"/>
                <w:spacing w:val="-2"/>
                <w:highlight w:val="none"/>
              </w:rPr>
              <w:t>（</w:t>
            </w:r>
            <w:r>
              <w:rPr>
                <w:color w:val="auto"/>
                <w:spacing w:val="-2"/>
                <w:highlight w:val="none"/>
                <w:u w:val="single" w:color="auto"/>
              </w:rPr>
              <w:t>3</w:t>
            </w:r>
            <w:r>
              <w:rPr>
                <w:color w:val="auto"/>
                <w:spacing w:val="-36"/>
                <w:highlight w:val="none"/>
                <w:u w:val="single" w:color="auto"/>
              </w:rPr>
              <w:t xml:space="preserve"> </w:t>
            </w:r>
            <w:r>
              <w:rPr>
                <w:color w:val="auto"/>
                <w:spacing w:val="-2"/>
                <w:highlight w:val="none"/>
              </w:rPr>
              <w:t>分）</w:t>
            </w:r>
          </w:p>
        </w:tc>
        <w:tc>
          <w:tcPr>
            <w:tcW w:w="3149" w:type="dxa"/>
            <w:vAlign w:val="top"/>
          </w:tcPr>
          <w:p w14:paraId="60A0D672">
            <w:pPr>
              <w:pStyle w:val="23"/>
              <w:spacing w:before="148" w:line="333" w:lineRule="auto"/>
              <w:ind w:left="114" w:right="107" w:firstLine="1"/>
              <w:jc w:val="both"/>
              <w:rPr>
                <w:color w:val="auto"/>
                <w:highlight w:val="none"/>
              </w:rPr>
            </w:pPr>
            <w:r>
              <w:rPr>
                <w:color w:val="auto"/>
                <w:spacing w:val="24"/>
                <w:highlight w:val="none"/>
              </w:rPr>
              <w:t>有工程计量与支付监理方面的具体管理方法和措施具体且有</w:t>
            </w:r>
            <w:r>
              <w:rPr>
                <w:color w:val="auto"/>
                <w:spacing w:val="18"/>
                <w:highlight w:val="none"/>
              </w:rPr>
              <w:t>效</w:t>
            </w:r>
            <w:r>
              <w:rPr>
                <w:color w:val="auto"/>
                <w:spacing w:val="-54"/>
                <w:highlight w:val="none"/>
              </w:rPr>
              <w:t xml:space="preserve"> </w:t>
            </w:r>
            <w:r>
              <w:rPr>
                <w:color w:val="auto"/>
                <w:spacing w:val="18"/>
                <w:highlight w:val="none"/>
              </w:rPr>
              <w:t>，有明确的变更管理</w:t>
            </w:r>
            <w:r>
              <w:rPr>
                <w:color w:val="auto"/>
                <w:spacing w:val="-58"/>
                <w:highlight w:val="none"/>
              </w:rPr>
              <w:t xml:space="preserve"> </w:t>
            </w:r>
            <w:r>
              <w:rPr>
                <w:color w:val="auto"/>
                <w:spacing w:val="18"/>
                <w:highlight w:val="none"/>
              </w:rPr>
              <w:t>、预防</w:t>
            </w:r>
            <w:r>
              <w:rPr>
                <w:color w:val="auto"/>
                <w:spacing w:val="21"/>
                <w:highlight w:val="none"/>
              </w:rPr>
              <w:t>索赔</w:t>
            </w:r>
            <w:r>
              <w:rPr>
                <w:color w:val="auto"/>
                <w:spacing w:val="-51"/>
                <w:highlight w:val="none"/>
              </w:rPr>
              <w:t xml:space="preserve"> </w:t>
            </w:r>
            <w:r>
              <w:rPr>
                <w:color w:val="auto"/>
                <w:spacing w:val="21"/>
                <w:highlight w:val="none"/>
              </w:rPr>
              <w:t>、减少合同纠纷的管理和</w:t>
            </w:r>
            <w:r>
              <w:rPr>
                <w:color w:val="auto"/>
                <w:spacing w:val="13"/>
                <w:highlight w:val="none"/>
              </w:rPr>
              <w:t xml:space="preserve">控制措施得 </w:t>
            </w:r>
            <w:r>
              <w:rPr>
                <w:color w:val="auto"/>
                <w:spacing w:val="13"/>
                <w:highlight w:val="none"/>
                <w:u w:val="single" w:color="auto"/>
              </w:rPr>
              <w:t>1.8</w:t>
            </w:r>
            <w:r>
              <w:rPr>
                <w:color w:val="auto"/>
                <w:spacing w:val="-18"/>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；有合理可</w:t>
            </w:r>
            <w:r>
              <w:rPr>
                <w:color w:val="auto"/>
                <w:spacing w:val="24"/>
                <w:highlight w:val="none"/>
              </w:rPr>
              <w:t>行的控制超计量支付及提前计</w:t>
            </w:r>
            <w:r>
              <w:rPr>
                <w:color w:val="auto"/>
                <w:spacing w:val="21"/>
                <w:highlight w:val="none"/>
              </w:rPr>
              <w:t>量支付的预控方法的</w:t>
            </w:r>
            <w:r>
              <w:rPr>
                <w:color w:val="auto"/>
                <w:spacing w:val="-51"/>
                <w:highlight w:val="none"/>
              </w:rPr>
              <w:t xml:space="preserve"> </w:t>
            </w:r>
            <w:r>
              <w:rPr>
                <w:color w:val="auto"/>
                <w:spacing w:val="21"/>
                <w:highlight w:val="none"/>
              </w:rPr>
              <w:t>，酌情加</w:t>
            </w:r>
            <w:r>
              <w:rPr>
                <w:color w:val="auto"/>
                <w:spacing w:val="-1"/>
                <w:highlight w:val="none"/>
                <w:u w:val="single"/>
              </w:rPr>
              <w:t>0-</w:t>
            </w:r>
            <w:r>
              <w:rPr>
                <w:color w:val="auto"/>
                <w:spacing w:val="27"/>
                <w:highlight w:val="none"/>
                <w:u w:val="single"/>
              </w:rPr>
              <w:t xml:space="preserve"> </w:t>
            </w:r>
            <w:r>
              <w:rPr>
                <w:color w:val="auto"/>
                <w:spacing w:val="-1"/>
                <w:highlight w:val="none"/>
                <w:u w:val="single"/>
              </w:rPr>
              <w:t>1.2</w:t>
            </w:r>
            <w:r>
              <w:rPr>
                <w:color w:val="auto"/>
                <w:spacing w:val="-38"/>
                <w:highlight w:val="none"/>
                <w:u w:val="single"/>
              </w:rPr>
              <w:t xml:space="preserve"> </w:t>
            </w:r>
            <w:r>
              <w:rPr>
                <w:color w:val="auto"/>
                <w:spacing w:val="-1"/>
                <w:highlight w:val="none"/>
              </w:rPr>
              <w:t>分。</w:t>
            </w:r>
          </w:p>
        </w:tc>
      </w:tr>
      <w:tr w14:paraId="2BCD6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927" w:type="dxa"/>
            <w:vMerge w:val="continue"/>
            <w:vAlign w:val="center"/>
          </w:tcPr>
          <w:p w14:paraId="7085CFCF">
            <w:pPr>
              <w:jc w:val="center"/>
              <w:rPr>
                <w:rFonts w:ascii="Arial"/>
                <w:color w:val="auto"/>
                <w:sz w:val="21"/>
                <w:highlight w:val="none"/>
              </w:rPr>
            </w:pPr>
          </w:p>
        </w:tc>
        <w:tc>
          <w:tcPr>
            <w:tcW w:w="1173" w:type="dxa"/>
            <w:gridSpan w:val="3"/>
            <w:vMerge w:val="continue"/>
            <w:vAlign w:val="center"/>
          </w:tcPr>
          <w:p w14:paraId="3F5D279A">
            <w:pPr>
              <w:jc w:val="center"/>
              <w:rPr>
                <w:rFonts w:ascii="Arial"/>
                <w:color w:val="auto"/>
                <w:sz w:val="21"/>
                <w:highlight w:val="none"/>
              </w:rPr>
            </w:pPr>
          </w:p>
        </w:tc>
        <w:tc>
          <w:tcPr>
            <w:tcW w:w="919" w:type="dxa"/>
            <w:vMerge w:val="continue"/>
            <w:vAlign w:val="top"/>
          </w:tcPr>
          <w:p w14:paraId="5140DAFB">
            <w:pPr>
              <w:rPr>
                <w:rFonts w:ascii="Arial"/>
                <w:color w:val="auto"/>
                <w:sz w:val="21"/>
                <w:highlight w:val="none"/>
              </w:rPr>
            </w:pPr>
          </w:p>
        </w:tc>
        <w:tc>
          <w:tcPr>
            <w:tcW w:w="946" w:type="dxa"/>
            <w:vMerge w:val="continue"/>
            <w:vAlign w:val="top"/>
          </w:tcPr>
          <w:p w14:paraId="47D80062">
            <w:pPr>
              <w:rPr>
                <w:rFonts w:ascii="Arial"/>
                <w:color w:val="auto"/>
                <w:sz w:val="21"/>
                <w:highlight w:val="none"/>
              </w:rPr>
            </w:pPr>
          </w:p>
        </w:tc>
        <w:tc>
          <w:tcPr>
            <w:tcW w:w="600" w:type="dxa"/>
            <w:gridSpan w:val="2"/>
            <w:vMerge w:val="continue"/>
            <w:vAlign w:val="top"/>
          </w:tcPr>
          <w:p w14:paraId="777CD51E">
            <w:pPr>
              <w:rPr>
                <w:rFonts w:ascii="Arial"/>
                <w:color w:val="auto"/>
                <w:sz w:val="21"/>
                <w:highlight w:val="none"/>
              </w:rPr>
            </w:pPr>
          </w:p>
        </w:tc>
        <w:tc>
          <w:tcPr>
            <w:tcW w:w="1181" w:type="dxa"/>
            <w:vAlign w:val="top"/>
          </w:tcPr>
          <w:p w14:paraId="28954408">
            <w:pPr>
              <w:spacing w:line="323" w:lineRule="auto"/>
              <w:rPr>
                <w:rFonts w:ascii="Arial"/>
                <w:color w:val="auto"/>
                <w:sz w:val="21"/>
                <w:highlight w:val="none"/>
              </w:rPr>
            </w:pPr>
          </w:p>
          <w:p w14:paraId="44693A40">
            <w:pPr>
              <w:spacing w:line="323" w:lineRule="auto"/>
              <w:rPr>
                <w:rFonts w:ascii="Arial"/>
                <w:color w:val="auto"/>
                <w:sz w:val="21"/>
                <w:highlight w:val="none"/>
              </w:rPr>
            </w:pPr>
          </w:p>
          <w:p w14:paraId="3EBE863E">
            <w:pPr>
              <w:pStyle w:val="23"/>
              <w:spacing w:before="65" w:line="352" w:lineRule="auto"/>
              <w:ind w:left="175" w:right="170" w:hanging="1"/>
              <w:jc w:val="both"/>
              <w:rPr>
                <w:color w:val="auto"/>
                <w:highlight w:val="none"/>
              </w:rPr>
            </w:pPr>
            <w:r>
              <w:rPr>
                <w:color w:val="auto"/>
                <w:spacing w:val="7"/>
                <w:highlight w:val="none"/>
              </w:rPr>
              <w:t>施工环境保护管理</w:t>
            </w:r>
            <w:r>
              <w:rPr>
                <w:color w:val="auto"/>
                <w:spacing w:val="12"/>
                <w:highlight w:val="none"/>
              </w:rPr>
              <w:t>（</w:t>
            </w:r>
            <w:r>
              <w:rPr>
                <w:color w:val="auto"/>
                <w:spacing w:val="-56"/>
                <w:highlight w:val="none"/>
              </w:rPr>
              <w:t xml:space="preserve"> </w:t>
            </w:r>
            <w:r>
              <w:rPr>
                <w:color w:val="auto"/>
                <w:spacing w:val="12"/>
                <w:highlight w:val="none"/>
                <w:u w:val="single" w:color="auto"/>
              </w:rPr>
              <w:t>2</w:t>
            </w:r>
            <w:r>
              <w:rPr>
                <w:color w:val="auto"/>
                <w:spacing w:val="12"/>
                <w:highlight w:val="none"/>
              </w:rPr>
              <w:t>分）</w:t>
            </w:r>
          </w:p>
        </w:tc>
        <w:tc>
          <w:tcPr>
            <w:tcW w:w="3149" w:type="dxa"/>
            <w:vAlign w:val="top"/>
          </w:tcPr>
          <w:p w14:paraId="036DD088">
            <w:pPr>
              <w:pStyle w:val="23"/>
              <w:spacing w:before="145" w:line="328" w:lineRule="auto"/>
              <w:ind w:left="115" w:right="107"/>
              <w:jc w:val="both"/>
              <w:rPr>
                <w:color w:val="auto"/>
                <w:spacing w:val="21"/>
                <w:highlight w:val="none"/>
              </w:rPr>
            </w:pPr>
            <w:r>
              <w:rPr>
                <w:color w:val="auto"/>
                <w:spacing w:val="21"/>
                <w:highlight w:val="none"/>
              </w:rPr>
              <w:t>有环保监理措施</w:t>
            </w:r>
            <w:r>
              <w:rPr>
                <w:color w:val="auto"/>
                <w:spacing w:val="-53"/>
                <w:highlight w:val="none"/>
              </w:rPr>
              <w:t xml:space="preserve"> </w:t>
            </w:r>
            <w:r>
              <w:rPr>
                <w:color w:val="auto"/>
                <w:spacing w:val="21"/>
                <w:highlight w:val="none"/>
              </w:rPr>
              <w:t>，且完全响应</w:t>
            </w:r>
            <w:r>
              <w:rPr>
                <w:color w:val="auto"/>
                <w:spacing w:val="24"/>
                <w:highlight w:val="none"/>
              </w:rPr>
              <w:t>广东省施工标准化和安全标准</w:t>
            </w:r>
            <w:r>
              <w:rPr>
                <w:color w:val="auto"/>
                <w:spacing w:val="13"/>
                <w:highlight w:val="none"/>
              </w:rPr>
              <w:t xml:space="preserve">化指南的得 </w:t>
            </w:r>
            <w:r>
              <w:rPr>
                <w:color w:val="auto"/>
                <w:spacing w:val="13"/>
                <w:highlight w:val="none"/>
                <w:u w:val="single" w:color="auto"/>
              </w:rPr>
              <w:t>1.2</w:t>
            </w:r>
            <w:r>
              <w:rPr>
                <w:color w:val="auto"/>
                <w:spacing w:val="-19"/>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；环保监理</w:t>
            </w:r>
            <w:r>
              <w:rPr>
                <w:color w:val="auto"/>
                <w:spacing w:val="18"/>
                <w:highlight w:val="none"/>
              </w:rPr>
              <w:t>措施和方法具体且有效的</w:t>
            </w:r>
            <w:r>
              <w:rPr>
                <w:color w:val="auto"/>
                <w:spacing w:val="-57"/>
                <w:highlight w:val="none"/>
              </w:rPr>
              <w:t xml:space="preserve"> </w:t>
            </w:r>
            <w:r>
              <w:rPr>
                <w:color w:val="auto"/>
                <w:spacing w:val="18"/>
                <w:highlight w:val="none"/>
              </w:rPr>
              <w:t>，</w:t>
            </w:r>
            <w:r>
              <w:rPr>
                <w:color w:val="auto"/>
                <w:spacing w:val="-56"/>
                <w:highlight w:val="none"/>
              </w:rPr>
              <w:t xml:space="preserve"> </w:t>
            </w:r>
            <w:r>
              <w:rPr>
                <w:color w:val="auto"/>
                <w:spacing w:val="18"/>
                <w:highlight w:val="none"/>
              </w:rPr>
              <w:t>响</w:t>
            </w:r>
            <w:r>
              <w:rPr>
                <w:color w:val="auto"/>
                <w:spacing w:val="24"/>
                <w:highlight w:val="none"/>
              </w:rPr>
              <w:t>应广东省施工标准化和安全标</w:t>
            </w:r>
            <w:r>
              <w:rPr>
                <w:color w:val="auto"/>
                <w:spacing w:val="15"/>
                <w:highlight w:val="none"/>
              </w:rPr>
              <w:t>准化指南程度</w:t>
            </w:r>
            <w:r>
              <w:rPr>
                <w:color w:val="auto"/>
                <w:spacing w:val="-38"/>
                <w:highlight w:val="none"/>
              </w:rPr>
              <w:t xml:space="preserve"> </w:t>
            </w:r>
            <w:r>
              <w:rPr>
                <w:color w:val="auto"/>
                <w:spacing w:val="15"/>
                <w:highlight w:val="none"/>
              </w:rPr>
              <w:t>，</w:t>
            </w:r>
            <w:r>
              <w:rPr>
                <w:color w:val="auto"/>
                <w:spacing w:val="-56"/>
                <w:highlight w:val="none"/>
              </w:rPr>
              <w:t xml:space="preserve"> </w:t>
            </w:r>
            <w:r>
              <w:rPr>
                <w:color w:val="auto"/>
                <w:spacing w:val="15"/>
                <w:highlight w:val="none"/>
              </w:rPr>
              <w:t>酌情加</w:t>
            </w:r>
            <w:r>
              <w:rPr>
                <w:color w:val="auto"/>
                <w:spacing w:val="-11"/>
                <w:highlight w:val="none"/>
              </w:rPr>
              <w:t xml:space="preserve"> </w:t>
            </w:r>
            <w:r>
              <w:rPr>
                <w:color w:val="auto"/>
                <w:spacing w:val="15"/>
                <w:highlight w:val="none"/>
                <w:u w:val="single" w:color="auto"/>
              </w:rPr>
              <w:t>0-0.8</w:t>
            </w:r>
          </w:p>
          <w:p w14:paraId="0555D8AC">
            <w:pPr>
              <w:pStyle w:val="23"/>
              <w:spacing w:before="141" w:line="216" w:lineRule="auto"/>
              <w:ind w:left="118"/>
              <w:rPr>
                <w:color w:val="auto"/>
                <w:highlight w:val="none"/>
              </w:rPr>
            </w:pPr>
            <w:r>
              <w:rPr>
                <w:color w:val="auto"/>
                <w:spacing w:val="-1"/>
                <w:highlight w:val="none"/>
              </w:rPr>
              <w:t>分。</w:t>
            </w:r>
          </w:p>
        </w:tc>
      </w:tr>
      <w:tr w14:paraId="27BC3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927" w:type="dxa"/>
            <w:vMerge w:val="continue"/>
            <w:vAlign w:val="center"/>
          </w:tcPr>
          <w:p w14:paraId="64B985B9">
            <w:pPr>
              <w:jc w:val="center"/>
              <w:rPr>
                <w:rFonts w:ascii="Arial"/>
                <w:color w:val="auto"/>
                <w:sz w:val="21"/>
                <w:highlight w:val="none"/>
              </w:rPr>
            </w:pPr>
          </w:p>
        </w:tc>
        <w:tc>
          <w:tcPr>
            <w:tcW w:w="1173" w:type="dxa"/>
            <w:gridSpan w:val="3"/>
            <w:vMerge w:val="continue"/>
            <w:vAlign w:val="center"/>
          </w:tcPr>
          <w:p w14:paraId="6DD4C2EF">
            <w:pPr>
              <w:jc w:val="center"/>
              <w:rPr>
                <w:rFonts w:ascii="Arial"/>
                <w:color w:val="auto"/>
                <w:sz w:val="21"/>
                <w:highlight w:val="none"/>
              </w:rPr>
            </w:pPr>
          </w:p>
        </w:tc>
        <w:tc>
          <w:tcPr>
            <w:tcW w:w="919" w:type="dxa"/>
            <w:vMerge w:val="continue"/>
            <w:vAlign w:val="top"/>
          </w:tcPr>
          <w:p w14:paraId="6C076B66">
            <w:pPr>
              <w:rPr>
                <w:rFonts w:ascii="Arial"/>
                <w:color w:val="auto"/>
                <w:sz w:val="21"/>
                <w:highlight w:val="none"/>
              </w:rPr>
            </w:pPr>
          </w:p>
        </w:tc>
        <w:tc>
          <w:tcPr>
            <w:tcW w:w="946" w:type="dxa"/>
            <w:vAlign w:val="top"/>
          </w:tcPr>
          <w:p w14:paraId="28DE24B5">
            <w:pPr>
              <w:pStyle w:val="23"/>
              <w:spacing w:before="139" w:line="227" w:lineRule="auto"/>
              <w:ind w:left="162"/>
              <w:rPr>
                <w:color w:val="auto"/>
                <w:highlight w:val="none"/>
              </w:rPr>
            </w:pPr>
            <w:r>
              <w:rPr>
                <w:color w:val="auto"/>
                <w:spacing w:val="6"/>
                <w:highlight w:val="none"/>
              </w:rPr>
              <w:t>本工程</w:t>
            </w:r>
          </w:p>
          <w:p w14:paraId="6127CA95">
            <w:pPr>
              <w:pStyle w:val="23"/>
              <w:spacing w:before="136" w:line="236" w:lineRule="auto"/>
              <w:ind w:left="162"/>
              <w:rPr>
                <w:color w:val="auto"/>
                <w:highlight w:val="none"/>
              </w:rPr>
            </w:pPr>
            <w:r>
              <w:rPr>
                <w:color w:val="auto"/>
                <w:spacing w:val="6"/>
                <w:highlight w:val="none"/>
              </w:rPr>
              <w:t>监理工</w:t>
            </w:r>
          </w:p>
          <w:p w14:paraId="5D805251">
            <w:pPr>
              <w:pStyle w:val="23"/>
              <w:spacing w:before="123" w:line="228" w:lineRule="auto"/>
              <w:ind w:left="162"/>
              <w:rPr>
                <w:color w:val="auto"/>
                <w:highlight w:val="none"/>
              </w:rPr>
            </w:pPr>
            <w:r>
              <w:rPr>
                <w:color w:val="auto"/>
                <w:spacing w:val="6"/>
                <w:highlight w:val="none"/>
              </w:rPr>
              <w:t>作的重</w:t>
            </w:r>
          </w:p>
          <w:p w14:paraId="1C9FA8FD">
            <w:pPr>
              <w:pStyle w:val="23"/>
              <w:spacing w:before="131" w:line="229" w:lineRule="auto"/>
              <w:ind w:left="172"/>
              <w:rPr>
                <w:color w:val="auto"/>
                <w:highlight w:val="none"/>
              </w:rPr>
            </w:pPr>
            <w:r>
              <w:rPr>
                <w:color w:val="auto"/>
                <w:spacing w:val="3"/>
                <w:highlight w:val="none"/>
              </w:rPr>
              <w:t>点与难</w:t>
            </w:r>
          </w:p>
          <w:p w14:paraId="15B094A2">
            <w:pPr>
              <w:pStyle w:val="23"/>
              <w:spacing w:before="133" w:line="215" w:lineRule="auto"/>
              <w:ind w:left="172"/>
              <w:rPr>
                <w:color w:val="auto"/>
                <w:highlight w:val="none"/>
              </w:rPr>
            </w:pPr>
            <w:r>
              <w:rPr>
                <w:color w:val="auto"/>
                <w:spacing w:val="3"/>
                <w:highlight w:val="none"/>
              </w:rPr>
              <w:t>点分析</w:t>
            </w:r>
          </w:p>
        </w:tc>
        <w:tc>
          <w:tcPr>
            <w:tcW w:w="600" w:type="dxa"/>
            <w:gridSpan w:val="2"/>
            <w:vAlign w:val="center"/>
          </w:tcPr>
          <w:p w14:paraId="664FCF8C">
            <w:pPr>
              <w:pStyle w:val="23"/>
              <w:spacing w:before="65" w:line="352" w:lineRule="auto"/>
              <w:ind w:left="202" w:right="193" w:firstLine="12"/>
              <w:jc w:val="center"/>
              <w:rPr>
                <w:color w:val="auto"/>
                <w:highlight w:val="none"/>
              </w:rPr>
            </w:pPr>
            <w:r>
              <w:rPr>
                <w:color w:val="auto"/>
                <w:spacing w:val="-7"/>
                <w:highlight w:val="none"/>
                <w:u w:val="single" w:color="auto"/>
              </w:rPr>
              <w:t>10</w:t>
            </w:r>
            <w:r>
              <w:rPr>
                <w:color w:val="auto"/>
                <w:spacing w:val="-2"/>
                <w:highlight w:val="none"/>
              </w:rPr>
              <w:t>分</w:t>
            </w:r>
          </w:p>
        </w:tc>
        <w:tc>
          <w:tcPr>
            <w:tcW w:w="4330" w:type="dxa"/>
            <w:gridSpan w:val="2"/>
            <w:vAlign w:val="top"/>
          </w:tcPr>
          <w:p w14:paraId="1F7A5D22">
            <w:pPr>
              <w:spacing w:line="243" w:lineRule="auto"/>
              <w:rPr>
                <w:rFonts w:ascii="Arial"/>
                <w:color w:val="auto"/>
                <w:sz w:val="21"/>
                <w:highlight w:val="none"/>
              </w:rPr>
            </w:pPr>
          </w:p>
          <w:p w14:paraId="06638CB2">
            <w:pPr>
              <w:spacing w:line="244" w:lineRule="auto"/>
              <w:rPr>
                <w:rFonts w:ascii="Arial"/>
                <w:color w:val="auto"/>
                <w:sz w:val="21"/>
                <w:highlight w:val="none"/>
              </w:rPr>
            </w:pPr>
          </w:p>
          <w:p w14:paraId="2342AD93">
            <w:pPr>
              <w:pStyle w:val="23"/>
              <w:spacing w:before="65" w:line="289" w:lineRule="auto"/>
              <w:ind w:left="114" w:right="107"/>
              <w:jc w:val="both"/>
              <w:rPr>
                <w:color w:val="auto"/>
                <w:highlight w:val="none"/>
              </w:rPr>
            </w:pPr>
            <w:r>
              <w:rPr>
                <w:color w:val="auto"/>
                <w:spacing w:val="13"/>
                <w:highlight w:val="none"/>
              </w:rPr>
              <w:t>有对工程重点、难点的分析得</w:t>
            </w:r>
            <w:r>
              <w:rPr>
                <w:color w:val="auto"/>
                <w:spacing w:val="-26"/>
                <w:highlight w:val="none"/>
              </w:rPr>
              <w:t xml:space="preserve"> </w:t>
            </w:r>
            <w:r>
              <w:rPr>
                <w:color w:val="auto"/>
                <w:spacing w:val="13"/>
                <w:highlight w:val="none"/>
                <w:u w:val="single" w:color="auto"/>
              </w:rPr>
              <w:t>6.0</w:t>
            </w:r>
            <w:r>
              <w:rPr>
                <w:color w:val="auto"/>
                <w:spacing w:val="-31"/>
                <w:highlight w:val="none"/>
                <w:u w:val="single" w:color="auto"/>
              </w:rPr>
              <w:t xml:space="preserve"> </w:t>
            </w:r>
            <w:r>
              <w:rPr>
                <w:color w:val="auto"/>
                <w:spacing w:val="13"/>
                <w:highlight w:val="none"/>
              </w:rPr>
              <w:t>分；分析</w:t>
            </w:r>
            <w:r>
              <w:rPr>
                <w:color w:val="auto"/>
                <w:spacing w:val="15"/>
                <w:highlight w:val="none"/>
              </w:rPr>
              <w:t>准确，且有合理可行的应对措施的，酌情加</w:t>
            </w:r>
            <w:r>
              <w:rPr>
                <w:color w:val="auto"/>
                <w:spacing w:val="2"/>
                <w:highlight w:val="none"/>
                <w:u w:val="single" w:color="auto"/>
              </w:rPr>
              <w:t>0-4.0</w:t>
            </w:r>
            <w:r>
              <w:rPr>
                <w:color w:val="auto"/>
                <w:spacing w:val="-38"/>
                <w:highlight w:val="none"/>
                <w:u w:val="single" w:color="auto"/>
              </w:rPr>
              <w:t xml:space="preserve"> </w:t>
            </w:r>
            <w:r>
              <w:rPr>
                <w:color w:val="auto"/>
                <w:spacing w:val="2"/>
                <w:highlight w:val="none"/>
              </w:rPr>
              <w:t>分。</w:t>
            </w:r>
          </w:p>
        </w:tc>
      </w:tr>
      <w:tr w14:paraId="4AE73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27" w:type="dxa"/>
            <w:vMerge w:val="continue"/>
            <w:vAlign w:val="center"/>
          </w:tcPr>
          <w:p w14:paraId="296D4FAB">
            <w:pPr>
              <w:jc w:val="center"/>
              <w:rPr>
                <w:rFonts w:ascii="Arial"/>
                <w:color w:val="auto"/>
                <w:sz w:val="21"/>
                <w:highlight w:val="none"/>
              </w:rPr>
            </w:pPr>
          </w:p>
        </w:tc>
        <w:tc>
          <w:tcPr>
            <w:tcW w:w="1173" w:type="dxa"/>
            <w:gridSpan w:val="3"/>
            <w:vMerge w:val="continue"/>
            <w:vAlign w:val="center"/>
          </w:tcPr>
          <w:p w14:paraId="2302C652">
            <w:pPr>
              <w:jc w:val="center"/>
              <w:rPr>
                <w:rFonts w:ascii="Arial"/>
                <w:color w:val="auto"/>
                <w:sz w:val="21"/>
                <w:highlight w:val="none"/>
              </w:rPr>
            </w:pPr>
          </w:p>
        </w:tc>
        <w:tc>
          <w:tcPr>
            <w:tcW w:w="919" w:type="dxa"/>
            <w:vMerge w:val="continue"/>
            <w:vAlign w:val="top"/>
          </w:tcPr>
          <w:p w14:paraId="54F9B4D4">
            <w:pPr>
              <w:rPr>
                <w:rFonts w:ascii="Arial"/>
                <w:color w:val="auto"/>
                <w:sz w:val="21"/>
                <w:highlight w:val="none"/>
              </w:rPr>
            </w:pPr>
          </w:p>
        </w:tc>
        <w:tc>
          <w:tcPr>
            <w:tcW w:w="946" w:type="dxa"/>
            <w:vAlign w:val="top"/>
          </w:tcPr>
          <w:p w14:paraId="3F69AF52">
            <w:pPr>
              <w:pStyle w:val="23"/>
              <w:spacing w:before="196" w:line="227" w:lineRule="auto"/>
              <w:ind w:left="160"/>
              <w:rPr>
                <w:color w:val="auto"/>
                <w:highlight w:val="none"/>
              </w:rPr>
            </w:pPr>
            <w:r>
              <w:rPr>
                <w:color w:val="auto"/>
                <w:spacing w:val="7"/>
                <w:highlight w:val="none"/>
              </w:rPr>
              <w:t>对本工</w:t>
            </w:r>
          </w:p>
          <w:p w14:paraId="4C10F913">
            <w:pPr>
              <w:pStyle w:val="23"/>
              <w:spacing w:before="132" w:line="308" w:lineRule="auto"/>
              <w:ind w:left="373" w:right="158" w:hanging="213"/>
              <w:rPr>
                <w:color w:val="auto"/>
                <w:highlight w:val="none"/>
              </w:rPr>
            </w:pPr>
            <w:r>
              <w:rPr>
                <w:color w:val="auto"/>
                <w:spacing w:val="7"/>
                <w:highlight w:val="none"/>
              </w:rPr>
              <w:t>程的建</w:t>
            </w:r>
            <w:r>
              <w:rPr>
                <w:color w:val="auto"/>
                <w:highlight w:val="none"/>
              </w:rPr>
              <w:t>议</w:t>
            </w:r>
          </w:p>
        </w:tc>
        <w:tc>
          <w:tcPr>
            <w:tcW w:w="600" w:type="dxa"/>
            <w:gridSpan w:val="2"/>
            <w:vAlign w:val="center"/>
          </w:tcPr>
          <w:p w14:paraId="4B250DA4">
            <w:pPr>
              <w:pStyle w:val="23"/>
              <w:spacing w:before="65" w:line="228" w:lineRule="auto"/>
              <w:ind w:left="134"/>
              <w:jc w:val="center"/>
              <w:rPr>
                <w:color w:val="auto"/>
                <w:highlight w:val="none"/>
              </w:rPr>
            </w:pPr>
            <w:r>
              <w:rPr>
                <w:color w:val="auto"/>
                <w:spacing w:val="-4"/>
                <w:highlight w:val="none"/>
                <w:u w:val="single" w:color="auto"/>
              </w:rPr>
              <w:t>5</w:t>
            </w:r>
            <w:r>
              <w:rPr>
                <w:color w:val="auto"/>
                <w:spacing w:val="-38"/>
                <w:highlight w:val="none"/>
                <w:u w:val="single" w:color="auto"/>
              </w:rPr>
              <w:t xml:space="preserve"> </w:t>
            </w:r>
            <w:r>
              <w:rPr>
                <w:color w:val="auto"/>
                <w:spacing w:val="-4"/>
                <w:highlight w:val="none"/>
              </w:rPr>
              <w:t>分</w:t>
            </w:r>
          </w:p>
        </w:tc>
        <w:tc>
          <w:tcPr>
            <w:tcW w:w="4330" w:type="dxa"/>
            <w:gridSpan w:val="2"/>
            <w:vAlign w:val="top"/>
          </w:tcPr>
          <w:p w14:paraId="007F080A">
            <w:pPr>
              <w:pStyle w:val="23"/>
              <w:spacing w:before="71" w:line="270" w:lineRule="auto"/>
              <w:ind w:left="114" w:right="108"/>
              <w:rPr>
                <w:color w:val="auto"/>
                <w:highlight w:val="none"/>
              </w:rPr>
            </w:pPr>
            <w:r>
              <w:rPr>
                <w:color w:val="auto"/>
                <w:spacing w:val="12"/>
                <w:highlight w:val="none"/>
              </w:rPr>
              <w:t>有对本工程的建议的</w:t>
            </w:r>
            <w:r>
              <w:rPr>
                <w:color w:val="auto"/>
                <w:spacing w:val="-10"/>
                <w:highlight w:val="none"/>
              </w:rPr>
              <w:t xml:space="preserve"> </w:t>
            </w:r>
            <w:r>
              <w:rPr>
                <w:color w:val="auto"/>
                <w:spacing w:val="12"/>
                <w:highlight w:val="none"/>
                <w:u w:val="single" w:color="auto"/>
              </w:rPr>
              <w:t>3.0</w:t>
            </w:r>
            <w:r>
              <w:rPr>
                <w:color w:val="auto"/>
                <w:spacing w:val="-28"/>
                <w:highlight w:val="none"/>
                <w:u w:val="single" w:color="auto"/>
              </w:rPr>
              <w:t xml:space="preserve"> </w:t>
            </w:r>
            <w:r>
              <w:rPr>
                <w:color w:val="auto"/>
                <w:spacing w:val="12"/>
                <w:highlight w:val="none"/>
              </w:rPr>
              <w:t>分；对管理模式、</w:t>
            </w:r>
            <w:r>
              <w:rPr>
                <w:color w:val="auto"/>
                <w:spacing w:val="15"/>
                <w:highlight w:val="none"/>
              </w:rPr>
              <w:t>工程质量、进度、投资控制、合同管理等方</w:t>
            </w:r>
            <w:r>
              <w:rPr>
                <w:color w:val="auto"/>
                <w:spacing w:val="1"/>
                <w:highlight w:val="none"/>
              </w:rPr>
              <w:t>面均</w:t>
            </w:r>
            <w:r>
              <w:rPr>
                <w:color w:val="auto"/>
                <w:spacing w:val="-46"/>
                <w:highlight w:val="none"/>
              </w:rPr>
              <w:t xml:space="preserve"> </w:t>
            </w:r>
            <w:r>
              <w:rPr>
                <w:color w:val="auto"/>
                <w:spacing w:val="1"/>
                <w:highlight w:val="none"/>
              </w:rPr>
              <w:t>提</w:t>
            </w:r>
            <w:r>
              <w:rPr>
                <w:color w:val="auto"/>
                <w:spacing w:val="-43"/>
                <w:highlight w:val="none"/>
              </w:rPr>
              <w:t xml:space="preserve"> </w:t>
            </w:r>
            <w:r>
              <w:rPr>
                <w:color w:val="auto"/>
                <w:spacing w:val="1"/>
                <w:highlight w:val="none"/>
              </w:rPr>
              <w:t>出合</w:t>
            </w:r>
            <w:r>
              <w:rPr>
                <w:color w:val="auto"/>
                <w:spacing w:val="-58"/>
                <w:highlight w:val="none"/>
              </w:rPr>
              <w:t xml:space="preserve"> </w:t>
            </w:r>
            <w:r>
              <w:rPr>
                <w:color w:val="auto"/>
                <w:spacing w:val="1"/>
                <w:highlight w:val="none"/>
              </w:rPr>
              <w:t>理</w:t>
            </w:r>
            <w:r>
              <w:rPr>
                <w:color w:val="auto"/>
                <w:spacing w:val="-57"/>
                <w:highlight w:val="none"/>
              </w:rPr>
              <w:t xml:space="preserve"> </w:t>
            </w:r>
            <w:r>
              <w:rPr>
                <w:color w:val="auto"/>
                <w:spacing w:val="1"/>
                <w:highlight w:val="none"/>
              </w:rPr>
              <w:t>可</w:t>
            </w:r>
            <w:r>
              <w:rPr>
                <w:color w:val="auto"/>
                <w:spacing w:val="-57"/>
                <w:highlight w:val="none"/>
              </w:rPr>
              <w:t xml:space="preserve"> </w:t>
            </w:r>
            <w:r>
              <w:rPr>
                <w:color w:val="auto"/>
                <w:spacing w:val="1"/>
                <w:highlight w:val="none"/>
              </w:rPr>
              <w:t>行</w:t>
            </w:r>
            <w:r>
              <w:rPr>
                <w:color w:val="auto"/>
                <w:spacing w:val="-44"/>
                <w:highlight w:val="none"/>
              </w:rPr>
              <w:t xml:space="preserve"> </w:t>
            </w:r>
            <w:r>
              <w:rPr>
                <w:color w:val="auto"/>
                <w:spacing w:val="1"/>
                <w:highlight w:val="none"/>
              </w:rPr>
              <w:t>的</w:t>
            </w:r>
            <w:r>
              <w:rPr>
                <w:color w:val="auto"/>
                <w:spacing w:val="-58"/>
                <w:highlight w:val="none"/>
              </w:rPr>
              <w:t xml:space="preserve"> </w:t>
            </w:r>
            <w:r>
              <w:rPr>
                <w:color w:val="auto"/>
                <w:spacing w:val="1"/>
                <w:highlight w:val="none"/>
              </w:rPr>
              <w:t>建</w:t>
            </w:r>
            <w:r>
              <w:rPr>
                <w:color w:val="auto"/>
                <w:spacing w:val="-57"/>
                <w:highlight w:val="none"/>
              </w:rPr>
              <w:t xml:space="preserve"> </w:t>
            </w:r>
            <w:r>
              <w:rPr>
                <w:color w:val="auto"/>
                <w:spacing w:val="1"/>
                <w:highlight w:val="none"/>
              </w:rPr>
              <w:t>议</w:t>
            </w:r>
            <w:r>
              <w:rPr>
                <w:color w:val="auto"/>
                <w:spacing w:val="-44"/>
                <w:highlight w:val="none"/>
              </w:rPr>
              <w:t xml:space="preserve"> </w:t>
            </w:r>
            <w:r>
              <w:rPr>
                <w:color w:val="auto"/>
                <w:spacing w:val="1"/>
                <w:highlight w:val="none"/>
              </w:rPr>
              <w:t>的</w:t>
            </w:r>
            <w:r>
              <w:rPr>
                <w:color w:val="auto"/>
                <w:spacing w:val="-44"/>
                <w:highlight w:val="none"/>
              </w:rPr>
              <w:t xml:space="preserve"> </w:t>
            </w:r>
            <w:r>
              <w:rPr>
                <w:color w:val="auto"/>
                <w:spacing w:val="1"/>
                <w:highlight w:val="none"/>
              </w:rPr>
              <w:t>，</w:t>
            </w:r>
            <w:r>
              <w:rPr>
                <w:color w:val="auto"/>
                <w:spacing w:val="-51"/>
                <w:highlight w:val="none"/>
              </w:rPr>
              <w:t xml:space="preserve"> </w:t>
            </w:r>
            <w:r>
              <w:rPr>
                <w:color w:val="auto"/>
                <w:spacing w:val="1"/>
                <w:highlight w:val="none"/>
              </w:rPr>
              <w:t>酌</w:t>
            </w:r>
            <w:r>
              <w:rPr>
                <w:color w:val="auto"/>
                <w:spacing w:val="-58"/>
                <w:highlight w:val="none"/>
              </w:rPr>
              <w:t xml:space="preserve"> </w:t>
            </w:r>
            <w:r>
              <w:rPr>
                <w:color w:val="auto"/>
                <w:spacing w:val="1"/>
                <w:highlight w:val="none"/>
              </w:rPr>
              <w:t xml:space="preserve">情加 </w:t>
            </w:r>
            <w:r>
              <w:rPr>
                <w:color w:val="auto"/>
                <w:spacing w:val="1"/>
                <w:highlight w:val="none"/>
                <w:u w:val="single" w:color="auto"/>
              </w:rPr>
              <w:t>0-</w:t>
            </w:r>
            <w:r>
              <w:rPr>
                <w:color w:val="auto"/>
                <w:highlight w:val="none"/>
                <w:u w:val="single" w:color="auto"/>
              </w:rPr>
              <w:t xml:space="preserve"> </w:t>
            </w:r>
            <w:r>
              <w:rPr>
                <w:color w:val="auto"/>
                <w:spacing w:val="1"/>
                <w:highlight w:val="none"/>
                <w:u w:val="single" w:color="auto"/>
              </w:rPr>
              <w:t>2.0</w:t>
            </w:r>
            <w:r>
              <w:rPr>
                <w:color w:val="auto"/>
                <w:spacing w:val="-38"/>
                <w:highlight w:val="none"/>
                <w:u w:val="single" w:color="auto"/>
              </w:rPr>
              <w:t xml:space="preserve"> </w:t>
            </w:r>
            <w:r>
              <w:rPr>
                <w:color w:val="auto"/>
                <w:spacing w:val="1"/>
                <w:highlight w:val="none"/>
              </w:rPr>
              <w:t>分。</w:t>
            </w:r>
          </w:p>
        </w:tc>
      </w:tr>
      <w:tr w14:paraId="7DBC8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927" w:type="dxa"/>
            <w:tcBorders>
              <w:bottom w:val="single" w:color="auto" w:sz="4" w:space="0"/>
            </w:tcBorders>
            <w:vAlign w:val="center"/>
          </w:tcPr>
          <w:p w14:paraId="78C55ECE">
            <w:pPr>
              <w:pStyle w:val="23"/>
              <w:spacing w:before="65" w:line="268" w:lineRule="exact"/>
              <w:ind w:left="206"/>
              <w:jc w:val="center"/>
              <w:rPr>
                <w:color w:val="auto"/>
                <w:highlight w:val="none"/>
              </w:rPr>
            </w:pPr>
            <w:r>
              <w:rPr>
                <w:color w:val="auto"/>
                <w:spacing w:val="2"/>
                <w:position w:val="1"/>
                <w:highlight w:val="none"/>
              </w:rPr>
              <w:t>2.2.4</w:t>
            </w:r>
          </w:p>
          <w:p w14:paraId="68F97F9C">
            <w:pPr>
              <w:pStyle w:val="23"/>
              <w:spacing w:before="91" w:line="231" w:lineRule="auto"/>
              <w:ind w:left="346"/>
              <w:jc w:val="center"/>
              <w:rPr>
                <w:color w:val="auto"/>
                <w:highlight w:val="none"/>
              </w:rPr>
            </w:pPr>
            <w:r>
              <w:rPr>
                <w:color w:val="auto"/>
                <w:spacing w:val="-10"/>
                <w:highlight w:val="none"/>
              </w:rPr>
              <w:t>(2)</w:t>
            </w:r>
          </w:p>
        </w:tc>
        <w:tc>
          <w:tcPr>
            <w:tcW w:w="1173" w:type="dxa"/>
            <w:gridSpan w:val="3"/>
            <w:tcBorders>
              <w:bottom w:val="single" w:color="auto" w:sz="4" w:space="0"/>
            </w:tcBorders>
            <w:vAlign w:val="center"/>
          </w:tcPr>
          <w:p w14:paraId="111BE7CC">
            <w:pPr>
              <w:pStyle w:val="23"/>
              <w:spacing w:before="65" w:line="229" w:lineRule="auto"/>
              <w:ind w:left="171"/>
              <w:jc w:val="center"/>
              <w:rPr>
                <w:color w:val="auto"/>
                <w:highlight w:val="none"/>
              </w:rPr>
            </w:pPr>
            <w:r>
              <w:rPr>
                <w:color w:val="auto"/>
                <w:spacing w:val="6"/>
                <w:highlight w:val="none"/>
              </w:rPr>
              <w:t>主要人员</w:t>
            </w:r>
          </w:p>
        </w:tc>
        <w:tc>
          <w:tcPr>
            <w:tcW w:w="919" w:type="dxa"/>
            <w:tcBorders>
              <w:bottom w:val="single" w:color="auto" w:sz="4" w:space="0"/>
            </w:tcBorders>
            <w:vAlign w:val="top"/>
          </w:tcPr>
          <w:p w14:paraId="55F86C0B">
            <w:pPr>
              <w:spacing w:line="298" w:lineRule="auto"/>
              <w:rPr>
                <w:rFonts w:ascii="Arial"/>
                <w:color w:val="auto"/>
                <w:sz w:val="21"/>
                <w:highlight w:val="none"/>
              </w:rPr>
            </w:pPr>
          </w:p>
          <w:p w14:paraId="0E28FB61">
            <w:pPr>
              <w:spacing w:line="298" w:lineRule="auto"/>
              <w:rPr>
                <w:rFonts w:ascii="Arial"/>
                <w:color w:val="auto"/>
                <w:sz w:val="21"/>
                <w:highlight w:val="none"/>
              </w:rPr>
            </w:pPr>
          </w:p>
          <w:p w14:paraId="4C4C8282">
            <w:pPr>
              <w:spacing w:line="298" w:lineRule="auto"/>
              <w:rPr>
                <w:rFonts w:ascii="Arial"/>
                <w:color w:val="auto"/>
                <w:sz w:val="21"/>
                <w:highlight w:val="none"/>
              </w:rPr>
            </w:pPr>
          </w:p>
          <w:p w14:paraId="5A14FC43">
            <w:pPr>
              <w:spacing w:line="298" w:lineRule="auto"/>
              <w:rPr>
                <w:rFonts w:ascii="Arial"/>
                <w:color w:val="auto"/>
                <w:sz w:val="21"/>
                <w:highlight w:val="none"/>
              </w:rPr>
            </w:pPr>
          </w:p>
          <w:p w14:paraId="5156E4B8">
            <w:pPr>
              <w:pStyle w:val="23"/>
              <w:tabs>
                <w:tab w:val="left" w:pos="455"/>
              </w:tabs>
              <w:spacing w:before="65" w:line="244" w:lineRule="auto"/>
              <w:ind w:left="140"/>
              <w:rPr>
                <w:color w:val="auto"/>
                <w:sz w:val="10"/>
                <w:szCs w:val="10"/>
                <w:highlight w:val="none"/>
              </w:rPr>
            </w:pPr>
            <w:r>
              <w:rPr>
                <w:rFonts w:hint="eastAsia"/>
                <w:color w:val="auto"/>
                <w:position w:val="-2"/>
                <w:highlight w:val="none"/>
                <w:u w:val="single" w:color="auto"/>
                <w:lang w:val="en-US" w:eastAsia="zh-CN"/>
              </w:rPr>
              <w:t>20</w:t>
            </w:r>
            <w:r>
              <w:rPr>
                <w:color w:val="auto"/>
                <w:spacing w:val="-89"/>
                <w:position w:val="-2"/>
                <w:highlight w:val="none"/>
              </w:rPr>
              <w:t xml:space="preserve"> </w:t>
            </w:r>
            <w:r>
              <w:rPr>
                <w:color w:val="auto"/>
                <w:spacing w:val="2"/>
                <w:position w:val="-2"/>
                <w:highlight w:val="none"/>
              </w:rPr>
              <w:t>分</w:t>
            </w:r>
          </w:p>
        </w:tc>
        <w:tc>
          <w:tcPr>
            <w:tcW w:w="946" w:type="dxa"/>
            <w:tcBorders>
              <w:bottom w:val="single" w:color="auto" w:sz="4" w:space="0"/>
            </w:tcBorders>
            <w:vAlign w:val="top"/>
          </w:tcPr>
          <w:p w14:paraId="2DDF4023">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总监理</w:t>
            </w:r>
          </w:p>
          <w:p w14:paraId="574B9021">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工程师</w:t>
            </w:r>
          </w:p>
          <w:p w14:paraId="00D41E10">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或驻地</w:t>
            </w:r>
          </w:p>
          <w:p w14:paraId="6F0D144A">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监理工</w:t>
            </w:r>
          </w:p>
          <w:p w14:paraId="7168A1BF">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程师任</w:t>
            </w:r>
          </w:p>
          <w:p w14:paraId="031FB3BB">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职资格</w:t>
            </w:r>
          </w:p>
          <w:p w14:paraId="754A3F91">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与业绩</w:t>
            </w:r>
          </w:p>
        </w:tc>
        <w:tc>
          <w:tcPr>
            <w:tcW w:w="600" w:type="dxa"/>
            <w:gridSpan w:val="2"/>
            <w:tcBorders>
              <w:bottom w:val="single" w:color="auto" w:sz="4" w:space="0"/>
            </w:tcBorders>
            <w:vAlign w:val="center"/>
          </w:tcPr>
          <w:p w14:paraId="768B8C46">
            <w:pPr>
              <w:pStyle w:val="23"/>
              <w:spacing w:before="125" w:line="228" w:lineRule="auto"/>
              <w:ind w:left="164"/>
              <w:jc w:val="center"/>
              <w:rPr>
                <w:rFonts w:hint="default"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20分</w:t>
            </w:r>
          </w:p>
        </w:tc>
        <w:tc>
          <w:tcPr>
            <w:tcW w:w="4330" w:type="dxa"/>
            <w:gridSpan w:val="2"/>
            <w:tcBorders>
              <w:bottom w:val="single" w:color="auto" w:sz="4" w:space="0"/>
            </w:tcBorders>
            <w:vAlign w:val="top"/>
          </w:tcPr>
          <w:p w14:paraId="2A743A99">
            <w:pPr>
              <w:pStyle w:val="23"/>
              <w:spacing w:before="125" w:line="228" w:lineRule="auto"/>
              <w:ind w:left="164"/>
              <w:rPr>
                <w:rFonts w:ascii="宋体" w:hAnsi="宋体" w:eastAsia="宋体" w:cs="宋体"/>
                <w:color w:val="auto"/>
                <w:spacing w:val="6"/>
                <w:highlight w:val="none"/>
              </w:rPr>
            </w:pPr>
          </w:p>
          <w:p w14:paraId="5C4541FB">
            <w:pPr>
              <w:pStyle w:val="23"/>
              <w:spacing w:before="125" w:line="228" w:lineRule="auto"/>
              <w:ind w:left="164"/>
              <w:rPr>
                <w:rFonts w:ascii="宋体" w:hAnsi="宋体" w:eastAsia="宋体" w:cs="宋体"/>
                <w:color w:val="auto"/>
                <w:spacing w:val="6"/>
                <w:highlight w:val="none"/>
              </w:rPr>
            </w:pPr>
          </w:p>
          <w:p w14:paraId="1EAF048A">
            <w:pPr>
              <w:pStyle w:val="23"/>
              <w:spacing w:before="125" w:line="228" w:lineRule="auto"/>
              <w:ind w:left="164"/>
              <w:rPr>
                <w:rFonts w:ascii="宋体" w:hAnsi="宋体" w:eastAsia="宋体" w:cs="宋体"/>
                <w:color w:val="auto"/>
                <w:spacing w:val="6"/>
                <w:highlight w:val="none"/>
              </w:rPr>
            </w:pPr>
          </w:p>
          <w:p w14:paraId="1D53BE4C">
            <w:pPr>
              <w:pStyle w:val="23"/>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监理人员符合资格审查要求的，得满分。</w:t>
            </w:r>
          </w:p>
        </w:tc>
      </w:tr>
      <w:tr w14:paraId="6299D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927" w:type="dxa"/>
            <w:vMerge w:val="restart"/>
            <w:tcBorders>
              <w:top w:val="single" w:color="auto" w:sz="4" w:space="0"/>
              <w:left w:val="single" w:color="auto" w:sz="4" w:space="0"/>
            </w:tcBorders>
            <w:vAlign w:val="center"/>
          </w:tcPr>
          <w:p w14:paraId="166FFD03">
            <w:pPr>
              <w:pStyle w:val="23"/>
              <w:spacing w:before="65" w:line="268" w:lineRule="exact"/>
              <w:ind w:left="208"/>
              <w:jc w:val="center"/>
              <w:rPr>
                <w:color w:val="auto"/>
                <w:highlight w:val="none"/>
              </w:rPr>
            </w:pPr>
            <w:r>
              <w:rPr>
                <w:color w:val="auto"/>
                <w:spacing w:val="2"/>
                <w:position w:val="1"/>
                <w:highlight w:val="none"/>
              </w:rPr>
              <w:t>2.2.4</w:t>
            </w:r>
          </w:p>
          <w:p w14:paraId="4D70928E">
            <w:pPr>
              <w:pStyle w:val="23"/>
              <w:spacing w:before="113" w:line="231" w:lineRule="auto"/>
              <w:ind w:left="348"/>
              <w:jc w:val="center"/>
              <w:rPr>
                <w:color w:val="auto"/>
                <w:highlight w:val="none"/>
              </w:rPr>
            </w:pPr>
            <w:r>
              <w:rPr>
                <w:color w:val="auto"/>
                <w:spacing w:val="-10"/>
                <w:highlight w:val="none"/>
              </w:rPr>
              <w:t>(3)</w:t>
            </w:r>
          </w:p>
        </w:tc>
        <w:tc>
          <w:tcPr>
            <w:tcW w:w="1173" w:type="dxa"/>
            <w:gridSpan w:val="3"/>
            <w:vMerge w:val="restart"/>
            <w:tcBorders>
              <w:top w:val="single" w:color="auto" w:sz="4" w:space="0"/>
            </w:tcBorders>
            <w:vAlign w:val="center"/>
          </w:tcPr>
          <w:p w14:paraId="1915E11B">
            <w:pPr>
              <w:pStyle w:val="23"/>
              <w:spacing w:before="65" w:line="226" w:lineRule="auto"/>
              <w:ind w:left="274"/>
              <w:jc w:val="center"/>
              <w:rPr>
                <w:color w:val="auto"/>
                <w:highlight w:val="none"/>
              </w:rPr>
            </w:pPr>
            <w:r>
              <w:rPr>
                <w:color w:val="auto"/>
                <w:spacing w:val="7"/>
                <w:highlight w:val="none"/>
              </w:rPr>
              <w:t>评标价</w:t>
            </w:r>
          </w:p>
        </w:tc>
        <w:tc>
          <w:tcPr>
            <w:tcW w:w="919" w:type="dxa"/>
            <w:tcBorders>
              <w:top w:val="single" w:color="auto" w:sz="4" w:space="0"/>
              <w:bottom w:val="single" w:color="auto" w:sz="4" w:space="0"/>
            </w:tcBorders>
            <w:vAlign w:val="center"/>
          </w:tcPr>
          <w:p w14:paraId="49142F31">
            <w:pPr>
              <w:pStyle w:val="23"/>
              <w:spacing w:before="65" w:line="228" w:lineRule="auto"/>
              <w:ind w:left="244"/>
              <w:jc w:val="center"/>
              <w:rPr>
                <w:color w:val="auto"/>
                <w:highlight w:val="none"/>
              </w:rPr>
            </w:pPr>
            <w:r>
              <w:rPr>
                <w:color w:val="auto"/>
                <w:spacing w:val="-5"/>
                <w:highlight w:val="none"/>
              </w:rPr>
              <w:t>10</w:t>
            </w:r>
            <w:r>
              <w:rPr>
                <w:color w:val="auto"/>
                <w:spacing w:val="-38"/>
                <w:highlight w:val="none"/>
              </w:rPr>
              <w:t xml:space="preserve"> </w:t>
            </w:r>
            <w:r>
              <w:rPr>
                <w:color w:val="auto"/>
                <w:spacing w:val="-5"/>
                <w:highlight w:val="none"/>
              </w:rPr>
              <w:t>分</w:t>
            </w:r>
          </w:p>
        </w:tc>
        <w:tc>
          <w:tcPr>
            <w:tcW w:w="5876" w:type="dxa"/>
            <w:gridSpan w:val="5"/>
            <w:tcBorders>
              <w:top w:val="single" w:color="auto" w:sz="4" w:space="0"/>
              <w:bottom w:val="single" w:color="auto" w:sz="4" w:space="0"/>
              <w:right w:val="single" w:color="auto" w:sz="4" w:space="0"/>
            </w:tcBorders>
            <w:vAlign w:val="top"/>
          </w:tcPr>
          <w:p w14:paraId="40A67C6A">
            <w:pPr>
              <w:pStyle w:val="23"/>
              <w:spacing w:before="36" w:line="226" w:lineRule="auto"/>
              <w:ind w:left="112"/>
              <w:rPr>
                <w:color w:val="auto"/>
                <w:highlight w:val="none"/>
              </w:rPr>
            </w:pPr>
            <w:r>
              <w:rPr>
                <w:color w:val="auto"/>
                <w:spacing w:val="8"/>
                <w:highlight w:val="none"/>
              </w:rPr>
              <w:t>评标价得分计算公式示例：</w:t>
            </w:r>
          </w:p>
          <w:p w14:paraId="4C148126">
            <w:pPr>
              <w:pStyle w:val="23"/>
              <w:spacing w:before="163" w:line="306" w:lineRule="auto"/>
              <w:ind w:left="113" w:right="136" w:firstLine="36"/>
              <w:rPr>
                <w:color w:val="auto"/>
                <w:highlight w:val="none"/>
              </w:rPr>
            </w:pPr>
            <w:r>
              <w:rPr>
                <w:color w:val="auto"/>
                <w:spacing w:val="17"/>
                <w:highlight w:val="none"/>
              </w:rPr>
              <w:t>(1)如果投标人的评标价&gt;评标基准价，则</w:t>
            </w:r>
            <w:r>
              <w:rPr>
                <w:color w:val="auto"/>
                <w:spacing w:val="16"/>
                <w:highlight w:val="none"/>
              </w:rPr>
              <w:t>评标价得分＝10-</w:t>
            </w:r>
            <w:r>
              <w:rPr>
                <w:color w:val="auto"/>
                <w:spacing w:val="5"/>
                <w:highlight w:val="none"/>
              </w:rPr>
              <w:t>偏差率×100× E</w:t>
            </w:r>
            <w:r>
              <w:rPr>
                <w:color w:val="auto"/>
                <w:spacing w:val="5"/>
                <w:position w:val="-3"/>
                <w:sz w:val="10"/>
                <w:szCs w:val="10"/>
                <w:highlight w:val="none"/>
              </w:rPr>
              <w:t>1</w:t>
            </w:r>
            <w:r>
              <w:rPr>
                <w:color w:val="auto"/>
                <w:spacing w:val="5"/>
                <w:highlight w:val="none"/>
              </w:rPr>
              <w:t>；</w:t>
            </w:r>
          </w:p>
          <w:p w14:paraId="6DC0839E">
            <w:pPr>
              <w:pStyle w:val="23"/>
              <w:spacing w:before="151" w:line="310" w:lineRule="auto"/>
              <w:ind w:left="113" w:right="136" w:firstLine="36"/>
              <w:rPr>
                <w:color w:val="auto"/>
                <w:highlight w:val="none"/>
              </w:rPr>
            </w:pPr>
            <w:r>
              <w:rPr>
                <w:color w:val="auto"/>
                <w:spacing w:val="13"/>
                <w:highlight w:val="none"/>
              </w:rPr>
              <w:t>(2)如果投标人的评标价≤评标基准价，则评标价得分＝10+</w:t>
            </w:r>
            <w:r>
              <w:rPr>
                <w:color w:val="auto"/>
                <w:spacing w:val="3"/>
                <w:highlight w:val="none"/>
              </w:rPr>
              <w:t>偏差率×</w:t>
            </w:r>
            <w:r>
              <w:rPr>
                <w:color w:val="auto"/>
                <w:spacing w:val="37"/>
                <w:highlight w:val="none"/>
              </w:rPr>
              <w:t xml:space="preserve"> </w:t>
            </w:r>
            <w:r>
              <w:rPr>
                <w:color w:val="auto"/>
                <w:spacing w:val="3"/>
                <w:highlight w:val="none"/>
              </w:rPr>
              <w:t>100× E</w:t>
            </w:r>
            <w:r>
              <w:rPr>
                <w:color w:val="auto"/>
                <w:spacing w:val="3"/>
                <w:position w:val="-2"/>
                <w:sz w:val="10"/>
                <w:szCs w:val="10"/>
                <w:highlight w:val="none"/>
              </w:rPr>
              <w:t>2</w:t>
            </w:r>
            <w:r>
              <w:rPr>
                <w:color w:val="auto"/>
                <w:spacing w:val="3"/>
                <w:highlight w:val="none"/>
              </w:rPr>
              <w:t>。</w:t>
            </w:r>
          </w:p>
          <w:p w14:paraId="39458FB8">
            <w:pPr>
              <w:pStyle w:val="23"/>
              <w:spacing w:before="146" w:line="358" w:lineRule="auto"/>
              <w:ind w:left="103" w:right="107" w:firstLine="10"/>
              <w:rPr>
                <w:color w:val="auto"/>
                <w:highlight w:val="none"/>
              </w:rPr>
            </w:pPr>
            <w:r>
              <w:rPr>
                <w:color w:val="auto"/>
                <w:spacing w:val="22"/>
                <w:highlight w:val="none"/>
              </w:rPr>
              <w:t>注</w:t>
            </w:r>
            <w:r>
              <w:rPr>
                <w:color w:val="auto"/>
                <w:spacing w:val="-45"/>
                <w:highlight w:val="none"/>
              </w:rPr>
              <w:t xml:space="preserve"> </w:t>
            </w:r>
            <w:r>
              <w:rPr>
                <w:color w:val="auto"/>
                <w:spacing w:val="22"/>
                <w:highlight w:val="none"/>
              </w:rPr>
              <w:t>：评标价得分计算保留小数点后四位</w:t>
            </w:r>
            <w:r>
              <w:rPr>
                <w:color w:val="auto"/>
                <w:spacing w:val="-55"/>
                <w:highlight w:val="none"/>
              </w:rPr>
              <w:t xml:space="preserve"> </w:t>
            </w:r>
            <w:r>
              <w:rPr>
                <w:color w:val="auto"/>
                <w:spacing w:val="22"/>
                <w:highlight w:val="none"/>
              </w:rPr>
              <w:t>，小数点后第五位</w:t>
            </w:r>
            <w:r>
              <w:rPr>
                <w:color w:val="auto"/>
                <w:spacing w:val="4"/>
                <w:highlight w:val="none"/>
              </w:rPr>
              <w:t>“</w:t>
            </w:r>
            <w:r>
              <w:rPr>
                <w:color w:val="auto"/>
                <w:spacing w:val="-69"/>
                <w:highlight w:val="none"/>
              </w:rPr>
              <w:t xml:space="preserve"> </w:t>
            </w:r>
            <w:r>
              <w:rPr>
                <w:color w:val="auto"/>
                <w:spacing w:val="4"/>
                <w:highlight w:val="none"/>
              </w:rPr>
              <w:t>四舍五入</w:t>
            </w:r>
            <w:r>
              <w:rPr>
                <w:color w:val="auto"/>
                <w:spacing w:val="-70"/>
                <w:highlight w:val="none"/>
              </w:rPr>
              <w:t xml:space="preserve"> </w:t>
            </w:r>
            <w:r>
              <w:rPr>
                <w:color w:val="auto"/>
                <w:spacing w:val="4"/>
                <w:highlight w:val="none"/>
              </w:rPr>
              <w:t>”。</w:t>
            </w:r>
          </w:p>
        </w:tc>
      </w:tr>
      <w:tr w14:paraId="7DD1E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7" w:type="dxa"/>
            <w:vMerge w:val="continue"/>
            <w:tcBorders>
              <w:left w:val="single" w:color="auto" w:sz="4" w:space="0"/>
              <w:bottom w:val="single" w:color="auto" w:sz="4" w:space="0"/>
            </w:tcBorders>
            <w:vAlign w:val="center"/>
          </w:tcPr>
          <w:p w14:paraId="61C0A033">
            <w:pPr>
              <w:jc w:val="center"/>
              <w:rPr>
                <w:rFonts w:ascii="Arial"/>
                <w:color w:val="auto"/>
                <w:sz w:val="21"/>
                <w:highlight w:val="none"/>
              </w:rPr>
            </w:pPr>
          </w:p>
        </w:tc>
        <w:tc>
          <w:tcPr>
            <w:tcW w:w="1173" w:type="dxa"/>
            <w:gridSpan w:val="3"/>
            <w:vMerge w:val="continue"/>
            <w:tcBorders>
              <w:bottom w:val="single" w:color="auto" w:sz="4" w:space="0"/>
            </w:tcBorders>
            <w:vAlign w:val="center"/>
          </w:tcPr>
          <w:p w14:paraId="4D96B085">
            <w:pPr>
              <w:jc w:val="center"/>
              <w:rPr>
                <w:rFonts w:ascii="Arial"/>
                <w:color w:val="auto"/>
                <w:sz w:val="21"/>
                <w:highlight w:val="none"/>
              </w:rPr>
            </w:pPr>
          </w:p>
        </w:tc>
        <w:tc>
          <w:tcPr>
            <w:tcW w:w="919" w:type="dxa"/>
            <w:tcBorders>
              <w:top w:val="single" w:color="auto" w:sz="4" w:space="0"/>
              <w:left w:val="single" w:color="auto" w:sz="4" w:space="0"/>
              <w:bottom w:val="single" w:color="auto" w:sz="4" w:space="0"/>
              <w:right w:val="single" w:color="auto" w:sz="4" w:space="0"/>
            </w:tcBorders>
            <w:vAlign w:val="center"/>
          </w:tcPr>
          <w:p w14:paraId="60FD3CDA">
            <w:pPr>
              <w:pStyle w:val="23"/>
              <w:spacing w:before="65" w:line="354" w:lineRule="auto"/>
              <w:ind w:left="153" w:right="68" w:rightChars="0" w:firstLine="18"/>
              <w:jc w:val="center"/>
              <w:rPr>
                <w:color w:val="auto"/>
                <w:highlight w:val="none"/>
              </w:rPr>
            </w:pPr>
            <w:r>
              <w:rPr>
                <w:color w:val="auto"/>
                <w:spacing w:val="2"/>
                <w:highlight w:val="none"/>
              </w:rPr>
              <w:t>E</w:t>
            </w:r>
            <w:r>
              <w:rPr>
                <w:color w:val="auto"/>
                <w:spacing w:val="-39"/>
                <w:highlight w:val="none"/>
              </w:rPr>
              <w:t xml:space="preserve"> </w:t>
            </w:r>
            <w:r>
              <w:rPr>
                <w:color w:val="auto"/>
                <w:spacing w:val="2"/>
                <w:highlight w:val="none"/>
              </w:rPr>
              <w:t>值确</w:t>
            </w:r>
            <w:r>
              <w:rPr>
                <w:color w:val="auto"/>
                <w:spacing w:val="5"/>
                <w:highlight w:val="none"/>
              </w:rPr>
              <w:t>定方式</w:t>
            </w:r>
          </w:p>
        </w:tc>
        <w:tc>
          <w:tcPr>
            <w:tcW w:w="5876" w:type="dxa"/>
            <w:gridSpan w:val="5"/>
            <w:tcBorders>
              <w:top w:val="single" w:color="auto" w:sz="4" w:space="0"/>
              <w:left w:val="single" w:color="auto" w:sz="4" w:space="0"/>
              <w:bottom w:val="single" w:color="auto" w:sz="4" w:space="0"/>
              <w:right w:val="single" w:color="auto" w:sz="4" w:space="0"/>
            </w:tcBorders>
            <w:vAlign w:val="top"/>
          </w:tcPr>
          <w:p w14:paraId="38133827">
            <w:pPr>
              <w:pStyle w:val="23"/>
              <w:spacing w:before="16" w:line="237" w:lineRule="auto"/>
              <w:ind w:left="111"/>
              <w:rPr>
                <w:color w:val="auto"/>
                <w:highlight w:val="none"/>
              </w:rPr>
            </w:pPr>
            <w:r>
              <w:rPr>
                <w:b/>
                <w:bCs/>
                <w:color w:val="auto"/>
                <w:spacing w:val="8"/>
                <w:highlight w:val="none"/>
              </w:rPr>
              <w:t>E</w:t>
            </w:r>
            <w:r>
              <w:rPr>
                <w:color w:val="auto"/>
                <w:spacing w:val="-39"/>
                <w:highlight w:val="none"/>
              </w:rPr>
              <w:t xml:space="preserve"> </w:t>
            </w:r>
            <w:r>
              <w:rPr>
                <w:b/>
                <w:bCs/>
                <w:color w:val="auto"/>
                <w:spacing w:val="8"/>
                <w:highlight w:val="none"/>
              </w:rPr>
              <w:t>值确定方式</w:t>
            </w:r>
            <w:r>
              <w:rPr>
                <w:b/>
                <w:bCs/>
                <w:color w:val="auto"/>
                <w:spacing w:val="-5"/>
                <w:highlight w:val="none"/>
              </w:rPr>
              <w:t>：</w:t>
            </w:r>
          </w:p>
          <w:p w14:paraId="1AC1E32C">
            <w:pPr>
              <w:pStyle w:val="23"/>
              <w:spacing w:line="242" w:lineRule="auto"/>
              <w:ind w:left="114"/>
              <w:rPr>
                <w:b/>
                <w:bCs/>
                <w:color w:val="auto"/>
                <w:spacing w:val="4"/>
                <w:highlight w:val="none"/>
              </w:rPr>
            </w:pPr>
          </w:p>
          <w:p w14:paraId="5E88E4D5">
            <w:pPr>
              <w:pStyle w:val="23"/>
              <w:spacing w:line="242" w:lineRule="auto"/>
              <w:ind w:left="114"/>
              <w:rPr>
                <w:color w:val="auto"/>
                <w:highlight w:val="none"/>
              </w:rPr>
            </w:pPr>
            <w:r>
              <w:rPr>
                <w:color w:val="auto"/>
                <w:spacing w:val="4"/>
                <w:highlight w:val="none"/>
              </w:rPr>
              <w:t>E</w:t>
            </w:r>
            <w:r>
              <w:rPr>
                <w:color w:val="auto"/>
                <w:spacing w:val="4"/>
                <w:position w:val="-2"/>
                <w:sz w:val="10"/>
                <w:szCs w:val="10"/>
                <w:highlight w:val="none"/>
              </w:rPr>
              <w:t>1</w:t>
            </w:r>
            <w:r>
              <w:rPr>
                <w:color w:val="auto"/>
                <w:spacing w:val="4"/>
                <w:highlight w:val="none"/>
              </w:rPr>
              <w:t>=1.5，E</w:t>
            </w:r>
            <w:r>
              <w:rPr>
                <w:color w:val="auto"/>
                <w:spacing w:val="4"/>
                <w:position w:val="-2"/>
                <w:sz w:val="10"/>
                <w:szCs w:val="10"/>
                <w:highlight w:val="none"/>
              </w:rPr>
              <w:t>2</w:t>
            </w:r>
            <w:r>
              <w:rPr>
                <w:color w:val="auto"/>
                <w:spacing w:val="4"/>
                <w:highlight w:val="none"/>
              </w:rPr>
              <w:t>=0.5，</w:t>
            </w:r>
          </w:p>
        </w:tc>
      </w:tr>
      <w:tr w14:paraId="2058C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restart"/>
            <w:tcBorders>
              <w:top w:val="single" w:color="auto" w:sz="4" w:space="0"/>
              <w:right w:val="single" w:color="auto" w:sz="4" w:space="0"/>
            </w:tcBorders>
            <w:vAlign w:val="center"/>
          </w:tcPr>
          <w:p w14:paraId="44AF73B2">
            <w:pPr>
              <w:pStyle w:val="23"/>
              <w:spacing w:before="65" w:line="351" w:lineRule="auto"/>
              <w:ind w:left="137" w:right="118" w:hanging="15"/>
              <w:jc w:val="center"/>
              <w:rPr>
                <w:color w:val="auto"/>
                <w:spacing w:val="4"/>
                <w:highlight w:val="none"/>
              </w:rPr>
            </w:pPr>
            <w:r>
              <w:rPr>
                <w:color w:val="auto"/>
                <w:spacing w:val="4"/>
                <w:highlight w:val="none"/>
              </w:rPr>
              <w:t>2.2.4</w:t>
            </w:r>
          </w:p>
          <w:p w14:paraId="10009957">
            <w:pPr>
              <w:pStyle w:val="23"/>
              <w:spacing w:before="65" w:line="351" w:lineRule="auto"/>
              <w:ind w:left="137" w:right="118" w:hanging="15"/>
              <w:jc w:val="center"/>
              <w:rPr>
                <w:color w:val="auto"/>
                <w:spacing w:val="4"/>
                <w:highlight w:val="none"/>
              </w:rPr>
            </w:pPr>
            <w:r>
              <w:rPr>
                <w:color w:val="auto"/>
                <w:spacing w:val="4"/>
                <w:highlight w:val="none"/>
              </w:rPr>
              <w:t>(4)</w:t>
            </w:r>
          </w:p>
        </w:tc>
        <w:tc>
          <w:tcPr>
            <w:tcW w:w="654" w:type="dxa"/>
            <w:gridSpan w:val="2"/>
            <w:vMerge w:val="restart"/>
            <w:tcBorders>
              <w:top w:val="single" w:color="auto" w:sz="4" w:space="0"/>
              <w:left w:val="single" w:color="auto" w:sz="4" w:space="0"/>
              <w:right w:val="single" w:color="auto" w:sz="4" w:space="0"/>
            </w:tcBorders>
            <w:vAlign w:val="center"/>
          </w:tcPr>
          <w:p w14:paraId="21F10E78">
            <w:pPr>
              <w:pStyle w:val="23"/>
              <w:spacing w:before="65" w:line="351" w:lineRule="auto"/>
              <w:ind w:left="137" w:right="118" w:hanging="15"/>
              <w:jc w:val="center"/>
              <w:rPr>
                <w:color w:val="auto"/>
                <w:spacing w:val="4"/>
                <w:highlight w:val="none"/>
              </w:rPr>
            </w:pPr>
          </w:p>
          <w:p w14:paraId="6995AC0B">
            <w:pPr>
              <w:pStyle w:val="23"/>
              <w:spacing w:before="65" w:line="351" w:lineRule="auto"/>
              <w:ind w:left="137" w:right="118" w:hanging="15"/>
              <w:jc w:val="center"/>
              <w:rPr>
                <w:color w:val="auto"/>
                <w:spacing w:val="4"/>
                <w:highlight w:val="none"/>
              </w:rPr>
            </w:pPr>
            <w:r>
              <w:rPr>
                <w:color w:val="auto"/>
                <w:spacing w:val="4"/>
                <w:highlight w:val="none"/>
              </w:rPr>
              <w:t>其他因素</w:t>
            </w:r>
          </w:p>
        </w:tc>
        <w:tc>
          <w:tcPr>
            <w:tcW w:w="51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9D3B0FF">
            <w:pPr>
              <w:pStyle w:val="23"/>
              <w:spacing w:before="65" w:line="351" w:lineRule="auto"/>
              <w:ind w:left="137" w:right="118" w:hanging="15"/>
              <w:jc w:val="center"/>
              <w:rPr>
                <w:color w:val="auto"/>
                <w:spacing w:val="-4"/>
                <w:highlight w:val="none"/>
              </w:rPr>
            </w:pPr>
            <w:r>
              <w:rPr>
                <w:color w:val="auto"/>
                <w:spacing w:val="4"/>
                <w:highlight w:val="none"/>
              </w:rPr>
              <w:t>业 绩</w:t>
            </w:r>
          </w:p>
        </w:tc>
        <w:tc>
          <w:tcPr>
            <w:tcW w:w="919" w:type="dxa"/>
            <w:vMerge w:val="restart"/>
            <w:tcBorders>
              <w:top w:val="single" w:color="auto" w:sz="4" w:space="0"/>
              <w:left w:val="single" w:color="auto" w:sz="4" w:space="0"/>
              <w:bottom w:val="single" w:color="auto" w:sz="4" w:space="0"/>
              <w:right w:val="single" w:color="auto" w:sz="4" w:space="0"/>
            </w:tcBorders>
            <w:vAlign w:val="center"/>
          </w:tcPr>
          <w:p w14:paraId="72FBA834">
            <w:pPr>
              <w:spacing w:line="245" w:lineRule="auto"/>
              <w:jc w:val="center"/>
              <w:rPr>
                <w:rFonts w:ascii="Arial"/>
                <w:color w:val="auto"/>
                <w:sz w:val="21"/>
                <w:highlight w:val="none"/>
              </w:rPr>
            </w:pPr>
          </w:p>
          <w:p w14:paraId="7C6CE557">
            <w:pPr>
              <w:pStyle w:val="23"/>
              <w:spacing w:before="65" w:line="228" w:lineRule="auto"/>
              <w:ind w:left="230"/>
              <w:jc w:val="center"/>
              <w:rPr>
                <w:color w:val="auto"/>
                <w:highlight w:val="none"/>
              </w:rPr>
            </w:pPr>
            <w:r>
              <w:rPr>
                <w:color w:val="auto"/>
                <w:spacing w:val="-1"/>
                <w:highlight w:val="none"/>
              </w:rPr>
              <w:t>25</w:t>
            </w:r>
            <w:r>
              <w:rPr>
                <w:color w:val="auto"/>
                <w:spacing w:val="-37"/>
                <w:highlight w:val="none"/>
              </w:rPr>
              <w:t xml:space="preserve"> </w:t>
            </w:r>
            <w:r>
              <w:rPr>
                <w:color w:val="auto"/>
                <w:spacing w:val="-1"/>
                <w:highlight w:val="none"/>
              </w:rPr>
              <w:t>分</w:t>
            </w:r>
          </w:p>
        </w:tc>
        <w:tc>
          <w:tcPr>
            <w:tcW w:w="946" w:type="dxa"/>
            <w:tcBorders>
              <w:top w:val="single" w:color="auto" w:sz="4" w:space="0"/>
              <w:left w:val="single" w:color="auto" w:sz="4" w:space="0"/>
              <w:bottom w:val="single" w:color="auto" w:sz="4" w:space="0"/>
            </w:tcBorders>
            <w:vAlign w:val="center"/>
          </w:tcPr>
          <w:p w14:paraId="531A6AAF">
            <w:pPr>
              <w:pStyle w:val="23"/>
              <w:keepNext w:val="0"/>
              <w:keepLines w:val="0"/>
              <w:pageBreakBefore w:val="0"/>
              <w:widowControl/>
              <w:kinsoku w:val="0"/>
              <w:wordWrap/>
              <w:overflowPunct/>
              <w:topLinePunct w:val="0"/>
              <w:autoSpaceDE w:val="0"/>
              <w:autoSpaceDN w:val="0"/>
              <w:bidi w:val="0"/>
              <w:adjustRightInd w:val="0"/>
              <w:snapToGrid w:val="0"/>
              <w:spacing w:line="282" w:lineRule="auto"/>
              <w:ind w:left="13" w:leftChars="6" w:right="34" w:firstLine="0" w:firstLineChars="0"/>
              <w:jc w:val="center"/>
              <w:textAlignment w:val="baseline"/>
              <w:rPr>
                <w:color w:val="auto"/>
                <w:highlight w:val="none"/>
              </w:rPr>
            </w:pPr>
            <w:r>
              <w:rPr>
                <w:color w:val="auto"/>
                <w:spacing w:val="6"/>
                <w:highlight w:val="none"/>
              </w:rPr>
              <w:t>基本要</w:t>
            </w:r>
            <w:r>
              <w:rPr>
                <w:color w:val="auto"/>
                <w:highlight w:val="none"/>
              </w:rPr>
              <w:t>求</w:t>
            </w:r>
          </w:p>
        </w:tc>
        <w:tc>
          <w:tcPr>
            <w:tcW w:w="581" w:type="dxa"/>
            <w:tcBorders>
              <w:top w:val="single" w:color="auto" w:sz="4" w:space="0"/>
              <w:bottom w:val="single" w:color="auto" w:sz="4" w:space="0"/>
            </w:tcBorders>
            <w:vAlign w:val="center"/>
          </w:tcPr>
          <w:p w14:paraId="1DA6AB0B">
            <w:pPr>
              <w:pStyle w:val="23"/>
              <w:keepNext w:val="0"/>
              <w:keepLines w:val="0"/>
              <w:pageBreakBefore w:val="0"/>
              <w:widowControl/>
              <w:kinsoku w:val="0"/>
              <w:wordWrap/>
              <w:overflowPunct/>
              <w:topLinePunct w:val="0"/>
              <w:autoSpaceDE w:val="0"/>
              <w:autoSpaceDN w:val="0"/>
              <w:bidi w:val="0"/>
              <w:adjustRightInd w:val="0"/>
              <w:snapToGrid w:val="0"/>
              <w:spacing w:line="282" w:lineRule="auto"/>
              <w:ind w:left="13" w:leftChars="6" w:right="34" w:firstLine="0" w:firstLineChars="0"/>
              <w:jc w:val="center"/>
              <w:textAlignment w:val="baseline"/>
              <w:rPr>
                <w:color w:val="auto"/>
                <w:highlight w:val="none"/>
              </w:rPr>
            </w:pPr>
            <w:r>
              <w:rPr>
                <w:color w:val="auto"/>
                <w:spacing w:val="-8"/>
                <w:highlight w:val="none"/>
                <w:u w:val="single" w:color="auto"/>
              </w:rPr>
              <w:t>15</w:t>
            </w:r>
            <w:r>
              <w:rPr>
                <w:color w:val="auto"/>
                <w:spacing w:val="-2"/>
                <w:highlight w:val="none"/>
              </w:rPr>
              <w:t>分</w:t>
            </w:r>
          </w:p>
        </w:tc>
        <w:tc>
          <w:tcPr>
            <w:tcW w:w="4349" w:type="dxa"/>
            <w:gridSpan w:val="3"/>
            <w:tcBorders>
              <w:top w:val="single" w:color="auto" w:sz="4" w:space="0"/>
              <w:bottom w:val="single" w:color="auto" w:sz="4" w:space="0"/>
            </w:tcBorders>
            <w:vAlign w:val="top"/>
          </w:tcPr>
          <w:p w14:paraId="5A21CBA0">
            <w:pPr>
              <w:pStyle w:val="23"/>
              <w:spacing w:before="144" w:line="282" w:lineRule="auto"/>
              <w:ind w:left="107" w:right="206" w:hanging="2"/>
              <w:rPr>
                <w:color w:val="auto"/>
                <w:highlight w:val="none"/>
              </w:rPr>
            </w:pPr>
            <w:r>
              <w:rPr>
                <w:color w:val="auto"/>
                <w:spacing w:val="6"/>
                <w:highlight w:val="none"/>
              </w:rPr>
              <w:t>满足招标文件附录</w:t>
            </w:r>
            <w:r>
              <w:rPr>
                <w:color w:val="auto"/>
                <w:spacing w:val="-27"/>
                <w:highlight w:val="none"/>
              </w:rPr>
              <w:t xml:space="preserve"> </w:t>
            </w:r>
            <w:r>
              <w:rPr>
                <w:color w:val="auto"/>
                <w:spacing w:val="6"/>
                <w:highlight w:val="none"/>
              </w:rPr>
              <w:t>2</w:t>
            </w:r>
            <w:r>
              <w:rPr>
                <w:color w:val="auto"/>
                <w:spacing w:val="-38"/>
                <w:highlight w:val="none"/>
              </w:rPr>
              <w:t xml:space="preserve"> </w:t>
            </w:r>
            <w:r>
              <w:rPr>
                <w:color w:val="auto"/>
                <w:spacing w:val="6"/>
                <w:highlight w:val="none"/>
              </w:rPr>
              <w:t>业绩最低要求的，得</w:t>
            </w:r>
            <w:r>
              <w:rPr>
                <w:color w:val="auto"/>
                <w:spacing w:val="-48"/>
                <w:highlight w:val="none"/>
              </w:rPr>
              <w:t xml:space="preserve"> </w:t>
            </w:r>
            <w:r>
              <w:rPr>
                <w:color w:val="auto"/>
                <w:spacing w:val="-76"/>
                <w:highlight w:val="none"/>
                <w:u w:val="single" w:color="auto"/>
              </w:rPr>
              <w:t xml:space="preserve"> </w:t>
            </w:r>
            <w:r>
              <w:rPr>
                <w:color w:val="auto"/>
                <w:spacing w:val="6"/>
                <w:highlight w:val="none"/>
                <w:u w:val="single" w:color="auto"/>
              </w:rPr>
              <w:t>15</w:t>
            </w:r>
            <w:r>
              <w:rPr>
                <w:color w:val="auto"/>
                <w:spacing w:val="-1"/>
                <w:highlight w:val="none"/>
              </w:rPr>
              <w:t>分。</w:t>
            </w:r>
          </w:p>
        </w:tc>
      </w:tr>
      <w:tr w14:paraId="6A9F5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continue"/>
            <w:tcBorders>
              <w:right w:val="single" w:color="auto" w:sz="4" w:space="0"/>
            </w:tcBorders>
            <w:vAlign w:val="center"/>
          </w:tcPr>
          <w:p w14:paraId="3F5A033F">
            <w:pPr>
              <w:jc w:val="center"/>
              <w:rPr>
                <w:rFonts w:ascii="Arial"/>
                <w:color w:val="auto"/>
                <w:sz w:val="21"/>
                <w:highlight w:val="none"/>
              </w:rPr>
            </w:pPr>
          </w:p>
        </w:tc>
        <w:tc>
          <w:tcPr>
            <w:tcW w:w="654" w:type="dxa"/>
            <w:gridSpan w:val="2"/>
            <w:vMerge w:val="continue"/>
            <w:tcBorders>
              <w:left w:val="single" w:color="auto" w:sz="4" w:space="0"/>
              <w:right w:val="single" w:color="auto" w:sz="4" w:space="0"/>
            </w:tcBorders>
            <w:vAlign w:val="center"/>
          </w:tcPr>
          <w:p w14:paraId="5615C634">
            <w:pPr>
              <w:jc w:val="center"/>
              <w:rPr>
                <w:rFonts w:ascii="Arial"/>
                <w:color w:val="auto"/>
                <w:sz w:val="21"/>
                <w:highlight w:val="none"/>
              </w:rPr>
            </w:pPr>
          </w:p>
        </w:tc>
        <w:tc>
          <w:tcPr>
            <w:tcW w:w="519"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B8A0587">
            <w:pPr>
              <w:pStyle w:val="23"/>
              <w:spacing w:before="65" w:line="351" w:lineRule="auto"/>
              <w:ind w:left="137" w:right="118" w:hanging="15"/>
              <w:jc w:val="center"/>
              <w:rPr>
                <w:color w:val="auto"/>
                <w:spacing w:val="-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779709E7">
            <w:pPr>
              <w:jc w:val="center"/>
              <w:rPr>
                <w:rFonts w:ascii="Arial"/>
                <w:color w:val="auto"/>
                <w:sz w:val="21"/>
                <w:highlight w:val="none"/>
              </w:rPr>
            </w:pPr>
          </w:p>
        </w:tc>
        <w:tc>
          <w:tcPr>
            <w:tcW w:w="946" w:type="dxa"/>
            <w:tcBorders>
              <w:top w:val="single" w:color="auto" w:sz="4" w:space="0"/>
              <w:left w:val="single" w:color="auto" w:sz="4" w:space="0"/>
            </w:tcBorders>
            <w:vAlign w:val="center"/>
          </w:tcPr>
          <w:p w14:paraId="5BA15B55">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color w:val="auto"/>
                <w:spacing w:val="3"/>
                <w:highlight w:val="none"/>
              </w:rPr>
              <w:t>路基</w:t>
            </w:r>
          </w:p>
          <w:p w14:paraId="5956437A">
            <w:pPr>
              <w:pStyle w:val="23"/>
              <w:keepNext w:val="0"/>
              <w:keepLines w:val="0"/>
              <w:pageBreakBefore w:val="0"/>
              <w:widowControl/>
              <w:kinsoku w:val="0"/>
              <w:wordWrap/>
              <w:overflowPunct/>
              <w:topLinePunct w:val="0"/>
              <w:autoSpaceDE w:val="0"/>
              <w:autoSpaceDN w:val="0"/>
              <w:bidi w:val="0"/>
              <w:adjustRightInd w:val="0"/>
              <w:snapToGrid w:val="0"/>
              <w:spacing w:line="214" w:lineRule="auto"/>
              <w:ind w:left="13" w:leftChars="6" w:right="34" w:firstLine="0" w:firstLineChars="0"/>
              <w:jc w:val="center"/>
              <w:textAlignment w:val="baseline"/>
              <w:rPr>
                <w:color w:val="auto"/>
                <w:highlight w:val="none"/>
              </w:rPr>
            </w:pPr>
            <w:r>
              <w:rPr>
                <w:color w:val="auto"/>
                <w:spacing w:val="3"/>
                <w:highlight w:val="none"/>
              </w:rPr>
              <w:t>工程</w:t>
            </w:r>
          </w:p>
        </w:tc>
        <w:tc>
          <w:tcPr>
            <w:tcW w:w="581" w:type="dxa"/>
            <w:tcBorders>
              <w:top w:val="single" w:color="auto" w:sz="4" w:space="0"/>
            </w:tcBorders>
            <w:vAlign w:val="center"/>
          </w:tcPr>
          <w:p w14:paraId="1306D347">
            <w:pPr>
              <w:pStyle w:val="23"/>
              <w:keepNext w:val="0"/>
              <w:keepLines w:val="0"/>
              <w:pageBreakBefore w:val="0"/>
              <w:widowControl/>
              <w:tabs>
                <w:tab w:val="left" w:pos="221"/>
              </w:tabs>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rFonts w:hint="eastAsia"/>
                <w:color w:val="auto"/>
                <w:highlight w:val="none"/>
                <w:u w:val="single" w:color="auto"/>
                <w:lang w:val="en-US" w:eastAsia="zh-CN"/>
              </w:rPr>
              <w:t>5</w:t>
            </w:r>
            <w:r>
              <w:rPr>
                <w:color w:val="auto"/>
                <w:highlight w:val="none"/>
              </w:rPr>
              <w:t>分</w:t>
            </w:r>
          </w:p>
        </w:tc>
        <w:tc>
          <w:tcPr>
            <w:tcW w:w="4349" w:type="dxa"/>
            <w:gridSpan w:val="3"/>
            <w:tcBorders>
              <w:top w:val="single" w:color="auto" w:sz="4" w:space="0"/>
            </w:tcBorders>
            <w:vAlign w:val="top"/>
          </w:tcPr>
          <w:p w14:paraId="5BE9B471">
            <w:pPr>
              <w:pStyle w:val="23"/>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none"/>
                <w:u w:val="single" w:color="auto"/>
              </w:rPr>
              <w:t xml:space="preserve"> </w:t>
            </w:r>
            <w:r>
              <w:rPr>
                <w:rFonts w:hint="eastAsia"/>
                <w:color w:val="auto"/>
                <w:spacing w:val="8"/>
                <w:highlight w:val="none"/>
                <w:u w:val="single" w:color="auto"/>
                <w:lang w:val="en-US" w:eastAsia="zh-CN"/>
              </w:rPr>
              <w:t>2</w:t>
            </w:r>
            <w:r>
              <w:rPr>
                <w:color w:val="auto"/>
                <w:spacing w:val="8"/>
                <w:highlight w:val="none"/>
                <w:u w:val="single" w:color="auto"/>
              </w:rPr>
              <w:t xml:space="preserve"> </w:t>
            </w:r>
            <w:r>
              <w:rPr>
                <w:color w:val="auto"/>
                <w:spacing w:val="-76"/>
                <w:highlight w:val="none"/>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262F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927" w:type="dxa"/>
            <w:vMerge w:val="continue"/>
            <w:tcBorders>
              <w:right w:val="single" w:color="auto" w:sz="4" w:space="0"/>
            </w:tcBorders>
            <w:vAlign w:val="center"/>
          </w:tcPr>
          <w:p w14:paraId="6CBA7884">
            <w:pPr>
              <w:jc w:val="center"/>
              <w:rPr>
                <w:rFonts w:ascii="Arial"/>
                <w:color w:val="auto"/>
                <w:sz w:val="21"/>
                <w:highlight w:val="none"/>
              </w:rPr>
            </w:pPr>
          </w:p>
        </w:tc>
        <w:tc>
          <w:tcPr>
            <w:tcW w:w="654" w:type="dxa"/>
            <w:gridSpan w:val="2"/>
            <w:vMerge w:val="continue"/>
            <w:tcBorders>
              <w:left w:val="single" w:color="auto" w:sz="4" w:space="0"/>
              <w:right w:val="single" w:color="auto" w:sz="4" w:space="0"/>
            </w:tcBorders>
            <w:vAlign w:val="center"/>
          </w:tcPr>
          <w:p w14:paraId="2EEBE7BB">
            <w:pPr>
              <w:jc w:val="center"/>
              <w:rPr>
                <w:rFonts w:ascii="Arial"/>
                <w:color w:val="auto"/>
                <w:sz w:val="21"/>
                <w:highlight w:val="none"/>
              </w:rPr>
            </w:pPr>
          </w:p>
        </w:tc>
        <w:tc>
          <w:tcPr>
            <w:tcW w:w="519"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1707188">
            <w:pPr>
              <w:pStyle w:val="23"/>
              <w:spacing w:before="65" w:line="351" w:lineRule="auto"/>
              <w:ind w:left="137" w:right="118" w:hanging="15"/>
              <w:jc w:val="center"/>
              <w:rPr>
                <w:color w:val="auto"/>
                <w:spacing w:val="-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74F4F16D">
            <w:pPr>
              <w:jc w:val="center"/>
              <w:rPr>
                <w:rFonts w:ascii="Arial"/>
                <w:color w:val="auto"/>
                <w:sz w:val="21"/>
                <w:highlight w:val="none"/>
              </w:rPr>
            </w:pPr>
          </w:p>
        </w:tc>
        <w:tc>
          <w:tcPr>
            <w:tcW w:w="946" w:type="dxa"/>
            <w:tcBorders>
              <w:left w:val="single" w:color="auto" w:sz="4" w:space="0"/>
            </w:tcBorders>
            <w:vAlign w:val="center"/>
          </w:tcPr>
          <w:p w14:paraId="4DB0845F">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color w:val="auto"/>
                <w:spacing w:val="3"/>
                <w:highlight w:val="none"/>
              </w:rPr>
              <w:t>路面</w:t>
            </w:r>
          </w:p>
          <w:p w14:paraId="79E9A5E7">
            <w:pPr>
              <w:pStyle w:val="23"/>
              <w:keepNext w:val="0"/>
              <w:keepLines w:val="0"/>
              <w:pageBreakBefore w:val="0"/>
              <w:widowControl/>
              <w:kinsoku w:val="0"/>
              <w:wordWrap/>
              <w:overflowPunct/>
              <w:topLinePunct w:val="0"/>
              <w:autoSpaceDE w:val="0"/>
              <w:autoSpaceDN w:val="0"/>
              <w:bidi w:val="0"/>
              <w:adjustRightInd w:val="0"/>
              <w:snapToGrid w:val="0"/>
              <w:spacing w:line="214" w:lineRule="auto"/>
              <w:ind w:left="13" w:leftChars="6" w:right="34" w:firstLine="0" w:firstLineChars="0"/>
              <w:jc w:val="center"/>
              <w:textAlignment w:val="baseline"/>
              <w:rPr>
                <w:color w:val="auto"/>
                <w:highlight w:val="none"/>
              </w:rPr>
            </w:pPr>
            <w:r>
              <w:rPr>
                <w:color w:val="auto"/>
                <w:spacing w:val="3"/>
                <w:highlight w:val="none"/>
              </w:rPr>
              <w:t>工程</w:t>
            </w:r>
          </w:p>
        </w:tc>
        <w:tc>
          <w:tcPr>
            <w:tcW w:w="581" w:type="dxa"/>
            <w:vAlign w:val="center"/>
          </w:tcPr>
          <w:p w14:paraId="63AF8F4B">
            <w:pPr>
              <w:pStyle w:val="23"/>
              <w:keepNext w:val="0"/>
              <w:keepLines w:val="0"/>
              <w:pageBreakBefore w:val="0"/>
              <w:widowControl/>
              <w:tabs>
                <w:tab w:val="left" w:pos="240"/>
              </w:tabs>
              <w:kinsoku w:val="0"/>
              <w:wordWrap/>
              <w:overflowPunct/>
              <w:topLinePunct w:val="0"/>
              <w:autoSpaceDE w:val="0"/>
              <w:autoSpaceDN w:val="0"/>
              <w:bidi w:val="0"/>
              <w:adjustRightInd w:val="0"/>
              <w:snapToGrid w:val="0"/>
              <w:spacing w:line="228" w:lineRule="auto"/>
              <w:ind w:left="13" w:leftChars="6" w:right="34" w:firstLine="0" w:firstLineChars="0"/>
              <w:jc w:val="center"/>
              <w:textAlignment w:val="baseline"/>
              <w:rPr>
                <w:color w:val="auto"/>
                <w:highlight w:val="none"/>
              </w:rPr>
            </w:pPr>
            <w:r>
              <w:rPr>
                <w:rFonts w:hint="eastAsia"/>
                <w:color w:val="auto"/>
                <w:highlight w:val="none"/>
                <w:u w:val="single" w:color="auto"/>
                <w:lang w:val="en-US" w:eastAsia="zh-CN"/>
              </w:rPr>
              <w:t>5</w:t>
            </w:r>
            <w:r>
              <w:rPr>
                <w:color w:val="auto"/>
                <w:highlight w:val="none"/>
              </w:rPr>
              <w:t>分</w:t>
            </w:r>
          </w:p>
        </w:tc>
        <w:tc>
          <w:tcPr>
            <w:tcW w:w="4349" w:type="dxa"/>
            <w:gridSpan w:val="3"/>
            <w:vAlign w:val="top"/>
          </w:tcPr>
          <w:p w14:paraId="076320BA">
            <w:pPr>
              <w:pStyle w:val="23"/>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none"/>
                <w:u w:val="single" w:color="auto"/>
              </w:rPr>
              <w:t xml:space="preserve"> </w:t>
            </w:r>
            <w:r>
              <w:rPr>
                <w:rFonts w:hint="eastAsia"/>
                <w:color w:val="auto"/>
                <w:spacing w:val="8"/>
                <w:highlight w:val="none"/>
                <w:u w:val="single" w:color="auto"/>
                <w:lang w:val="en-US" w:eastAsia="zh-CN"/>
              </w:rPr>
              <w:t>2</w:t>
            </w:r>
            <w:r>
              <w:rPr>
                <w:color w:val="auto"/>
                <w:spacing w:val="8"/>
                <w:highlight w:val="none"/>
                <w:u w:val="single" w:color="auto"/>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6"/>
                <w:highlight w:val="none"/>
                <w:u w:val="single" w:color="auto"/>
              </w:rPr>
              <w:t xml:space="preserve"> </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5A2C9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927" w:type="dxa"/>
            <w:vMerge w:val="continue"/>
            <w:tcBorders>
              <w:right w:val="single" w:color="auto" w:sz="4" w:space="0"/>
            </w:tcBorders>
            <w:vAlign w:val="center"/>
          </w:tcPr>
          <w:p w14:paraId="0E4B50ED">
            <w:pPr>
              <w:jc w:val="center"/>
              <w:rPr>
                <w:rFonts w:ascii="Arial"/>
                <w:color w:val="auto"/>
                <w:sz w:val="21"/>
                <w:highlight w:val="none"/>
              </w:rPr>
            </w:pPr>
          </w:p>
        </w:tc>
        <w:tc>
          <w:tcPr>
            <w:tcW w:w="654" w:type="dxa"/>
            <w:gridSpan w:val="2"/>
            <w:vMerge w:val="continue"/>
            <w:tcBorders>
              <w:left w:val="single" w:color="auto" w:sz="4" w:space="0"/>
              <w:bottom w:val="single" w:color="auto" w:sz="4" w:space="0"/>
              <w:right w:val="single" w:color="auto" w:sz="4" w:space="0"/>
            </w:tcBorders>
            <w:vAlign w:val="center"/>
          </w:tcPr>
          <w:p w14:paraId="52DAC2A8">
            <w:pPr>
              <w:jc w:val="center"/>
              <w:rPr>
                <w:rFonts w:ascii="Arial"/>
                <w:color w:val="auto"/>
                <w:sz w:val="21"/>
                <w:highlight w:val="none"/>
              </w:rPr>
            </w:pPr>
          </w:p>
        </w:tc>
        <w:tc>
          <w:tcPr>
            <w:tcW w:w="519" w:type="dxa"/>
            <w:tcBorders>
              <w:top w:val="single" w:color="auto" w:sz="4" w:space="0"/>
              <w:left w:val="single" w:color="auto" w:sz="4" w:space="0"/>
              <w:bottom w:val="single" w:color="auto" w:sz="4" w:space="0"/>
              <w:right w:val="single" w:color="auto" w:sz="4" w:space="0"/>
            </w:tcBorders>
            <w:textDirection w:val="tbRlV"/>
            <w:vAlign w:val="center"/>
          </w:tcPr>
          <w:p w14:paraId="1B261E4F">
            <w:pPr>
              <w:pStyle w:val="23"/>
              <w:spacing w:before="65" w:line="351" w:lineRule="auto"/>
              <w:ind w:left="265" w:right="268" w:firstLine="3"/>
              <w:jc w:val="center"/>
              <w:rPr>
                <w:color w:val="auto"/>
                <w:highlight w:val="none"/>
              </w:rPr>
            </w:pPr>
            <w:r>
              <w:rPr>
                <w:color w:val="auto"/>
                <w:spacing w:val="3"/>
                <w:highlight w:val="none"/>
              </w:rPr>
              <w:t>履 约 信 誉</w:t>
            </w:r>
          </w:p>
        </w:tc>
        <w:tc>
          <w:tcPr>
            <w:tcW w:w="919" w:type="dxa"/>
            <w:tcBorders>
              <w:top w:val="single" w:color="auto" w:sz="4" w:space="0"/>
              <w:left w:val="single" w:color="auto" w:sz="4" w:space="0"/>
              <w:bottom w:val="single" w:color="auto" w:sz="4" w:space="0"/>
              <w:right w:val="single" w:color="auto" w:sz="4" w:space="0"/>
            </w:tcBorders>
            <w:vAlign w:val="center"/>
          </w:tcPr>
          <w:p w14:paraId="5A462197">
            <w:pPr>
              <w:pStyle w:val="23"/>
              <w:tabs>
                <w:tab w:val="left" w:pos="452"/>
              </w:tabs>
              <w:spacing w:before="65" w:line="244" w:lineRule="auto"/>
              <w:ind w:left="138"/>
              <w:jc w:val="center"/>
              <w:rPr>
                <w:color w:val="auto"/>
                <w:sz w:val="10"/>
                <w:szCs w:val="10"/>
                <w:highlight w:val="none"/>
              </w:rPr>
            </w:pPr>
            <w:r>
              <w:rPr>
                <w:rFonts w:hint="eastAsia"/>
                <w:color w:val="auto"/>
                <w:position w:val="-2"/>
                <w:highlight w:val="none"/>
                <w:u w:val="single" w:color="auto"/>
                <w:lang w:val="en-US" w:eastAsia="zh-CN"/>
              </w:rPr>
              <w:t>15</w:t>
            </w:r>
            <w:r>
              <w:rPr>
                <w:color w:val="auto"/>
                <w:spacing w:val="-89"/>
                <w:position w:val="-2"/>
                <w:highlight w:val="none"/>
              </w:rPr>
              <w:t xml:space="preserve"> </w:t>
            </w:r>
            <w:r>
              <w:rPr>
                <w:color w:val="auto"/>
                <w:spacing w:val="2"/>
                <w:position w:val="-2"/>
                <w:highlight w:val="none"/>
              </w:rPr>
              <w:t>分</w:t>
            </w:r>
          </w:p>
        </w:tc>
        <w:tc>
          <w:tcPr>
            <w:tcW w:w="946" w:type="dxa"/>
            <w:tcBorders>
              <w:left w:val="single" w:color="auto" w:sz="4" w:space="0"/>
            </w:tcBorders>
            <w:vAlign w:val="center"/>
          </w:tcPr>
          <w:p w14:paraId="4D2C45E9">
            <w:pPr>
              <w:pStyle w:val="23"/>
              <w:spacing w:before="65" w:line="351" w:lineRule="auto"/>
              <w:ind w:left="265" w:right="268" w:firstLine="3"/>
              <w:jc w:val="center"/>
              <w:rPr>
                <w:color w:val="auto"/>
                <w:highlight w:val="none"/>
              </w:rPr>
            </w:pPr>
            <w:r>
              <w:rPr>
                <w:color w:val="auto"/>
                <w:spacing w:val="3"/>
                <w:highlight w:val="none"/>
              </w:rPr>
              <w:t>履约</w:t>
            </w:r>
            <w:r>
              <w:rPr>
                <w:color w:val="auto"/>
                <w:spacing w:val="4"/>
                <w:highlight w:val="none"/>
              </w:rPr>
              <w:t>信誉</w:t>
            </w:r>
          </w:p>
        </w:tc>
        <w:tc>
          <w:tcPr>
            <w:tcW w:w="581" w:type="dxa"/>
            <w:vAlign w:val="center"/>
          </w:tcPr>
          <w:p w14:paraId="7DAC11CF">
            <w:pPr>
              <w:spacing w:line="250" w:lineRule="auto"/>
              <w:jc w:val="center"/>
              <w:rPr>
                <w:color w:val="auto"/>
                <w:sz w:val="10"/>
                <w:szCs w:val="10"/>
                <w:highlight w:val="none"/>
              </w:rPr>
            </w:pPr>
            <w:r>
              <w:rPr>
                <w:rFonts w:hint="eastAsia" w:ascii="宋体" w:hAnsi="宋体" w:eastAsia="宋体" w:cs="宋体"/>
                <w:snapToGrid w:val="0"/>
                <w:color w:val="auto"/>
                <w:kern w:val="0"/>
                <w:position w:val="-2"/>
                <w:sz w:val="20"/>
                <w:szCs w:val="20"/>
                <w:highlight w:val="none"/>
                <w:u w:val="single" w:color="auto"/>
                <w:lang w:val="en-US" w:eastAsia="zh-CN" w:bidi="ar-SA"/>
              </w:rPr>
              <w:t>15分</w:t>
            </w:r>
          </w:p>
        </w:tc>
        <w:tc>
          <w:tcPr>
            <w:tcW w:w="4349" w:type="dxa"/>
            <w:gridSpan w:val="3"/>
            <w:vAlign w:val="center"/>
          </w:tcPr>
          <w:p w14:paraId="0C0F5425">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1.信用等级分值（ 10 分）</w:t>
            </w:r>
          </w:p>
          <w:p w14:paraId="5813CB8D">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0"/>
                <w:highlight w:val="none"/>
              </w:rPr>
            </w:pPr>
            <w:r>
              <w:rPr>
                <w:color w:val="auto"/>
                <w:spacing w:val="0"/>
                <w:highlight w:val="none"/>
              </w:rPr>
              <w:t>AA、A、B、C 级单位的信用等级分得分分别为10、9.5、8.9、7.3分。</w:t>
            </w:r>
          </w:p>
          <w:p w14:paraId="63143188">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0"/>
                <w:highlight w:val="none"/>
              </w:rPr>
              <w:t>注：信用等级的确定原则遵循投标人须知前附表10.2款的规定。以联合体形式投标的，按联合体成员中等级较低的计算</w:t>
            </w:r>
            <w:r>
              <w:rPr>
                <w:color w:val="auto"/>
                <w:spacing w:val="8"/>
                <w:highlight w:val="none"/>
              </w:rPr>
              <w:t>。</w:t>
            </w:r>
          </w:p>
          <w:p w14:paraId="4E571E37">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 履约情况（5 分）</w:t>
            </w:r>
          </w:p>
          <w:p w14:paraId="6B274388">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若没出现下述情形得满分；</w:t>
            </w:r>
          </w:p>
          <w:p w14:paraId="7B332D2F">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投标人因公路工程（含附属设施）质量、安全事故被：</w:t>
            </w:r>
          </w:p>
          <w:p w14:paraId="40D8799B">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（1）交通运输部行政处罚、且在处罚信息公示期内的，扣 2 分/次。</w:t>
            </w:r>
          </w:p>
          <w:p w14:paraId="213D0B14">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（2）广东省交通运输厅行政处罚、且在处罚信息公示期内的，扣 1 分/次。</w:t>
            </w:r>
          </w:p>
          <w:p w14:paraId="455F7011">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（3）（项目涉及各地级以上市）市交通运输局行政处罚、且在处罚信息公示期内的，扣 0.5 分/次。如该项目涉及多个地级以上市的均应扣分 。</w:t>
            </w:r>
          </w:p>
          <w:p w14:paraId="1F9CEA6E">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注：1.处罚信息公示期，是指行政机关将行政处罚决定信息通过信用中国向社会公开的期限； 以投标文件递交截止日 0 时是否位于处罚信息公示期，来判定是否影响相关投标人的履约情况得分，投标文件递交截止日 0 时在处罚信息公示期内应予 以扣分 、否则不予扣分。</w:t>
            </w:r>
          </w:p>
          <w:p w14:paraId="2085BC45">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2.同一事项同时被多个部门行政处罚只按最高的扣分计算 1 次。</w:t>
            </w:r>
          </w:p>
          <w:p w14:paraId="01675171">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3.第 2（3）条款“项目涉及各地级以上市 ”指：本项目（以立项为单位）涉及多个地市，如投标人所投某个标段</w:t>
            </w:r>
            <w:r>
              <w:rPr>
                <w:color w:val="auto"/>
                <w:spacing w:val="8"/>
                <w:highlight w:val="none"/>
              </w:rPr>
              <w:tab/>
            </w:r>
            <w:r>
              <w:rPr>
                <w:color w:val="auto"/>
                <w:spacing w:val="8"/>
                <w:highlight w:val="none"/>
              </w:rPr>
              <w:t>（仅涉及部分地市） ，该标段履约情况按项目（以立项为单位）涉及各地市交通运输局相关行政处罚均应包含。如某项目涉及 A、B、C 三个地级以上市，但标段 3 仅涉及 A 市，该条款履约情况应为 A、B、C 三个地级以上市交通运输局相关行政处罚（而非仅A市交通运输局相关行政处罚） ，且在招标文件编制时明确为“A、B、C 市交通运输局行政处罚、且在处罚信息公示期内的 ”。</w:t>
            </w:r>
          </w:p>
          <w:p w14:paraId="6BD9BB03">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left"/>
              <w:textAlignment w:val="baseline"/>
              <w:rPr>
                <w:color w:val="auto"/>
                <w:spacing w:val="8"/>
                <w:highlight w:val="none"/>
              </w:rPr>
            </w:pPr>
            <w:r>
              <w:rPr>
                <w:color w:val="auto"/>
                <w:spacing w:val="8"/>
                <w:highlight w:val="none"/>
              </w:rPr>
              <w:t>4.如果扣完本项分值，可以从总分中扣。 以联合体形式投标的，若各联合体成员任何一方或均存在上述情形的，对联合体各成员进行累计扣分。</w:t>
            </w:r>
          </w:p>
        </w:tc>
      </w:tr>
      <w:tr w14:paraId="3F0A6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895" w:type="dxa"/>
            <w:gridSpan w:val="10"/>
            <w:vAlign w:val="top"/>
          </w:tcPr>
          <w:p w14:paraId="1CC328D7">
            <w:pPr>
              <w:pStyle w:val="23"/>
              <w:spacing w:before="45" w:line="228" w:lineRule="auto"/>
              <w:ind w:left="126"/>
              <w:rPr>
                <w:color w:val="auto"/>
                <w:highlight w:val="none"/>
              </w:rPr>
            </w:pPr>
            <w:bookmarkStart w:id="298" w:name="bookmark131"/>
            <w:bookmarkEnd w:id="298"/>
            <w:bookmarkStart w:id="299" w:name="bookmark132"/>
            <w:bookmarkEnd w:id="299"/>
            <w:r>
              <w:rPr>
                <w:b/>
                <w:bCs/>
                <w:color w:val="auto"/>
                <w:spacing w:val="6"/>
                <w:highlight w:val="none"/>
              </w:rPr>
              <w:t>需要补充的其他内容</w:t>
            </w:r>
          </w:p>
        </w:tc>
      </w:tr>
      <w:tr w14:paraId="3ACE5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236" w:type="dxa"/>
            <w:gridSpan w:val="2"/>
            <w:vAlign w:val="top"/>
          </w:tcPr>
          <w:p w14:paraId="7BCA5647">
            <w:pPr>
              <w:pStyle w:val="23"/>
              <w:spacing w:before="72" w:line="228" w:lineRule="auto"/>
              <w:ind w:left="311"/>
              <w:rPr>
                <w:color w:val="auto"/>
                <w:highlight w:val="none"/>
              </w:rPr>
            </w:pPr>
            <w:r>
              <w:rPr>
                <w:color w:val="auto"/>
                <w:spacing w:val="6"/>
                <w:highlight w:val="none"/>
              </w:rPr>
              <w:t>条款号</w:t>
            </w:r>
          </w:p>
        </w:tc>
        <w:tc>
          <w:tcPr>
            <w:tcW w:w="7659" w:type="dxa"/>
            <w:gridSpan w:val="8"/>
            <w:vAlign w:val="top"/>
          </w:tcPr>
          <w:p w14:paraId="06A1AA2A">
            <w:pPr>
              <w:pStyle w:val="23"/>
              <w:spacing w:before="72" w:line="228" w:lineRule="auto"/>
              <w:ind w:left="2992"/>
              <w:rPr>
                <w:color w:val="auto"/>
                <w:highlight w:val="none"/>
              </w:rPr>
            </w:pPr>
            <w:r>
              <w:rPr>
                <w:color w:val="auto"/>
                <w:spacing w:val="8"/>
                <w:highlight w:val="none"/>
              </w:rPr>
              <w:t>补充或修改的内容</w:t>
            </w:r>
          </w:p>
        </w:tc>
      </w:tr>
      <w:tr w14:paraId="7198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236" w:type="dxa"/>
            <w:gridSpan w:val="2"/>
            <w:vAlign w:val="center"/>
          </w:tcPr>
          <w:p w14:paraId="52CABCBE">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eastAsia="宋体"/>
                <w:color w:val="auto"/>
                <w:spacing w:val="2"/>
                <w:position w:val="1"/>
                <w:highlight w:val="none"/>
                <w:lang w:val="en-US" w:eastAsia="zh-CN"/>
              </w:rPr>
            </w:pPr>
            <w:r>
              <w:rPr>
                <w:rFonts w:hint="eastAsia"/>
                <w:color w:val="auto"/>
                <w:spacing w:val="2"/>
                <w:position w:val="1"/>
                <w:highlight w:val="none"/>
                <w:lang w:val="en-US" w:eastAsia="zh-CN"/>
              </w:rPr>
              <w:t>1.1</w:t>
            </w:r>
          </w:p>
        </w:tc>
        <w:tc>
          <w:tcPr>
            <w:tcW w:w="7659" w:type="dxa"/>
            <w:gridSpan w:val="8"/>
            <w:vAlign w:val="center"/>
          </w:tcPr>
          <w:p w14:paraId="1645982D">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评标办法前附表正文1.1项内容修改如下：</w:t>
            </w:r>
          </w:p>
          <w:p w14:paraId="2E30072A">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1.1 评标方法</w:t>
            </w:r>
          </w:p>
          <w:p w14:paraId="1005E7C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color w:val="auto"/>
                <w:spacing w:val="6"/>
                <w:highlight w:val="none"/>
              </w:rPr>
            </w:pPr>
            <w:r>
              <w:rPr>
                <w:rFonts w:hint="eastAsia"/>
                <w:color w:val="auto"/>
                <w:spacing w:val="6"/>
                <w:highlight w:val="none"/>
              </w:rPr>
              <w:t>本次评标采用双信封的综合评估法。评标委员会对满足招标文件实质性要求的投标文件，按照本章第 2.2 款规定的评分标准进行打分，并将得分前5名不排序（按企业统一社会信用代码后4位由大到小排位）的投标人作为定标候选人推荐给招标人，但投标报价低于其成本的除外。综合评分相等时，评标委员会应按照评标办法前附表规定的优先次序推荐</w:t>
            </w:r>
            <w:r>
              <w:rPr>
                <w:rFonts w:hint="eastAsia"/>
                <w:color w:val="auto"/>
                <w:spacing w:val="6"/>
                <w:highlight w:val="none"/>
                <w:lang w:val="en-US" w:eastAsia="zh-CN"/>
              </w:rPr>
              <w:t>定</w:t>
            </w:r>
            <w:r>
              <w:rPr>
                <w:rFonts w:hint="eastAsia"/>
                <w:color w:val="auto"/>
                <w:spacing w:val="6"/>
                <w:highlight w:val="none"/>
              </w:rPr>
              <w:t>标候选人。</w:t>
            </w:r>
          </w:p>
        </w:tc>
      </w:tr>
      <w:tr w14:paraId="07091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 w:hRule="atLeast"/>
        </w:trPr>
        <w:tc>
          <w:tcPr>
            <w:tcW w:w="1236" w:type="dxa"/>
            <w:gridSpan w:val="2"/>
            <w:vAlign w:val="center"/>
          </w:tcPr>
          <w:p w14:paraId="063BEA1E">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color w:val="auto"/>
                <w:spacing w:val="2"/>
                <w:position w:val="1"/>
                <w:highlight w:val="none"/>
                <w:lang w:val="en-US" w:eastAsia="zh-CN"/>
              </w:rPr>
            </w:pPr>
            <w:r>
              <w:rPr>
                <w:rFonts w:hint="eastAsia"/>
                <w:color w:val="auto"/>
                <w:spacing w:val="2"/>
                <w:position w:val="1"/>
                <w:highlight w:val="none"/>
                <w:lang w:val="en-US" w:eastAsia="zh-CN"/>
              </w:rPr>
              <w:t>1.3</w:t>
            </w:r>
          </w:p>
        </w:tc>
        <w:tc>
          <w:tcPr>
            <w:tcW w:w="7659" w:type="dxa"/>
            <w:gridSpan w:val="8"/>
            <w:vAlign w:val="center"/>
          </w:tcPr>
          <w:p w14:paraId="21B0BAFD">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评标办法前附表正文1.</w:t>
            </w:r>
            <w:r>
              <w:rPr>
                <w:rFonts w:hint="eastAsia"/>
                <w:color w:val="auto"/>
                <w:spacing w:val="6"/>
                <w:highlight w:val="none"/>
                <w:lang w:val="en-US" w:eastAsia="zh-CN"/>
              </w:rPr>
              <w:t>3</w:t>
            </w:r>
            <w:r>
              <w:rPr>
                <w:rFonts w:hint="eastAsia"/>
                <w:color w:val="auto"/>
                <w:spacing w:val="6"/>
                <w:highlight w:val="none"/>
              </w:rPr>
              <w:t>项内容修改如下：</w:t>
            </w:r>
          </w:p>
          <w:p w14:paraId="4877C8D0">
            <w:pPr>
              <w:keepNext w:val="0"/>
              <w:keepLines w:val="0"/>
              <w:pageBreakBefore w:val="0"/>
              <w:widowControl/>
              <w:kinsoku w:val="0"/>
              <w:wordWrap/>
              <w:overflowPunct/>
              <w:topLinePunct w:val="0"/>
              <w:autoSpaceDE w:val="0"/>
              <w:autoSpaceDN w:val="0"/>
              <w:bidi w:val="0"/>
              <w:adjustRightInd w:val="0"/>
              <w:snapToGrid w:val="0"/>
              <w:spacing w:before="78" w:line="320" w:lineRule="exact"/>
              <w:ind w:left="18"/>
              <w:textAlignment w:val="baseline"/>
              <w:outlineLvl w:val="1"/>
              <w:rPr>
                <w:rFonts w:hint="eastAsia" w:ascii="宋体" w:hAnsi="宋体" w:eastAsia="宋体" w:cs="宋体"/>
                <w:snapToGrid w:val="0"/>
                <w:color w:val="auto"/>
                <w:spacing w:val="6"/>
                <w:kern w:val="0"/>
                <w:sz w:val="20"/>
                <w:szCs w:val="20"/>
                <w:highlight w:val="none"/>
                <w:lang w:val="en-US" w:eastAsia="en-US" w:bidi="ar-SA"/>
              </w:rPr>
            </w:pPr>
            <w:bookmarkStart w:id="300" w:name="_Toc17372"/>
            <w:bookmarkStart w:id="301" w:name="_Toc27061"/>
            <w:r>
              <w:rPr>
                <w:rFonts w:hint="eastAsia" w:ascii="宋体" w:hAnsi="宋体" w:eastAsia="宋体" w:cs="宋体"/>
                <w:snapToGrid w:val="0"/>
                <w:color w:val="auto"/>
                <w:spacing w:val="6"/>
                <w:kern w:val="0"/>
                <w:sz w:val="20"/>
                <w:szCs w:val="20"/>
                <w:highlight w:val="none"/>
                <w:lang w:val="en-US" w:eastAsia="en-US" w:bidi="ar-SA"/>
              </w:rPr>
              <w:t>1.3 评审工作程序</w:t>
            </w:r>
            <w:bookmarkEnd w:id="300"/>
            <w:bookmarkEnd w:id="301"/>
          </w:p>
          <w:p w14:paraId="2A10794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（一）第一个信封（商务及技术文件）：</w:t>
            </w:r>
          </w:p>
          <w:p w14:paraId="3069233A">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l、初步评审：包括形式评审与响应性评审、资格评审；</w:t>
            </w:r>
          </w:p>
          <w:p w14:paraId="36F6709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2、详细评审（评审打分）：评标委员会首先对通过初步评审的投标文件第一个信封（商务及技术文件）进行详细评审，对投标人的监理实施方案、主要人员、其他因素等分别评审打分。</w:t>
            </w:r>
          </w:p>
          <w:p w14:paraId="44C0F25C">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（二）第二个信封（报价文件）：</w:t>
            </w:r>
          </w:p>
          <w:p w14:paraId="27F7152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1、初步评审：</w:t>
            </w:r>
          </w:p>
          <w:p w14:paraId="38B2CB0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（1）只有投标文件第一个信封通过详细评审的投标人才能继续参加第二信封报价文件的形式评审与响应性评审；</w:t>
            </w:r>
          </w:p>
          <w:p w14:paraId="2C155333">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（2）报价算术性修正。</w:t>
            </w:r>
          </w:p>
          <w:p w14:paraId="6BF86428">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2、详细评审：计算评标基准价、评标价得分及综合得分：</w:t>
            </w:r>
          </w:p>
          <w:p w14:paraId="6D91859C">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（三）投标文件相关信息的核查。</w:t>
            </w:r>
          </w:p>
          <w:p w14:paraId="2788B4DB">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w:t>
            </w:r>
            <w:r>
              <w:rPr>
                <w:rFonts w:hint="eastAsia"/>
                <w:color w:val="auto"/>
                <w:spacing w:val="6"/>
                <w:highlight w:val="none"/>
                <w:lang w:val="en-US" w:eastAsia="zh-CN"/>
              </w:rPr>
              <w:t>四</w:t>
            </w:r>
            <w:r>
              <w:rPr>
                <w:rFonts w:hint="eastAsia"/>
                <w:color w:val="auto"/>
                <w:spacing w:val="6"/>
                <w:highlight w:val="none"/>
              </w:rPr>
              <w:t>）投标文件的澄清和说明(如有)。</w:t>
            </w:r>
          </w:p>
          <w:p w14:paraId="5C1943CF">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（五）按评标办法规定推荐</w:t>
            </w:r>
            <w:r>
              <w:rPr>
                <w:rFonts w:hint="eastAsia"/>
                <w:color w:val="auto"/>
                <w:spacing w:val="6"/>
                <w:highlight w:val="none"/>
                <w:lang w:val="en-US" w:eastAsia="zh-CN"/>
              </w:rPr>
              <w:t>定</w:t>
            </w:r>
            <w:r>
              <w:rPr>
                <w:rFonts w:hint="eastAsia"/>
                <w:color w:val="auto"/>
                <w:spacing w:val="6"/>
                <w:highlight w:val="none"/>
              </w:rPr>
              <w:t>标候选人，编写评标报告。</w:t>
            </w:r>
          </w:p>
        </w:tc>
      </w:tr>
      <w:tr w14:paraId="22E9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236" w:type="dxa"/>
            <w:gridSpan w:val="2"/>
            <w:vAlign w:val="center"/>
          </w:tcPr>
          <w:p w14:paraId="00F76C80">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color w:val="auto"/>
                <w:highlight w:val="none"/>
              </w:rPr>
            </w:pPr>
            <w:r>
              <w:rPr>
                <w:color w:val="auto"/>
                <w:spacing w:val="2"/>
                <w:position w:val="1"/>
                <w:highlight w:val="none"/>
              </w:rPr>
              <w:t>3.2.3</w:t>
            </w:r>
          </w:p>
        </w:tc>
        <w:tc>
          <w:tcPr>
            <w:tcW w:w="7659" w:type="dxa"/>
            <w:gridSpan w:val="8"/>
            <w:vAlign w:val="center"/>
          </w:tcPr>
          <w:p w14:paraId="6A078368">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color w:val="auto"/>
                <w:highlight w:val="none"/>
              </w:rPr>
            </w:pPr>
            <w:r>
              <w:rPr>
                <w:color w:val="auto"/>
                <w:spacing w:val="6"/>
                <w:highlight w:val="none"/>
              </w:rPr>
              <w:t>3.2.3</w:t>
            </w:r>
            <w:r>
              <w:rPr>
                <w:color w:val="auto"/>
                <w:spacing w:val="-28"/>
                <w:highlight w:val="none"/>
              </w:rPr>
              <w:t xml:space="preserve"> </w:t>
            </w:r>
            <w:r>
              <w:rPr>
                <w:color w:val="auto"/>
                <w:spacing w:val="6"/>
                <w:highlight w:val="none"/>
              </w:rPr>
              <w:t>款明确取消其中</w:t>
            </w:r>
            <w:r>
              <w:rPr>
                <w:color w:val="auto"/>
                <w:spacing w:val="-21"/>
                <w:highlight w:val="none"/>
              </w:rPr>
              <w:t xml:space="preserve"> </w:t>
            </w:r>
            <w:r>
              <w:rPr>
                <w:color w:val="auto"/>
                <w:spacing w:val="6"/>
                <w:highlight w:val="none"/>
              </w:rPr>
              <w:t>1</w:t>
            </w:r>
            <w:r>
              <w:rPr>
                <w:color w:val="auto"/>
                <w:spacing w:val="-36"/>
                <w:highlight w:val="none"/>
              </w:rPr>
              <w:t xml:space="preserve"> </w:t>
            </w:r>
            <w:r>
              <w:rPr>
                <w:color w:val="auto"/>
                <w:spacing w:val="6"/>
                <w:highlight w:val="none"/>
              </w:rPr>
              <w:t>名评委所有评分的办法明确为：办法</w:t>
            </w:r>
            <w:r>
              <w:rPr>
                <w:color w:val="auto"/>
                <w:spacing w:val="-97"/>
                <w:highlight w:val="none"/>
              </w:rPr>
              <w:t xml:space="preserve"> </w:t>
            </w:r>
            <w:r>
              <w:rPr>
                <w:color w:val="auto"/>
                <w:spacing w:val="6"/>
                <w:highlight w:val="none"/>
                <w:u w:val="single" w:color="auto"/>
              </w:rPr>
              <w:t xml:space="preserve">  </w:t>
            </w:r>
            <w:r>
              <w:rPr>
                <w:rFonts w:hint="eastAsia"/>
                <w:color w:val="auto"/>
                <w:spacing w:val="6"/>
                <w:highlight w:val="none"/>
                <w:u w:val="single" w:color="auto"/>
                <w:lang w:val="en-US" w:eastAsia="zh-CN"/>
              </w:rPr>
              <w:t xml:space="preserve">一 </w:t>
            </w:r>
            <w:r>
              <w:rPr>
                <w:color w:val="auto"/>
                <w:spacing w:val="6"/>
                <w:highlight w:val="none"/>
                <w:u w:val="single" w:color="auto"/>
              </w:rPr>
              <w:t xml:space="preserve">  </w:t>
            </w:r>
            <w:r>
              <w:rPr>
                <w:color w:val="auto"/>
                <w:spacing w:val="6"/>
                <w:highlight w:val="none"/>
              </w:rPr>
              <w:t>。</w:t>
            </w:r>
          </w:p>
        </w:tc>
      </w:tr>
      <w:tr w14:paraId="3B9F1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236" w:type="dxa"/>
            <w:gridSpan w:val="2"/>
            <w:vAlign w:val="center"/>
          </w:tcPr>
          <w:p w14:paraId="4FC977F5">
            <w:pPr>
              <w:pStyle w:val="23"/>
              <w:keepNext w:val="0"/>
              <w:keepLines w:val="0"/>
              <w:pageBreakBefore w:val="0"/>
              <w:widowControl/>
              <w:kinsoku w:val="0"/>
              <w:wordWrap/>
              <w:overflowPunct/>
              <w:topLinePunct w:val="0"/>
              <w:autoSpaceDE w:val="0"/>
              <w:autoSpaceDN w:val="0"/>
              <w:bidi w:val="0"/>
              <w:adjustRightInd w:val="0"/>
              <w:snapToGrid w:val="0"/>
              <w:spacing w:line="268" w:lineRule="exact"/>
              <w:ind w:left="0" w:firstLine="0" w:firstLineChars="0"/>
              <w:jc w:val="center"/>
              <w:textAlignment w:val="baseline"/>
              <w:rPr>
                <w:rFonts w:hint="default" w:eastAsia="宋体"/>
                <w:color w:val="auto"/>
                <w:spacing w:val="2"/>
                <w:position w:val="1"/>
                <w:highlight w:val="none"/>
                <w:lang w:val="en-US" w:eastAsia="zh-CN"/>
              </w:rPr>
            </w:pPr>
            <w:r>
              <w:rPr>
                <w:rFonts w:hint="eastAsia"/>
                <w:color w:val="auto"/>
                <w:spacing w:val="2"/>
                <w:position w:val="1"/>
                <w:highlight w:val="none"/>
                <w:lang w:val="en-US" w:eastAsia="zh-CN"/>
              </w:rPr>
              <w:t>3.9</w:t>
            </w:r>
          </w:p>
        </w:tc>
        <w:tc>
          <w:tcPr>
            <w:tcW w:w="7659" w:type="dxa"/>
            <w:gridSpan w:val="8"/>
            <w:vAlign w:val="center"/>
          </w:tcPr>
          <w:p w14:paraId="410F7E69">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评标办法前附表正文</w:t>
            </w:r>
            <w:r>
              <w:rPr>
                <w:rFonts w:hint="eastAsia"/>
                <w:color w:val="auto"/>
                <w:spacing w:val="6"/>
                <w:highlight w:val="none"/>
                <w:lang w:val="en-US" w:eastAsia="zh-CN"/>
              </w:rPr>
              <w:t>3</w:t>
            </w:r>
            <w:r>
              <w:rPr>
                <w:rFonts w:hint="eastAsia"/>
                <w:color w:val="auto"/>
                <w:spacing w:val="6"/>
                <w:highlight w:val="none"/>
              </w:rPr>
              <w:t>.</w:t>
            </w:r>
            <w:r>
              <w:rPr>
                <w:rFonts w:hint="eastAsia"/>
                <w:color w:val="auto"/>
                <w:spacing w:val="6"/>
                <w:highlight w:val="none"/>
                <w:lang w:val="en-US" w:eastAsia="zh-CN"/>
              </w:rPr>
              <w:t>9</w:t>
            </w:r>
            <w:r>
              <w:rPr>
                <w:rFonts w:hint="eastAsia"/>
                <w:color w:val="auto"/>
                <w:spacing w:val="6"/>
                <w:highlight w:val="none"/>
              </w:rPr>
              <w:t>项内容修改如下：</w:t>
            </w:r>
          </w:p>
          <w:p w14:paraId="0B5A5EF7">
            <w:pPr>
              <w:pStyle w:val="23"/>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color w:val="auto"/>
                <w:spacing w:val="6"/>
                <w:highlight w:val="none"/>
              </w:rPr>
            </w:pPr>
            <w:r>
              <w:rPr>
                <w:rFonts w:hint="eastAsia"/>
                <w:color w:val="auto"/>
                <w:spacing w:val="6"/>
                <w:highlight w:val="none"/>
              </w:rPr>
              <w:t>3.9 评标结果</w:t>
            </w:r>
          </w:p>
          <w:p w14:paraId="2F9B81D5">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3.9.1 除第二章“投标人须知 ”前附表授权直接确定中标人外，评标委员会按照得分按企业统一社会信用代码后4位由大到小排位推荐定标候选人</w:t>
            </w:r>
            <w:r>
              <w:rPr>
                <w:rFonts w:hint="eastAsia"/>
                <w:color w:val="auto"/>
                <w:spacing w:val="6"/>
                <w:highlight w:val="none"/>
                <w:lang w:eastAsia="zh-CN"/>
              </w:rPr>
              <w:t>，</w:t>
            </w:r>
            <w:r>
              <w:rPr>
                <w:rFonts w:hint="eastAsia" w:ascii="宋体" w:hAnsi="宋体" w:eastAsia="宋体" w:cs="宋体"/>
                <w:b w:val="0"/>
                <w:bCs w:val="0"/>
                <w:color w:val="auto"/>
                <w:spacing w:val="9"/>
                <w:sz w:val="21"/>
                <w:szCs w:val="21"/>
                <w:highlight w:val="none"/>
                <w:lang w:eastAsia="zh-CN"/>
              </w:rPr>
              <w:t>并对每个定标候选人的优势、风险等评审情况进行说明。定标候选人得分只作为评标委员会的推荐依据，不作为定标委员会对中标候选人排序的依据。</w:t>
            </w:r>
          </w:p>
          <w:p w14:paraId="2EEE43F6">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3.9.2 评标委员会完成评标后，应向招标人提交评标报告。</w:t>
            </w:r>
          </w:p>
          <w:p w14:paraId="2EB9987E">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3.9.3 通过第一个信封商务和技术文件评审的投标人少于 3 个的，评标委员会可以否决全部投标；未否决全部投标的，评标委员会应当在评标报告中阐明理由，招标人应当按照招标文件规定的程序进行第二个信封报价开标，但评标委员会在进行报价评审时仍有权否决全部投标；评标委员会未在报价文件评审时否决全部投标的，应当在评标报告中阐明理由并推荐</w:t>
            </w:r>
            <w:r>
              <w:rPr>
                <w:rFonts w:hint="eastAsia"/>
                <w:color w:val="auto"/>
                <w:spacing w:val="6"/>
                <w:highlight w:val="none"/>
                <w:lang w:val="en-US" w:eastAsia="zh-CN"/>
              </w:rPr>
              <w:t>定</w:t>
            </w:r>
            <w:r>
              <w:rPr>
                <w:rFonts w:hint="eastAsia"/>
                <w:color w:val="auto"/>
                <w:spacing w:val="6"/>
                <w:highlight w:val="none"/>
              </w:rPr>
              <w:t>标候选人。</w:t>
            </w:r>
          </w:p>
          <w:p w14:paraId="3AEF5165">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3.9.4 通过第一个信封商务和技术文件评审的投标人在 3 个及以上的，招标人应当按照招标文件规定的程序进行第二个信封报价文件开标；在对报价文件进行评审后，有效投标不足 3 个的，评标委员会可以否决全部投标。未否决全部投标的，评标委员会应当在评标报告中阐明理由并推荐</w:t>
            </w:r>
            <w:r>
              <w:rPr>
                <w:rFonts w:hint="eastAsia"/>
                <w:color w:val="auto"/>
                <w:spacing w:val="6"/>
                <w:highlight w:val="none"/>
                <w:lang w:val="en-US" w:eastAsia="zh-CN"/>
              </w:rPr>
              <w:t>定</w:t>
            </w:r>
            <w:r>
              <w:rPr>
                <w:rFonts w:hint="eastAsia"/>
                <w:color w:val="auto"/>
                <w:spacing w:val="6"/>
                <w:highlight w:val="none"/>
              </w:rPr>
              <w:t>标候选人。</w:t>
            </w:r>
          </w:p>
          <w:p w14:paraId="7087BD94">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3.9.5 如果发生无法确定推荐</w:t>
            </w:r>
            <w:r>
              <w:rPr>
                <w:rFonts w:hint="eastAsia"/>
                <w:color w:val="auto"/>
                <w:spacing w:val="6"/>
                <w:highlight w:val="none"/>
                <w:lang w:val="en-US" w:eastAsia="zh-CN"/>
              </w:rPr>
              <w:t>定</w:t>
            </w:r>
            <w:r>
              <w:rPr>
                <w:rFonts w:hint="eastAsia"/>
                <w:color w:val="auto"/>
                <w:spacing w:val="6"/>
                <w:highlight w:val="none"/>
              </w:rPr>
              <w:t>标候选人的其他意外情况，评标委员会可建议招标人重新招标。</w:t>
            </w:r>
          </w:p>
          <w:p w14:paraId="54906936">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3.9.6 本招标文件规定的否决投标条款包含在以下条款：</w:t>
            </w:r>
          </w:p>
          <w:p w14:paraId="4EC2F2C7">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（1）投标人须知前附表后附录资格审查条件；</w:t>
            </w:r>
          </w:p>
          <w:p w14:paraId="23A61471">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（2）投标人须知 1.4.3 项、1.4.4 项、1.4.5 项、1.12.2 项、3.4.2 项、3.5 项、 3.6.1 项；</w:t>
            </w:r>
          </w:p>
          <w:p w14:paraId="23218D52">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rFonts w:hint="eastAsia"/>
                <w:color w:val="auto"/>
                <w:spacing w:val="6"/>
                <w:highlight w:val="none"/>
              </w:rPr>
            </w:pPr>
            <w:r>
              <w:rPr>
                <w:rFonts w:hint="eastAsia"/>
                <w:color w:val="auto"/>
                <w:spacing w:val="6"/>
                <w:highlight w:val="none"/>
              </w:rPr>
              <w:t>（3）本评标办法的否决条款。</w:t>
            </w:r>
          </w:p>
          <w:p w14:paraId="01892054">
            <w:pPr>
              <w:pStyle w:val="23"/>
              <w:keepNext w:val="0"/>
              <w:keepLines w:val="0"/>
              <w:pageBreakBefore w:val="0"/>
              <w:widowControl/>
              <w:kinsoku w:val="0"/>
              <w:wordWrap/>
              <w:overflowPunct/>
              <w:topLinePunct w:val="0"/>
              <w:autoSpaceDE w:val="0"/>
              <w:autoSpaceDN w:val="0"/>
              <w:bidi w:val="0"/>
              <w:adjustRightInd w:val="0"/>
              <w:snapToGrid w:val="0"/>
              <w:spacing w:line="320" w:lineRule="exact"/>
              <w:ind w:left="0" w:firstLine="424" w:firstLineChars="200"/>
              <w:jc w:val="both"/>
              <w:textAlignment w:val="baseline"/>
              <w:rPr>
                <w:color w:val="auto"/>
                <w:spacing w:val="6"/>
                <w:highlight w:val="none"/>
              </w:rPr>
            </w:pPr>
          </w:p>
        </w:tc>
      </w:tr>
    </w:tbl>
    <w:p w14:paraId="0DEC840E">
      <w:pPr>
        <w:spacing w:line="220" w:lineRule="auto"/>
        <w:rPr>
          <w:rFonts w:ascii="宋体" w:hAnsi="宋体" w:eastAsia="宋体" w:cs="宋体"/>
          <w:color w:val="auto"/>
          <w:sz w:val="18"/>
          <w:szCs w:val="18"/>
          <w:highlight w:val="none"/>
        </w:rPr>
        <w:sectPr>
          <w:footerReference r:id="rId19" w:type="default"/>
          <w:pgSz w:w="11906" w:h="16839"/>
          <w:pgMar w:top="1416" w:right="1701" w:bottom="1297" w:left="1304" w:header="0" w:footer="1067" w:gutter="0"/>
          <w:pgBorders>
            <w:top w:val="none" w:sz="0" w:space="0"/>
            <w:left w:val="none" w:sz="0" w:space="0"/>
            <w:bottom w:val="none" w:sz="0" w:space="0"/>
            <w:right w:val="none" w:sz="0" w:space="0"/>
          </w:pgBorders>
          <w:pgNumType w:fmt="decimal"/>
          <w:cols w:space="720" w:num="1"/>
        </w:sectPr>
      </w:pPr>
      <w:bookmarkStart w:id="302" w:name="bookmark133"/>
      <w:bookmarkEnd w:id="302"/>
    </w:p>
    <w:p w14:paraId="0828E820">
      <w:pPr>
        <w:spacing w:before="63" w:line="224" w:lineRule="auto"/>
        <w:ind w:left="3023"/>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评标办法正文</w:t>
      </w:r>
    </w:p>
    <w:p w14:paraId="1422A010">
      <w:pPr>
        <w:spacing w:before="270" w:line="221" w:lineRule="auto"/>
        <w:ind w:left="30"/>
        <w:outlineLvl w:val="0"/>
        <w:rPr>
          <w:rFonts w:ascii="宋体" w:hAnsi="宋体" w:eastAsia="宋体" w:cs="宋体"/>
          <w:color w:val="auto"/>
          <w:sz w:val="28"/>
          <w:szCs w:val="28"/>
          <w:highlight w:val="none"/>
        </w:rPr>
      </w:pPr>
      <w:bookmarkStart w:id="303" w:name="_Toc15327"/>
      <w:bookmarkStart w:id="304" w:name="_Toc8415"/>
      <w:r>
        <w:rPr>
          <w:rFonts w:ascii="宋体" w:hAnsi="宋体" w:eastAsia="宋体" w:cs="宋体"/>
          <w:b/>
          <w:bCs/>
          <w:color w:val="auto"/>
          <w:spacing w:val="-7"/>
          <w:sz w:val="28"/>
          <w:szCs w:val="28"/>
          <w:highlight w:val="none"/>
        </w:rPr>
        <w:t>1.</w:t>
      </w:r>
      <w:r>
        <w:rPr>
          <w:rFonts w:ascii="宋体" w:hAnsi="宋体" w:eastAsia="宋体" w:cs="宋体"/>
          <w:color w:val="auto"/>
          <w:spacing w:val="-7"/>
          <w:sz w:val="28"/>
          <w:szCs w:val="28"/>
          <w:highlight w:val="none"/>
        </w:rPr>
        <w:t xml:space="preserve"> </w:t>
      </w:r>
      <w:r>
        <w:rPr>
          <w:rFonts w:ascii="宋体" w:hAnsi="宋体" w:eastAsia="宋体" w:cs="宋体"/>
          <w:b/>
          <w:bCs/>
          <w:color w:val="auto"/>
          <w:spacing w:val="-7"/>
          <w:sz w:val="28"/>
          <w:szCs w:val="28"/>
          <w:highlight w:val="none"/>
        </w:rPr>
        <w:t>评标方法</w:t>
      </w:r>
      <w:bookmarkEnd w:id="303"/>
      <w:bookmarkEnd w:id="304"/>
    </w:p>
    <w:p w14:paraId="351C8F1E">
      <w:pPr>
        <w:spacing w:line="266" w:lineRule="auto"/>
        <w:rPr>
          <w:rFonts w:ascii="Arial"/>
          <w:color w:val="auto"/>
          <w:sz w:val="21"/>
          <w:highlight w:val="none"/>
        </w:rPr>
      </w:pPr>
    </w:p>
    <w:p w14:paraId="58CAFAB0">
      <w:pPr>
        <w:spacing w:before="78" w:line="220" w:lineRule="auto"/>
        <w:ind w:left="26"/>
        <w:outlineLvl w:val="1"/>
        <w:rPr>
          <w:rFonts w:ascii="宋体" w:hAnsi="宋体" w:eastAsia="宋体" w:cs="宋体"/>
          <w:color w:val="auto"/>
          <w:sz w:val="24"/>
          <w:szCs w:val="24"/>
          <w:highlight w:val="none"/>
        </w:rPr>
      </w:pPr>
      <w:bookmarkStart w:id="305" w:name="_Toc18716"/>
      <w:bookmarkStart w:id="306" w:name="_Toc28771"/>
      <w:bookmarkStart w:id="307" w:name="_Toc22095"/>
      <w:bookmarkStart w:id="308" w:name="_Toc15937"/>
      <w:r>
        <w:rPr>
          <w:rFonts w:ascii="宋体" w:hAnsi="宋体" w:eastAsia="宋体" w:cs="宋体"/>
          <w:b/>
          <w:bCs/>
          <w:color w:val="auto"/>
          <w:spacing w:val="-7"/>
          <w:sz w:val="24"/>
          <w:szCs w:val="24"/>
          <w:highlight w:val="none"/>
        </w:rPr>
        <w:t>1.1</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评标方法</w:t>
      </w:r>
      <w:bookmarkEnd w:id="305"/>
      <w:bookmarkEnd w:id="306"/>
      <w:bookmarkEnd w:id="307"/>
      <w:bookmarkEnd w:id="308"/>
    </w:p>
    <w:p w14:paraId="5A711D04">
      <w:pPr>
        <w:spacing w:before="51" w:line="360" w:lineRule="auto"/>
        <w:ind w:left="9"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本次评标采用双信封的综合评估法。评标委员会对满足招标文件实质性要求的投</w:t>
      </w:r>
      <w:r>
        <w:rPr>
          <w:rFonts w:ascii="宋体" w:hAnsi="宋体" w:eastAsia="宋体" w:cs="宋体"/>
          <w:color w:val="auto"/>
          <w:spacing w:val="4"/>
          <w:sz w:val="24"/>
          <w:szCs w:val="24"/>
          <w:highlight w:val="none"/>
        </w:rPr>
        <w:t>标文件，按照本章第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款规定的评分标准进行打分，并按得分由高</w:t>
      </w:r>
      <w:r>
        <w:rPr>
          <w:rFonts w:ascii="宋体" w:hAnsi="宋体" w:eastAsia="宋体" w:cs="宋体"/>
          <w:color w:val="auto"/>
          <w:spacing w:val="3"/>
          <w:sz w:val="24"/>
          <w:szCs w:val="24"/>
          <w:highlight w:val="none"/>
        </w:rPr>
        <w:t>到低顺序推荐中</w:t>
      </w:r>
      <w:r>
        <w:rPr>
          <w:rFonts w:ascii="宋体" w:hAnsi="宋体" w:eastAsia="宋体" w:cs="宋体"/>
          <w:color w:val="auto"/>
          <w:spacing w:val="5"/>
          <w:sz w:val="24"/>
          <w:szCs w:val="24"/>
          <w:highlight w:val="none"/>
        </w:rPr>
        <w:t>标候选人，但投标报价低于其成本的除外。综合评分相等时，评标委员会</w:t>
      </w:r>
      <w:r>
        <w:rPr>
          <w:rFonts w:ascii="宋体" w:hAnsi="宋体" w:eastAsia="宋体" w:cs="宋体"/>
          <w:color w:val="auto"/>
          <w:spacing w:val="4"/>
          <w:sz w:val="24"/>
          <w:szCs w:val="24"/>
          <w:highlight w:val="none"/>
        </w:rPr>
        <w:t>应按照评标</w:t>
      </w:r>
      <w:r>
        <w:rPr>
          <w:rFonts w:ascii="宋体" w:hAnsi="宋体" w:eastAsia="宋体" w:cs="宋体"/>
          <w:color w:val="auto"/>
          <w:spacing w:val="-1"/>
          <w:sz w:val="24"/>
          <w:szCs w:val="24"/>
          <w:highlight w:val="none"/>
        </w:rPr>
        <w:t>办法前附表规定的优先次序推荐中标候选人或确定中标人。</w:t>
      </w:r>
    </w:p>
    <w:p w14:paraId="42005E4E">
      <w:pPr>
        <w:spacing w:before="137" w:line="220" w:lineRule="auto"/>
        <w:ind w:left="26"/>
        <w:outlineLvl w:val="1"/>
        <w:rPr>
          <w:rFonts w:ascii="宋体" w:hAnsi="宋体" w:eastAsia="宋体" w:cs="宋体"/>
          <w:color w:val="auto"/>
          <w:sz w:val="24"/>
          <w:szCs w:val="24"/>
          <w:highlight w:val="none"/>
        </w:rPr>
      </w:pPr>
      <w:bookmarkStart w:id="309" w:name="_Toc4898"/>
      <w:bookmarkStart w:id="310" w:name="_Toc27624"/>
      <w:bookmarkStart w:id="311" w:name="_Toc7588"/>
      <w:bookmarkStart w:id="312" w:name="_Toc27353"/>
      <w:r>
        <w:rPr>
          <w:rFonts w:ascii="宋体" w:hAnsi="宋体" w:eastAsia="宋体" w:cs="宋体"/>
          <w:b/>
          <w:bCs/>
          <w:color w:val="auto"/>
          <w:spacing w:val="-7"/>
          <w:sz w:val="24"/>
          <w:szCs w:val="24"/>
          <w:highlight w:val="none"/>
        </w:rPr>
        <w:t>1.2</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评标组织</w:t>
      </w:r>
      <w:bookmarkEnd w:id="309"/>
      <w:bookmarkEnd w:id="310"/>
      <w:bookmarkEnd w:id="311"/>
      <w:bookmarkEnd w:id="312"/>
    </w:p>
    <w:p w14:paraId="4528E392">
      <w:pPr>
        <w:spacing w:before="53" w:line="220"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1.2.1</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协助工作组</w:t>
      </w:r>
    </w:p>
    <w:p w14:paraId="6CCC4F53">
      <w:pPr>
        <w:spacing w:before="181" w:line="359" w:lineRule="auto"/>
        <w:ind w:left="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招标人可在评标工作开始前成立协助工作组，选派熟悉招标工作、政治素质高的人员组成，协助评标委员会工作。协助工作组人员的具体数量由招标人视评</w:t>
      </w:r>
      <w:r>
        <w:rPr>
          <w:rFonts w:ascii="宋体" w:hAnsi="宋体" w:eastAsia="宋体" w:cs="宋体"/>
          <w:color w:val="auto"/>
          <w:spacing w:val="4"/>
          <w:sz w:val="24"/>
          <w:szCs w:val="24"/>
          <w:highlight w:val="none"/>
        </w:rPr>
        <w:t>标工作量</w:t>
      </w:r>
      <w:r>
        <w:rPr>
          <w:rFonts w:ascii="宋体" w:hAnsi="宋体" w:eastAsia="宋体" w:cs="宋体"/>
          <w:color w:val="auto"/>
          <w:spacing w:val="-4"/>
          <w:sz w:val="24"/>
          <w:szCs w:val="24"/>
          <w:highlight w:val="none"/>
        </w:rPr>
        <w:t>确定。</w:t>
      </w:r>
    </w:p>
    <w:p w14:paraId="1B0CF348">
      <w:pPr>
        <w:spacing w:before="1" w:line="218" w:lineRule="auto"/>
        <w:ind w:left="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招标人可以协助评标委员会开展下列工作并提供相关信息：</w:t>
      </w:r>
    </w:p>
    <w:p w14:paraId="2D99785F">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（1）根据招标文件，编制评标使用的相应表格；</w:t>
      </w:r>
    </w:p>
    <w:p w14:paraId="2CC90CA1">
      <w:pPr>
        <w:spacing w:before="183" w:line="218"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（2）对投标报价进行算术性校核；</w:t>
      </w:r>
    </w:p>
    <w:p w14:paraId="2C1BD94E">
      <w:pPr>
        <w:spacing w:before="182" w:line="290" w:lineRule="auto"/>
        <w:ind w:left="12"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（3）以评标标准和方法为依据，列出投标文件相对于招标文件的所有偏差，并进</w:t>
      </w:r>
      <w:r>
        <w:rPr>
          <w:rFonts w:ascii="宋体" w:hAnsi="宋体" w:eastAsia="宋体" w:cs="宋体"/>
          <w:color w:val="auto"/>
          <w:spacing w:val="-3"/>
          <w:sz w:val="24"/>
          <w:szCs w:val="24"/>
          <w:highlight w:val="none"/>
        </w:rPr>
        <w:t>行归类汇总；</w:t>
      </w:r>
    </w:p>
    <w:p w14:paraId="23A2766A">
      <w:pPr>
        <w:spacing w:before="146" w:line="321" w:lineRule="auto"/>
        <w:ind w:left="10" w:firstLine="48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（4）查询全国公路建设市场监督管理系统</w:t>
      </w:r>
      <w:r>
        <w:rPr>
          <w:rFonts w:ascii="宋体" w:hAnsi="宋体" w:eastAsia="宋体" w:cs="宋体"/>
          <w:color w:val="auto"/>
          <w:spacing w:val="-26"/>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7"/>
          <w:sz w:val="24"/>
          <w:szCs w:val="24"/>
          <w:highlight w:val="none"/>
        </w:rPr>
        <w:t xml:space="preserve"> </w:t>
      </w:r>
      <w:r>
        <w:rPr>
          <w:rFonts w:ascii="宋体" w:hAnsi="宋体" w:eastAsia="宋体" w:cs="宋体"/>
          <w:color w:val="auto"/>
          <w:spacing w:val="2"/>
          <w:sz w:val="24"/>
          <w:szCs w:val="24"/>
          <w:highlight w:val="none"/>
        </w:rPr>
        <w:t>对投标人的资质、业绩、主</w:t>
      </w:r>
      <w:r>
        <w:rPr>
          <w:rFonts w:ascii="宋体" w:hAnsi="宋体" w:eastAsia="宋体" w:cs="宋体"/>
          <w:color w:val="auto"/>
          <w:spacing w:val="1"/>
          <w:sz w:val="24"/>
          <w:szCs w:val="24"/>
          <w:highlight w:val="none"/>
        </w:rPr>
        <w:t>要人员</w:t>
      </w:r>
      <w:r>
        <w:rPr>
          <w:rFonts w:ascii="宋体" w:hAnsi="宋体" w:eastAsia="宋体" w:cs="宋体"/>
          <w:color w:val="auto"/>
          <w:spacing w:val="5"/>
          <w:sz w:val="24"/>
          <w:szCs w:val="24"/>
          <w:highlight w:val="none"/>
        </w:rPr>
        <w:t>资历和目前在岗情况、信用等级进行核实（如有）。在投标截止当天查</w:t>
      </w:r>
      <w:r>
        <w:rPr>
          <w:rFonts w:ascii="宋体" w:hAnsi="宋体" w:eastAsia="宋体" w:cs="宋体"/>
          <w:color w:val="auto"/>
          <w:spacing w:val="4"/>
          <w:sz w:val="24"/>
          <w:szCs w:val="24"/>
          <w:highlight w:val="none"/>
        </w:rPr>
        <w:t>询投标人在信</w:t>
      </w:r>
      <w:r>
        <w:rPr>
          <w:rFonts w:ascii="宋体" w:hAnsi="宋体" w:eastAsia="宋体" w:cs="宋体"/>
          <w:color w:val="auto"/>
          <w:spacing w:val="-1"/>
          <w:sz w:val="24"/>
          <w:szCs w:val="24"/>
          <w:highlight w:val="none"/>
        </w:rPr>
        <w:t>用中国中的行政处罚公示信息，并提交评标委员会。</w:t>
      </w:r>
    </w:p>
    <w:p w14:paraId="7A83B400">
      <w:pPr>
        <w:spacing w:before="184" w:line="359" w:lineRule="auto"/>
        <w:ind w:left="7"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招标人不得对投标文件作出任何评价，不得故意遗漏或者片面摘录，不得在评标</w:t>
      </w:r>
      <w:r>
        <w:rPr>
          <w:rFonts w:ascii="宋体" w:hAnsi="宋体" w:eastAsia="宋体" w:cs="宋体"/>
          <w:color w:val="auto"/>
          <w:spacing w:val="-1"/>
          <w:sz w:val="24"/>
          <w:szCs w:val="24"/>
          <w:highlight w:val="none"/>
        </w:rPr>
        <w:t>委员会对所有偏差定性之前透露存有偏差的投标人名称。</w:t>
      </w:r>
    </w:p>
    <w:p w14:paraId="0C2C9887">
      <w:pPr>
        <w:spacing w:before="1" w:line="218"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1.2.2</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评标委员会</w:t>
      </w:r>
    </w:p>
    <w:p w14:paraId="046F0558">
      <w:pPr>
        <w:spacing w:before="184" w:line="359" w:lineRule="auto"/>
        <w:ind w:left="9"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评标委员会由招标人按国家、广东省等的有关规定依法组建。评标委员人数参见</w:t>
      </w:r>
      <w:r>
        <w:rPr>
          <w:rFonts w:ascii="宋体" w:hAnsi="宋体" w:eastAsia="宋体" w:cs="宋体"/>
          <w:color w:val="auto"/>
          <w:sz w:val="24"/>
          <w:szCs w:val="24"/>
          <w:highlight w:val="none"/>
        </w:rPr>
        <w:t>本招标文件“投标人须知前附表第6.1.1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款</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”。评标委员会的主要工作内容包括：</w:t>
      </w:r>
    </w:p>
    <w:p w14:paraId="4BD068A8">
      <w:pPr>
        <w:spacing w:before="2" w:line="288" w:lineRule="auto"/>
        <w:ind w:left="9" w:firstLine="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（1）评标委员会开始评标工作之前，首先听取招标人、协助工作组关于工程情况</w:t>
      </w:r>
      <w:r>
        <w:rPr>
          <w:rFonts w:ascii="宋体" w:hAnsi="宋体" w:eastAsia="宋体" w:cs="宋体"/>
          <w:color w:val="auto"/>
          <w:sz w:val="24"/>
          <w:szCs w:val="24"/>
          <w:highlight w:val="none"/>
        </w:rPr>
        <w:t>和辅助工作的说明，并认真研读招标文件，获取评</w:t>
      </w:r>
      <w:r>
        <w:rPr>
          <w:rFonts w:ascii="宋体" w:hAnsi="宋体" w:eastAsia="宋体" w:cs="宋体"/>
          <w:color w:val="auto"/>
          <w:spacing w:val="-1"/>
          <w:sz w:val="24"/>
          <w:szCs w:val="24"/>
          <w:highlight w:val="none"/>
        </w:rPr>
        <w:t>标所需的重要信息和数据；</w:t>
      </w:r>
    </w:p>
    <w:p w14:paraId="3EB5F22E">
      <w:pPr>
        <w:spacing w:before="182" w:line="219" w:lineRule="auto"/>
        <w:ind w:left="499"/>
        <w:rPr>
          <w:rFonts w:ascii="宋体" w:hAnsi="宋体" w:eastAsia="宋体" w:cs="宋体"/>
          <w:color w:val="auto"/>
          <w:sz w:val="24"/>
          <w:szCs w:val="24"/>
          <w:highlight w:val="none"/>
        </w:rPr>
      </w:pPr>
      <w:bookmarkStart w:id="313" w:name="bookmark136"/>
      <w:bookmarkEnd w:id="313"/>
      <w:r>
        <w:rPr>
          <w:rFonts w:ascii="宋体" w:hAnsi="宋体" w:eastAsia="宋体" w:cs="宋体"/>
          <w:color w:val="auto"/>
          <w:spacing w:val="-1"/>
          <w:sz w:val="24"/>
          <w:szCs w:val="24"/>
          <w:highlight w:val="none"/>
        </w:rPr>
        <w:t>（2）对协助工作组提供的评标工作用表和评标内容进行核查。</w:t>
      </w:r>
    </w:p>
    <w:p w14:paraId="6CD44E1B">
      <w:pPr>
        <w:spacing w:line="258" w:lineRule="auto"/>
        <w:rPr>
          <w:rFonts w:ascii="Arial"/>
          <w:color w:val="auto"/>
          <w:sz w:val="21"/>
          <w:highlight w:val="none"/>
        </w:rPr>
      </w:pPr>
    </w:p>
    <w:p w14:paraId="671B6DDC">
      <w:pPr>
        <w:spacing w:line="220" w:lineRule="auto"/>
        <w:rPr>
          <w:rFonts w:ascii="宋体" w:hAnsi="宋体" w:eastAsia="宋体" w:cs="宋体"/>
          <w:color w:val="auto"/>
          <w:sz w:val="18"/>
          <w:szCs w:val="18"/>
          <w:highlight w:val="none"/>
        </w:rPr>
        <w:sectPr>
          <w:footerReference r:id="rId20" w:type="default"/>
          <w:pgSz w:w="11906" w:h="16839"/>
          <w:pgMar w:top="1403" w:right="1417" w:bottom="1297" w:left="1417" w:header="0" w:footer="1066" w:gutter="0"/>
          <w:pgBorders>
            <w:top w:val="none" w:sz="0" w:space="0"/>
            <w:left w:val="none" w:sz="0" w:space="0"/>
            <w:bottom w:val="none" w:sz="0" w:space="0"/>
            <w:right w:val="none" w:sz="0" w:space="0"/>
          </w:pgBorders>
          <w:pgNumType w:fmt="decimal"/>
          <w:cols w:space="720" w:num="1"/>
        </w:sectPr>
      </w:pPr>
    </w:p>
    <w:p w14:paraId="68BB3F77">
      <w:pPr>
        <w:spacing w:before="48"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（3）按照以下</w:t>
      </w:r>
      <w:r>
        <w:rPr>
          <w:rFonts w:ascii="宋体" w:hAnsi="宋体" w:eastAsia="宋体" w:cs="宋体"/>
          <w:color w:val="auto"/>
          <w:spacing w:val="-27"/>
          <w:sz w:val="24"/>
          <w:szCs w:val="24"/>
          <w:highlight w:val="none"/>
        </w:rPr>
        <w:t xml:space="preserve"> </w:t>
      </w:r>
      <w:r>
        <w:rPr>
          <w:rFonts w:ascii="宋体" w:hAnsi="宋体" w:eastAsia="宋体" w:cs="宋体"/>
          <w:color w:val="auto"/>
          <w:spacing w:val="-3"/>
          <w:sz w:val="24"/>
          <w:szCs w:val="24"/>
          <w:highlight w:val="none"/>
        </w:rPr>
        <w:t>1.3</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款程序进行各项评审工作。</w:t>
      </w:r>
    </w:p>
    <w:p w14:paraId="2D718BEF">
      <w:pPr>
        <w:spacing w:line="245" w:lineRule="auto"/>
        <w:rPr>
          <w:rFonts w:ascii="Arial"/>
          <w:color w:val="auto"/>
          <w:sz w:val="21"/>
          <w:highlight w:val="none"/>
        </w:rPr>
      </w:pPr>
    </w:p>
    <w:p w14:paraId="08CD0586">
      <w:pPr>
        <w:spacing w:before="78" w:line="220" w:lineRule="auto"/>
        <w:ind w:left="18"/>
        <w:outlineLvl w:val="1"/>
        <w:rPr>
          <w:rFonts w:ascii="宋体" w:hAnsi="宋体" w:eastAsia="宋体" w:cs="宋体"/>
          <w:color w:val="auto"/>
          <w:sz w:val="24"/>
          <w:szCs w:val="24"/>
          <w:highlight w:val="none"/>
        </w:rPr>
      </w:pPr>
      <w:bookmarkStart w:id="314" w:name="_Toc26677"/>
      <w:bookmarkStart w:id="315" w:name="_Toc117"/>
      <w:bookmarkStart w:id="316" w:name="_Toc21759"/>
      <w:bookmarkStart w:id="317" w:name="_Toc20558"/>
      <w:r>
        <w:rPr>
          <w:rFonts w:ascii="宋体" w:hAnsi="宋体" w:eastAsia="宋体" w:cs="宋体"/>
          <w:b/>
          <w:bCs/>
          <w:color w:val="auto"/>
          <w:spacing w:val="-6"/>
          <w:sz w:val="24"/>
          <w:szCs w:val="24"/>
          <w:highlight w:val="none"/>
        </w:rPr>
        <w:t>1.3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6"/>
          <w:sz w:val="24"/>
          <w:szCs w:val="24"/>
          <w:highlight w:val="none"/>
        </w:rPr>
        <w:t>评审工作程序</w:t>
      </w:r>
      <w:bookmarkEnd w:id="314"/>
      <w:bookmarkEnd w:id="315"/>
      <w:bookmarkEnd w:id="316"/>
      <w:bookmarkEnd w:id="317"/>
    </w:p>
    <w:p w14:paraId="13FBA181">
      <w:pPr>
        <w:spacing w:before="50"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（一）第一个信封（商务及技术文件</w:t>
      </w:r>
      <w:r>
        <w:rPr>
          <w:rFonts w:ascii="宋体" w:hAnsi="宋体" w:eastAsia="宋体" w:cs="宋体"/>
          <w:color w:val="auto"/>
          <w:spacing w:val="5"/>
          <w:sz w:val="24"/>
          <w:szCs w:val="24"/>
          <w:highlight w:val="none"/>
        </w:rPr>
        <w:t>）：</w:t>
      </w:r>
    </w:p>
    <w:p w14:paraId="1F2EBDBE">
      <w:pPr>
        <w:spacing w:before="183"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l、初步评审：包括形式评审与响应性评审、资格评审；</w:t>
      </w:r>
    </w:p>
    <w:p w14:paraId="0A4E8534">
      <w:pPr>
        <w:spacing w:before="182" w:line="312" w:lineRule="auto"/>
        <w:ind w:firstLine="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2、详细评审（评审打分</w:t>
      </w:r>
      <w:r>
        <w:rPr>
          <w:rFonts w:ascii="宋体" w:hAnsi="宋体" w:eastAsia="宋体" w:cs="宋体"/>
          <w:color w:val="auto"/>
          <w:spacing w:val="12"/>
          <w:sz w:val="24"/>
          <w:szCs w:val="24"/>
          <w:highlight w:val="none"/>
        </w:rPr>
        <w:t>）：</w:t>
      </w:r>
      <w:r>
        <w:rPr>
          <w:rFonts w:ascii="宋体" w:hAnsi="宋体" w:eastAsia="宋体" w:cs="宋体"/>
          <w:color w:val="auto"/>
          <w:spacing w:val="1"/>
          <w:sz w:val="24"/>
          <w:szCs w:val="24"/>
          <w:highlight w:val="none"/>
        </w:rPr>
        <w:t>评标委员会首先对通过初步评审的投标文件第一个信</w:t>
      </w:r>
      <w:r>
        <w:rPr>
          <w:rFonts w:ascii="宋体" w:hAnsi="宋体" w:eastAsia="宋体" w:cs="宋体"/>
          <w:color w:val="auto"/>
          <w:spacing w:val="5"/>
          <w:sz w:val="24"/>
          <w:szCs w:val="24"/>
          <w:highlight w:val="none"/>
        </w:rPr>
        <w:t>封（商务及技术文件）进行详细评审，对投标人的监理实施方案、主要人员、</w:t>
      </w:r>
      <w:r>
        <w:rPr>
          <w:rFonts w:ascii="宋体" w:hAnsi="宋体" w:eastAsia="宋体" w:cs="宋体"/>
          <w:color w:val="auto"/>
          <w:spacing w:val="4"/>
          <w:sz w:val="24"/>
          <w:szCs w:val="24"/>
          <w:highlight w:val="none"/>
        </w:rPr>
        <w:t>其他因</w:t>
      </w:r>
      <w:r>
        <w:rPr>
          <w:rFonts w:ascii="宋体" w:hAnsi="宋体" w:eastAsia="宋体" w:cs="宋体"/>
          <w:color w:val="auto"/>
          <w:spacing w:val="-1"/>
          <w:sz w:val="24"/>
          <w:szCs w:val="24"/>
          <w:highlight w:val="none"/>
        </w:rPr>
        <w:t>素等分别评审打分。</w:t>
      </w:r>
    </w:p>
    <w:p w14:paraId="0007BBE7">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（二）第二个信封（报价文件</w:t>
      </w:r>
      <w:r>
        <w:rPr>
          <w:rFonts w:ascii="宋体" w:hAnsi="宋体" w:eastAsia="宋体" w:cs="宋体"/>
          <w:color w:val="auto"/>
          <w:spacing w:val="2"/>
          <w:sz w:val="24"/>
          <w:szCs w:val="24"/>
          <w:highlight w:val="none"/>
        </w:rPr>
        <w:t>）：</w:t>
      </w:r>
    </w:p>
    <w:p w14:paraId="42828E03">
      <w:pPr>
        <w:spacing w:before="182" w:line="219" w:lineRule="auto"/>
        <w:ind w:left="61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1、初步评审：</w:t>
      </w:r>
    </w:p>
    <w:p w14:paraId="79860363">
      <w:pPr>
        <w:spacing w:before="183" w:line="289" w:lineRule="auto"/>
        <w:ind w:left="2"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（1）只有投标文件第一个信封通过详细评审的投标人才能继续参加第二信封报价</w:t>
      </w:r>
      <w:r>
        <w:rPr>
          <w:rFonts w:ascii="宋体" w:hAnsi="宋体" w:eastAsia="宋体" w:cs="宋体"/>
          <w:color w:val="auto"/>
          <w:spacing w:val="-1"/>
          <w:sz w:val="24"/>
          <w:szCs w:val="24"/>
          <w:highlight w:val="none"/>
        </w:rPr>
        <w:t>文件的形式评审与响应性评审；</w:t>
      </w:r>
    </w:p>
    <w:p w14:paraId="293E794E">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（2）报价算术性修正。</w:t>
      </w:r>
    </w:p>
    <w:p w14:paraId="212B7828">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2、详细评审：计算评标基准价、评标价得分及综合得分：</w:t>
      </w:r>
    </w:p>
    <w:p w14:paraId="61B2FB6C">
      <w:pPr>
        <w:spacing w:before="18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（三）投标文件相关信息的核查。</w:t>
      </w:r>
    </w:p>
    <w:p w14:paraId="4260B51A">
      <w:pPr>
        <w:spacing w:before="183" w:line="219"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(四)投标文件的澄清和说明(如有)。</w:t>
      </w:r>
    </w:p>
    <w:p w14:paraId="7D458B3D">
      <w:pPr>
        <w:spacing w:before="180" w:line="218"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（五）按评标办法规定推荐中标候选人，编写评标报告。</w:t>
      </w:r>
    </w:p>
    <w:p w14:paraId="17BDA856">
      <w:pPr>
        <w:spacing w:before="190" w:line="221" w:lineRule="auto"/>
        <w:ind w:left="5"/>
        <w:outlineLvl w:val="0"/>
        <w:rPr>
          <w:rFonts w:ascii="宋体" w:hAnsi="宋体" w:eastAsia="宋体" w:cs="宋体"/>
          <w:color w:val="auto"/>
          <w:sz w:val="28"/>
          <w:szCs w:val="28"/>
          <w:highlight w:val="none"/>
        </w:rPr>
      </w:pPr>
      <w:bookmarkStart w:id="318" w:name="_Toc7546"/>
      <w:bookmarkStart w:id="319" w:name="_Toc21251"/>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评审标准</w:t>
      </w:r>
      <w:bookmarkEnd w:id="318"/>
      <w:bookmarkEnd w:id="319"/>
    </w:p>
    <w:p w14:paraId="502697F9">
      <w:pPr>
        <w:spacing w:line="266" w:lineRule="auto"/>
        <w:rPr>
          <w:rFonts w:ascii="Arial"/>
          <w:color w:val="auto"/>
          <w:sz w:val="21"/>
          <w:highlight w:val="none"/>
        </w:rPr>
      </w:pPr>
    </w:p>
    <w:p w14:paraId="36B1092E">
      <w:pPr>
        <w:spacing w:before="79" w:line="219" w:lineRule="auto"/>
        <w:ind w:left="3"/>
        <w:outlineLvl w:val="1"/>
        <w:rPr>
          <w:rFonts w:ascii="宋体" w:hAnsi="宋体" w:eastAsia="宋体" w:cs="宋体"/>
          <w:color w:val="auto"/>
          <w:sz w:val="24"/>
          <w:szCs w:val="24"/>
          <w:highlight w:val="none"/>
        </w:rPr>
      </w:pPr>
      <w:bookmarkStart w:id="320" w:name="_Toc23263"/>
      <w:bookmarkStart w:id="321" w:name="_Toc8597"/>
      <w:bookmarkStart w:id="322" w:name="_Toc15114"/>
      <w:bookmarkStart w:id="323" w:name="_Toc25581"/>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初步评审标准</w:t>
      </w:r>
      <w:bookmarkEnd w:id="320"/>
      <w:bookmarkEnd w:id="321"/>
      <w:bookmarkEnd w:id="322"/>
      <w:bookmarkEnd w:id="323"/>
    </w:p>
    <w:p w14:paraId="3FFA0899">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2.1.1 形式评审标准：见评标办法前附表。</w:t>
      </w:r>
    </w:p>
    <w:p w14:paraId="71F549D5">
      <w:pPr>
        <w:spacing w:before="183" w:line="219" w:lineRule="auto"/>
        <w:ind w:left="483"/>
        <w:rPr>
          <w:rFonts w:ascii="宋体" w:hAnsi="宋体" w:eastAsia="宋体" w:cs="宋体"/>
          <w:color w:val="auto"/>
          <w:sz w:val="24"/>
          <w:szCs w:val="24"/>
          <w:highlight w:val="none"/>
        </w:rPr>
      </w:pPr>
      <w:r>
        <w:rPr>
          <w:rFonts w:ascii="宋体" w:hAnsi="宋体" w:eastAsia="宋体" w:cs="宋体"/>
          <w:color w:val="auto"/>
          <w:sz w:val="24"/>
          <w:szCs w:val="24"/>
          <w:highlight w:val="none"/>
        </w:rPr>
        <w:t>2.1.2 资格评审标准：见评标办法前附表</w:t>
      </w:r>
      <w:r>
        <w:rPr>
          <w:rFonts w:ascii="宋体" w:hAnsi="宋体" w:eastAsia="宋体" w:cs="宋体"/>
          <w:color w:val="auto"/>
          <w:spacing w:val="-1"/>
          <w:sz w:val="24"/>
          <w:szCs w:val="24"/>
          <w:highlight w:val="none"/>
        </w:rPr>
        <w:t>（适用于未进行资格预审的）。</w:t>
      </w:r>
    </w:p>
    <w:p w14:paraId="3CBFAC68">
      <w:pPr>
        <w:spacing w:before="183" w:line="289" w:lineRule="auto"/>
        <w:ind w:left="12" w:firstLine="47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2.1.2 资格评审标准：见资格预审文件第三章“</w:t>
      </w:r>
      <w:r>
        <w:rPr>
          <w:rFonts w:ascii="宋体" w:hAnsi="宋体" w:eastAsia="宋体" w:cs="宋体"/>
          <w:color w:val="auto"/>
          <w:spacing w:val="-81"/>
          <w:sz w:val="24"/>
          <w:szCs w:val="24"/>
          <w:highlight w:val="none"/>
        </w:rPr>
        <w:t xml:space="preserve"> </w:t>
      </w:r>
      <w:r>
        <w:rPr>
          <w:rFonts w:ascii="宋体" w:hAnsi="宋体" w:eastAsia="宋体" w:cs="宋体"/>
          <w:color w:val="auto"/>
          <w:spacing w:val="9"/>
          <w:sz w:val="24"/>
          <w:szCs w:val="24"/>
          <w:highlight w:val="none"/>
        </w:rPr>
        <w:t>资格审查办法</w:t>
      </w:r>
      <w:r>
        <w:rPr>
          <w:rFonts w:ascii="宋体" w:hAnsi="宋体" w:eastAsia="宋体" w:cs="宋体"/>
          <w:color w:val="auto"/>
          <w:spacing w:val="-74"/>
          <w:sz w:val="24"/>
          <w:szCs w:val="24"/>
          <w:highlight w:val="none"/>
        </w:rPr>
        <w:t xml:space="preserve"> </w:t>
      </w:r>
      <w:r>
        <w:rPr>
          <w:rFonts w:ascii="宋体" w:hAnsi="宋体" w:eastAsia="宋体" w:cs="宋体"/>
          <w:color w:val="auto"/>
          <w:spacing w:val="9"/>
          <w:sz w:val="24"/>
          <w:szCs w:val="24"/>
          <w:highlight w:val="none"/>
        </w:rPr>
        <w:t>”详细审查标准</w:t>
      </w:r>
      <w:r>
        <w:rPr>
          <w:rFonts w:ascii="宋体" w:hAnsi="宋体" w:eastAsia="宋体" w:cs="宋体"/>
          <w:color w:val="auto"/>
          <w:spacing w:val="-2"/>
          <w:sz w:val="24"/>
          <w:szCs w:val="24"/>
          <w:highlight w:val="none"/>
        </w:rPr>
        <w:t>（适用于已进行资格预审的）。</w:t>
      </w:r>
    </w:p>
    <w:p w14:paraId="5C004BF4">
      <w:pPr>
        <w:spacing w:before="182"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2.1.3 响应性评审标准：见评标办法前附表。</w:t>
      </w:r>
    </w:p>
    <w:p w14:paraId="073B0352">
      <w:pPr>
        <w:spacing w:line="246" w:lineRule="auto"/>
        <w:rPr>
          <w:rFonts w:ascii="Arial"/>
          <w:color w:val="auto"/>
          <w:sz w:val="21"/>
          <w:highlight w:val="none"/>
        </w:rPr>
      </w:pPr>
    </w:p>
    <w:p w14:paraId="68A16F7D">
      <w:pPr>
        <w:spacing w:before="79" w:line="219" w:lineRule="auto"/>
        <w:ind w:left="3"/>
        <w:outlineLvl w:val="1"/>
        <w:rPr>
          <w:rFonts w:ascii="宋体" w:hAnsi="宋体" w:eastAsia="宋体" w:cs="宋体"/>
          <w:color w:val="auto"/>
          <w:sz w:val="24"/>
          <w:szCs w:val="24"/>
          <w:highlight w:val="none"/>
        </w:rPr>
      </w:pPr>
      <w:bookmarkStart w:id="324" w:name="_Toc16096"/>
      <w:bookmarkStart w:id="325" w:name="_Toc30904"/>
      <w:bookmarkStart w:id="326" w:name="_Toc27330"/>
      <w:bookmarkStart w:id="327" w:name="_Toc23303"/>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分值构成与评分标准</w:t>
      </w:r>
      <w:bookmarkEnd w:id="324"/>
      <w:bookmarkEnd w:id="325"/>
      <w:bookmarkEnd w:id="326"/>
      <w:bookmarkEnd w:id="327"/>
    </w:p>
    <w:p w14:paraId="593A34B5">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2.2.1 分值构成</w:t>
      </w:r>
    </w:p>
    <w:p w14:paraId="333B46D8">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（1）技术建议书：见评标办法前附表；</w:t>
      </w:r>
    </w:p>
    <w:p w14:paraId="13E2CCD6">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（2）主要人员：见评标办法前附表；</w:t>
      </w:r>
    </w:p>
    <w:p w14:paraId="0293F0CA">
      <w:pPr>
        <w:spacing w:before="184"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（3）评标价：见评标办法前附表；</w:t>
      </w:r>
    </w:p>
    <w:p w14:paraId="73BA293C">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（4）其他评分因素：见评标办法前附表。</w:t>
      </w:r>
    </w:p>
    <w:p w14:paraId="3690FA7F">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2.2.2 评标基准价计算</w:t>
      </w:r>
    </w:p>
    <w:p w14:paraId="09BD717F">
      <w:pPr>
        <w:spacing w:line="218" w:lineRule="auto"/>
        <w:rPr>
          <w:rFonts w:ascii="宋体" w:hAnsi="宋体" w:eastAsia="宋体" w:cs="宋体"/>
          <w:color w:val="auto"/>
          <w:sz w:val="24"/>
          <w:szCs w:val="24"/>
          <w:highlight w:val="none"/>
        </w:rPr>
        <w:sectPr>
          <w:footerReference r:id="rId21" w:type="default"/>
          <w:pgSz w:w="11906" w:h="16839"/>
          <w:pgMar w:top="1405" w:right="1418" w:bottom="1297" w:left="1424" w:header="0" w:footer="1066" w:gutter="0"/>
          <w:pgBorders>
            <w:top w:val="none" w:sz="0" w:space="0"/>
            <w:left w:val="none" w:sz="0" w:space="0"/>
            <w:bottom w:val="none" w:sz="0" w:space="0"/>
            <w:right w:val="none" w:sz="0" w:space="0"/>
          </w:pgBorders>
          <w:pgNumType w:fmt="decimal"/>
          <w:cols w:space="720" w:num="1"/>
        </w:sectPr>
      </w:pPr>
    </w:p>
    <w:p w14:paraId="0B893E6C">
      <w:pPr>
        <w:spacing w:before="47"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评标基准价计算方法：见评标办法前附表。</w:t>
      </w:r>
    </w:p>
    <w:p w14:paraId="1672FFA1">
      <w:pPr>
        <w:spacing w:before="182" w:line="218"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2.2.3 评标价的偏差率计算</w:t>
      </w:r>
    </w:p>
    <w:p w14:paraId="7DD76CAA">
      <w:pPr>
        <w:spacing w:before="184"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评标价的偏差率计算公式：见评标办法前附表。</w:t>
      </w:r>
    </w:p>
    <w:p w14:paraId="64691A94">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2.2.4 评分标准</w:t>
      </w:r>
    </w:p>
    <w:p w14:paraId="1E53CFB9">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（1）技术建议书评分标准：见评标办法前附表；</w:t>
      </w:r>
    </w:p>
    <w:p w14:paraId="633E9610">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（2）主要人员评分标准：见评标办法前附表；</w:t>
      </w:r>
    </w:p>
    <w:p w14:paraId="65D01239">
      <w:pPr>
        <w:spacing w:before="183" w:line="218" w:lineRule="auto"/>
        <w:ind w:left="50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（3）评标价评分标准：见评标办法前附表；</w:t>
      </w:r>
    </w:p>
    <w:p w14:paraId="522029D4">
      <w:pPr>
        <w:spacing w:before="182"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（4）其他因素评分标准：见评标办法前附表。</w:t>
      </w:r>
    </w:p>
    <w:p w14:paraId="5516409F">
      <w:pPr>
        <w:spacing w:before="189" w:line="221" w:lineRule="auto"/>
        <w:ind w:left="19"/>
        <w:outlineLvl w:val="0"/>
        <w:rPr>
          <w:rFonts w:ascii="宋体" w:hAnsi="宋体" w:eastAsia="宋体" w:cs="宋体"/>
          <w:color w:val="auto"/>
          <w:sz w:val="28"/>
          <w:szCs w:val="28"/>
          <w:highlight w:val="none"/>
        </w:rPr>
      </w:pPr>
      <w:bookmarkStart w:id="328" w:name="_Toc443"/>
      <w:bookmarkStart w:id="329" w:name="_Toc23095"/>
      <w:r>
        <w:rPr>
          <w:rFonts w:ascii="宋体" w:hAnsi="宋体" w:eastAsia="宋体" w:cs="宋体"/>
          <w:b/>
          <w:bCs/>
          <w:color w:val="auto"/>
          <w:spacing w:val="-5"/>
          <w:sz w:val="28"/>
          <w:szCs w:val="28"/>
          <w:highlight w:val="none"/>
        </w:rPr>
        <w:t>3.</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评标程序</w:t>
      </w:r>
      <w:bookmarkEnd w:id="328"/>
      <w:bookmarkEnd w:id="329"/>
    </w:p>
    <w:p w14:paraId="40DBB304">
      <w:pPr>
        <w:spacing w:line="266" w:lineRule="auto"/>
        <w:rPr>
          <w:rFonts w:ascii="Arial"/>
          <w:color w:val="auto"/>
          <w:sz w:val="21"/>
          <w:highlight w:val="none"/>
        </w:rPr>
      </w:pPr>
    </w:p>
    <w:p w14:paraId="73A80F84">
      <w:pPr>
        <w:spacing w:before="79" w:line="219" w:lineRule="auto"/>
        <w:ind w:left="16"/>
        <w:outlineLvl w:val="1"/>
        <w:rPr>
          <w:rFonts w:ascii="宋体" w:hAnsi="宋体" w:eastAsia="宋体" w:cs="宋体"/>
          <w:color w:val="auto"/>
          <w:sz w:val="24"/>
          <w:szCs w:val="24"/>
          <w:highlight w:val="none"/>
        </w:rPr>
      </w:pPr>
      <w:bookmarkStart w:id="330" w:name="_Toc11759"/>
      <w:bookmarkStart w:id="331" w:name="_Toc11992"/>
      <w:bookmarkStart w:id="332" w:name="_Toc26503"/>
      <w:bookmarkStart w:id="333" w:name="_Toc20856"/>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第一个信封初步评审</w:t>
      </w:r>
      <w:bookmarkEnd w:id="330"/>
      <w:bookmarkEnd w:id="331"/>
      <w:bookmarkEnd w:id="332"/>
      <w:bookmarkEnd w:id="333"/>
    </w:p>
    <w:p w14:paraId="553530F1">
      <w:pPr>
        <w:spacing w:before="52" w:line="324" w:lineRule="auto"/>
        <w:ind w:left="12" w:right="2" w:firstLine="483"/>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3.1.1 评标委员会可以要求投标人提交第二章“投标人须知</w:t>
      </w:r>
      <w:r>
        <w:rPr>
          <w:rFonts w:ascii="宋体" w:hAnsi="宋体" w:eastAsia="宋体" w:cs="宋体"/>
          <w:color w:val="auto"/>
          <w:spacing w:val="-74"/>
          <w:sz w:val="24"/>
          <w:szCs w:val="24"/>
          <w:highlight w:val="none"/>
        </w:rPr>
        <w:t xml:space="preserve"> </w:t>
      </w:r>
      <w:r>
        <w:rPr>
          <w:rFonts w:ascii="宋体" w:hAnsi="宋体" w:eastAsia="宋体" w:cs="宋体"/>
          <w:color w:val="auto"/>
          <w:spacing w:val="8"/>
          <w:sz w:val="24"/>
          <w:szCs w:val="24"/>
          <w:highlight w:val="none"/>
        </w:rPr>
        <w:t>”第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8"/>
          <w:sz w:val="24"/>
          <w:szCs w:val="24"/>
          <w:highlight w:val="none"/>
        </w:rPr>
        <w:t>3.5.1</w:t>
      </w:r>
      <w:r>
        <w:rPr>
          <w:rFonts w:ascii="宋体" w:hAnsi="宋体" w:eastAsia="宋体" w:cs="宋体"/>
          <w:color w:val="auto"/>
          <w:spacing w:val="-33"/>
          <w:sz w:val="24"/>
          <w:szCs w:val="24"/>
          <w:highlight w:val="none"/>
        </w:rPr>
        <w:t xml:space="preserve"> </w:t>
      </w:r>
      <w:r>
        <w:rPr>
          <w:rFonts w:ascii="宋体" w:hAnsi="宋体" w:eastAsia="宋体" w:cs="宋体"/>
          <w:color w:val="auto"/>
          <w:spacing w:val="8"/>
          <w:sz w:val="24"/>
          <w:szCs w:val="24"/>
          <w:highlight w:val="none"/>
        </w:rPr>
        <w:t>项至第</w:t>
      </w:r>
      <w:r>
        <w:rPr>
          <w:rFonts w:ascii="宋体" w:hAnsi="宋体" w:eastAsia="宋体" w:cs="宋体"/>
          <w:color w:val="auto"/>
          <w:spacing w:val="-1"/>
          <w:sz w:val="24"/>
          <w:szCs w:val="24"/>
          <w:highlight w:val="none"/>
        </w:rPr>
        <w:t>3.5.5</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项规定的有关证明和证件的原件，以便核验。评标委员会依据本章第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2.1</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款规定</w:t>
      </w:r>
      <w:r>
        <w:rPr>
          <w:rFonts w:ascii="宋体" w:hAnsi="宋体" w:eastAsia="宋体" w:cs="宋体"/>
          <w:color w:val="auto"/>
          <w:spacing w:val="5"/>
          <w:sz w:val="24"/>
          <w:szCs w:val="24"/>
          <w:highlight w:val="none"/>
        </w:rPr>
        <w:t>的标准对投标文件第一个信封（商务及技术文件）进行初步评审。有一项</w:t>
      </w:r>
      <w:r>
        <w:rPr>
          <w:rFonts w:ascii="宋体" w:hAnsi="宋体" w:eastAsia="宋体" w:cs="宋体"/>
          <w:color w:val="auto"/>
          <w:spacing w:val="4"/>
          <w:sz w:val="24"/>
          <w:szCs w:val="24"/>
          <w:highlight w:val="none"/>
        </w:rPr>
        <w:t>不符合评审</w:t>
      </w:r>
      <w:r>
        <w:rPr>
          <w:rFonts w:ascii="宋体" w:hAnsi="宋体" w:eastAsia="宋体" w:cs="宋体"/>
          <w:color w:val="auto"/>
          <w:spacing w:val="-1"/>
          <w:sz w:val="24"/>
          <w:szCs w:val="24"/>
          <w:highlight w:val="none"/>
        </w:rPr>
        <w:t>标准的，评标委员会应否决其投标。（适用于未进行资格预审的）</w:t>
      </w:r>
    </w:p>
    <w:p w14:paraId="51AEC2E6">
      <w:pPr>
        <w:spacing w:before="182" w:line="324" w:lineRule="auto"/>
        <w:ind w:left="10" w:right="2" w:firstLine="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r>
        <w:rPr>
          <w:rFonts w:ascii="宋体" w:hAnsi="宋体" w:eastAsia="宋体" w:cs="宋体"/>
          <w:color w:val="auto"/>
          <w:spacing w:val="5"/>
          <w:sz w:val="24"/>
          <w:szCs w:val="24"/>
          <w:highlight w:val="none"/>
        </w:rPr>
        <w:t>第一个信封（商务及技术文件）进行初步评审。有一项不符合评审标准的，评</w:t>
      </w:r>
      <w:r>
        <w:rPr>
          <w:rFonts w:ascii="宋体" w:hAnsi="宋体" w:eastAsia="宋体" w:cs="宋体"/>
          <w:color w:val="auto"/>
          <w:spacing w:val="4"/>
          <w:sz w:val="24"/>
          <w:szCs w:val="24"/>
          <w:highlight w:val="none"/>
        </w:rPr>
        <w:t>标委员</w:t>
      </w:r>
      <w:r>
        <w:rPr>
          <w:rFonts w:ascii="宋体" w:hAnsi="宋体" w:eastAsia="宋体" w:cs="宋体"/>
          <w:color w:val="auto"/>
          <w:spacing w:val="5"/>
          <w:sz w:val="24"/>
          <w:szCs w:val="24"/>
          <w:highlight w:val="none"/>
        </w:rPr>
        <w:t>会应否决其投标。当投标人资格预审申请文件的内容发生重大变化时，评标委</w:t>
      </w:r>
      <w:r>
        <w:rPr>
          <w:rFonts w:ascii="宋体" w:hAnsi="宋体" w:eastAsia="宋体" w:cs="宋体"/>
          <w:color w:val="auto"/>
          <w:spacing w:val="4"/>
          <w:sz w:val="24"/>
          <w:szCs w:val="24"/>
          <w:highlight w:val="none"/>
        </w:rPr>
        <w:t>员会依</w:t>
      </w:r>
      <w:r>
        <w:rPr>
          <w:rFonts w:ascii="宋体" w:hAnsi="宋体" w:eastAsia="宋体" w:cs="宋体"/>
          <w:color w:val="auto"/>
          <w:spacing w:val="-1"/>
          <w:sz w:val="24"/>
          <w:szCs w:val="24"/>
          <w:highlight w:val="none"/>
        </w:rPr>
        <w:t>据本章第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2.1.2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项规定的标准对其更新资料进行评审。（适用于已进行资格预审的）</w:t>
      </w:r>
    </w:p>
    <w:p w14:paraId="751D2FF6">
      <w:pPr>
        <w:spacing w:line="248" w:lineRule="auto"/>
        <w:rPr>
          <w:rFonts w:ascii="Arial"/>
          <w:color w:val="auto"/>
          <w:sz w:val="21"/>
          <w:highlight w:val="none"/>
        </w:rPr>
      </w:pPr>
    </w:p>
    <w:p w14:paraId="1781F73F">
      <w:pPr>
        <w:spacing w:before="79" w:line="219" w:lineRule="auto"/>
        <w:ind w:left="16"/>
        <w:outlineLvl w:val="1"/>
        <w:rPr>
          <w:rFonts w:ascii="宋体" w:hAnsi="宋体" w:eastAsia="宋体" w:cs="宋体"/>
          <w:color w:val="auto"/>
          <w:sz w:val="24"/>
          <w:szCs w:val="24"/>
          <w:highlight w:val="none"/>
        </w:rPr>
      </w:pPr>
      <w:bookmarkStart w:id="334" w:name="_Toc31257"/>
      <w:bookmarkStart w:id="335" w:name="_Toc687"/>
      <w:bookmarkStart w:id="336" w:name="_Toc15799"/>
      <w:bookmarkStart w:id="337" w:name="_Toc12167"/>
      <w:r>
        <w:rPr>
          <w:rFonts w:ascii="宋体" w:hAnsi="宋体" w:eastAsia="宋体" w:cs="宋体"/>
          <w:b/>
          <w:bCs/>
          <w:color w:val="auto"/>
          <w:spacing w:val="-3"/>
          <w:sz w:val="24"/>
          <w:szCs w:val="24"/>
          <w:highlight w:val="none"/>
        </w:rPr>
        <w:t>3.2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第一个信封详细评审</w:t>
      </w:r>
      <w:bookmarkEnd w:id="334"/>
      <w:bookmarkEnd w:id="335"/>
      <w:bookmarkEnd w:id="336"/>
      <w:bookmarkEnd w:id="337"/>
    </w:p>
    <w:p w14:paraId="4FFAEA23">
      <w:pPr>
        <w:spacing w:before="51" w:line="359" w:lineRule="auto"/>
        <w:ind w:left="14" w:firstLine="48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3.2.1 评标委员会按本章第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款规定的量化因素和</w:t>
      </w:r>
      <w:r>
        <w:rPr>
          <w:rFonts w:ascii="宋体" w:hAnsi="宋体" w:eastAsia="宋体" w:cs="宋体"/>
          <w:color w:val="auto"/>
          <w:spacing w:val="3"/>
          <w:sz w:val="24"/>
          <w:szCs w:val="24"/>
          <w:highlight w:val="none"/>
        </w:rPr>
        <w:t>分值进行打分，并计算出各</w:t>
      </w:r>
      <w:r>
        <w:rPr>
          <w:rFonts w:ascii="宋体" w:hAnsi="宋体" w:eastAsia="宋体" w:cs="宋体"/>
          <w:color w:val="auto"/>
          <w:spacing w:val="-2"/>
          <w:sz w:val="24"/>
          <w:szCs w:val="24"/>
          <w:highlight w:val="none"/>
        </w:rPr>
        <w:t>投标人的商务和技术得分。</w:t>
      </w:r>
    </w:p>
    <w:p w14:paraId="09CF819F">
      <w:pPr>
        <w:spacing w:before="2" w:line="289" w:lineRule="auto"/>
        <w:ind w:left="12" w:right="2" w:firstLine="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目规定的评审因素和分值对技</w:t>
      </w:r>
      <w:r>
        <w:rPr>
          <w:rFonts w:ascii="宋体" w:hAnsi="宋体" w:eastAsia="宋体" w:cs="宋体"/>
          <w:color w:val="auto"/>
          <w:spacing w:val="1"/>
          <w:sz w:val="24"/>
          <w:szCs w:val="24"/>
          <w:highlight w:val="none"/>
        </w:rPr>
        <w:t>术建议书部分计算出</w:t>
      </w:r>
      <w:r>
        <w:rPr>
          <w:rFonts w:ascii="宋体" w:hAnsi="宋体" w:eastAsia="宋体" w:cs="宋体"/>
          <w:color w:val="auto"/>
          <w:spacing w:val="-4"/>
          <w:sz w:val="24"/>
          <w:szCs w:val="24"/>
          <w:highlight w:val="none"/>
        </w:rPr>
        <w:t>得分</w:t>
      </w:r>
      <w:r>
        <w:rPr>
          <w:rFonts w:ascii="宋体" w:hAnsi="宋体" w:eastAsia="宋体" w:cs="宋体"/>
          <w:color w:val="auto"/>
          <w:spacing w:val="-56"/>
          <w:sz w:val="24"/>
          <w:szCs w:val="24"/>
          <w:highlight w:val="none"/>
        </w:rPr>
        <w:t xml:space="preserve"> </w:t>
      </w:r>
      <w:r>
        <w:rPr>
          <w:rFonts w:ascii="宋体" w:hAnsi="宋体" w:eastAsia="宋体" w:cs="宋体"/>
          <w:color w:val="auto"/>
          <w:spacing w:val="-4"/>
          <w:sz w:val="24"/>
          <w:szCs w:val="24"/>
          <w:highlight w:val="none"/>
        </w:rPr>
        <w:t>A；</w:t>
      </w:r>
    </w:p>
    <w:p w14:paraId="38720F75">
      <w:pPr>
        <w:spacing w:before="180" w:line="290" w:lineRule="auto"/>
        <w:ind w:left="14" w:right="2" w:firstLine="48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项（2）</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目规定的评审因素和分值对主</w:t>
      </w:r>
      <w:r>
        <w:rPr>
          <w:rFonts w:ascii="宋体" w:hAnsi="宋体" w:eastAsia="宋体" w:cs="宋体"/>
          <w:color w:val="auto"/>
          <w:spacing w:val="1"/>
          <w:sz w:val="24"/>
          <w:szCs w:val="24"/>
          <w:highlight w:val="none"/>
        </w:rPr>
        <w:t>要人员部分计算出得</w:t>
      </w:r>
      <w:r>
        <w:rPr>
          <w:rFonts w:ascii="宋体" w:hAnsi="宋体" w:eastAsia="宋体" w:cs="宋体"/>
          <w:color w:val="auto"/>
          <w:spacing w:val="15"/>
          <w:sz w:val="24"/>
          <w:szCs w:val="24"/>
          <w:highlight w:val="none"/>
        </w:rPr>
        <w:t>分B；</w:t>
      </w:r>
    </w:p>
    <w:p w14:paraId="2CA1E35D">
      <w:pPr>
        <w:spacing w:before="180" w:line="219" w:lineRule="auto"/>
        <w:ind w:right="14"/>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3"/>
          <w:sz w:val="24"/>
          <w:szCs w:val="24"/>
          <w:highlight w:val="none"/>
        </w:rPr>
        <w:t>2.2.4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项（4）</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目规定的评审因素和分值对其他部分计算出得分</w:t>
      </w:r>
      <w:r>
        <w:rPr>
          <w:rFonts w:ascii="宋体" w:hAnsi="宋体" w:eastAsia="宋体" w:cs="宋体"/>
          <w:color w:val="auto"/>
          <w:spacing w:val="-55"/>
          <w:sz w:val="24"/>
          <w:szCs w:val="24"/>
          <w:highlight w:val="none"/>
        </w:rPr>
        <w:t xml:space="preserve"> </w:t>
      </w:r>
      <w:r>
        <w:rPr>
          <w:rFonts w:ascii="宋体" w:hAnsi="宋体" w:eastAsia="宋体" w:cs="宋体"/>
          <w:color w:val="auto"/>
          <w:spacing w:val="-3"/>
          <w:sz w:val="24"/>
          <w:szCs w:val="24"/>
          <w:highlight w:val="none"/>
        </w:rPr>
        <w:t>D。</w:t>
      </w:r>
    </w:p>
    <w:p w14:paraId="0FBFD4C3">
      <w:pPr>
        <w:spacing w:before="183" w:line="290" w:lineRule="auto"/>
        <w:ind w:right="2" w:firstLine="496"/>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3.2.2 投标人的商务和技术得分分值计算保留小数点后四位，小数点后第五位</w:t>
      </w:r>
      <w:r>
        <w:rPr>
          <w:rFonts w:ascii="宋体" w:hAnsi="宋体" w:eastAsia="宋体" w:cs="宋体"/>
          <w:color w:val="auto"/>
          <w:spacing w:val="-5"/>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5"/>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w:t>
      </w:r>
    </w:p>
    <w:p w14:paraId="5FB7910B">
      <w:pPr>
        <w:spacing w:before="180" w:line="219" w:lineRule="auto"/>
        <w:ind w:left="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3.2.3 投标人的商务和技术得分=A+B+D。</w:t>
      </w:r>
    </w:p>
    <w:p w14:paraId="29D4744F">
      <w:pPr>
        <w:spacing w:before="180" w:line="219" w:lineRule="auto"/>
        <w:ind w:left="5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除履约信誉得分外，投标文件第一信封各评分因素细分项得分均不应低于其权重</w:t>
      </w:r>
    </w:p>
    <w:p w14:paraId="04147AC5">
      <w:pPr>
        <w:spacing w:line="219" w:lineRule="auto"/>
        <w:rPr>
          <w:rFonts w:ascii="宋体" w:hAnsi="宋体" w:eastAsia="宋体" w:cs="宋体"/>
          <w:color w:val="auto"/>
          <w:sz w:val="24"/>
          <w:szCs w:val="24"/>
          <w:highlight w:val="none"/>
        </w:rPr>
        <w:sectPr>
          <w:footerReference r:id="rId22" w:type="default"/>
          <w:pgSz w:w="11906" w:h="16839"/>
          <w:pgMar w:top="1405" w:right="1415" w:bottom="1297" w:left="1413" w:header="0" w:footer="1067" w:gutter="0"/>
          <w:pgBorders>
            <w:top w:val="none" w:sz="0" w:space="0"/>
            <w:left w:val="none" w:sz="0" w:space="0"/>
            <w:bottom w:val="none" w:sz="0" w:space="0"/>
            <w:right w:val="none" w:sz="0" w:space="0"/>
          </w:pgBorders>
          <w:pgNumType w:fmt="decimal"/>
          <w:cols w:space="720" w:num="1"/>
        </w:sectPr>
      </w:pPr>
    </w:p>
    <w:p w14:paraId="6B626E02">
      <w:pPr>
        <w:spacing w:before="47" w:line="218" w:lineRule="auto"/>
        <w:ind w:left="14"/>
        <w:rPr>
          <w:rFonts w:ascii="宋体" w:hAnsi="宋体" w:eastAsia="宋体" w:cs="宋体"/>
          <w:color w:val="auto"/>
          <w:sz w:val="24"/>
          <w:szCs w:val="24"/>
          <w:highlight w:val="none"/>
        </w:rPr>
      </w:pPr>
      <w:bookmarkStart w:id="338" w:name="bookmark137"/>
      <w:bookmarkEnd w:id="338"/>
      <w:r>
        <w:rPr>
          <w:rFonts w:ascii="宋体" w:hAnsi="宋体" w:eastAsia="宋体" w:cs="宋体"/>
          <w:color w:val="auto"/>
          <w:spacing w:val="1"/>
          <w:sz w:val="24"/>
          <w:szCs w:val="24"/>
          <w:highlight w:val="none"/>
        </w:rPr>
        <w:t>分的60%，评分低于权重分值</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60%的，评标委员会成员应当在评标报告中作</w:t>
      </w:r>
      <w:r>
        <w:rPr>
          <w:rFonts w:ascii="宋体" w:hAnsi="宋体" w:eastAsia="宋体" w:cs="宋体"/>
          <w:color w:val="auto"/>
          <w:sz w:val="24"/>
          <w:szCs w:val="24"/>
          <w:highlight w:val="none"/>
        </w:rPr>
        <w:t>出说明。</w:t>
      </w:r>
    </w:p>
    <w:p w14:paraId="7E1E0F20">
      <w:pPr>
        <w:spacing w:before="184" w:line="359" w:lineRule="auto"/>
        <w:ind w:right="162" w:firstLine="49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9</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人时，计算投标人技术得分时:首先在评委技术评分中，采用</w:t>
      </w:r>
      <w:r>
        <w:rPr>
          <w:rFonts w:ascii="宋体" w:hAnsi="宋体" w:eastAsia="宋体" w:cs="宋体"/>
          <w:color w:val="auto"/>
          <w:spacing w:val="5"/>
          <w:sz w:val="24"/>
          <w:szCs w:val="24"/>
          <w:highlight w:val="none"/>
        </w:rPr>
        <w:t>取消同一评委对同一标段各投标人评分总分的差值最大的</w:t>
      </w:r>
      <w:r>
        <w:rPr>
          <w:rFonts w:ascii="宋体" w:hAnsi="宋体" w:eastAsia="宋体" w:cs="宋体"/>
          <w:color w:val="auto"/>
          <w:spacing w:val="-25"/>
          <w:sz w:val="24"/>
          <w:szCs w:val="24"/>
          <w:highlight w:val="none"/>
        </w:rPr>
        <w:t xml:space="preserve"> </w:t>
      </w:r>
      <w:r>
        <w:rPr>
          <w:rFonts w:ascii="宋体" w:hAnsi="宋体" w:eastAsia="宋体" w:cs="宋体"/>
          <w:color w:val="auto"/>
          <w:spacing w:val="5"/>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5"/>
          <w:sz w:val="24"/>
          <w:szCs w:val="24"/>
          <w:highlight w:val="none"/>
        </w:rPr>
        <w:t>名评委评分</w:t>
      </w:r>
      <w:r>
        <w:rPr>
          <w:rFonts w:ascii="宋体" w:hAnsi="宋体" w:eastAsia="宋体" w:cs="宋体"/>
          <w:color w:val="auto"/>
          <w:spacing w:val="4"/>
          <w:sz w:val="24"/>
          <w:szCs w:val="24"/>
          <w:highlight w:val="none"/>
        </w:rPr>
        <w:t>分值（若有</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2名或以上评委技术评分总分差值最大值相等时，则取消其中</w:t>
      </w:r>
      <w:r>
        <w:rPr>
          <w:rFonts w:ascii="宋体" w:hAnsi="宋体" w:eastAsia="宋体" w:cs="宋体"/>
          <w:color w:val="auto"/>
          <w:spacing w:val="-28"/>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名评委的所有</w:t>
      </w:r>
      <w:r>
        <w:rPr>
          <w:rFonts w:ascii="宋体" w:hAnsi="宋体" w:eastAsia="宋体" w:cs="宋体"/>
          <w:color w:val="auto"/>
          <w:spacing w:val="3"/>
          <w:sz w:val="24"/>
          <w:szCs w:val="24"/>
          <w:highlight w:val="none"/>
        </w:rPr>
        <w:t>评分，具</w:t>
      </w:r>
      <w:r>
        <w:rPr>
          <w:rFonts w:ascii="宋体" w:hAnsi="宋体" w:eastAsia="宋体" w:cs="宋体"/>
          <w:color w:val="auto"/>
          <w:spacing w:val="5"/>
          <w:sz w:val="24"/>
          <w:szCs w:val="24"/>
          <w:highlight w:val="none"/>
        </w:rPr>
        <w:t>体办法如下</w:t>
      </w:r>
      <w:r>
        <w:rPr>
          <w:rFonts w:ascii="宋体" w:hAnsi="宋体" w:eastAsia="宋体" w:cs="宋体"/>
          <w:color w:val="auto"/>
          <w:spacing w:val="14"/>
          <w:sz w:val="24"/>
          <w:szCs w:val="24"/>
          <w:highlight w:val="none"/>
        </w:rPr>
        <w:t>），</w:t>
      </w:r>
      <w:r>
        <w:rPr>
          <w:rFonts w:ascii="宋体" w:hAnsi="宋体" w:eastAsia="宋体" w:cs="宋体"/>
          <w:color w:val="auto"/>
          <w:spacing w:val="5"/>
          <w:sz w:val="24"/>
          <w:szCs w:val="24"/>
          <w:highlight w:val="none"/>
        </w:rPr>
        <w:t>再对各评分因素细分项[ 评分因素</w:t>
      </w:r>
      <w:r>
        <w:rPr>
          <w:rFonts w:ascii="宋体" w:hAnsi="宋体" w:eastAsia="宋体" w:cs="宋体"/>
          <w:color w:val="auto"/>
          <w:spacing w:val="4"/>
          <w:sz w:val="24"/>
          <w:szCs w:val="24"/>
          <w:highlight w:val="none"/>
        </w:rPr>
        <w:t>细分项是指“监理大纲（或监理方</w:t>
      </w:r>
      <w:r>
        <w:rPr>
          <w:rFonts w:ascii="宋体" w:hAnsi="宋体" w:eastAsia="宋体" w:cs="宋体"/>
          <w:color w:val="auto"/>
          <w:spacing w:val="2"/>
          <w:sz w:val="24"/>
          <w:szCs w:val="24"/>
          <w:highlight w:val="none"/>
        </w:rPr>
        <w:t>案）和措施</w:t>
      </w:r>
      <w:r>
        <w:rPr>
          <w:rFonts w:ascii="宋体" w:hAnsi="宋体" w:eastAsia="宋体" w:cs="宋体"/>
          <w:color w:val="auto"/>
          <w:spacing w:val="-77"/>
          <w:sz w:val="24"/>
          <w:szCs w:val="24"/>
          <w:highlight w:val="none"/>
        </w:rPr>
        <w:t xml:space="preserve"> </w:t>
      </w:r>
      <w:r>
        <w:rPr>
          <w:rFonts w:ascii="宋体" w:hAnsi="宋体" w:eastAsia="宋体" w:cs="宋体"/>
          <w:color w:val="auto"/>
          <w:spacing w:val="2"/>
          <w:sz w:val="24"/>
          <w:szCs w:val="24"/>
          <w:highlight w:val="none"/>
        </w:rPr>
        <w:t>”、“本工程监理工作的重点与难点分析</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”、“对本工程的建议</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”三项，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“监理大纲（或监理方案）和措施</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”中的质量和安全监理、进度监理、费用和合同监</w:t>
      </w:r>
      <w:r>
        <w:rPr>
          <w:rFonts w:ascii="宋体" w:hAnsi="宋体" w:eastAsia="宋体" w:cs="宋体"/>
          <w:color w:val="auto"/>
          <w:spacing w:val="2"/>
          <w:sz w:val="24"/>
          <w:szCs w:val="24"/>
          <w:highlight w:val="none"/>
        </w:rPr>
        <w:t>理、、施工环境保护管理不属于细分项。]中取消一个最高、一个最低分后计算</w:t>
      </w:r>
      <w:r>
        <w:rPr>
          <w:rFonts w:ascii="宋体" w:hAnsi="宋体" w:eastAsia="宋体" w:cs="宋体"/>
          <w:color w:val="auto"/>
          <w:spacing w:val="1"/>
          <w:sz w:val="24"/>
          <w:szCs w:val="24"/>
          <w:highlight w:val="none"/>
        </w:rPr>
        <w:t>其算术</w:t>
      </w:r>
      <w:r>
        <w:rPr>
          <w:rFonts w:ascii="宋体" w:hAnsi="宋体" w:eastAsia="宋体" w:cs="宋体"/>
          <w:color w:val="auto"/>
          <w:spacing w:val="5"/>
          <w:sz w:val="24"/>
          <w:szCs w:val="24"/>
          <w:highlight w:val="none"/>
        </w:rPr>
        <w:t>平均值的和为投标人的最终技术得分，平均值计算保留小数点后四位，小数点后第五</w:t>
      </w:r>
      <w:r>
        <w:rPr>
          <w:rFonts w:ascii="宋体" w:hAnsi="宋体" w:eastAsia="宋体" w:cs="宋体"/>
          <w:color w:val="auto"/>
          <w:spacing w:val="-4"/>
          <w:sz w:val="24"/>
          <w:szCs w:val="24"/>
          <w:highlight w:val="none"/>
        </w:rPr>
        <w:t>位“</w:t>
      </w:r>
      <w:r>
        <w:rPr>
          <w:rFonts w:ascii="宋体" w:hAnsi="宋体" w:eastAsia="宋体" w:cs="宋体"/>
          <w:color w:val="auto"/>
          <w:spacing w:val="-86"/>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p>
    <w:p w14:paraId="0A08405D">
      <w:pPr>
        <w:spacing w:line="219"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取消其中</w:t>
      </w:r>
      <w:r>
        <w:rPr>
          <w:rFonts w:ascii="宋体" w:hAnsi="宋体" w:eastAsia="宋体" w:cs="宋体"/>
          <w:color w:val="auto"/>
          <w:spacing w:val="-33"/>
          <w:sz w:val="24"/>
          <w:szCs w:val="24"/>
          <w:highlight w:val="none"/>
        </w:rPr>
        <w:t xml:space="preserve"> </w:t>
      </w:r>
      <w:r>
        <w:rPr>
          <w:rFonts w:ascii="宋体" w:hAnsi="宋体" w:eastAsia="宋体" w:cs="宋体"/>
          <w:color w:val="auto"/>
          <w:spacing w:val="-1"/>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名评委所有评分的办法[ 办法一、办法</w:t>
      </w:r>
      <w:r>
        <w:rPr>
          <w:rFonts w:ascii="宋体" w:hAnsi="宋体" w:eastAsia="宋体" w:cs="宋体"/>
          <w:color w:val="auto"/>
          <w:spacing w:val="-2"/>
          <w:sz w:val="24"/>
          <w:szCs w:val="24"/>
          <w:highlight w:val="none"/>
        </w:rPr>
        <w:t>二任选一个。]</w:t>
      </w:r>
    </w:p>
    <w:p w14:paraId="0ED66AB2">
      <w:pPr>
        <w:spacing w:before="181" w:line="359" w:lineRule="auto"/>
        <w:ind w:left="10" w:right="160" w:firstLine="4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办法一：依次按照以下流程</w:t>
      </w:r>
      <w:r>
        <w:rPr>
          <w:rFonts w:ascii="宋体" w:hAnsi="宋体" w:eastAsia="宋体" w:cs="宋体"/>
          <w:color w:val="auto"/>
          <w:spacing w:val="-23"/>
          <w:sz w:val="24"/>
          <w:szCs w:val="24"/>
          <w:highlight w:val="none"/>
        </w:rPr>
        <w:t>，（</w:t>
      </w:r>
      <w:r>
        <w:rPr>
          <w:rFonts w:ascii="宋体" w:hAnsi="宋体" w:eastAsia="宋体" w:cs="宋体"/>
          <w:color w:val="auto"/>
          <w:spacing w:val="3"/>
          <w:sz w:val="24"/>
          <w:szCs w:val="24"/>
          <w:highlight w:val="none"/>
        </w:rPr>
        <w:t>1）对比上述出现技术评分总分差值最大值相等的</w:t>
      </w:r>
      <w:r>
        <w:rPr>
          <w:rFonts w:ascii="宋体" w:hAnsi="宋体" w:eastAsia="宋体" w:cs="宋体"/>
          <w:color w:val="auto"/>
          <w:spacing w:val="5"/>
          <w:sz w:val="24"/>
          <w:szCs w:val="24"/>
          <w:highlight w:val="none"/>
        </w:rPr>
        <w:t>评委的次分差值（次分差值＝某一评委技术评分总分的最高分－该评委技术评</w:t>
      </w:r>
      <w:r>
        <w:rPr>
          <w:rFonts w:ascii="宋体" w:hAnsi="宋体" w:eastAsia="宋体" w:cs="宋体"/>
          <w:color w:val="auto"/>
          <w:spacing w:val="4"/>
          <w:sz w:val="24"/>
          <w:szCs w:val="24"/>
          <w:highlight w:val="none"/>
        </w:rPr>
        <w:t>分总分</w:t>
      </w:r>
      <w:r>
        <w:rPr>
          <w:rFonts w:ascii="宋体" w:hAnsi="宋体" w:eastAsia="宋体" w:cs="宋体"/>
          <w:color w:val="auto"/>
          <w:spacing w:val="2"/>
          <w:sz w:val="24"/>
          <w:szCs w:val="24"/>
          <w:highlight w:val="none"/>
        </w:rPr>
        <w:t>的次低分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取消次分差值最大的评委所有评分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2）如次分差值仍相同，则按随机</w:t>
      </w:r>
      <w:r>
        <w:rPr>
          <w:rFonts w:ascii="宋体" w:hAnsi="宋体" w:eastAsia="宋体" w:cs="宋体"/>
          <w:color w:val="auto"/>
          <w:spacing w:val="4"/>
          <w:sz w:val="24"/>
          <w:szCs w:val="24"/>
          <w:highlight w:val="none"/>
        </w:rPr>
        <w:t>抽取的方式选定取消</w:t>
      </w:r>
      <w:r>
        <w:rPr>
          <w:rFonts w:ascii="宋体" w:hAnsi="宋体" w:eastAsia="宋体" w:cs="宋体"/>
          <w:color w:val="auto"/>
          <w:spacing w:val="-23"/>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名评委评分。示例</w:t>
      </w:r>
      <w:r>
        <w:rPr>
          <w:rFonts w:ascii="宋体" w:hAnsi="宋体" w:eastAsia="宋体" w:cs="宋体"/>
          <w:color w:val="auto"/>
          <w:spacing w:val="-65"/>
          <w:sz w:val="24"/>
          <w:szCs w:val="24"/>
          <w:highlight w:val="none"/>
        </w:rPr>
        <w:t xml:space="preserve"> </w:t>
      </w:r>
      <w:r>
        <w:rPr>
          <w:rFonts w:ascii="宋体" w:hAnsi="宋体" w:eastAsia="宋体" w:cs="宋体"/>
          <w:color w:val="auto"/>
          <w:spacing w:val="4"/>
          <w:sz w:val="24"/>
          <w:szCs w:val="24"/>
          <w:highlight w:val="none"/>
        </w:rPr>
        <w:t>:同一评委对</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名投标人技术评分总分分别</w:t>
      </w:r>
      <w:r>
        <w:rPr>
          <w:rFonts w:ascii="宋体" w:hAnsi="宋体" w:eastAsia="宋体" w:cs="宋体"/>
          <w:color w:val="auto"/>
          <w:spacing w:val="3"/>
          <w:sz w:val="24"/>
          <w:szCs w:val="24"/>
          <w:highlight w:val="none"/>
        </w:rPr>
        <w:t>为:27.3（最高分)、27.1、26.5、26.1（次低分）、25.5（最低分</w:t>
      </w:r>
      <w:r>
        <w:rPr>
          <w:rFonts w:ascii="宋体" w:hAnsi="宋体" w:eastAsia="宋体" w:cs="宋体"/>
          <w:color w:val="auto"/>
          <w:spacing w:val="22"/>
          <w:sz w:val="24"/>
          <w:szCs w:val="24"/>
          <w:highlight w:val="none"/>
        </w:rPr>
        <w:t>），</w:t>
      </w:r>
      <w:r>
        <w:rPr>
          <w:rFonts w:ascii="宋体" w:hAnsi="宋体" w:eastAsia="宋体" w:cs="宋体"/>
          <w:color w:val="auto"/>
          <w:spacing w:val="3"/>
          <w:sz w:val="24"/>
          <w:szCs w:val="24"/>
          <w:highlight w:val="none"/>
        </w:rPr>
        <w:t>则其最大差值</w:t>
      </w:r>
      <w:r>
        <w:rPr>
          <w:rFonts w:ascii="宋体" w:hAnsi="宋体" w:eastAsia="宋体" w:cs="宋体"/>
          <w:color w:val="auto"/>
          <w:spacing w:val="-2"/>
          <w:sz w:val="24"/>
          <w:szCs w:val="24"/>
          <w:highlight w:val="none"/>
        </w:rPr>
        <w:t>为</w:t>
      </w:r>
      <w:r>
        <w:rPr>
          <w:rFonts w:ascii="宋体" w:hAnsi="宋体" w:eastAsia="宋体" w:cs="宋体"/>
          <w:color w:val="auto"/>
          <w:spacing w:val="-32"/>
          <w:sz w:val="24"/>
          <w:szCs w:val="24"/>
          <w:highlight w:val="none"/>
        </w:rPr>
        <w:t xml:space="preserve"> </w:t>
      </w:r>
      <w:r>
        <w:rPr>
          <w:rFonts w:ascii="宋体" w:hAnsi="宋体" w:eastAsia="宋体" w:cs="宋体"/>
          <w:color w:val="auto"/>
          <w:spacing w:val="-2"/>
          <w:sz w:val="24"/>
          <w:szCs w:val="24"/>
          <w:highlight w:val="none"/>
        </w:rPr>
        <w:t>1.8、次大差值为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27.3-26.1=1.2）。</w:t>
      </w:r>
    </w:p>
    <w:p w14:paraId="21B04D63">
      <w:pPr>
        <w:spacing w:line="218" w:lineRule="auto"/>
        <w:ind w:left="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办法二：按随机抽取的方式选定取消</w:t>
      </w:r>
      <w:r>
        <w:rPr>
          <w:rFonts w:ascii="宋体" w:hAnsi="宋体" w:eastAsia="宋体" w:cs="宋体"/>
          <w:color w:val="auto"/>
          <w:spacing w:val="-19"/>
          <w:sz w:val="24"/>
          <w:szCs w:val="24"/>
          <w:highlight w:val="none"/>
        </w:rPr>
        <w:t xml:space="preserve"> </w:t>
      </w:r>
      <w:r>
        <w:rPr>
          <w:rFonts w:ascii="宋体" w:hAnsi="宋体" w:eastAsia="宋体" w:cs="宋体"/>
          <w:color w:val="auto"/>
          <w:spacing w:val="-3"/>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名评委评分。</w:t>
      </w:r>
    </w:p>
    <w:p w14:paraId="49815281">
      <w:pPr>
        <w:spacing w:before="185" w:line="359" w:lineRule="auto"/>
        <w:ind w:left="14" w:right="163" w:firstLine="47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3"/>
          <w:sz w:val="24"/>
          <w:szCs w:val="24"/>
          <w:highlight w:val="none"/>
        </w:rPr>
        <w:t xml:space="preserve"> </w:t>
      </w:r>
      <w:r>
        <w:rPr>
          <w:rFonts w:ascii="宋体" w:hAnsi="宋体" w:eastAsia="宋体" w:cs="宋体"/>
          <w:color w:val="auto"/>
          <w:spacing w:val="1"/>
          <w:sz w:val="24"/>
          <w:szCs w:val="24"/>
          <w:highlight w:val="none"/>
        </w:rPr>
        <w:t>7</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人时，计算投标人技术得分时:各评分因素细分项</w:t>
      </w:r>
      <w:r>
        <w:rPr>
          <w:rFonts w:ascii="宋体" w:hAnsi="宋体" w:eastAsia="宋体" w:cs="宋体"/>
          <w:color w:val="auto"/>
          <w:sz w:val="24"/>
          <w:szCs w:val="24"/>
          <w:highlight w:val="none"/>
        </w:rPr>
        <w:t>中取消一个</w:t>
      </w:r>
      <w:r>
        <w:rPr>
          <w:rFonts w:ascii="宋体" w:hAnsi="宋体" w:eastAsia="宋体" w:cs="宋体"/>
          <w:color w:val="auto"/>
          <w:spacing w:val="5"/>
          <w:sz w:val="24"/>
          <w:szCs w:val="24"/>
          <w:highlight w:val="none"/>
        </w:rPr>
        <w:t>最高、一个最低分后计算算术平均值的和为投标人的最终技术得分，</w:t>
      </w:r>
      <w:r>
        <w:rPr>
          <w:rFonts w:ascii="宋体" w:hAnsi="宋体" w:eastAsia="宋体" w:cs="宋体"/>
          <w:color w:val="auto"/>
          <w:spacing w:val="4"/>
          <w:sz w:val="24"/>
          <w:szCs w:val="24"/>
          <w:highlight w:val="none"/>
        </w:rPr>
        <w:t>平均值计算保留</w:t>
      </w:r>
      <w:r>
        <w:rPr>
          <w:rFonts w:ascii="宋体" w:hAnsi="宋体" w:eastAsia="宋体" w:cs="宋体"/>
          <w:color w:val="auto"/>
          <w:spacing w:val="-4"/>
          <w:sz w:val="24"/>
          <w:szCs w:val="24"/>
          <w:highlight w:val="none"/>
        </w:rPr>
        <w:t>小数点后四位，小数点后第五位“</w:t>
      </w:r>
      <w:r>
        <w:rPr>
          <w:rFonts w:ascii="宋体" w:hAnsi="宋体" w:eastAsia="宋体" w:cs="宋体"/>
          <w:color w:val="auto"/>
          <w:spacing w:val="-78"/>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p>
    <w:p w14:paraId="2F2E5B0B">
      <w:pPr>
        <w:spacing w:before="1" w:line="218" w:lineRule="auto"/>
        <w:ind w:left="5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以上评标委员会人数以实际参与评审的评标委</w:t>
      </w:r>
      <w:r>
        <w:rPr>
          <w:rFonts w:ascii="宋体" w:hAnsi="宋体" w:eastAsia="宋体" w:cs="宋体"/>
          <w:color w:val="auto"/>
          <w:spacing w:val="-2"/>
          <w:sz w:val="24"/>
          <w:szCs w:val="24"/>
          <w:highlight w:val="none"/>
        </w:rPr>
        <w:t>员会人数数量为准。</w:t>
      </w:r>
    </w:p>
    <w:p w14:paraId="36F9E17A">
      <w:pPr>
        <w:spacing w:line="246" w:lineRule="auto"/>
        <w:rPr>
          <w:rFonts w:ascii="Arial"/>
          <w:color w:val="auto"/>
          <w:sz w:val="21"/>
          <w:highlight w:val="none"/>
        </w:rPr>
      </w:pPr>
    </w:p>
    <w:p w14:paraId="4DFD4934">
      <w:pPr>
        <w:spacing w:before="78" w:line="219" w:lineRule="auto"/>
        <w:ind w:left="16"/>
        <w:outlineLvl w:val="1"/>
        <w:rPr>
          <w:rFonts w:ascii="宋体" w:hAnsi="宋体" w:eastAsia="宋体" w:cs="宋体"/>
          <w:color w:val="auto"/>
          <w:sz w:val="24"/>
          <w:szCs w:val="24"/>
          <w:highlight w:val="none"/>
        </w:rPr>
      </w:pPr>
      <w:bookmarkStart w:id="339" w:name="_Toc17607"/>
      <w:bookmarkStart w:id="340" w:name="_Toc16754"/>
      <w:bookmarkStart w:id="341" w:name="_Toc10420"/>
      <w:bookmarkStart w:id="342" w:name="_Toc12838"/>
      <w:r>
        <w:rPr>
          <w:rFonts w:ascii="宋体" w:hAnsi="宋体" w:eastAsia="宋体" w:cs="宋体"/>
          <w:b/>
          <w:bCs/>
          <w:color w:val="auto"/>
          <w:spacing w:val="-3"/>
          <w:sz w:val="24"/>
          <w:szCs w:val="24"/>
          <w:highlight w:val="none"/>
        </w:rPr>
        <w:t>3.3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第二个信封开标</w:t>
      </w:r>
      <w:bookmarkEnd w:id="339"/>
      <w:bookmarkEnd w:id="340"/>
      <w:bookmarkEnd w:id="341"/>
      <w:bookmarkEnd w:id="342"/>
    </w:p>
    <w:p w14:paraId="13EE295C">
      <w:pPr>
        <w:spacing w:before="51" w:line="361" w:lineRule="auto"/>
        <w:ind w:left="11" w:firstLine="48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第一个信封（商务及技术文件）评审结束后，招标人将按照第二章“投标人须知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4"/>
          <w:sz w:val="24"/>
          <w:szCs w:val="24"/>
          <w:highlight w:val="none"/>
        </w:rPr>
        <w:t>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款规定的时间和地点对通过投标文件第一个信封（商务及技</w:t>
      </w:r>
      <w:r>
        <w:rPr>
          <w:rFonts w:ascii="宋体" w:hAnsi="宋体" w:eastAsia="宋体" w:cs="宋体"/>
          <w:color w:val="auto"/>
          <w:spacing w:val="3"/>
          <w:sz w:val="24"/>
          <w:szCs w:val="24"/>
          <w:highlight w:val="none"/>
        </w:rPr>
        <w:t>术文件）评审的投</w:t>
      </w:r>
      <w:r>
        <w:rPr>
          <w:rFonts w:ascii="宋体" w:hAnsi="宋体" w:eastAsia="宋体" w:cs="宋体"/>
          <w:color w:val="auto"/>
          <w:spacing w:val="-1"/>
          <w:sz w:val="24"/>
          <w:szCs w:val="24"/>
          <w:highlight w:val="none"/>
        </w:rPr>
        <w:t>标文件第二个信封（报价文件）进行开标。</w:t>
      </w:r>
    </w:p>
    <w:p w14:paraId="15235C17">
      <w:pPr>
        <w:spacing w:before="136" w:line="219" w:lineRule="auto"/>
        <w:ind w:left="16"/>
        <w:outlineLvl w:val="1"/>
        <w:rPr>
          <w:rFonts w:ascii="宋体" w:hAnsi="宋体" w:eastAsia="宋体" w:cs="宋体"/>
          <w:color w:val="auto"/>
          <w:sz w:val="24"/>
          <w:szCs w:val="24"/>
          <w:highlight w:val="none"/>
        </w:rPr>
      </w:pPr>
      <w:bookmarkStart w:id="343" w:name="bookmark138"/>
      <w:bookmarkEnd w:id="343"/>
      <w:bookmarkStart w:id="344" w:name="_Toc24685"/>
      <w:bookmarkStart w:id="345" w:name="_Toc591"/>
      <w:bookmarkStart w:id="346" w:name="_Toc17635"/>
      <w:bookmarkStart w:id="347" w:name="_Toc19819"/>
      <w:r>
        <w:rPr>
          <w:rFonts w:ascii="宋体" w:hAnsi="宋体" w:eastAsia="宋体" w:cs="宋体"/>
          <w:b/>
          <w:bCs/>
          <w:color w:val="auto"/>
          <w:spacing w:val="-3"/>
          <w:sz w:val="24"/>
          <w:szCs w:val="24"/>
          <w:highlight w:val="none"/>
        </w:rPr>
        <w:t>3.4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第二个信封初步评审</w:t>
      </w:r>
      <w:bookmarkEnd w:id="344"/>
      <w:bookmarkEnd w:id="345"/>
      <w:bookmarkEnd w:id="346"/>
      <w:bookmarkEnd w:id="347"/>
    </w:p>
    <w:p w14:paraId="6E16D723">
      <w:pPr>
        <w:spacing w:before="53" w:line="219" w:lineRule="auto"/>
        <w:ind w:left="49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3.4.1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p>
    <w:p w14:paraId="73C434C5">
      <w:pPr>
        <w:spacing w:line="232" w:lineRule="auto"/>
        <w:rPr>
          <w:rFonts w:ascii="宋体" w:hAnsi="宋体" w:eastAsia="宋体" w:cs="宋体"/>
          <w:color w:val="auto"/>
          <w:sz w:val="18"/>
          <w:szCs w:val="18"/>
          <w:highlight w:val="none"/>
        </w:rPr>
        <w:sectPr>
          <w:footerReference r:id="rId23" w:type="default"/>
          <w:pgSz w:w="11906" w:h="16839"/>
          <w:pgMar w:top="1405" w:right="1255" w:bottom="1297" w:left="1413" w:header="0" w:footer="1066" w:gutter="0"/>
          <w:pgBorders>
            <w:top w:val="none" w:sz="0" w:space="0"/>
            <w:left w:val="none" w:sz="0" w:space="0"/>
            <w:bottom w:val="none" w:sz="0" w:space="0"/>
            <w:right w:val="none" w:sz="0" w:space="0"/>
          </w:pgBorders>
          <w:pgNumType w:fmt="decimal"/>
          <w:cols w:space="720" w:num="1"/>
        </w:sectPr>
      </w:pPr>
    </w:p>
    <w:p w14:paraId="0BC8C9A2">
      <w:pPr>
        <w:spacing w:before="48" w:line="359" w:lineRule="auto"/>
        <w:ind w:left="15" w:right="128" w:hanging="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第二个信封（报价文件）进行初步评审。有一项不符合评审标准的，评标委</w:t>
      </w:r>
      <w:r>
        <w:rPr>
          <w:rFonts w:ascii="宋体" w:hAnsi="宋体" w:eastAsia="宋体" w:cs="宋体"/>
          <w:color w:val="auto"/>
          <w:spacing w:val="4"/>
          <w:sz w:val="24"/>
          <w:szCs w:val="24"/>
          <w:highlight w:val="none"/>
        </w:rPr>
        <w:t>员会应否</w:t>
      </w:r>
      <w:r>
        <w:rPr>
          <w:rFonts w:ascii="宋体" w:hAnsi="宋体" w:eastAsia="宋体" w:cs="宋体"/>
          <w:color w:val="auto"/>
          <w:spacing w:val="-4"/>
          <w:sz w:val="24"/>
          <w:szCs w:val="24"/>
          <w:highlight w:val="none"/>
        </w:rPr>
        <w:t>决其投标。</w:t>
      </w:r>
    </w:p>
    <w:p w14:paraId="532D12DF">
      <w:pPr>
        <w:spacing w:before="2" w:line="358" w:lineRule="auto"/>
        <w:ind w:left="13" w:right="12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3.4.2 投标报价有算术错误的，评标委员会按以</w:t>
      </w:r>
      <w:r>
        <w:rPr>
          <w:rFonts w:ascii="宋体" w:hAnsi="宋体" w:eastAsia="宋体" w:cs="宋体"/>
          <w:color w:val="auto"/>
          <w:spacing w:val="4"/>
          <w:sz w:val="24"/>
          <w:szCs w:val="24"/>
          <w:highlight w:val="none"/>
        </w:rPr>
        <w:t>下原则对投标报价进行修正，修</w:t>
      </w:r>
      <w:r>
        <w:rPr>
          <w:rFonts w:ascii="宋体" w:hAnsi="宋体" w:eastAsia="宋体" w:cs="宋体"/>
          <w:color w:val="auto"/>
          <w:spacing w:val="5"/>
          <w:sz w:val="24"/>
          <w:szCs w:val="24"/>
          <w:highlight w:val="none"/>
        </w:rPr>
        <w:t>正的价格经投标人书面确认后具有约束力。投标人不接受修正价</w:t>
      </w:r>
      <w:r>
        <w:rPr>
          <w:rFonts w:ascii="宋体" w:hAnsi="宋体" w:eastAsia="宋体" w:cs="宋体"/>
          <w:color w:val="auto"/>
          <w:spacing w:val="4"/>
          <w:sz w:val="24"/>
          <w:szCs w:val="24"/>
          <w:highlight w:val="none"/>
        </w:rPr>
        <w:t>格的，评标委员会应</w:t>
      </w:r>
      <w:r>
        <w:rPr>
          <w:rFonts w:ascii="宋体" w:hAnsi="宋体" w:eastAsia="宋体" w:cs="宋体"/>
          <w:color w:val="auto"/>
          <w:spacing w:val="-3"/>
          <w:sz w:val="24"/>
          <w:szCs w:val="24"/>
          <w:highlight w:val="none"/>
        </w:rPr>
        <w:t>否决其投标。</w:t>
      </w:r>
    </w:p>
    <w:p w14:paraId="12FB896D">
      <w:pPr>
        <w:spacing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（1）投标文件中的大写金额与小写金额不一致的，以大写金额为准；</w:t>
      </w:r>
    </w:p>
    <w:p w14:paraId="26E25FF0">
      <w:pPr>
        <w:spacing w:before="182" w:line="288" w:lineRule="auto"/>
        <w:ind w:left="10" w:right="128"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（2）总价金额与依据单价计算出的结果不一致的，以单价金额为准修正总价，但</w:t>
      </w:r>
      <w:r>
        <w:rPr>
          <w:rFonts w:ascii="宋体" w:hAnsi="宋体" w:eastAsia="宋体" w:cs="宋体"/>
          <w:color w:val="auto"/>
          <w:spacing w:val="-1"/>
          <w:sz w:val="24"/>
          <w:szCs w:val="24"/>
          <w:highlight w:val="none"/>
        </w:rPr>
        <w:t>单价金额小数点有明显错误的除外；</w:t>
      </w:r>
    </w:p>
    <w:p w14:paraId="3AD043C8">
      <w:pPr>
        <w:spacing w:before="185" w:line="288" w:lineRule="auto"/>
        <w:ind w:left="20" w:right="128" w:firstLine="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（3）当单价与数量相乘不等于合价时，以单价计算为准，如果单价有明显的小数</w:t>
      </w:r>
      <w:r>
        <w:rPr>
          <w:rFonts w:ascii="宋体" w:hAnsi="宋体" w:eastAsia="宋体" w:cs="宋体"/>
          <w:color w:val="auto"/>
          <w:spacing w:val="-1"/>
          <w:sz w:val="24"/>
          <w:szCs w:val="24"/>
          <w:highlight w:val="none"/>
        </w:rPr>
        <w:t>点位置差错，应以标出的合价为准，同时对单价予以修正；</w:t>
      </w:r>
    </w:p>
    <w:p w14:paraId="73905B19">
      <w:pPr>
        <w:spacing w:before="184" w:line="218"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（4）当各子目的合价累计不等于总价时，应以各子目合价累计数为准，修正总价。</w:t>
      </w:r>
    </w:p>
    <w:p w14:paraId="07214661">
      <w:pPr>
        <w:spacing w:before="183" w:line="290"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3.4.3 修正后的最终投标报价若超过最高投标限价（如有</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rPr>
        <w:t>评标委员会应否决</w:t>
      </w:r>
      <w:r>
        <w:rPr>
          <w:rFonts w:ascii="宋体" w:hAnsi="宋体" w:eastAsia="宋体" w:cs="宋体"/>
          <w:color w:val="auto"/>
          <w:spacing w:val="-3"/>
          <w:sz w:val="24"/>
          <w:szCs w:val="24"/>
          <w:highlight w:val="none"/>
        </w:rPr>
        <w:t>其投标。</w:t>
      </w:r>
    </w:p>
    <w:p w14:paraId="2614FD52">
      <w:pPr>
        <w:spacing w:before="181" w:line="289" w:lineRule="auto"/>
        <w:ind w:left="8" w:right="12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3.4.4 修正后的最终投标报价仅作为签订合同的</w:t>
      </w:r>
      <w:r>
        <w:rPr>
          <w:rFonts w:ascii="宋体" w:hAnsi="宋体" w:eastAsia="宋体" w:cs="宋体"/>
          <w:color w:val="auto"/>
          <w:spacing w:val="4"/>
          <w:sz w:val="24"/>
          <w:szCs w:val="24"/>
          <w:highlight w:val="none"/>
        </w:rPr>
        <w:t>一个依据，不参与评标价得分的</w:t>
      </w:r>
      <w:r>
        <w:rPr>
          <w:rFonts w:ascii="宋体" w:hAnsi="宋体" w:eastAsia="宋体" w:cs="宋体"/>
          <w:color w:val="auto"/>
          <w:spacing w:val="-4"/>
          <w:sz w:val="24"/>
          <w:szCs w:val="24"/>
          <w:highlight w:val="none"/>
        </w:rPr>
        <w:t>计算。</w:t>
      </w:r>
    </w:p>
    <w:p w14:paraId="00D0BCD0">
      <w:pPr>
        <w:spacing w:line="245" w:lineRule="auto"/>
        <w:rPr>
          <w:rFonts w:ascii="Arial"/>
          <w:color w:val="auto"/>
          <w:sz w:val="21"/>
          <w:highlight w:val="none"/>
        </w:rPr>
      </w:pPr>
    </w:p>
    <w:p w14:paraId="7D46FE1F">
      <w:pPr>
        <w:spacing w:before="78" w:line="219" w:lineRule="auto"/>
        <w:ind w:left="13"/>
        <w:outlineLvl w:val="1"/>
        <w:rPr>
          <w:rFonts w:ascii="宋体" w:hAnsi="宋体" w:eastAsia="宋体" w:cs="宋体"/>
          <w:color w:val="auto"/>
          <w:sz w:val="24"/>
          <w:szCs w:val="24"/>
          <w:highlight w:val="none"/>
        </w:rPr>
      </w:pPr>
      <w:bookmarkStart w:id="348" w:name="_Toc9695"/>
      <w:bookmarkStart w:id="349" w:name="_Toc11538"/>
      <w:bookmarkStart w:id="350" w:name="_Toc32540"/>
      <w:bookmarkStart w:id="351" w:name="_Toc32318"/>
      <w:r>
        <w:rPr>
          <w:rFonts w:ascii="宋体" w:hAnsi="宋体" w:eastAsia="宋体" w:cs="宋体"/>
          <w:b/>
          <w:bCs/>
          <w:color w:val="auto"/>
          <w:spacing w:val="-3"/>
          <w:sz w:val="24"/>
          <w:szCs w:val="24"/>
          <w:highlight w:val="none"/>
        </w:rPr>
        <w:t>3.5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第二个信封详细评审</w:t>
      </w:r>
      <w:bookmarkEnd w:id="348"/>
      <w:bookmarkEnd w:id="349"/>
      <w:bookmarkEnd w:id="350"/>
      <w:bookmarkEnd w:id="351"/>
    </w:p>
    <w:p w14:paraId="293560D1">
      <w:pPr>
        <w:spacing w:before="54" w:line="288" w:lineRule="auto"/>
        <w:ind w:left="28" w:right="128" w:firstLine="46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3.5.1 评标委员会按本章第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1"/>
          <w:sz w:val="24"/>
          <w:szCs w:val="24"/>
          <w:highlight w:val="none"/>
        </w:rPr>
        <w:t>2.2.4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项（3）</w:t>
      </w:r>
      <w:r>
        <w:rPr>
          <w:rFonts w:ascii="宋体" w:hAnsi="宋体" w:eastAsia="宋体" w:cs="宋体"/>
          <w:color w:val="auto"/>
          <w:spacing w:val="-60"/>
          <w:sz w:val="24"/>
          <w:szCs w:val="24"/>
          <w:highlight w:val="none"/>
        </w:rPr>
        <w:t xml:space="preserve"> </w:t>
      </w:r>
      <w:r>
        <w:rPr>
          <w:rFonts w:ascii="宋体" w:hAnsi="宋体" w:eastAsia="宋体" w:cs="宋体"/>
          <w:color w:val="auto"/>
          <w:spacing w:val="-1"/>
          <w:sz w:val="24"/>
          <w:szCs w:val="24"/>
          <w:highlight w:val="none"/>
        </w:rPr>
        <w:t>目规定的评审因素和分值对评标价计算</w:t>
      </w:r>
      <w:r>
        <w:rPr>
          <w:rFonts w:ascii="宋体" w:hAnsi="宋体" w:eastAsia="宋体" w:cs="宋体"/>
          <w:color w:val="auto"/>
          <w:spacing w:val="-2"/>
          <w:sz w:val="24"/>
          <w:szCs w:val="24"/>
          <w:highlight w:val="none"/>
        </w:rPr>
        <w:t>出得分</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C。评标价得分分值计算保留小数点后四位，小数点后第五位“</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p>
    <w:p w14:paraId="6EE2F16E">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 投标人综合得分=投标人的商务和技术得分+C。</w:t>
      </w:r>
    </w:p>
    <w:p w14:paraId="328BEE41">
      <w:pPr>
        <w:spacing w:before="182" w:line="324"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3.5.3 评标委员会发现投标人的报价明显低于其</w:t>
      </w:r>
      <w:r>
        <w:rPr>
          <w:rFonts w:ascii="宋体" w:hAnsi="宋体" w:eastAsia="宋体" w:cs="宋体"/>
          <w:color w:val="auto"/>
          <w:spacing w:val="4"/>
          <w:sz w:val="24"/>
          <w:szCs w:val="24"/>
          <w:highlight w:val="none"/>
        </w:rPr>
        <w:t>他投标报价，使得其投标报价可</w:t>
      </w:r>
      <w:r>
        <w:rPr>
          <w:rFonts w:ascii="宋体" w:hAnsi="宋体" w:eastAsia="宋体" w:cs="宋体"/>
          <w:color w:val="auto"/>
          <w:spacing w:val="5"/>
          <w:sz w:val="24"/>
          <w:szCs w:val="24"/>
          <w:highlight w:val="none"/>
        </w:rPr>
        <w:t>能低于其个别成本的，应要求该投标人作出书面说明并提供相应的证明材</w:t>
      </w:r>
      <w:r>
        <w:rPr>
          <w:rFonts w:ascii="宋体" w:hAnsi="宋体" w:eastAsia="宋体" w:cs="宋体"/>
          <w:color w:val="auto"/>
          <w:spacing w:val="4"/>
          <w:sz w:val="24"/>
          <w:szCs w:val="24"/>
          <w:highlight w:val="none"/>
        </w:rPr>
        <w:t>料。投标人</w:t>
      </w:r>
      <w:r>
        <w:rPr>
          <w:rFonts w:ascii="宋体" w:hAnsi="宋体" w:eastAsia="宋体" w:cs="宋体"/>
          <w:color w:val="auto"/>
          <w:spacing w:val="5"/>
          <w:sz w:val="24"/>
          <w:szCs w:val="24"/>
          <w:highlight w:val="none"/>
        </w:rPr>
        <w:t>不能合理说明或不能提供相应证明材料的，评标委员会应认定该投标人以</w:t>
      </w:r>
      <w:r>
        <w:rPr>
          <w:rFonts w:ascii="宋体" w:hAnsi="宋体" w:eastAsia="宋体" w:cs="宋体"/>
          <w:color w:val="auto"/>
          <w:spacing w:val="4"/>
          <w:sz w:val="24"/>
          <w:szCs w:val="24"/>
          <w:highlight w:val="none"/>
        </w:rPr>
        <w:t>低于成本报</w:t>
      </w:r>
      <w:r>
        <w:rPr>
          <w:rFonts w:ascii="宋体" w:hAnsi="宋体" w:eastAsia="宋体" w:cs="宋体"/>
          <w:color w:val="auto"/>
          <w:spacing w:val="-1"/>
          <w:sz w:val="24"/>
          <w:szCs w:val="24"/>
          <w:highlight w:val="none"/>
        </w:rPr>
        <w:t>价竞标，并否决其投标。</w:t>
      </w:r>
    </w:p>
    <w:p w14:paraId="4BD35CF1">
      <w:pPr>
        <w:spacing w:line="247" w:lineRule="auto"/>
        <w:rPr>
          <w:rFonts w:ascii="Arial"/>
          <w:color w:val="auto"/>
          <w:sz w:val="21"/>
          <w:highlight w:val="none"/>
        </w:rPr>
      </w:pPr>
    </w:p>
    <w:p w14:paraId="0D36B034">
      <w:pPr>
        <w:spacing w:before="79" w:line="219" w:lineRule="auto"/>
        <w:ind w:left="13"/>
        <w:outlineLvl w:val="1"/>
        <w:rPr>
          <w:rFonts w:ascii="宋体" w:hAnsi="宋体" w:eastAsia="宋体" w:cs="宋体"/>
          <w:color w:val="auto"/>
          <w:sz w:val="24"/>
          <w:szCs w:val="24"/>
          <w:highlight w:val="none"/>
        </w:rPr>
      </w:pPr>
      <w:bookmarkStart w:id="352" w:name="_Toc26125"/>
      <w:bookmarkStart w:id="353" w:name="_Toc2479"/>
      <w:bookmarkStart w:id="354" w:name="_Toc24"/>
      <w:bookmarkStart w:id="355" w:name="_Toc454"/>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投标文件相关信息的核查</w:t>
      </w:r>
      <w:bookmarkEnd w:id="352"/>
      <w:bookmarkEnd w:id="353"/>
      <w:bookmarkEnd w:id="354"/>
      <w:bookmarkEnd w:id="355"/>
    </w:p>
    <w:p w14:paraId="74A98925">
      <w:pPr>
        <w:spacing w:before="14" w:line="364" w:lineRule="auto"/>
        <w:ind w:left="14" w:right="125" w:firstLine="479"/>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3.6.1 在评标过程中，评标委员会应查询交通运输主管部门“公路建设市场监督</w:t>
      </w:r>
      <w:r>
        <w:rPr>
          <w:rFonts w:ascii="宋体" w:hAnsi="宋体" w:eastAsia="宋体" w:cs="宋体"/>
          <w:color w:val="auto"/>
          <w:spacing w:val="4"/>
          <w:sz w:val="24"/>
          <w:szCs w:val="24"/>
          <w:highlight w:val="none"/>
        </w:rPr>
        <w:t>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”，对投标人的资质、业绩、主要人员资历和目前在</w:t>
      </w:r>
      <w:r>
        <w:rPr>
          <w:rFonts w:ascii="宋体" w:hAnsi="宋体" w:eastAsia="宋体" w:cs="宋体"/>
          <w:color w:val="auto"/>
          <w:spacing w:val="3"/>
          <w:sz w:val="24"/>
          <w:szCs w:val="24"/>
          <w:highlight w:val="none"/>
        </w:rPr>
        <w:t>岗情况、信用等级等信</w:t>
      </w:r>
      <w:r>
        <w:rPr>
          <w:rFonts w:ascii="宋体" w:hAnsi="宋体" w:eastAsia="宋体" w:cs="宋体"/>
          <w:color w:val="auto"/>
          <w:spacing w:val="5"/>
          <w:sz w:val="24"/>
          <w:szCs w:val="24"/>
          <w:highlight w:val="none"/>
        </w:rPr>
        <w:t>息进行核实。若投标文件载明的信息与交通运输主管部门“公</w:t>
      </w:r>
      <w:r>
        <w:rPr>
          <w:rFonts w:ascii="宋体" w:hAnsi="宋体" w:eastAsia="宋体" w:cs="宋体"/>
          <w:color w:val="auto"/>
          <w:spacing w:val="4"/>
          <w:sz w:val="24"/>
          <w:szCs w:val="24"/>
          <w:highlight w:val="none"/>
        </w:rPr>
        <w:t>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”发布的信息不符，使得投标人的资格条件不符合招标文件规定的</w:t>
      </w:r>
      <w:r>
        <w:rPr>
          <w:rFonts w:ascii="宋体" w:hAnsi="宋体" w:eastAsia="宋体" w:cs="宋体"/>
          <w:color w:val="auto"/>
          <w:spacing w:val="3"/>
          <w:sz w:val="24"/>
          <w:szCs w:val="24"/>
          <w:highlight w:val="none"/>
        </w:rPr>
        <w:t>，评标委员会应</w:t>
      </w:r>
      <w:bookmarkStart w:id="356" w:name="bookmark139"/>
      <w:bookmarkEnd w:id="356"/>
      <w:r>
        <w:rPr>
          <w:rFonts w:ascii="宋体" w:hAnsi="宋体" w:eastAsia="宋体" w:cs="宋体"/>
          <w:color w:val="auto"/>
          <w:spacing w:val="-3"/>
          <w:sz w:val="24"/>
          <w:szCs w:val="24"/>
          <w:highlight w:val="none"/>
        </w:rPr>
        <w:t>否决其投标。</w:t>
      </w:r>
    </w:p>
    <w:p w14:paraId="27043016">
      <w:pPr>
        <w:spacing w:line="220" w:lineRule="auto"/>
        <w:rPr>
          <w:rFonts w:ascii="宋体" w:hAnsi="宋体" w:eastAsia="宋体" w:cs="宋体"/>
          <w:color w:val="auto"/>
          <w:sz w:val="18"/>
          <w:szCs w:val="18"/>
          <w:highlight w:val="none"/>
        </w:rPr>
        <w:sectPr>
          <w:footerReference r:id="rId24" w:type="default"/>
          <w:pgSz w:w="11906" w:h="16839"/>
          <w:pgMar w:top="1405" w:right="1289" w:bottom="1297" w:left="1417" w:header="0" w:footer="1067" w:gutter="0"/>
          <w:pgBorders>
            <w:top w:val="none" w:sz="0" w:space="0"/>
            <w:left w:val="none" w:sz="0" w:space="0"/>
            <w:bottom w:val="none" w:sz="0" w:space="0"/>
            <w:right w:val="none" w:sz="0" w:space="0"/>
          </w:pgBorders>
          <w:pgNumType w:fmt="decimal"/>
          <w:cols w:space="720" w:num="1"/>
        </w:sectPr>
      </w:pPr>
    </w:p>
    <w:p w14:paraId="5285E3F9">
      <w:pPr>
        <w:spacing w:before="47" w:line="359" w:lineRule="auto"/>
        <w:ind w:firstLine="485"/>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评标委员会应对在评标过程中发现的投标</w:t>
      </w:r>
      <w:r>
        <w:rPr>
          <w:rFonts w:ascii="宋体" w:hAnsi="宋体" w:eastAsia="宋体" w:cs="宋体"/>
          <w:color w:val="auto"/>
          <w:spacing w:val="4"/>
          <w:sz w:val="24"/>
          <w:szCs w:val="24"/>
          <w:highlight w:val="none"/>
        </w:rPr>
        <w:t>人与投标人之间、投标人与招标</w:t>
      </w:r>
      <w:r>
        <w:rPr>
          <w:rFonts w:ascii="宋体" w:hAnsi="宋体" w:eastAsia="宋体" w:cs="宋体"/>
          <w:color w:val="auto"/>
          <w:spacing w:val="5"/>
          <w:sz w:val="24"/>
          <w:szCs w:val="24"/>
          <w:highlight w:val="none"/>
        </w:rPr>
        <w:t>人之间存在的串通投标的情形进行评审和认定。投标人存在串通投标、弄虚作</w:t>
      </w:r>
      <w:r>
        <w:rPr>
          <w:rFonts w:ascii="宋体" w:hAnsi="宋体" w:eastAsia="宋体" w:cs="宋体"/>
          <w:color w:val="auto"/>
          <w:spacing w:val="4"/>
          <w:sz w:val="24"/>
          <w:szCs w:val="24"/>
          <w:highlight w:val="none"/>
        </w:rPr>
        <w:t>假、行</w:t>
      </w:r>
      <w:r>
        <w:rPr>
          <w:rFonts w:ascii="宋体" w:hAnsi="宋体" w:eastAsia="宋体" w:cs="宋体"/>
          <w:color w:val="auto"/>
          <w:spacing w:val="-1"/>
          <w:sz w:val="24"/>
          <w:szCs w:val="24"/>
          <w:highlight w:val="none"/>
        </w:rPr>
        <w:t>贿等违法行为的，评标委员会应否决其投标。</w:t>
      </w:r>
    </w:p>
    <w:p w14:paraId="174EB03A">
      <w:pPr>
        <w:spacing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（1）有下列情形之一的，属于投标人相互串通投标：</w:t>
      </w:r>
    </w:p>
    <w:p w14:paraId="63726EED">
      <w:pPr>
        <w:spacing w:before="181" w:line="218"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a.投标人之间协商投标报价等投标文件的实质性内容；</w:t>
      </w:r>
    </w:p>
    <w:p w14:paraId="7DC5ADCB">
      <w:pPr>
        <w:spacing w:before="182" w:line="220"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b.投标人之间约定中标人；</w:t>
      </w:r>
    </w:p>
    <w:p w14:paraId="322F24C9">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c.投标人之间约定部分投标人放弃投标或中标；</w:t>
      </w:r>
    </w:p>
    <w:p w14:paraId="197ED793">
      <w:pPr>
        <w:spacing w:before="179" w:line="219" w:lineRule="auto"/>
        <w:ind w:left="485"/>
        <w:rPr>
          <w:rFonts w:ascii="宋体" w:hAnsi="宋体" w:eastAsia="宋体" w:cs="宋体"/>
          <w:color w:val="auto"/>
          <w:sz w:val="24"/>
          <w:szCs w:val="24"/>
          <w:highlight w:val="none"/>
        </w:rPr>
      </w:pPr>
      <w:r>
        <w:rPr>
          <w:rFonts w:ascii="宋体" w:hAnsi="宋体" w:eastAsia="宋体" w:cs="宋体"/>
          <w:color w:val="auto"/>
          <w:sz w:val="24"/>
          <w:szCs w:val="24"/>
          <w:highlight w:val="none"/>
        </w:rPr>
        <w:t>d.属于同一集团、协会、商会等组织成员</w:t>
      </w:r>
      <w:r>
        <w:rPr>
          <w:rFonts w:ascii="宋体" w:hAnsi="宋体" w:eastAsia="宋体" w:cs="宋体"/>
          <w:color w:val="auto"/>
          <w:spacing w:val="-1"/>
          <w:sz w:val="24"/>
          <w:szCs w:val="24"/>
          <w:highlight w:val="none"/>
        </w:rPr>
        <w:t>的投标人按照该组织要求协同投标；</w:t>
      </w:r>
    </w:p>
    <w:p w14:paraId="005A76A6">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e.投标人之间为谋取中标或排斥特定投标人而采取的其他联合行动。</w:t>
      </w:r>
    </w:p>
    <w:p w14:paraId="37EC87A7">
      <w:pPr>
        <w:spacing w:before="182"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（2）有下列情形之一的，视为投标人相互串通投标：</w:t>
      </w:r>
    </w:p>
    <w:p w14:paraId="549A4081">
      <w:pPr>
        <w:spacing w:before="18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a.不同投标人的投标文件由同一单位或个人编制；</w:t>
      </w:r>
    </w:p>
    <w:p w14:paraId="5A23F685">
      <w:pPr>
        <w:spacing w:before="181"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b.不同投标人委托同一单位或个人办理投标事宜；</w:t>
      </w:r>
    </w:p>
    <w:p w14:paraId="3247E8FC">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c.不同投标人的投标文件载明的项目管理成员为同一人；</w:t>
      </w:r>
    </w:p>
    <w:p w14:paraId="321AFFEE">
      <w:pPr>
        <w:spacing w:before="183"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d.不同投标人的投标文件异常一致或投标报价呈规律性差异；</w:t>
      </w:r>
    </w:p>
    <w:p w14:paraId="4926921C">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e.不同投标人的投标文件相互混装；</w:t>
      </w:r>
    </w:p>
    <w:p w14:paraId="27B3A2E6">
      <w:pPr>
        <w:spacing w:before="18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f.不同投标人的投标保证金从同一单位或个人的账户转出。</w:t>
      </w:r>
    </w:p>
    <w:p w14:paraId="4868DA67">
      <w:pPr>
        <w:spacing w:before="180" w:line="214"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g.广东省实施《中华人民共和国招标投标法》办法第十六条规定的情形。</w:t>
      </w:r>
    </w:p>
    <w:p w14:paraId="7424CB46">
      <w:pPr>
        <w:spacing w:before="188"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（3）有下列情形之一的，属于招标人与投标人串通投标：</w:t>
      </w:r>
    </w:p>
    <w:p w14:paraId="1A6A671D">
      <w:pPr>
        <w:spacing w:before="183"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a.招标人在开标前开启投标文件并将有关信息泄露给其他投标人；</w:t>
      </w:r>
    </w:p>
    <w:p w14:paraId="2A56B82E">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z w:val="24"/>
          <w:szCs w:val="24"/>
          <w:highlight w:val="none"/>
        </w:rPr>
        <w:t>b.招标人直接或间接向投标人泄露标底、评标委员</w:t>
      </w:r>
      <w:r>
        <w:rPr>
          <w:rFonts w:ascii="宋体" w:hAnsi="宋体" w:eastAsia="宋体" w:cs="宋体"/>
          <w:color w:val="auto"/>
          <w:spacing w:val="-1"/>
          <w:sz w:val="24"/>
          <w:szCs w:val="24"/>
          <w:highlight w:val="none"/>
        </w:rPr>
        <w:t>会成员等信息；</w:t>
      </w:r>
    </w:p>
    <w:p w14:paraId="2B51B961">
      <w:pPr>
        <w:spacing w:before="181"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c.招标人明示或暗示投标人压低或抬高投标报价；</w:t>
      </w:r>
    </w:p>
    <w:p w14:paraId="5052DFF9">
      <w:pPr>
        <w:spacing w:before="185"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d.招标人授意投标人撤换、修改投标文件；</w:t>
      </w:r>
    </w:p>
    <w:p w14:paraId="570F4781">
      <w:pPr>
        <w:spacing w:before="180"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e.招标人明示或暗示投标人为特定投标人中标提供方便；</w:t>
      </w:r>
    </w:p>
    <w:p w14:paraId="4E786C64">
      <w:pPr>
        <w:spacing w:before="184"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f.招标人与投标人为谋求特定投标人中标而采取的其他串通行为。</w:t>
      </w:r>
    </w:p>
    <w:p w14:paraId="51B6A3E6">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（4）投标人有下列情形之一的，属于弄虚作假的行为：</w:t>
      </w:r>
    </w:p>
    <w:p w14:paraId="4DB521F9">
      <w:pPr>
        <w:spacing w:before="181"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a.使用通过受让或租借等方式获取的资格、资质证书投标；</w:t>
      </w:r>
    </w:p>
    <w:p w14:paraId="43BDF944">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b.使用伪造、变造的许可证件；</w:t>
      </w:r>
    </w:p>
    <w:p w14:paraId="38C4CFB2">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c.提供虚假的业绩；</w:t>
      </w:r>
    </w:p>
    <w:p w14:paraId="604D432C">
      <w:pPr>
        <w:spacing w:before="181"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d.提供虚假的项目负责人或主要技术人员简历、劳动关系证明；</w:t>
      </w:r>
    </w:p>
    <w:p w14:paraId="66CD0D85">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e.提供虚假的信用状况；</w:t>
      </w:r>
    </w:p>
    <w:p w14:paraId="629D2ACC">
      <w:pPr>
        <w:spacing w:line="219" w:lineRule="auto"/>
        <w:rPr>
          <w:rFonts w:ascii="宋体" w:hAnsi="宋体" w:eastAsia="宋体" w:cs="宋体"/>
          <w:color w:val="auto"/>
          <w:sz w:val="24"/>
          <w:szCs w:val="24"/>
          <w:highlight w:val="none"/>
        </w:rPr>
        <w:sectPr>
          <w:footerReference r:id="rId25" w:type="default"/>
          <w:pgSz w:w="11906" w:h="16839"/>
          <w:pgMar w:top="1405" w:right="1418" w:bottom="1297" w:left="1424" w:header="0" w:footer="1067" w:gutter="0"/>
          <w:pgBorders>
            <w:top w:val="none" w:sz="0" w:space="0"/>
            <w:left w:val="none" w:sz="0" w:space="0"/>
            <w:bottom w:val="none" w:sz="0" w:space="0"/>
            <w:right w:val="none" w:sz="0" w:space="0"/>
          </w:pgBorders>
          <w:pgNumType w:fmt="decimal"/>
          <w:cols w:space="720" w:num="1"/>
        </w:sectPr>
      </w:pPr>
    </w:p>
    <w:p w14:paraId="5095F28E">
      <w:pPr>
        <w:spacing w:before="47"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f.其他弄虚作假的行为。</w:t>
      </w:r>
    </w:p>
    <w:p w14:paraId="6750D256">
      <w:pPr>
        <w:spacing w:before="182" w:line="324" w:lineRule="auto"/>
        <w:ind w:left="2" w:right="8"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3.6.3</w:t>
      </w:r>
      <w:r>
        <w:rPr>
          <w:rFonts w:ascii="宋体" w:hAnsi="宋体" w:eastAsia="宋体" w:cs="宋体"/>
          <w:color w:val="auto"/>
          <w:spacing w:val="-49"/>
          <w:sz w:val="24"/>
          <w:szCs w:val="24"/>
          <w:highlight w:val="none"/>
        </w:rPr>
        <w:t xml:space="preserve"> </w:t>
      </w:r>
      <w:r>
        <w:rPr>
          <w:rFonts w:ascii="宋体" w:hAnsi="宋体" w:eastAsia="宋体" w:cs="宋体"/>
          <w:color w:val="auto"/>
          <w:sz w:val="24"/>
          <w:szCs w:val="24"/>
          <w:highlight w:val="none"/>
        </w:rPr>
        <w:t>依法必须进行招标的项目，除第一中标候</w:t>
      </w:r>
      <w:r>
        <w:rPr>
          <w:rFonts w:ascii="宋体" w:hAnsi="宋体" w:eastAsia="宋体" w:cs="宋体"/>
          <w:color w:val="auto"/>
          <w:spacing w:val="-1"/>
          <w:sz w:val="24"/>
          <w:szCs w:val="24"/>
          <w:highlight w:val="none"/>
        </w:rPr>
        <w:t>选人或者中标人，其他投标人存在</w:t>
      </w:r>
      <w:r>
        <w:rPr>
          <w:rFonts w:ascii="宋体" w:hAnsi="宋体" w:eastAsia="宋体" w:cs="宋体"/>
          <w:color w:val="auto"/>
          <w:spacing w:val="5"/>
          <w:sz w:val="24"/>
          <w:szCs w:val="24"/>
          <w:highlight w:val="none"/>
        </w:rPr>
        <w:t>串通投标、弄虚作假、行贿情形且在评标过程中未被发现的，视为对中</w:t>
      </w:r>
      <w:r>
        <w:rPr>
          <w:rFonts w:ascii="宋体" w:hAnsi="宋体" w:eastAsia="宋体" w:cs="宋体"/>
          <w:color w:val="auto"/>
          <w:spacing w:val="4"/>
          <w:sz w:val="24"/>
          <w:szCs w:val="24"/>
          <w:highlight w:val="none"/>
        </w:rPr>
        <w:t>标结果没有造</w:t>
      </w:r>
      <w:r>
        <w:rPr>
          <w:rFonts w:ascii="宋体" w:hAnsi="宋体" w:eastAsia="宋体" w:cs="宋体"/>
          <w:color w:val="auto"/>
          <w:spacing w:val="5"/>
          <w:sz w:val="24"/>
          <w:szCs w:val="24"/>
          <w:highlight w:val="none"/>
        </w:rPr>
        <w:t>成实质性影响，招标人可以依法继续开展招标活动。投标人的违法行为</w:t>
      </w:r>
      <w:r>
        <w:rPr>
          <w:rFonts w:ascii="宋体" w:hAnsi="宋体" w:eastAsia="宋体" w:cs="宋体"/>
          <w:color w:val="auto"/>
          <w:spacing w:val="4"/>
          <w:sz w:val="24"/>
          <w:szCs w:val="24"/>
          <w:highlight w:val="none"/>
        </w:rPr>
        <w:t>由行政监督部</w:t>
      </w:r>
      <w:r>
        <w:rPr>
          <w:rFonts w:ascii="宋体" w:hAnsi="宋体" w:eastAsia="宋体" w:cs="宋体"/>
          <w:color w:val="auto"/>
          <w:spacing w:val="-2"/>
          <w:sz w:val="24"/>
          <w:szCs w:val="24"/>
          <w:highlight w:val="none"/>
        </w:rPr>
        <w:t>门依法处理。</w:t>
      </w:r>
    </w:p>
    <w:p w14:paraId="3548420B">
      <w:pPr>
        <w:spacing w:line="246" w:lineRule="auto"/>
        <w:rPr>
          <w:rFonts w:ascii="Arial"/>
          <w:color w:val="auto"/>
          <w:sz w:val="21"/>
          <w:highlight w:val="none"/>
        </w:rPr>
      </w:pPr>
    </w:p>
    <w:p w14:paraId="20574AAC">
      <w:pPr>
        <w:spacing w:before="78" w:line="219" w:lineRule="auto"/>
        <w:ind w:left="5"/>
        <w:outlineLvl w:val="1"/>
        <w:rPr>
          <w:rFonts w:ascii="宋体" w:hAnsi="宋体" w:eastAsia="宋体" w:cs="宋体"/>
          <w:color w:val="auto"/>
          <w:sz w:val="24"/>
          <w:szCs w:val="24"/>
          <w:highlight w:val="none"/>
        </w:rPr>
      </w:pPr>
      <w:bookmarkStart w:id="357" w:name="_Toc20884"/>
      <w:bookmarkStart w:id="358" w:name="_Toc21279"/>
      <w:bookmarkStart w:id="359" w:name="_Toc27038"/>
      <w:bookmarkStart w:id="360" w:name="_Toc31904"/>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投标文件的澄清和说明</w:t>
      </w:r>
      <w:bookmarkEnd w:id="357"/>
      <w:bookmarkEnd w:id="358"/>
      <w:bookmarkEnd w:id="359"/>
      <w:bookmarkEnd w:id="360"/>
    </w:p>
    <w:p w14:paraId="171160BD">
      <w:pPr>
        <w:spacing w:before="51" w:line="312"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3.7.1 在评标过程中，评标委员会可以要求投标</w:t>
      </w:r>
      <w:r>
        <w:rPr>
          <w:rFonts w:ascii="宋体" w:hAnsi="宋体" w:eastAsia="宋体" w:cs="宋体"/>
          <w:color w:val="auto"/>
          <w:spacing w:val="4"/>
          <w:sz w:val="24"/>
          <w:szCs w:val="24"/>
          <w:highlight w:val="none"/>
        </w:rPr>
        <w:t>人对投标文件中含义不明确的内</w:t>
      </w:r>
      <w:r>
        <w:rPr>
          <w:rFonts w:ascii="宋体" w:hAnsi="宋体" w:eastAsia="宋体" w:cs="宋体"/>
          <w:color w:val="auto"/>
          <w:spacing w:val="5"/>
          <w:sz w:val="24"/>
          <w:szCs w:val="24"/>
          <w:highlight w:val="none"/>
        </w:rPr>
        <w:t>容、明显文字或计算错误进行书面澄清或说明。评标委员会不接受投标人主</w:t>
      </w:r>
      <w:r>
        <w:rPr>
          <w:rFonts w:ascii="宋体" w:hAnsi="宋体" w:eastAsia="宋体" w:cs="宋体"/>
          <w:color w:val="auto"/>
          <w:spacing w:val="4"/>
          <w:sz w:val="24"/>
          <w:szCs w:val="24"/>
          <w:highlight w:val="none"/>
        </w:rPr>
        <w:t>动提出的</w:t>
      </w:r>
      <w:r>
        <w:rPr>
          <w:rFonts w:ascii="宋体" w:hAnsi="宋体" w:eastAsia="宋体" w:cs="宋体"/>
          <w:color w:val="auto"/>
          <w:sz w:val="24"/>
          <w:szCs w:val="24"/>
          <w:highlight w:val="none"/>
        </w:rPr>
        <w:t>澄清、说明。投标人不按评标委员会要求澄清或说明的，评</w:t>
      </w:r>
      <w:r>
        <w:rPr>
          <w:rFonts w:ascii="宋体" w:hAnsi="宋体" w:eastAsia="宋体" w:cs="宋体"/>
          <w:color w:val="auto"/>
          <w:spacing w:val="-1"/>
          <w:sz w:val="24"/>
          <w:szCs w:val="24"/>
          <w:highlight w:val="none"/>
        </w:rPr>
        <w:t>标委员会应否决其投标。</w:t>
      </w:r>
    </w:p>
    <w:p w14:paraId="39D2264A">
      <w:pPr>
        <w:spacing w:before="184" w:line="288" w:lineRule="auto"/>
        <w:ind w:left="3" w:right="8"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澄清和说明不得超出投标文件的范围或改</w:t>
      </w:r>
      <w:r>
        <w:rPr>
          <w:rFonts w:ascii="宋体" w:hAnsi="宋体" w:eastAsia="宋体" w:cs="宋体"/>
          <w:color w:val="auto"/>
          <w:spacing w:val="4"/>
          <w:sz w:val="24"/>
          <w:szCs w:val="24"/>
          <w:highlight w:val="none"/>
        </w:rPr>
        <w:t>变投标文件的实质性内容（算术</w:t>
      </w:r>
      <w:r>
        <w:rPr>
          <w:rFonts w:ascii="宋体" w:hAnsi="宋体" w:eastAsia="宋体" w:cs="宋体"/>
          <w:color w:val="auto"/>
          <w:sz w:val="24"/>
          <w:szCs w:val="24"/>
          <w:highlight w:val="none"/>
        </w:rPr>
        <w:t>性错误的修正除外）。投标人的书面澄清、</w:t>
      </w:r>
      <w:r>
        <w:rPr>
          <w:rFonts w:ascii="宋体" w:hAnsi="宋体" w:eastAsia="宋体" w:cs="宋体"/>
          <w:color w:val="auto"/>
          <w:spacing w:val="-1"/>
          <w:sz w:val="24"/>
          <w:szCs w:val="24"/>
          <w:highlight w:val="none"/>
        </w:rPr>
        <w:t>说明属于投标文件的组成部分。</w:t>
      </w:r>
    </w:p>
    <w:p w14:paraId="0E3195F1">
      <w:pPr>
        <w:spacing w:before="185" w:line="288" w:lineRule="auto"/>
        <w:ind w:left="3" w:firstLine="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评标委员会不得暗示或诱导投标人作出</w:t>
      </w:r>
      <w:r>
        <w:rPr>
          <w:rFonts w:ascii="宋体" w:hAnsi="宋体" w:eastAsia="宋体" w:cs="宋体"/>
          <w:color w:val="auto"/>
          <w:spacing w:val="-2"/>
          <w:sz w:val="24"/>
          <w:szCs w:val="24"/>
          <w:highlight w:val="none"/>
        </w:rPr>
        <w:t>澄清、说明，对投标人提交的澄清、</w:t>
      </w:r>
      <w:r>
        <w:rPr>
          <w:rFonts w:ascii="宋体" w:hAnsi="宋体" w:eastAsia="宋体" w:cs="宋体"/>
          <w:color w:val="auto"/>
          <w:sz w:val="24"/>
          <w:szCs w:val="24"/>
          <w:highlight w:val="none"/>
        </w:rPr>
        <w:t>说明有疑问的，可以要求投标人进一步澄清或说明</w:t>
      </w:r>
      <w:r>
        <w:rPr>
          <w:rFonts w:ascii="宋体" w:hAnsi="宋体" w:eastAsia="宋体" w:cs="宋体"/>
          <w:color w:val="auto"/>
          <w:spacing w:val="-1"/>
          <w:sz w:val="24"/>
          <w:szCs w:val="24"/>
          <w:highlight w:val="none"/>
        </w:rPr>
        <w:t>，直至满足评标委员会的要求。</w:t>
      </w:r>
    </w:p>
    <w:p w14:paraId="1B188C9F">
      <w:pPr>
        <w:spacing w:before="185" w:line="289"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3.7.4 凡超出招标文件规定的或给委托人带来未</w:t>
      </w:r>
      <w:r>
        <w:rPr>
          <w:rFonts w:ascii="宋体" w:hAnsi="宋体" w:eastAsia="宋体" w:cs="宋体"/>
          <w:color w:val="auto"/>
          <w:spacing w:val="4"/>
          <w:sz w:val="24"/>
          <w:szCs w:val="24"/>
          <w:highlight w:val="none"/>
        </w:rPr>
        <w:t>曾要求的利益的变化、偏差或其</w:t>
      </w:r>
      <w:r>
        <w:rPr>
          <w:rFonts w:ascii="宋体" w:hAnsi="宋体" w:eastAsia="宋体" w:cs="宋体"/>
          <w:color w:val="auto"/>
          <w:spacing w:val="-1"/>
          <w:sz w:val="24"/>
          <w:szCs w:val="24"/>
          <w:highlight w:val="none"/>
        </w:rPr>
        <w:t>他因素在评标时不予考虑。</w:t>
      </w:r>
    </w:p>
    <w:p w14:paraId="47635BC6">
      <w:pPr>
        <w:spacing w:line="246" w:lineRule="auto"/>
        <w:rPr>
          <w:rFonts w:ascii="Arial"/>
          <w:color w:val="auto"/>
          <w:sz w:val="21"/>
          <w:highlight w:val="none"/>
        </w:rPr>
      </w:pPr>
    </w:p>
    <w:p w14:paraId="76E3D0F6">
      <w:pPr>
        <w:spacing w:before="78" w:line="219" w:lineRule="auto"/>
        <w:ind w:left="5"/>
        <w:outlineLvl w:val="1"/>
        <w:rPr>
          <w:rFonts w:ascii="宋体" w:hAnsi="宋体" w:eastAsia="宋体" w:cs="宋体"/>
          <w:color w:val="auto"/>
          <w:sz w:val="24"/>
          <w:szCs w:val="24"/>
          <w:highlight w:val="none"/>
        </w:rPr>
      </w:pPr>
      <w:bookmarkStart w:id="361" w:name="_Toc9266"/>
      <w:bookmarkStart w:id="362" w:name="_Toc22360"/>
      <w:bookmarkStart w:id="363" w:name="_Toc1136"/>
      <w:bookmarkStart w:id="364" w:name="_Toc931"/>
      <w:r>
        <w:rPr>
          <w:rFonts w:ascii="宋体" w:hAnsi="宋体" w:eastAsia="宋体" w:cs="宋体"/>
          <w:b/>
          <w:bCs/>
          <w:color w:val="auto"/>
          <w:spacing w:val="-3"/>
          <w:sz w:val="24"/>
          <w:szCs w:val="24"/>
          <w:highlight w:val="none"/>
        </w:rPr>
        <w:t>3.8</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不得否决投标的情形</w:t>
      </w:r>
      <w:bookmarkEnd w:id="361"/>
      <w:bookmarkEnd w:id="362"/>
      <w:bookmarkEnd w:id="363"/>
      <w:bookmarkEnd w:id="364"/>
    </w:p>
    <w:p w14:paraId="351D7801">
      <w:pPr>
        <w:spacing w:before="50" w:line="361" w:lineRule="auto"/>
        <w:ind w:right="8" w:firstLine="483"/>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投标文件存在第二章“投标人须知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z w:val="24"/>
          <w:szCs w:val="24"/>
          <w:highlight w:val="none"/>
        </w:rPr>
        <w:t>1.</w:t>
      </w:r>
      <w:r>
        <w:rPr>
          <w:rFonts w:ascii="宋体" w:hAnsi="宋体" w:eastAsia="宋体" w:cs="宋体"/>
          <w:color w:val="auto"/>
          <w:spacing w:val="-1"/>
          <w:sz w:val="24"/>
          <w:szCs w:val="24"/>
          <w:highlight w:val="none"/>
        </w:rPr>
        <w:t>12.3</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项所列情形的，均视为细微偏差，</w:t>
      </w:r>
      <w:r>
        <w:rPr>
          <w:rFonts w:ascii="宋体" w:hAnsi="宋体" w:eastAsia="宋体" w:cs="宋体"/>
          <w:color w:val="auto"/>
          <w:sz w:val="24"/>
          <w:szCs w:val="24"/>
          <w:highlight w:val="none"/>
        </w:rPr>
        <w:t>评标委员会不得否决投标人的投标，应按照第二章“投标</w:t>
      </w:r>
      <w:r>
        <w:rPr>
          <w:rFonts w:ascii="宋体" w:hAnsi="宋体" w:eastAsia="宋体" w:cs="宋体"/>
          <w:color w:val="auto"/>
          <w:spacing w:val="-1"/>
          <w:sz w:val="24"/>
          <w:szCs w:val="24"/>
          <w:highlight w:val="none"/>
        </w:rPr>
        <w:t>人须知</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pacing w:val="-1"/>
          <w:sz w:val="24"/>
          <w:szCs w:val="24"/>
          <w:highlight w:val="none"/>
        </w:rPr>
        <w:t>1.12.4</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w:t>
      </w:r>
      <w:r>
        <w:rPr>
          <w:rFonts w:ascii="宋体" w:hAnsi="宋体" w:eastAsia="宋体" w:cs="宋体"/>
          <w:color w:val="auto"/>
          <w:spacing w:val="-2"/>
          <w:sz w:val="24"/>
          <w:szCs w:val="24"/>
          <w:highlight w:val="none"/>
        </w:rPr>
        <w:t>原则处理。</w:t>
      </w:r>
    </w:p>
    <w:p w14:paraId="3BF7D5A7">
      <w:pPr>
        <w:spacing w:before="136" w:line="220" w:lineRule="auto"/>
        <w:ind w:left="5"/>
        <w:outlineLvl w:val="1"/>
        <w:rPr>
          <w:rFonts w:ascii="宋体" w:hAnsi="宋体" w:eastAsia="宋体" w:cs="宋体"/>
          <w:color w:val="auto"/>
          <w:sz w:val="24"/>
          <w:szCs w:val="24"/>
          <w:highlight w:val="none"/>
        </w:rPr>
      </w:pPr>
      <w:bookmarkStart w:id="365" w:name="_Toc2480"/>
      <w:bookmarkStart w:id="366" w:name="_Toc5826"/>
      <w:bookmarkStart w:id="367" w:name="_Toc24121"/>
      <w:bookmarkStart w:id="368" w:name="_Toc5981"/>
      <w:r>
        <w:rPr>
          <w:rFonts w:ascii="宋体" w:hAnsi="宋体" w:eastAsia="宋体" w:cs="宋体"/>
          <w:b/>
          <w:bCs/>
          <w:color w:val="auto"/>
          <w:spacing w:val="-4"/>
          <w:sz w:val="24"/>
          <w:szCs w:val="24"/>
          <w:highlight w:val="none"/>
        </w:rPr>
        <w:t>3.9</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评标结果</w:t>
      </w:r>
      <w:bookmarkEnd w:id="365"/>
      <w:bookmarkEnd w:id="366"/>
      <w:bookmarkEnd w:id="367"/>
      <w:bookmarkEnd w:id="368"/>
    </w:p>
    <w:p w14:paraId="322C83DD">
      <w:pPr>
        <w:spacing w:before="51" w:line="289" w:lineRule="auto"/>
        <w:ind w:left="1" w:right="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3.9.1 除第二章“投标人须知</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”前附表授权直</w:t>
      </w:r>
      <w:r>
        <w:rPr>
          <w:rFonts w:ascii="宋体" w:hAnsi="宋体" w:eastAsia="宋体" w:cs="宋体"/>
          <w:color w:val="auto"/>
          <w:spacing w:val="3"/>
          <w:sz w:val="24"/>
          <w:szCs w:val="24"/>
          <w:highlight w:val="none"/>
        </w:rPr>
        <w:t>接确定中标人外，评标委员会按照</w:t>
      </w:r>
      <w:r>
        <w:rPr>
          <w:rFonts w:ascii="宋体" w:hAnsi="宋体" w:eastAsia="宋体" w:cs="宋体"/>
          <w:color w:val="auto"/>
          <w:spacing w:val="-1"/>
          <w:sz w:val="24"/>
          <w:szCs w:val="24"/>
          <w:highlight w:val="none"/>
        </w:rPr>
        <w:t>得分由高到低的顺序推荐中标候选人，并标明排序。</w:t>
      </w:r>
    </w:p>
    <w:p w14:paraId="67075C33">
      <w:pPr>
        <w:spacing w:before="184"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3.9.2 评标委员会完成评标后，应向招标人提交评标报告。</w:t>
      </w:r>
    </w:p>
    <w:p w14:paraId="16D46CEE">
      <w:pPr>
        <w:spacing w:before="183" w:line="331" w:lineRule="auto"/>
        <w:ind w:right="8" w:firstLine="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通过第一个信封商务和技术文件评审的投标人少于</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个的，评标委员会可以</w:t>
      </w:r>
      <w:r>
        <w:rPr>
          <w:rFonts w:ascii="宋体" w:hAnsi="宋体" w:eastAsia="宋体" w:cs="宋体"/>
          <w:color w:val="auto"/>
          <w:spacing w:val="5"/>
          <w:sz w:val="24"/>
          <w:szCs w:val="24"/>
          <w:highlight w:val="none"/>
        </w:rPr>
        <w:t>否决全部投标；未否决全部投标的，评标委员会应当在评标报告中阐明理由，</w:t>
      </w:r>
      <w:r>
        <w:rPr>
          <w:rFonts w:ascii="宋体" w:hAnsi="宋体" w:eastAsia="宋体" w:cs="宋体"/>
          <w:color w:val="auto"/>
          <w:spacing w:val="4"/>
          <w:sz w:val="24"/>
          <w:szCs w:val="24"/>
          <w:highlight w:val="none"/>
        </w:rPr>
        <w:t>招标人</w:t>
      </w:r>
      <w:r>
        <w:rPr>
          <w:rFonts w:ascii="宋体" w:hAnsi="宋体" w:eastAsia="宋体" w:cs="宋体"/>
          <w:color w:val="auto"/>
          <w:spacing w:val="5"/>
          <w:sz w:val="24"/>
          <w:szCs w:val="24"/>
          <w:highlight w:val="none"/>
        </w:rPr>
        <w:t>应当按照招标文件规定的程序进行第二个信封报价开标，但评标委员会在进行</w:t>
      </w:r>
      <w:r>
        <w:rPr>
          <w:rFonts w:ascii="宋体" w:hAnsi="宋体" w:eastAsia="宋体" w:cs="宋体"/>
          <w:color w:val="auto"/>
          <w:spacing w:val="4"/>
          <w:sz w:val="24"/>
          <w:szCs w:val="24"/>
          <w:highlight w:val="none"/>
        </w:rPr>
        <w:t>报价评</w:t>
      </w:r>
      <w:r>
        <w:rPr>
          <w:rFonts w:ascii="宋体" w:hAnsi="宋体" w:eastAsia="宋体" w:cs="宋体"/>
          <w:color w:val="auto"/>
          <w:spacing w:val="5"/>
          <w:sz w:val="24"/>
          <w:szCs w:val="24"/>
          <w:highlight w:val="none"/>
        </w:rPr>
        <w:t>审时仍有权否决全部投标；评标委员会未在报价文件评审时否决全部投标的，</w:t>
      </w:r>
      <w:r>
        <w:rPr>
          <w:rFonts w:ascii="宋体" w:hAnsi="宋体" w:eastAsia="宋体" w:cs="宋体"/>
          <w:color w:val="auto"/>
          <w:spacing w:val="4"/>
          <w:sz w:val="24"/>
          <w:szCs w:val="24"/>
          <w:highlight w:val="none"/>
        </w:rPr>
        <w:t>应当在</w:t>
      </w:r>
      <w:r>
        <w:rPr>
          <w:rFonts w:ascii="宋体" w:hAnsi="宋体" w:eastAsia="宋体" w:cs="宋体"/>
          <w:color w:val="auto"/>
          <w:spacing w:val="-1"/>
          <w:sz w:val="24"/>
          <w:szCs w:val="24"/>
          <w:highlight w:val="none"/>
        </w:rPr>
        <w:t>评标报告中阐明理由并推荐中标候选人。</w:t>
      </w:r>
    </w:p>
    <w:p w14:paraId="5B34499D">
      <w:pPr>
        <w:spacing w:before="183" w:line="288" w:lineRule="auto"/>
        <w:ind w:left="2" w:right="5"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3.9.4</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通过第一个信封商务和技术文件评审的投标人在</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个及以上的，招标人应当</w:t>
      </w:r>
      <w:r>
        <w:rPr>
          <w:rFonts w:ascii="宋体" w:hAnsi="宋体" w:eastAsia="宋体" w:cs="宋体"/>
          <w:color w:val="auto"/>
          <w:spacing w:val="5"/>
          <w:sz w:val="24"/>
          <w:szCs w:val="24"/>
          <w:highlight w:val="none"/>
        </w:rPr>
        <w:t>按照招标文件规定的程序进行第二个信封报价文件开标；在</w:t>
      </w:r>
      <w:r>
        <w:rPr>
          <w:rFonts w:ascii="宋体" w:hAnsi="宋体" w:eastAsia="宋体" w:cs="宋体"/>
          <w:color w:val="auto"/>
          <w:spacing w:val="4"/>
          <w:sz w:val="24"/>
          <w:szCs w:val="24"/>
          <w:highlight w:val="none"/>
        </w:rPr>
        <w:t>对报价文件进行评审后，</w:t>
      </w:r>
    </w:p>
    <w:p w14:paraId="550EA974">
      <w:pPr>
        <w:spacing w:line="288" w:lineRule="auto"/>
        <w:rPr>
          <w:rFonts w:ascii="宋体" w:hAnsi="宋体" w:eastAsia="宋体" w:cs="宋体"/>
          <w:color w:val="auto"/>
          <w:sz w:val="24"/>
          <w:szCs w:val="24"/>
          <w:highlight w:val="none"/>
        </w:rPr>
        <w:sectPr>
          <w:footerReference r:id="rId26" w:type="default"/>
          <w:pgSz w:w="11906" w:h="16839"/>
          <w:pgMar w:top="1405" w:right="1409" w:bottom="1297" w:left="1424" w:header="0" w:footer="1066" w:gutter="0"/>
          <w:pgBorders>
            <w:top w:val="none" w:sz="0" w:space="0"/>
            <w:left w:val="none" w:sz="0" w:space="0"/>
            <w:bottom w:val="none" w:sz="0" w:space="0"/>
            <w:right w:val="none" w:sz="0" w:space="0"/>
          </w:pgBorders>
          <w:pgNumType w:fmt="decimal"/>
          <w:cols w:space="720" w:num="1"/>
        </w:sectPr>
      </w:pPr>
    </w:p>
    <w:p w14:paraId="39A46B66">
      <w:pPr>
        <w:spacing w:before="48" w:line="359" w:lineRule="auto"/>
        <w:ind w:firstLine="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有效投标不足</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3</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个的，评标委员会可以否决全部投标。未否决全部投标的，</w:t>
      </w:r>
      <w:r>
        <w:rPr>
          <w:rFonts w:ascii="宋体" w:hAnsi="宋体" w:eastAsia="宋体" w:cs="宋体"/>
          <w:color w:val="auto"/>
          <w:spacing w:val="3"/>
          <w:sz w:val="24"/>
          <w:szCs w:val="24"/>
          <w:highlight w:val="none"/>
        </w:rPr>
        <w:t>评标委员</w:t>
      </w:r>
      <w:r>
        <w:rPr>
          <w:rFonts w:ascii="宋体" w:hAnsi="宋体" w:eastAsia="宋体" w:cs="宋体"/>
          <w:color w:val="auto"/>
          <w:spacing w:val="-1"/>
          <w:sz w:val="24"/>
          <w:szCs w:val="24"/>
          <w:highlight w:val="none"/>
        </w:rPr>
        <w:t>会应当在评标报告中阐明理由并推荐中标候选人。</w:t>
      </w:r>
    </w:p>
    <w:p w14:paraId="7AABB942">
      <w:pPr>
        <w:spacing w:line="359" w:lineRule="auto"/>
        <w:ind w:left="2"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3.9.5</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如果发生无法确定推荐中标候选人的</w:t>
      </w:r>
      <w:r>
        <w:rPr>
          <w:rFonts w:ascii="宋体" w:hAnsi="宋体" w:eastAsia="宋体" w:cs="宋体"/>
          <w:color w:val="auto"/>
          <w:spacing w:val="-1"/>
          <w:sz w:val="24"/>
          <w:szCs w:val="24"/>
          <w:highlight w:val="none"/>
        </w:rPr>
        <w:t>其他意外情况，评标委员会可建议招标</w:t>
      </w:r>
      <w:r>
        <w:rPr>
          <w:rFonts w:ascii="宋体" w:hAnsi="宋体" w:eastAsia="宋体" w:cs="宋体"/>
          <w:color w:val="auto"/>
          <w:spacing w:val="-2"/>
          <w:sz w:val="24"/>
          <w:szCs w:val="24"/>
          <w:highlight w:val="none"/>
        </w:rPr>
        <w:t>人重新招标。</w:t>
      </w:r>
    </w:p>
    <w:p w14:paraId="4B7A5D4B">
      <w:pPr>
        <w:spacing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3.9.6</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本招标文件规定的否决投标条款包含在以下条款：</w:t>
      </w:r>
    </w:p>
    <w:p w14:paraId="1A636FFE">
      <w:pPr>
        <w:spacing w:before="180"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（1）投标人须知前附表后附录资格审查条件；</w:t>
      </w:r>
    </w:p>
    <w:p w14:paraId="1AE08A4C">
      <w:pPr>
        <w:spacing w:before="184" w:line="289" w:lineRule="auto"/>
        <w:ind w:left="5" w:right="39" w:firstLine="48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项、1.4.4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项、1.4.5</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项、1.12.2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项、3.4.2</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项、3.5</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3.6.1</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p>
    <w:p w14:paraId="3B03E754">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（3）本评标办法的否决条款。</w:t>
      </w:r>
    </w:p>
    <w:p w14:paraId="3423B66E">
      <w:pPr>
        <w:spacing w:line="219" w:lineRule="auto"/>
        <w:rPr>
          <w:rFonts w:ascii="宋体" w:hAnsi="宋体" w:eastAsia="宋体" w:cs="宋体"/>
          <w:color w:val="auto"/>
          <w:sz w:val="24"/>
          <w:szCs w:val="24"/>
          <w:highlight w:val="none"/>
        </w:rPr>
        <w:sectPr>
          <w:footerReference r:id="rId27" w:type="default"/>
          <w:pgSz w:w="11906" w:h="16839"/>
          <w:pgMar w:top="1405" w:right="1418" w:bottom="1297" w:left="1424" w:header="0" w:footer="1067" w:gutter="0"/>
          <w:pgBorders>
            <w:top w:val="none" w:sz="0" w:space="0"/>
            <w:left w:val="none" w:sz="0" w:space="0"/>
            <w:bottom w:val="none" w:sz="0" w:space="0"/>
            <w:right w:val="none" w:sz="0" w:space="0"/>
          </w:pgBorders>
          <w:pgNumType w:fmt="decimal"/>
          <w:cols w:space="720" w:num="1"/>
        </w:sectPr>
      </w:pPr>
    </w:p>
    <w:p w14:paraId="5B90D7F4">
      <w:pPr>
        <w:spacing w:before="64" w:line="223" w:lineRule="auto"/>
        <w:ind w:left="2250"/>
        <w:outlineLvl w:val="0"/>
        <w:rPr>
          <w:rFonts w:hint="eastAsia" w:ascii="宋体" w:hAnsi="宋体" w:eastAsia="宋体" w:cs="宋体"/>
          <w:b/>
          <w:bCs/>
          <w:color w:val="auto"/>
          <w:spacing w:val="6"/>
          <w:sz w:val="31"/>
          <w:szCs w:val="31"/>
          <w:highlight w:val="none"/>
          <w:lang w:val="en-US" w:eastAsia="zh-CN"/>
        </w:rPr>
      </w:pPr>
      <w:bookmarkStart w:id="369" w:name="_Toc30875"/>
      <w:r>
        <w:rPr>
          <w:rFonts w:hint="eastAsia" w:ascii="宋体" w:hAnsi="宋体" w:eastAsia="宋体" w:cs="宋体"/>
          <w:b/>
          <w:bCs/>
          <w:color w:val="auto"/>
          <w:spacing w:val="6"/>
          <w:sz w:val="31"/>
          <w:szCs w:val="31"/>
          <w:highlight w:val="none"/>
          <w:lang w:val="en-US" w:eastAsia="zh-CN"/>
        </w:rPr>
        <w:t>第二节 定标办法(票决数量法)</w:t>
      </w:r>
      <w:bookmarkEnd w:id="369"/>
    </w:p>
    <w:p w14:paraId="5B0AFC77">
      <w:pPr>
        <w:pStyle w:val="4"/>
        <w:jc w:val="both"/>
        <w:rPr>
          <w:rFonts w:hint="default"/>
          <w:color w:val="auto"/>
          <w:sz w:val="21"/>
          <w:szCs w:val="18"/>
          <w:highlight w:val="none"/>
          <w:lang w:val="en-US" w:eastAsia="zh-CN"/>
        </w:rPr>
      </w:pPr>
      <w:r>
        <w:rPr>
          <w:rFonts w:hint="eastAsia"/>
          <w:b/>
          <w:bCs/>
          <w:color w:val="auto"/>
          <w:sz w:val="22"/>
          <w:szCs w:val="28"/>
          <w:highlight w:val="none"/>
          <w:lang w:val="en-US" w:eastAsia="zh-CN"/>
        </w:rPr>
        <w:t>定标办法前附表</w:t>
      </w:r>
    </w:p>
    <w:tbl>
      <w:tblPr>
        <w:tblStyle w:val="22"/>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0F002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2370" w:type="dxa"/>
            <w:gridSpan w:val="2"/>
            <w:vAlign w:val="top"/>
          </w:tcPr>
          <w:p w14:paraId="378B18E2">
            <w:pPr>
              <w:pStyle w:val="23"/>
              <w:spacing w:before="35" w:line="228" w:lineRule="auto"/>
              <w:ind w:left="877"/>
              <w:rPr>
                <w:color w:val="auto"/>
                <w:highlight w:val="none"/>
              </w:rPr>
            </w:pPr>
            <w:r>
              <w:rPr>
                <w:b/>
                <w:bCs/>
                <w:color w:val="auto"/>
                <w:spacing w:val="5"/>
                <w:highlight w:val="none"/>
              </w:rPr>
              <w:t>条款号</w:t>
            </w:r>
          </w:p>
        </w:tc>
        <w:tc>
          <w:tcPr>
            <w:tcW w:w="6916" w:type="dxa"/>
            <w:vAlign w:val="top"/>
          </w:tcPr>
          <w:p w14:paraId="61703F29">
            <w:pPr>
              <w:pStyle w:val="23"/>
              <w:spacing w:before="35" w:line="228" w:lineRule="auto"/>
              <w:ind w:left="2496"/>
              <w:rPr>
                <w:color w:val="auto"/>
                <w:highlight w:val="none"/>
              </w:rPr>
            </w:pPr>
            <w:r>
              <w:rPr>
                <w:b/>
                <w:bCs/>
                <w:color w:val="auto"/>
                <w:spacing w:val="11"/>
                <w:highlight w:val="none"/>
              </w:rPr>
              <w:t>评审标准</w:t>
            </w:r>
          </w:p>
        </w:tc>
      </w:tr>
      <w:tr w14:paraId="58EF8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1034" w:type="dxa"/>
            <w:vAlign w:val="center"/>
          </w:tcPr>
          <w:p w14:paraId="2CC63787">
            <w:pPr>
              <w:pStyle w:val="23"/>
              <w:spacing w:before="65" w:line="270" w:lineRule="exact"/>
              <w:jc w:val="center"/>
              <w:rPr>
                <w:color w:val="auto"/>
                <w:highlight w:val="none"/>
              </w:rPr>
            </w:pPr>
            <w:r>
              <w:rPr>
                <w:color w:val="auto"/>
                <w:position w:val="1"/>
                <w:highlight w:val="none"/>
              </w:rPr>
              <w:t>1</w:t>
            </w:r>
          </w:p>
        </w:tc>
        <w:tc>
          <w:tcPr>
            <w:tcW w:w="1336" w:type="dxa"/>
            <w:vAlign w:val="center"/>
          </w:tcPr>
          <w:p w14:paraId="4D9DE13E">
            <w:pPr>
              <w:pStyle w:val="23"/>
              <w:spacing w:before="65" w:line="228" w:lineRule="auto"/>
              <w:jc w:val="center"/>
              <w:rPr>
                <w:rFonts w:hint="default" w:eastAsia="宋体"/>
                <w:color w:val="auto"/>
                <w:highlight w:val="none"/>
                <w:lang w:val="en-US" w:eastAsia="zh-CN"/>
              </w:rPr>
            </w:pPr>
            <w:r>
              <w:rPr>
                <w:rFonts w:hint="eastAsia"/>
                <w:color w:val="auto"/>
                <w:highlight w:val="none"/>
                <w:lang w:val="en-US" w:eastAsia="zh-CN"/>
              </w:rPr>
              <w:t>定标方法</w:t>
            </w:r>
          </w:p>
        </w:tc>
        <w:tc>
          <w:tcPr>
            <w:tcW w:w="6916" w:type="dxa"/>
            <w:vAlign w:val="center"/>
          </w:tcPr>
          <w:p w14:paraId="5987B25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00" w:firstLineChars="200"/>
              <w:jc w:val="both"/>
              <w:textAlignment w:val="auto"/>
              <w:outlineLvl w:val="9"/>
              <w:rPr>
                <w:color w:val="auto"/>
                <w:highlight w:val="none"/>
              </w:rPr>
            </w:pPr>
            <w:r>
              <w:rPr>
                <w:rFonts w:hint="eastAsia" w:ascii="宋体" w:hAnsi="宋体" w:eastAsia="宋体" w:cs="宋体"/>
                <w:snapToGrid w:val="0"/>
                <w:color w:val="auto"/>
                <w:kern w:val="0"/>
                <w:sz w:val="20"/>
                <w:szCs w:val="20"/>
                <w:highlight w:val="none"/>
                <w:lang w:val="en-US" w:eastAsia="zh-CN" w:bidi="ar-SA"/>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得票最高的即为中标人）。若第一轮投票中前三名中标候选人有得票相同且影响中标候选人排序确定的，由定标委员会对总票数相同的单位进行再次票决确定排序,直至决出排序的前三名中标候选人。票决采用记名方式并注明投票理由。</w:t>
            </w:r>
          </w:p>
        </w:tc>
      </w:tr>
      <w:tr w14:paraId="258BC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1" w:hRule="atLeast"/>
        </w:trPr>
        <w:tc>
          <w:tcPr>
            <w:tcW w:w="1034" w:type="dxa"/>
            <w:vAlign w:val="center"/>
          </w:tcPr>
          <w:p w14:paraId="51AA9D0A">
            <w:pPr>
              <w:pStyle w:val="23"/>
              <w:spacing w:before="140" w:line="267" w:lineRule="exact"/>
              <w:ind w:left="261"/>
              <w:jc w:val="center"/>
              <w:rPr>
                <w:rFonts w:hint="eastAsia" w:eastAsia="宋体"/>
                <w:color w:val="auto"/>
                <w:highlight w:val="none"/>
                <w:lang w:val="en-US" w:eastAsia="zh-CN"/>
              </w:rPr>
            </w:pPr>
            <w:r>
              <w:rPr>
                <w:rFonts w:hint="eastAsia"/>
                <w:color w:val="auto"/>
                <w:highlight w:val="none"/>
                <w:lang w:val="en-US" w:eastAsia="zh-CN"/>
              </w:rPr>
              <w:t>3</w:t>
            </w:r>
          </w:p>
        </w:tc>
        <w:tc>
          <w:tcPr>
            <w:tcW w:w="1336" w:type="dxa"/>
            <w:vAlign w:val="center"/>
          </w:tcPr>
          <w:p w14:paraId="54C0CBBC">
            <w:pPr>
              <w:pStyle w:val="23"/>
              <w:spacing w:before="65" w:line="228" w:lineRule="auto"/>
              <w:jc w:val="center"/>
              <w:rPr>
                <w:color w:val="auto"/>
                <w:sz w:val="10"/>
                <w:szCs w:val="10"/>
                <w:highlight w:val="none"/>
              </w:rPr>
            </w:pPr>
            <w:r>
              <w:rPr>
                <w:rFonts w:hint="eastAsia"/>
                <w:color w:val="auto"/>
                <w:highlight w:val="none"/>
              </w:rPr>
              <w:t>定标评审标准</w:t>
            </w:r>
          </w:p>
        </w:tc>
        <w:tc>
          <w:tcPr>
            <w:tcW w:w="6916" w:type="dxa"/>
            <w:vAlign w:val="center"/>
          </w:tcPr>
          <w:p w14:paraId="3CC09E06">
            <w:pPr>
              <w:pStyle w:val="23"/>
              <w:spacing w:before="33" w:line="228" w:lineRule="auto"/>
              <w:ind w:left="533"/>
              <w:jc w:val="both"/>
              <w:rPr>
                <w:color w:val="auto"/>
                <w:highlight w:val="none"/>
              </w:rPr>
            </w:pPr>
            <w:r>
              <w:rPr>
                <w:rFonts w:hint="eastAsia"/>
                <w:b/>
                <w:bCs/>
                <w:color w:val="auto"/>
                <w:spacing w:val="7"/>
                <w:highlight w:val="none"/>
                <w:lang w:val="en-US" w:eastAsia="zh-CN"/>
              </w:rPr>
              <w:t>定标因素</w:t>
            </w:r>
            <w:r>
              <w:rPr>
                <w:b/>
                <w:bCs/>
                <w:color w:val="auto"/>
                <w:spacing w:val="7"/>
                <w:highlight w:val="none"/>
              </w:rPr>
              <w:t>：</w:t>
            </w:r>
          </w:p>
          <w:p w14:paraId="2FA93F6A">
            <w:pPr>
              <w:pStyle w:val="23"/>
              <w:spacing w:before="163" w:line="302" w:lineRule="auto"/>
              <w:ind w:left="114" w:right="109" w:firstLine="429"/>
              <w:jc w:val="both"/>
              <w:rPr>
                <w:rFonts w:hint="eastAsia"/>
                <w:color w:val="auto"/>
                <w:highlight w:val="none"/>
              </w:rPr>
            </w:pPr>
            <w:r>
              <w:rPr>
                <w:rFonts w:hint="eastAsia"/>
                <w:color w:val="auto"/>
                <w:highlight w:val="none"/>
              </w:rPr>
              <w:t>在同等条件下，择优的定标因素和相对标准有以下几个方面：</w:t>
            </w:r>
          </w:p>
          <w:p w14:paraId="141B480A">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（1）拟派团队管理能力与水平（履约能力）</w:t>
            </w:r>
          </w:p>
          <w:p w14:paraId="5C77C8E4">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相对标准：拟派团队管理能力与水平（履约能力）强的定标候选人优于拟派团队管理能力与水平（履约能力）一般的定标候选人。</w:t>
            </w:r>
          </w:p>
          <w:p w14:paraId="36FD4669">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（2）企业实力</w:t>
            </w:r>
          </w:p>
          <w:p w14:paraId="489FE1D6">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相对标准：企业监理类似工程项目业绩及获奖多的定标候选人优于项目业绩及获奖一般的定标候选人。</w:t>
            </w:r>
          </w:p>
          <w:p w14:paraId="1A40F47D">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（3）企业信誉</w:t>
            </w:r>
          </w:p>
          <w:p w14:paraId="5AD98F93">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相对标准：企业信誉评价好的定标候选人优于企业信誉评价一般的定标候选人。</w:t>
            </w:r>
          </w:p>
          <w:p w14:paraId="2E58F33B">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（4）评标报告</w:t>
            </w:r>
          </w:p>
          <w:p w14:paraId="1D175B2E">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2B27B8C">
            <w:pPr>
              <w:pStyle w:val="23"/>
              <w:spacing w:before="163" w:line="302" w:lineRule="auto"/>
              <w:ind w:left="114" w:right="109" w:firstLine="429"/>
              <w:jc w:val="both"/>
              <w:rPr>
                <w:rFonts w:hint="eastAsia" w:ascii="宋体" w:hAnsi="宋体" w:eastAsia="宋体" w:cs="宋体"/>
                <w:color w:val="auto"/>
                <w:highlight w:val="none"/>
              </w:rPr>
            </w:pPr>
            <w:r>
              <w:rPr>
                <w:rFonts w:hint="eastAsia" w:ascii="宋体" w:hAnsi="宋体" w:eastAsia="宋体" w:cs="宋体"/>
                <w:color w:val="auto"/>
                <w:highlight w:val="none"/>
              </w:rPr>
              <w:t>（5）技术方案</w:t>
            </w:r>
          </w:p>
          <w:p w14:paraId="4248FC6D">
            <w:pPr>
              <w:pStyle w:val="23"/>
              <w:spacing w:before="163" w:line="302" w:lineRule="auto"/>
              <w:ind w:left="114" w:right="109" w:firstLine="429"/>
              <w:jc w:val="both"/>
              <w:rPr>
                <w:color w:val="auto"/>
                <w:highlight w:val="none"/>
              </w:rPr>
            </w:pPr>
            <w:r>
              <w:rPr>
                <w:rFonts w:hint="eastAsia" w:ascii="宋体" w:hAnsi="宋体" w:eastAsia="宋体" w:cs="宋体"/>
                <w:color w:val="auto"/>
                <w:highlight w:val="none"/>
              </w:rPr>
              <w:t>技术方案针对性强、内容科学合理且符合项目实际的定标候选人优于技术方案针对性不足、内容一般的定标候选人。</w:t>
            </w:r>
          </w:p>
        </w:tc>
      </w:tr>
    </w:tbl>
    <w:p w14:paraId="2959B572">
      <w:pPr>
        <w:rPr>
          <w:rFonts w:hint="eastAsia"/>
          <w:color w:val="auto"/>
          <w:highlight w:val="none"/>
          <w:lang w:val="en-US" w:eastAsia="zh-CN"/>
        </w:rPr>
      </w:pPr>
    </w:p>
    <w:p w14:paraId="523ABF99">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F86D2C3">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定标办法正文</w:t>
      </w:r>
    </w:p>
    <w:p w14:paraId="435ACF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 定标方法</w:t>
      </w:r>
    </w:p>
    <w:p w14:paraId="0B049D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次定标采用采用票决数量法。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得票最高的即为中标人）。若第一轮投票中前三名中标候选人有得票相同且影响中标候选人排序确定的，由定标委员会对总票数相同的单位进行再次票决确定排序,直至决出排序的前三名中标候选人。票决采用记名方式并注明投票理由。</w:t>
      </w:r>
    </w:p>
    <w:p w14:paraId="1053BD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 定标委员会</w:t>
      </w:r>
    </w:p>
    <w:p w14:paraId="2FFBFB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2.1定标委员会由招标人组建并确定定标组长。定标委员会开始定标前，首先听取招标人或招标代理机构关于工程情况，并认真研读招标文件，了解和熟悉招标文件规定的定标方法、定标因素等。</w:t>
      </w:r>
    </w:p>
    <w:p w14:paraId="62D9604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2.2 参与定标会议的工作人员不参与定标的决策，无表决权，只协助定标委员会进行资料整理等事务性工作。</w:t>
      </w:r>
    </w:p>
    <w:p w14:paraId="4B5EE6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 定标评审标准：见定标办法前附表</w:t>
      </w:r>
    </w:p>
    <w:p w14:paraId="1AAFED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 定标程序</w:t>
      </w:r>
    </w:p>
    <w:p w14:paraId="44F6DB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（1）项目情况介绍</w:t>
      </w:r>
    </w:p>
    <w:p w14:paraId="27778D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招标人代表介绍项目的概况、招标要求和评标情况，以及定标方法与定标工作规则等，不得发表具有倾向性的言论。</w:t>
      </w:r>
    </w:p>
    <w:p w14:paraId="7676780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（2）审阅定标资料</w:t>
      </w:r>
    </w:p>
    <w:p w14:paraId="02621B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定标委员会成员按定标因素对对各定标候选人的定标佐证资料进行审阅，审阅内容主要是定标工作规则所规定的定标因素，聚焦于项目需求与候选人能力的匹配度。</w:t>
      </w:r>
    </w:p>
    <w:p w14:paraId="4DD643B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（3）疑问澄清</w:t>
      </w:r>
    </w:p>
    <w:p w14:paraId="7D674C2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有疑问的，可以向招标人代表进行提问。招标人代表向定标委员会反馈的信息中不得有明示或暗示中标单位的内容。定标委员会的提问应在定标会议现场提出，招标人代表应在定标会议现场作出答复，由招标人或招标代理机构做好书面记录，并由提问和答复双方在书面记录上签字。提问和答复不得改变招标文件、投标文件和评标的实质性内容。</w:t>
      </w:r>
    </w:p>
    <w:p w14:paraId="57FF9A9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（4）投票，收票，点票和汇总</w:t>
      </w:r>
    </w:p>
    <w:p w14:paraId="59CD83E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委员会成员按照票决定标法程序，根据公平、公正、择优原则，独立完成票决后，统一由定标工作人员收集、清点，并对票数进行汇总排名。得票相同且影响中标人确定的，可由定标委员会对总票数相同的单位进行再次票决确定排序。</w:t>
      </w:r>
    </w:p>
    <w:p w14:paraId="21386E1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（5）公布结果和出具定标报告</w:t>
      </w:r>
    </w:p>
    <w:p w14:paraId="13A40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点票工作完成后，定标委员会组长汇总定标结果，编制定标报告，确定中标人，全体成员签名。</w:t>
      </w:r>
    </w:p>
    <w:p w14:paraId="39563E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（6）全程监督</w:t>
      </w:r>
    </w:p>
    <w:p w14:paraId="742BC7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招标监督小组对集体议定的全过程进行监督，确保程序合规、讨论充分、记录完整，结论形成过程公正、透明。</w:t>
      </w:r>
    </w:p>
    <w:p w14:paraId="67E029CC">
      <w:pPr>
        <w:spacing w:line="244" w:lineRule="auto"/>
        <w:rPr>
          <w:rFonts w:ascii="Arial"/>
          <w:color w:val="auto"/>
          <w:sz w:val="21"/>
          <w:highlight w:val="none"/>
        </w:rPr>
      </w:pPr>
    </w:p>
    <w:p w14:paraId="1A052419">
      <w:pPr>
        <w:spacing w:line="244" w:lineRule="auto"/>
        <w:rPr>
          <w:rFonts w:ascii="Arial"/>
          <w:color w:val="auto"/>
          <w:sz w:val="21"/>
          <w:highlight w:val="none"/>
        </w:rPr>
      </w:pPr>
    </w:p>
    <w:p w14:paraId="21B7ED1B">
      <w:pPr>
        <w:spacing w:line="244" w:lineRule="auto"/>
        <w:rPr>
          <w:rFonts w:ascii="Arial"/>
          <w:color w:val="auto"/>
          <w:sz w:val="21"/>
          <w:highlight w:val="none"/>
        </w:rPr>
      </w:pPr>
    </w:p>
    <w:p w14:paraId="16C9290C">
      <w:pPr>
        <w:spacing w:line="244" w:lineRule="auto"/>
        <w:rPr>
          <w:rFonts w:ascii="Arial"/>
          <w:color w:val="auto"/>
          <w:sz w:val="21"/>
          <w:highlight w:val="none"/>
        </w:rPr>
      </w:pPr>
    </w:p>
    <w:p w14:paraId="02BF5BF4">
      <w:pPr>
        <w:spacing w:line="244" w:lineRule="auto"/>
        <w:rPr>
          <w:rFonts w:ascii="Arial"/>
          <w:color w:val="auto"/>
          <w:sz w:val="21"/>
          <w:highlight w:val="none"/>
        </w:rPr>
      </w:pPr>
    </w:p>
    <w:p w14:paraId="45ADF1E5">
      <w:pPr>
        <w:spacing w:line="244" w:lineRule="auto"/>
        <w:rPr>
          <w:rFonts w:ascii="Arial"/>
          <w:color w:val="auto"/>
          <w:sz w:val="21"/>
          <w:highlight w:val="none"/>
        </w:rPr>
      </w:pPr>
    </w:p>
    <w:p w14:paraId="2F1DF03C">
      <w:pPr>
        <w:spacing w:line="244" w:lineRule="auto"/>
        <w:rPr>
          <w:rFonts w:ascii="Arial"/>
          <w:color w:val="auto"/>
          <w:sz w:val="21"/>
          <w:highlight w:val="none"/>
        </w:rPr>
      </w:pPr>
    </w:p>
    <w:p w14:paraId="14CF8626">
      <w:pPr>
        <w:spacing w:line="244" w:lineRule="auto"/>
        <w:rPr>
          <w:rFonts w:ascii="Arial"/>
          <w:color w:val="auto"/>
          <w:sz w:val="21"/>
          <w:highlight w:val="none"/>
        </w:rPr>
      </w:pPr>
    </w:p>
    <w:p w14:paraId="532EF2F2">
      <w:pPr>
        <w:spacing w:line="244" w:lineRule="auto"/>
        <w:rPr>
          <w:rFonts w:ascii="Arial"/>
          <w:color w:val="auto"/>
          <w:sz w:val="21"/>
          <w:highlight w:val="none"/>
        </w:rPr>
      </w:pPr>
    </w:p>
    <w:p w14:paraId="595537A1">
      <w:pPr>
        <w:spacing w:line="244" w:lineRule="auto"/>
        <w:rPr>
          <w:rFonts w:ascii="Arial"/>
          <w:color w:val="auto"/>
          <w:sz w:val="21"/>
          <w:highlight w:val="none"/>
        </w:rPr>
      </w:pPr>
    </w:p>
    <w:p w14:paraId="21C1C4CE">
      <w:pPr>
        <w:spacing w:line="244" w:lineRule="auto"/>
        <w:rPr>
          <w:rFonts w:ascii="Arial"/>
          <w:color w:val="auto"/>
          <w:sz w:val="21"/>
          <w:highlight w:val="none"/>
        </w:rPr>
      </w:pPr>
    </w:p>
    <w:p w14:paraId="1E66777B">
      <w:pPr>
        <w:spacing w:line="244" w:lineRule="auto"/>
        <w:rPr>
          <w:rFonts w:ascii="Arial"/>
          <w:color w:val="auto"/>
          <w:sz w:val="21"/>
          <w:highlight w:val="none"/>
        </w:rPr>
      </w:pPr>
    </w:p>
    <w:p w14:paraId="18F751ED">
      <w:pPr>
        <w:spacing w:line="245" w:lineRule="auto"/>
        <w:rPr>
          <w:rFonts w:ascii="Arial"/>
          <w:color w:val="auto"/>
          <w:sz w:val="21"/>
          <w:highlight w:val="none"/>
        </w:rPr>
      </w:pPr>
    </w:p>
    <w:p w14:paraId="52FCCD3D">
      <w:pPr>
        <w:spacing w:line="245" w:lineRule="auto"/>
        <w:rPr>
          <w:rFonts w:ascii="Arial"/>
          <w:color w:val="auto"/>
          <w:sz w:val="21"/>
          <w:highlight w:val="none"/>
        </w:rPr>
      </w:pPr>
    </w:p>
    <w:p w14:paraId="0DB9BA00">
      <w:pPr>
        <w:spacing w:line="245" w:lineRule="auto"/>
        <w:rPr>
          <w:rFonts w:ascii="Arial"/>
          <w:color w:val="auto"/>
          <w:sz w:val="21"/>
          <w:highlight w:val="none"/>
        </w:rPr>
      </w:pPr>
    </w:p>
    <w:p w14:paraId="799BD927">
      <w:pPr>
        <w:spacing w:line="245" w:lineRule="auto"/>
        <w:rPr>
          <w:rFonts w:ascii="Arial"/>
          <w:color w:val="auto"/>
          <w:sz w:val="21"/>
          <w:highlight w:val="none"/>
        </w:rPr>
      </w:pPr>
    </w:p>
    <w:p w14:paraId="337BDA49">
      <w:pPr>
        <w:spacing w:line="245" w:lineRule="auto"/>
        <w:rPr>
          <w:rFonts w:ascii="Arial"/>
          <w:color w:val="auto"/>
          <w:sz w:val="21"/>
          <w:highlight w:val="none"/>
        </w:rPr>
      </w:pPr>
    </w:p>
    <w:p w14:paraId="2F1BAEFD">
      <w:pPr>
        <w:rPr>
          <w:rFonts w:ascii="宋体" w:hAnsi="宋体" w:eastAsia="宋体" w:cs="宋体"/>
          <w:b/>
          <w:bCs/>
          <w:color w:val="auto"/>
          <w:spacing w:val="-5"/>
          <w:sz w:val="52"/>
          <w:szCs w:val="52"/>
          <w:highlight w:val="none"/>
        </w:rPr>
      </w:pPr>
      <w:bookmarkStart w:id="370" w:name="bookmark140"/>
      <w:bookmarkEnd w:id="370"/>
      <w:r>
        <w:rPr>
          <w:rFonts w:ascii="宋体" w:hAnsi="宋体" w:eastAsia="宋体" w:cs="宋体"/>
          <w:b/>
          <w:bCs/>
          <w:color w:val="auto"/>
          <w:spacing w:val="-5"/>
          <w:sz w:val="52"/>
          <w:szCs w:val="52"/>
          <w:highlight w:val="none"/>
        </w:rPr>
        <w:br w:type="page"/>
      </w:r>
    </w:p>
    <w:p w14:paraId="0B7FE7C7">
      <w:pPr>
        <w:spacing w:before="169" w:line="219" w:lineRule="auto"/>
        <w:ind w:left="1316"/>
        <w:outlineLvl w:val="0"/>
        <w:rPr>
          <w:rFonts w:ascii="宋体" w:hAnsi="宋体" w:eastAsia="宋体" w:cs="宋体"/>
          <w:b/>
          <w:bCs/>
          <w:color w:val="auto"/>
          <w:spacing w:val="-5"/>
          <w:sz w:val="52"/>
          <w:szCs w:val="52"/>
          <w:highlight w:val="none"/>
        </w:rPr>
      </w:pPr>
      <w:bookmarkStart w:id="371" w:name="_Toc3909"/>
    </w:p>
    <w:p w14:paraId="7E099CFE">
      <w:pPr>
        <w:spacing w:before="169" w:line="219" w:lineRule="auto"/>
        <w:ind w:left="1316"/>
        <w:outlineLvl w:val="0"/>
        <w:rPr>
          <w:rFonts w:ascii="宋体" w:hAnsi="宋体" w:eastAsia="宋体" w:cs="宋体"/>
          <w:b/>
          <w:bCs/>
          <w:color w:val="auto"/>
          <w:spacing w:val="-5"/>
          <w:sz w:val="52"/>
          <w:szCs w:val="52"/>
          <w:highlight w:val="none"/>
        </w:rPr>
      </w:pPr>
    </w:p>
    <w:p w14:paraId="7A30C029">
      <w:pPr>
        <w:pStyle w:val="21"/>
        <w:rPr>
          <w:rFonts w:ascii="宋体" w:hAnsi="宋体" w:eastAsia="宋体" w:cs="宋体"/>
          <w:b/>
          <w:bCs/>
          <w:color w:val="auto"/>
          <w:spacing w:val="-5"/>
          <w:sz w:val="52"/>
          <w:szCs w:val="52"/>
          <w:highlight w:val="none"/>
        </w:rPr>
      </w:pPr>
    </w:p>
    <w:p w14:paraId="4778B55D">
      <w:pPr>
        <w:pStyle w:val="21"/>
        <w:rPr>
          <w:rFonts w:ascii="宋体" w:hAnsi="宋体" w:eastAsia="宋体" w:cs="宋体"/>
          <w:b/>
          <w:bCs/>
          <w:color w:val="auto"/>
          <w:spacing w:val="-5"/>
          <w:sz w:val="52"/>
          <w:szCs w:val="52"/>
          <w:highlight w:val="none"/>
        </w:rPr>
      </w:pPr>
    </w:p>
    <w:p w14:paraId="36E739C0">
      <w:pPr>
        <w:pStyle w:val="21"/>
        <w:rPr>
          <w:rFonts w:ascii="宋体" w:hAnsi="宋体" w:eastAsia="宋体" w:cs="宋体"/>
          <w:b/>
          <w:bCs/>
          <w:color w:val="auto"/>
          <w:spacing w:val="-5"/>
          <w:sz w:val="52"/>
          <w:szCs w:val="52"/>
          <w:highlight w:val="none"/>
        </w:rPr>
      </w:pPr>
    </w:p>
    <w:p w14:paraId="04E4DFB5">
      <w:pPr>
        <w:pStyle w:val="21"/>
        <w:rPr>
          <w:rFonts w:ascii="宋体" w:hAnsi="宋体" w:eastAsia="宋体" w:cs="宋体"/>
          <w:b/>
          <w:bCs/>
          <w:color w:val="auto"/>
          <w:spacing w:val="-5"/>
          <w:sz w:val="52"/>
          <w:szCs w:val="52"/>
          <w:highlight w:val="none"/>
        </w:rPr>
      </w:pPr>
    </w:p>
    <w:p w14:paraId="16B16278">
      <w:pPr>
        <w:pStyle w:val="21"/>
        <w:rPr>
          <w:rFonts w:ascii="宋体" w:hAnsi="宋体" w:eastAsia="宋体" w:cs="宋体"/>
          <w:b/>
          <w:bCs/>
          <w:color w:val="auto"/>
          <w:spacing w:val="-5"/>
          <w:sz w:val="52"/>
          <w:szCs w:val="52"/>
          <w:highlight w:val="none"/>
        </w:rPr>
      </w:pPr>
    </w:p>
    <w:p w14:paraId="489AC7F8">
      <w:pPr>
        <w:spacing w:before="169" w:line="219" w:lineRule="auto"/>
        <w:ind w:left="1316"/>
        <w:outlineLvl w:val="0"/>
        <w:rPr>
          <w:rFonts w:ascii="宋体" w:hAnsi="宋体" w:eastAsia="宋体" w:cs="宋体"/>
          <w:b/>
          <w:bCs/>
          <w:color w:val="auto"/>
          <w:spacing w:val="-5"/>
          <w:sz w:val="52"/>
          <w:szCs w:val="52"/>
          <w:highlight w:val="none"/>
        </w:rPr>
      </w:pPr>
    </w:p>
    <w:p w14:paraId="5A3ACE90">
      <w:pPr>
        <w:spacing w:before="169" w:line="219" w:lineRule="auto"/>
        <w:ind w:left="1316"/>
        <w:outlineLvl w:val="0"/>
        <w:rPr>
          <w:rFonts w:ascii="宋体" w:hAnsi="宋体" w:eastAsia="宋体" w:cs="宋体"/>
          <w:color w:val="auto"/>
          <w:sz w:val="52"/>
          <w:szCs w:val="52"/>
          <w:highlight w:val="none"/>
        </w:rPr>
      </w:pPr>
      <w:bookmarkStart w:id="372" w:name="_Toc31294"/>
      <w:r>
        <w:rPr>
          <w:rFonts w:ascii="宋体" w:hAnsi="宋体" w:eastAsia="宋体" w:cs="宋体"/>
          <w:b/>
          <w:bCs/>
          <w:color w:val="auto"/>
          <w:spacing w:val="-5"/>
          <w:sz w:val="52"/>
          <w:szCs w:val="52"/>
          <w:highlight w:val="none"/>
        </w:rPr>
        <w:t>第四章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合同条款及格式</w:t>
      </w:r>
      <w:bookmarkEnd w:id="371"/>
      <w:bookmarkEnd w:id="372"/>
    </w:p>
    <w:p w14:paraId="40235596">
      <w:pPr>
        <w:spacing w:line="219" w:lineRule="auto"/>
        <w:rPr>
          <w:rFonts w:ascii="宋体" w:hAnsi="宋体" w:eastAsia="宋体" w:cs="宋体"/>
          <w:color w:val="auto"/>
          <w:sz w:val="52"/>
          <w:szCs w:val="52"/>
          <w:highlight w:val="none"/>
        </w:rPr>
        <w:sectPr>
          <w:footerReference r:id="rId28" w:type="default"/>
          <w:pgSz w:w="11906" w:h="16839"/>
          <w:pgMar w:top="1431" w:right="1785" w:bottom="1297" w:left="1785" w:header="0" w:footer="1069" w:gutter="0"/>
          <w:pgBorders>
            <w:top w:val="none" w:sz="0" w:space="0"/>
            <w:left w:val="none" w:sz="0" w:space="0"/>
            <w:bottom w:val="none" w:sz="0" w:space="0"/>
            <w:right w:val="none" w:sz="0" w:space="0"/>
          </w:pgBorders>
          <w:pgNumType w:fmt="decimal"/>
          <w:cols w:space="720" w:num="1"/>
        </w:sectPr>
      </w:pPr>
    </w:p>
    <w:p w14:paraId="7E34C163">
      <w:pPr>
        <w:spacing w:line="411" w:lineRule="auto"/>
        <w:rPr>
          <w:rFonts w:ascii="Arial"/>
          <w:color w:val="auto"/>
          <w:sz w:val="21"/>
          <w:highlight w:val="none"/>
        </w:rPr>
      </w:pPr>
    </w:p>
    <w:p w14:paraId="0AB9FB86">
      <w:pPr>
        <w:pStyle w:val="21"/>
        <w:rPr>
          <w:rFonts w:ascii="Arial"/>
          <w:color w:val="auto"/>
          <w:sz w:val="21"/>
          <w:highlight w:val="none"/>
        </w:rPr>
      </w:pPr>
    </w:p>
    <w:p w14:paraId="4800C317">
      <w:pPr>
        <w:pStyle w:val="21"/>
        <w:rPr>
          <w:rFonts w:ascii="Arial"/>
          <w:color w:val="auto"/>
          <w:sz w:val="21"/>
          <w:highlight w:val="none"/>
        </w:rPr>
      </w:pPr>
    </w:p>
    <w:p w14:paraId="550B094A">
      <w:pPr>
        <w:pStyle w:val="21"/>
        <w:rPr>
          <w:rFonts w:ascii="Arial"/>
          <w:color w:val="auto"/>
          <w:sz w:val="21"/>
          <w:highlight w:val="none"/>
        </w:rPr>
      </w:pPr>
    </w:p>
    <w:p w14:paraId="37AF546C">
      <w:pPr>
        <w:pStyle w:val="21"/>
        <w:rPr>
          <w:rFonts w:ascii="Arial"/>
          <w:color w:val="auto"/>
          <w:sz w:val="21"/>
          <w:highlight w:val="none"/>
        </w:rPr>
      </w:pPr>
    </w:p>
    <w:p w14:paraId="017812EC">
      <w:pPr>
        <w:pStyle w:val="21"/>
        <w:rPr>
          <w:rFonts w:ascii="Arial"/>
          <w:color w:val="auto"/>
          <w:sz w:val="21"/>
          <w:highlight w:val="none"/>
        </w:rPr>
      </w:pPr>
    </w:p>
    <w:p w14:paraId="5969D8A3">
      <w:pPr>
        <w:pStyle w:val="21"/>
        <w:rPr>
          <w:rFonts w:ascii="Arial"/>
          <w:color w:val="auto"/>
          <w:sz w:val="21"/>
          <w:highlight w:val="none"/>
        </w:rPr>
      </w:pPr>
    </w:p>
    <w:p w14:paraId="4F8AD7D4">
      <w:pPr>
        <w:pStyle w:val="21"/>
        <w:rPr>
          <w:rFonts w:ascii="Arial"/>
          <w:color w:val="auto"/>
          <w:sz w:val="21"/>
          <w:highlight w:val="none"/>
        </w:rPr>
      </w:pPr>
    </w:p>
    <w:p w14:paraId="0350B9DB">
      <w:pPr>
        <w:pStyle w:val="21"/>
        <w:rPr>
          <w:rFonts w:ascii="Arial"/>
          <w:color w:val="auto"/>
          <w:sz w:val="21"/>
          <w:highlight w:val="none"/>
        </w:rPr>
      </w:pPr>
    </w:p>
    <w:p w14:paraId="59B59A3C">
      <w:pPr>
        <w:spacing w:before="101" w:line="225" w:lineRule="auto"/>
        <w:ind w:left="3012"/>
        <w:outlineLvl w:val="0"/>
        <w:rPr>
          <w:rFonts w:ascii="宋体" w:hAnsi="宋体" w:eastAsia="宋体" w:cs="宋体"/>
          <w:color w:val="auto"/>
          <w:sz w:val="31"/>
          <w:szCs w:val="31"/>
          <w:highlight w:val="none"/>
        </w:rPr>
      </w:pPr>
      <w:bookmarkStart w:id="373" w:name="bookmark15"/>
      <w:bookmarkEnd w:id="373"/>
      <w:bookmarkStart w:id="374" w:name="_Toc27374"/>
      <w:bookmarkStart w:id="375" w:name="_Toc19108"/>
      <w:r>
        <w:rPr>
          <w:rFonts w:ascii="宋体" w:hAnsi="宋体" w:eastAsia="宋体" w:cs="宋体"/>
          <w:b/>
          <w:bCs/>
          <w:color w:val="auto"/>
          <w:spacing w:val="6"/>
          <w:sz w:val="31"/>
          <w:szCs w:val="31"/>
          <w:highlight w:val="none"/>
        </w:rPr>
        <w:t>第一节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通用合同条款</w:t>
      </w:r>
      <w:bookmarkEnd w:id="374"/>
      <w:bookmarkEnd w:id="375"/>
    </w:p>
    <w:p w14:paraId="6572674F">
      <w:pPr>
        <w:spacing w:line="246" w:lineRule="auto"/>
        <w:rPr>
          <w:rFonts w:ascii="Arial"/>
          <w:color w:val="auto"/>
          <w:sz w:val="21"/>
          <w:highlight w:val="none"/>
        </w:rPr>
      </w:pPr>
    </w:p>
    <w:p w14:paraId="3B84D992">
      <w:pPr>
        <w:spacing w:line="247" w:lineRule="auto"/>
        <w:rPr>
          <w:rFonts w:ascii="Arial"/>
          <w:color w:val="auto"/>
          <w:sz w:val="21"/>
          <w:highlight w:val="none"/>
        </w:rPr>
      </w:pPr>
    </w:p>
    <w:p w14:paraId="294CCCDD">
      <w:pPr>
        <w:keepNext/>
        <w:keepLines/>
        <w:pageBreakBefore/>
        <w:spacing w:line="360" w:lineRule="auto"/>
        <w:jc w:val="center"/>
        <w:rPr>
          <w:rFonts w:hint="eastAsia" w:ascii="Times New Roman" w:hAnsi="Times New Roman" w:eastAsia="宋体" w:cs="宋体"/>
          <w:b/>
          <w:bCs/>
          <w:color w:val="auto"/>
          <w:kern w:val="21"/>
          <w:sz w:val="28"/>
          <w:szCs w:val="28"/>
          <w:highlight w:val="none"/>
          <w:lang w:eastAsia="zh-CN"/>
        </w:rPr>
      </w:pPr>
      <w:bookmarkStart w:id="376" w:name="bookmark15"/>
      <w:bookmarkEnd w:id="376"/>
      <w:bookmarkStart w:id="377" w:name="_Toc14900"/>
      <w:r>
        <w:rPr>
          <w:rFonts w:hint="eastAsia" w:ascii="Times New Roman" w:hAnsi="Times New Roman" w:eastAsia="宋体" w:cs="宋体"/>
          <w:b/>
          <w:bCs/>
          <w:color w:val="auto"/>
          <w:kern w:val="21"/>
          <w:sz w:val="28"/>
          <w:szCs w:val="28"/>
          <w:highlight w:val="none"/>
          <w:lang w:eastAsia="zh-CN"/>
        </w:rPr>
        <w:t xml:space="preserve">  通用合同条款</w:t>
      </w:r>
    </w:p>
    <w:p w14:paraId="5D132C8C">
      <w:pPr>
        <w:spacing w:line="360" w:lineRule="auto"/>
        <w:ind w:firstLine="420" w:firstLineChars="200"/>
        <w:jc w:val="both"/>
        <w:rPr>
          <w:rFonts w:hint="eastAsia" w:ascii="Times New Roman" w:hAnsi="Times New Roman" w:eastAsia="宋体" w:cs="宋体"/>
          <w:color w:val="auto"/>
          <w:kern w:val="21"/>
          <w:highlight w:val="none"/>
          <w:lang w:eastAsia="zh-CN"/>
        </w:rPr>
      </w:pPr>
    </w:p>
    <w:p w14:paraId="02EBBEA7">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378" w:name="_Toc503518000"/>
      <w:bookmarkStart w:id="379" w:name="_Toc482188546"/>
      <w:bookmarkStart w:id="380" w:name="_Toc492300639"/>
      <w:r>
        <w:rPr>
          <w:rFonts w:hint="eastAsia" w:ascii="Times New Roman" w:hAnsi="Times New Roman" w:eastAsia="宋体" w:cs="宋体"/>
          <w:b/>
          <w:bCs/>
          <w:color w:val="auto"/>
          <w:kern w:val="21"/>
          <w:sz w:val="28"/>
          <w:szCs w:val="28"/>
          <w:highlight w:val="none"/>
          <w:lang w:eastAsia="zh-CN"/>
        </w:rPr>
        <w:t>1. 一般约定</w:t>
      </w:r>
      <w:bookmarkEnd w:id="378"/>
      <w:bookmarkEnd w:id="379"/>
      <w:bookmarkEnd w:id="380"/>
    </w:p>
    <w:p w14:paraId="31F2457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1" w:name="_Toc482188547"/>
      <w:bookmarkStart w:id="382" w:name="_Toc492300640"/>
      <w:r>
        <w:rPr>
          <w:rFonts w:hint="eastAsia" w:ascii="Times New Roman" w:hAnsi="Times New Roman" w:eastAsia="宋体" w:cs="宋体"/>
          <w:b/>
          <w:bCs/>
          <w:color w:val="auto"/>
          <w:kern w:val="21"/>
          <w:sz w:val="24"/>
          <w:szCs w:val="24"/>
          <w:highlight w:val="none"/>
          <w:lang w:eastAsia="zh-CN"/>
        </w:rPr>
        <w:t>1.1 词语定义</w:t>
      </w:r>
      <w:bookmarkEnd w:id="381"/>
      <w:bookmarkEnd w:id="382"/>
    </w:p>
    <w:p w14:paraId="2088255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通用合同条款、专用合同条款中的下列词语应具有本款所赋予的含义。</w:t>
      </w:r>
    </w:p>
    <w:p w14:paraId="17163B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 合同</w:t>
      </w:r>
    </w:p>
    <w:p w14:paraId="6EC09DD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1.1.1.1 合同文件（或称合同）：指合同协议书、中标通知书、投标函和投标函附录、专用合同条款、通用合同条款、委托人要求、监理报酬清单、监理大纲，以及其他构成合同组成部分的文件。</w:t>
      </w:r>
    </w:p>
    <w:p w14:paraId="2F34CC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1.1.1.2 合同协议书：指委托人和监理人共同签署的合同协议书。</w:t>
      </w:r>
    </w:p>
    <w:p w14:paraId="526126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1.1.1.3 中标通知书：指委托人通知监理人中标的函件。</w:t>
      </w:r>
    </w:p>
    <w:p w14:paraId="287E6E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1.1.1.4 投标函：指由监理人填写并签署的，名为“投标函”的函件。</w:t>
      </w:r>
    </w:p>
    <w:p w14:paraId="0F8F84E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1.1.1.5 投标函附录：指由监理人填写并签署的、附在投标函后，名为“投标函附录”的函件。</w:t>
      </w:r>
    </w:p>
    <w:p w14:paraId="0D26A7F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1.1.1.6 委托人要求：指合同文件中名为“委托人要求”的文件。</w:t>
      </w:r>
    </w:p>
    <w:p w14:paraId="6A5092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1.1.1.7 监理大纲：指监理人在投标文件中的监理大纲。</w:t>
      </w:r>
    </w:p>
    <w:p w14:paraId="326E8B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1.1.1.8 监理报酬清单：指监理人投标文件中的监理报酬清单。</w:t>
      </w:r>
    </w:p>
    <w:p w14:paraId="10E4B0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1.1.1.9 其他合同文件：指经合同双方当事人确认构成合同文件的其他文件。</w:t>
      </w:r>
    </w:p>
    <w:p w14:paraId="335A41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 合同当事人和人员</w:t>
      </w:r>
    </w:p>
    <w:p w14:paraId="70D5F8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 合同当事人：指委托人和（或）监理人。</w:t>
      </w:r>
    </w:p>
    <w:p w14:paraId="4210489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 委托人：指与监理人签订合同协议书的当事人，及其合法继承人。</w:t>
      </w:r>
    </w:p>
    <w:p w14:paraId="664FD2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1.1.2.3 监理人：指与委托人签订合同协议书的当事人，及其合法继承人。</w:t>
      </w:r>
    </w:p>
    <w:p w14:paraId="28A7B5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1.1.2.4 委托人代表：指由委托人任命，并在授权范围和期限内代表委托人行使权利和履行义务的全权负责人。</w:t>
      </w:r>
    </w:p>
    <w:p w14:paraId="18A8928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1.1.2.5 总监理工程师：指由监理人任命，代表监理人行使权利和履行义务的全权负责人。</w:t>
      </w:r>
    </w:p>
    <w:p w14:paraId="10600A7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1.1.2.6 承包人：指在本工程监理范围内，与委托人签订勘察、设计、施工承包合同的当事人。</w:t>
      </w:r>
    </w:p>
    <w:p w14:paraId="52AC4B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 工程和监理</w:t>
      </w:r>
    </w:p>
    <w:p w14:paraId="162C38F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1.1.3.1 工程：指永久工程和（或）临时工程。</w:t>
      </w:r>
    </w:p>
    <w:p w14:paraId="711C00A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1.1.3.2 监理服务：指监理人接受委托人的委托，依照法律、规范标准和监理合同等，对建设工程勘察、设计或施工等阶段进行质量控制、进度控制、投资控制、合同管理、信息管理、组织协调和安全监理、环保监理的服务活动。</w:t>
      </w:r>
    </w:p>
    <w:p w14:paraId="6E13D34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1.1.3.3 监理资料：是委托人按合同约定向监理人提供的，用于完成监理范围与内容所需要的资料。</w:t>
      </w:r>
    </w:p>
    <w:p w14:paraId="3366025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1.1.3.4 监理文件：指监理人按合同约定向委托人提交的监理大纲、监理规划、监理实施细则、监理日志、监理报告、工程质量评估报告、事故处理文件、监理工作总结和其他文件等，包括阶段性文件和最终文件，且应当采用合同中双方约定的格式和载体。</w:t>
      </w:r>
    </w:p>
    <w:p w14:paraId="1CA0918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 日期</w:t>
      </w:r>
    </w:p>
    <w:p w14:paraId="36B91AD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1.1.4.1 开始监理通知：指委托人按第6.1款通知监理人开始监理的函件。</w:t>
      </w:r>
    </w:p>
    <w:p w14:paraId="3D29DA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1.1.4.2 开始监理日期：指委托人按第6.1款发出的开始监理通知中写明的开始监理日期。</w:t>
      </w:r>
    </w:p>
    <w:p w14:paraId="0DE36FE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1.1.4.3 监理服务期限：指监理人在投标函中承诺的完成合同监理服务所需的期限，包括按第6.2款约定所作的调整。</w:t>
      </w:r>
    </w:p>
    <w:p w14:paraId="0C6C476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1.1.4.4 完成监理日期：指第1.1.4.3目约定监理服务期限届满时的日期。</w:t>
      </w:r>
    </w:p>
    <w:p w14:paraId="22FA881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1.1.4.5 基准日：指投标截止时间前28天的日期。</w:t>
      </w:r>
    </w:p>
    <w:p w14:paraId="6FC4C6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1.1.4.6 天：除特别指明外，指日历天。合同中按天计算时间的，开始当天不计入，从次日开始计算。期限最后一天的截止时间为当天24:00。</w:t>
      </w:r>
    </w:p>
    <w:p w14:paraId="7902FF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 合同价格和费用</w:t>
      </w:r>
    </w:p>
    <w:p w14:paraId="33F4BD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1.1.5.1 签约合同价：指签订合同时合同协议书中写明的监理报酬总金额。</w:t>
      </w:r>
    </w:p>
    <w:p w14:paraId="17F669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1.1.5.2 合同价格：指监理人按合同约定完成了全部监理工作后，委托人应付给监理人的金额，包括在履行合同过程中按合同约定进行的变更和调整。</w:t>
      </w:r>
    </w:p>
    <w:p w14:paraId="099FA1E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1.1.5.3 费用：指为履行合同所发生的或将要发生的所有合理开支，包括管理费和应分摊的其他费用，但不包括利润。</w:t>
      </w:r>
    </w:p>
    <w:p w14:paraId="66AF0C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1.1.6 其他</w:t>
      </w:r>
    </w:p>
    <w:p w14:paraId="5E166BA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1.1.6.1 书面形式：指合同文件、信件和数据电文（包括电报、电传、传真、电子数据交换和电子邮件）等可以有形地表现所载内容的形式。</w:t>
      </w:r>
    </w:p>
    <w:p w14:paraId="1FCCFF08">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3" w:name="_Toc482188548"/>
      <w:bookmarkStart w:id="384" w:name="_Toc492300641"/>
      <w:r>
        <w:rPr>
          <w:rFonts w:hint="eastAsia" w:ascii="Times New Roman" w:hAnsi="Times New Roman" w:eastAsia="宋体" w:cs="宋体"/>
          <w:b/>
          <w:bCs/>
          <w:color w:val="auto"/>
          <w:kern w:val="21"/>
          <w:sz w:val="24"/>
          <w:szCs w:val="24"/>
          <w:highlight w:val="none"/>
          <w:lang w:eastAsia="zh-CN"/>
        </w:rPr>
        <w:t>1.2 语言文字</w:t>
      </w:r>
      <w:bookmarkEnd w:id="383"/>
      <w:bookmarkEnd w:id="384"/>
    </w:p>
    <w:p w14:paraId="3D9A68B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合同使用的语言文字为中文。专用术语使用外文的，应附有中文注释。</w:t>
      </w:r>
    </w:p>
    <w:p w14:paraId="11A24A7B">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5" w:name="_Toc482188549"/>
      <w:bookmarkStart w:id="386" w:name="_Toc492300642"/>
      <w:r>
        <w:rPr>
          <w:rFonts w:hint="eastAsia" w:ascii="Times New Roman" w:hAnsi="Times New Roman" w:eastAsia="宋体" w:cs="宋体"/>
          <w:b/>
          <w:bCs/>
          <w:color w:val="auto"/>
          <w:kern w:val="21"/>
          <w:sz w:val="24"/>
          <w:szCs w:val="24"/>
          <w:highlight w:val="none"/>
          <w:lang w:eastAsia="zh-CN"/>
        </w:rPr>
        <w:t>1.3 适用法律</w:t>
      </w:r>
      <w:bookmarkEnd w:id="385"/>
      <w:bookmarkEnd w:id="386"/>
    </w:p>
    <w:p w14:paraId="68C7F5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适用于合同的法律包括中华人民共和国法律、行政法规、部门规章，以及工程所在地的地方法规、自治条例、单行条例和地方政府规章。</w:t>
      </w:r>
    </w:p>
    <w:p w14:paraId="4BDC20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本合同适用的其他规范性文件，可在专用合同条款中约定。</w:t>
      </w:r>
    </w:p>
    <w:p w14:paraId="424568E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7" w:name="_Toc482188550"/>
      <w:bookmarkStart w:id="388" w:name="_Toc492300643"/>
      <w:r>
        <w:rPr>
          <w:rFonts w:hint="eastAsia" w:ascii="Times New Roman" w:hAnsi="Times New Roman" w:eastAsia="宋体" w:cs="宋体"/>
          <w:b/>
          <w:bCs/>
          <w:color w:val="auto"/>
          <w:kern w:val="21"/>
          <w:sz w:val="24"/>
          <w:szCs w:val="24"/>
          <w:highlight w:val="none"/>
          <w:lang w:eastAsia="zh-CN"/>
        </w:rPr>
        <w:t>1.4 合同文件的优先顺序</w:t>
      </w:r>
      <w:bookmarkEnd w:id="387"/>
      <w:bookmarkEnd w:id="388"/>
    </w:p>
    <w:p w14:paraId="6ABB11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组成合同的各项文件应互相解释，互为说明。除专用合同条款另有约定外，解释合同文件的优先顺序如下：</w:t>
      </w:r>
    </w:p>
    <w:p w14:paraId="2C0549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（1）合同协议书；</w:t>
      </w:r>
    </w:p>
    <w:p w14:paraId="5A6BF00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51B4DCB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（3）投标函及投标函附录；</w:t>
      </w:r>
    </w:p>
    <w:p w14:paraId="764F820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（4）专用合同条款；</w:t>
      </w:r>
    </w:p>
    <w:p w14:paraId="30DB54D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（5）通用合同条款；</w:t>
      </w:r>
    </w:p>
    <w:p w14:paraId="4196D41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（6）委托人要求；</w:t>
      </w:r>
    </w:p>
    <w:p w14:paraId="05E924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（7）监理报酬清单；</w:t>
      </w:r>
    </w:p>
    <w:p w14:paraId="40809A1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（8）监理大纲；</w:t>
      </w:r>
    </w:p>
    <w:p w14:paraId="198F7B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（9）其他合同文件。</w:t>
      </w:r>
    </w:p>
    <w:p w14:paraId="306E519B">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89" w:name="_Toc482188551"/>
      <w:bookmarkStart w:id="390" w:name="_Toc492300644"/>
      <w:r>
        <w:rPr>
          <w:rFonts w:hint="eastAsia" w:ascii="Times New Roman" w:hAnsi="Times New Roman" w:eastAsia="宋体" w:cs="宋体"/>
          <w:b/>
          <w:bCs/>
          <w:color w:val="auto"/>
          <w:kern w:val="21"/>
          <w:sz w:val="24"/>
          <w:szCs w:val="24"/>
          <w:highlight w:val="none"/>
          <w:lang w:eastAsia="zh-CN"/>
        </w:rPr>
        <w:t>1.5 合同协议书</w:t>
      </w:r>
      <w:bookmarkEnd w:id="389"/>
      <w:bookmarkEnd w:id="390"/>
    </w:p>
    <w:p w14:paraId="3C1B61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监理人按中标通知书规定的时间与委托人签订合同协议书。除法律另有规定或合同另有约定外，委托人和监理人的法定代表人或其委托代理人在合同协议书上签字并盖单位章后，合同生效。</w:t>
      </w:r>
    </w:p>
    <w:p w14:paraId="68800CE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1" w:name="_Toc482188552"/>
      <w:bookmarkStart w:id="392" w:name="_Toc492300645"/>
      <w:r>
        <w:rPr>
          <w:rFonts w:hint="eastAsia" w:ascii="Times New Roman" w:hAnsi="Times New Roman" w:eastAsia="宋体" w:cs="宋体"/>
          <w:b/>
          <w:bCs/>
          <w:color w:val="auto"/>
          <w:kern w:val="21"/>
          <w:sz w:val="24"/>
          <w:szCs w:val="24"/>
          <w:highlight w:val="none"/>
          <w:lang w:eastAsia="zh-CN"/>
        </w:rPr>
        <w:t>1.6 文件的提供和照管</w:t>
      </w:r>
      <w:bookmarkEnd w:id="391"/>
      <w:bookmarkEnd w:id="392"/>
    </w:p>
    <w:p w14:paraId="0E245D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1.6.1 监理文件的提供</w:t>
      </w:r>
    </w:p>
    <w:p w14:paraId="583DE54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除专用合同条款另有约定外，监理人应在合理的期限内按照合同约定的数量向委托人提供监理文件。合同约定监理文件应经委托人批复的，委托人应当在合同约定的期限内批复或提出修改意见。</w:t>
      </w:r>
    </w:p>
    <w:p w14:paraId="315F28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1.6.2 委托人提供的文件</w:t>
      </w:r>
    </w:p>
    <w:p w14:paraId="2769729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按专用合同条款约定由委托人提供的文件，包括规范标准、承包合同、勘察文件、设计文件等，委托人应按约定的数量和期限交给监理人。由于委托人未按时提供文件造成监理服务期限延误的，按第6.2款约定执行。</w:t>
      </w:r>
    </w:p>
    <w:p w14:paraId="665314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1.6.3 文件错误的通知</w:t>
      </w:r>
    </w:p>
    <w:p w14:paraId="091F8D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任何一方当事人发现文件中存在的明显错误或疏忽，均应及时通知对方当事人，并应立即采取适当的措施防止损失扩大。</w:t>
      </w:r>
    </w:p>
    <w:p w14:paraId="1C27B3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1.6.4 文件的照管</w:t>
      </w:r>
    </w:p>
    <w:p w14:paraId="26BECE2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监理人应在现场保留一份合同文件、监理文件、委托人要求中的所列文件、以及其他根据合同收发的往来信函，以备委托人和行政管理部门查阅使用。</w:t>
      </w:r>
    </w:p>
    <w:p w14:paraId="21C403F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3" w:name="_Toc492300646"/>
      <w:bookmarkStart w:id="394" w:name="_Toc482188553"/>
      <w:r>
        <w:rPr>
          <w:rFonts w:hint="eastAsia" w:ascii="Times New Roman" w:hAnsi="Times New Roman" w:eastAsia="宋体" w:cs="宋体"/>
          <w:b/>
          <w:bCs/>
          <w:color w:val="auto"/>
          <w:kern w:val="21"/>
          <w:sz w:val="24"/>
          <w:szCs w:val="24"/>
          <w:highlight w:val="none"/>
          <w:lang w:eastAsia="zh-CN"/>
        </w:rPr>
        <w:t>1.7 联络</w:t>
      </w:r>
      <w:bookmarkEnd w:id="393"/>
      <w:bookmarkEnd w:id="394"/>
    </w:p>
    <w:p w14:paraId="72E628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1.7.1 与合同有关的通知、批准、证明、证书、指示、要求、请求、同意、意见、确定和决定等，均应采用书面形式。</w:t>
      </w:r>
    </w:p>
    <w:p w14:paraId="1FC33A2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1.7.2 上述通知、批准、证明、证书、指示、要求、请求、同意、意见、确定和决定等来往函件，均应在合同约定的期限内送达指定的地点和指定的接收人，并办理签收手续。</w:t>
      </w:r>
    </w:p>
    <w:p w14:paraId="4A9AEA0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5" w:name="_Toc482188554"/>
      <w:bookmarkStart w:id="396" w:name="_Toc492300647"/>
      <w:r>
        <w:rPr>
          <w:rFonts w:hint="eastAsia" w:ascii="Times New Roman" w:hAnsi="Times New Roman" w:eastAsia="宋体" w:cs="宋体"/>
          <w:b/>
          <w:bCs/>
          <w:color w:val="auto"/>
          <w:kern w:val="21"/>
          <w:sz w:val="24"/>
          <w:szCs w:val="24"/>
          <w:highlight w:val="none"/>
          <w:lang w:eastAsia="zh-CN"/>
        </w:rPr>
        <w:t>1.8 转让</w:t>
      </w:r>
      <w:bookmarkEnd w:id="395"/>
      <w:bookmarkEnd w:id="396"/>
    </w:p>
    <w:p w14:paraId="7D75A59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除专用合同条款另有约定外，未经对方当事人同意，一方当事人不得将合同权利全部或部分转让给第三人，也不得全部或部分转移合同义务。</w:t>
      </w:r>
    </w:p>
    <w:p w14:paraId="67C776DD">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7" w:name="_Toc492300648"/>
      <w:bookmarkStart w:id="398" w:name="_Toc482188555"/>
      <w:r>
        <w:rPr>
          <w:rFonts w:hint="eastAsia" w:ascii="Times New Roman" w:hAnsi="Times New Roman" w:eastAsia="宋体" w:cs="宋体"/>
          <w:b/>
          <w:bCs/>
          <w:color w:val="auto"/>
          <w:kern w:val="21"/>
          <w:sz w:val="24"/>
          <w:szCs w:val="24"/>
          <w:highlight w:val="none"/>
          <w:lang w:eastAsia="zh-CN"/>
        </w:rPr>
        <w:t>1.9 严禁贿赂</w:t>
      </w:r>
      <w:bookmarkEnd w:id="397"/>
      <w:bookmarkEnd w:id="398"/>
    </w:p>
    <w:p w14:paraId="49C4353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合同双方当事人不得以贿赂或变相贿赂的方式，谋取不当利益或损害对方权益。因贿赂造成对方当事人损失的，行为人应当赔偿损失，并承担相应的法律责任。</w:t>
      </w:r>
    </w:p>
    <w:p w14:paraId="7D4E4D9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399" w:name="_Toc482188556"/>
      <w:bookmarkStart w:id="400" w:name="_Toc492300649"/>
      <w:r>
        <w:rPr>
          <w:rFonts w:hint="eastAsia" w:ascii="Times New Roman" w:hAnsi="Times New Roman" w:eastAsia="宋体" w:cs="宋体"/>
          <w:b/>
          <w:bCs/>
          <w:color w:val="auto"/>
          <w:kern w:val="21"/>
          <w:sz w:val="24"/>
          <w:szCs w:val="24"/>
          <w:highlight w:val="none"/>
          <w:lang w:eastAsia="zh-CN"/>
        </w:rPr>
        <w:t>1.10 知识产权</w:t>
      </w:r>
      <w:bookmarkEnd w:id="399"/>
      <w:bookmarkEnd w:id="400"/>
    </w:p>
    <w:p w14:paraId="43D483A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1.10.1除专用合同条款另有约定外，监理人完成的监理工作成果，除署名权以外的著作权和其他知识产权均归委托人享有。</w:t>
      </w:r>
    </w:p>
    <w:p w14:paraId="119896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1.10.2 监理人从事监理活动时不得侵犯他人的知识产权。因侵犯专利权或其他知识产权所引起的责任，由监理人自行承担。因委托人提供的监理资料导致侵权的，由委托人承担责任。</w:t>
      </w:r>
    </w:p>
    <w:p w14:paraId="180665A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1.10.3 监理人在投标文件中采用专利技术、专有技术的，相应的使用费视为已包含在投标报价之中。</w:t>
      </w:r>
    </w:p>
    <w:p w14:paraId="2BBFF46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01" w:name="_Toc482188557"/>
      <w:bookmarkStart w:id="402" w:name="_Toc492300650"/>
      <w:r>
        <w:rPr>
          <w:rFonts w:hint="eastAsia" w:ascii="Times New Roman" w:hAnsi="Times New Roman" w:eastAsia="宋体" w:cs="宋体"/>
          <w:b/>
          <w:bCs/>
          <w:color w:val="auto"/>
          <w:kern w:val="21"/>
          <w:sz w:val="24"/>
          <w:szCs w:val="24"/>
          <w:highlight w:val="none"/>
          <w:lang w:eastAsia="zh-CN"/>
        </w:rPr>
        <w:t>1.11 文件及信息的保密</w:t>
      </w:r>
      <w:bookmarkEnd w:id="401"/>
      <w:bookmarkEnd w:id="402"/>
    </w:p>
    <w:p w14:paraId="3939B9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未经对方同意，任何一方当事人不得将有关文件、技术秘密、需要保密的资料和信息泄露给他人或公开发表与引用。</w:t>
      </w:r>
    </w:p>
    <w:p w14:paraId="6B8D2C4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03" w:name="_Toc482188558"/>
      <w:bookmarkStart w:id="404" w:name="_Toc492300651"/>
      <w:r>
        <w:rPr>
          <w:rFonts w:hint="eastAsia" w:ascii="Times New Roman" w:hAnsi="Times New Roman" w:eastAsia="宋体" w:cs="宋体"/>
          <w:b/>
          <w:bCs/>
          <w:color w:val="auto"/>
          <w:kern w:val="21"/>
          <w:sz w:val="24"/>
          <w:szCs w:val="24"/>
          <w:highlight w:val="none"/>
          <w:lang w:eastAsia="zh-CN"/>
        </w:rPr>
        <w:t xml:space="preserve">1.12 </w:t>
      </w:r>
      <w:bookmarkEnd w:id="403"/>
      <w:r>
        <w:rPr>
          <w:rFonts w:hint="eastAsia" w:ascii="Times New Roman" w:hAnsi="Times New Roman" w:eastAsia="宋体" w:cs="宋体"/>
          <w:b/>
          <w:bCs/>
          <w:color w:val="auto"/>
          <w:kern w:val="21"/>
          <w:sz w:val="24"/>
          <w:szCs w:val="24"/>
          <w:highlight w:val="none"/>
          <w:lang w:eastAsia="zh-CN"/>
        </w:rPr>
        <w:t>委托人要求</w:t>
      </w:r>
      <w:bookmarkEnd w:id="404"/>
    </w:p>
    <w:p w14:paraId="19817F4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 监理人应认真阅读、复核委托人要求，发现错误的，应及时书面通知委托人。无论是否存在错误，委托人均有权修改委托人要求，并在修改后3天内通知监理人。除专用合同</w:t>
      </w:r>
      <w:bookmarkStart w:id="405" w:name="_Toc247514048"/>
      <w:bookmarkStart w:id="406" w:name="_Toc265955390"/>
      <w:bookmarkStart w:id="407" w:name="_Toc247527649"/>
      <w:bookmarkStart w:id="408" w:name="_Toc300835045"/>
      <w:r>
        <w:rPr>
          <w:rFonts w:hint="eastAsia" w:ascii="Times New Roman" w:hAnsi="Times New Roman" w:eastAsia="宋体" w:cs="宋体"/>
          <w:color w:val="auto"/>
          <w:kern w:val="21"/>
          <w:highlight w:val="none"/>
          <w:lang w:eastAsia="zh-CN"/>
        </w:rPr>
        <w:t>条款另有约定外，由此</w:t>
      </w:r>
      <w:bookmarkEnd w:id="405"/>
      <w:bookmarkEnd w:id="406"/>
      <w:bookmarkEnd w:id="407"/>
      <w:bookmarkEnd w:id="408"/>
      <w:r>
        <w:rPr>
          <w:rFonts w:hint="eastAsia" w:ascii="Times New Roman" w:hAnsi="Times New Roman" w:eastAsia="宋体" w:cs="宋体"/>
          <w:color w:val="auto"/>
          <w:kern w:val="21"/>
          <w:highlight w:val="none"/>
          <w:lang w:eastAsia="zh-CN"/>
        </w:rPr>
        <w:t>导致监理人费用增加和（或）周期延误的，委托人应当相应地增加费用和（或）延长周期。</w:t>
      </w:r>
    </w:p>
    <w:p w14:paraId="5979F9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 如果委托人要求违反法律规定，监理人应在发现后及时书面通知委托人，要求其改正。委托人收到通知书后不予改正或不予答复的，监理人有权拒绝履行合同义务，直至解除合同；由此引起的监理人的全部损失由委托人承担。</w:t>
      </w:r>
    </w:p>
    <w:p w14:paraId="4C0663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1.12.3 委托人要求采用国外规范和标准进行监理时，应由委托人负责提供该规范和标准的外国文本和中文译本，提供的时间、份数和其他要求在专用合同条款中约定。</w:t>
      </w:r>
    </w:p>
    <w:p w14:paraId="1F3799E2">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09" w:name="_Toc482188559"/>
      <w:bookmarkStart w:id="410" w:name="_Toc492300652"/>
      <w:bookmarkStart w:id="411" w:name="_Toc503518001"/>
      <w:r>
        <w:rPr>
          <w:rFonts w:hint="eastAsia" w:ascii="Times New Roman" w:hAnsi="Times New Roman" w:eastAsia="宋体" w:cs="宋体"/>
          <w:b/>
          <w:bCs/>
          <w:color w:val="auto"/>
          <w:kern w:val="21"/>
          <w:sz w:val="28"/>
          <w:szCs w:val="28"/>
          <w:highlight w:val="none"/>
          <w:lang w:eastAsia="zh-CN"/>
        </w:rPr>
        <w:t>2. 委托人义务</w:t>
      </w:r>
      <w:bookmarkEnd w:id="409"/>
      <w:bookmarkEnd w:id="410"/>
      <w:bookmarkEnd w:id="411"/>
    </w:p>
    <w:p w14:paraId="133758B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12" w:name="_Toc492300653"/>
      <w:bookmarkStart w:id="413" w:name="_Toc482188560"/>
      <w:r>
        <w:rPr>
          <w:rFonts w:hint="eastAsia" w:ascii="Times New Roman" w:hAnsi="Times New Roman" w:eastAsia="宋体" w:cs="宋体"/>
          <w:b/>
          <w:bCs/>
          <w:color w:val="auto"/>
          <w:kern w:val="21"/>
          <w:sz w:val="24"/>
          <w:szCs w:val="24"/>
          <w:highlight w:val="none"/>
          <w:lang w:eastAsia="zh-CN"/>
        </w:rPr>
        <w:t>2.1 遵守法律</w:t>
      </w:r>
      <w:bookmarkEnd w:id="412"/>
      <w:bookmarkEnd w:id="413"/>
    </w:p>
    <w:p w14:paraId="277278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委托人在履行合同过程中应遵守法律，并保证监理人免于承担因委托人违反法律而引起的</w:t>
      </w:r>
      <w:bookmarkStart w:id="414" w:name="_Toc184635099"/>
      <w:bookmarkStart w:id="415" w:name="_Toc385592087"/>
      <w:bookmarkStart w:id="416" w:name="_Toc247527650"/>
      <w:bookmarkStart w:id="417" w:name="_Toc370281722"/>
      <w:bookmarkStart w:id="418" w:name="_Toc247514049"/>
      <w:bookmarkStart w:id="419" w:name="_Toc300835048"/>
      <w:bookmarkStart w:id="420" w:name="_Toc385942918"/>
      <w:r>
        <w:rPr>
          <w:rFonts w:hint="eastAsia" w:ascii="Times New Roman" w:hAnsi="Times New Roman" w:eastAsia="宋体" w:cs="宋体"/>
          <w:color w:val="auto"/>
          <w:kern w:val="21"/>
          <w:highlight w:val="none"/>
          <w:lang w:eastAsia="zh-CN"/>
        </w:rPr>
        <w:t>任何责任。</w:t>
      </w:r>
    </w:p>
    <w:p w14:paraId="50772CA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21" w:name="_Toc482188561"/>
      <w:bookmarkStart w:id="422" w:name="_Toc492300654"/>
      <w:r>
        <w:rPr>
          <w:rFonts w:hint="eastAsia" w:ascii="Times New Roman" w:hAnsi="Times New Roman" w:eastAsia="宋体" w:cs="宋体"/>
          <w:b/>
          <w:bCs/>
          <w:color w:val="auto"/>
          <w:kern w:val="21"/>
          <w:sz w:val="24"/>
          <w:szCs w:val="24"/>
          <w:highlight w:val="none"/>
          <w:lang w:eastAsia="zh-CN"/>
        </w:rPr>
        <w:t>2</w:t>
      </w:r>
      <w:bookmarkEnd w:id="414"/>
      <w:bookmarkEnd w:id="415"/>
      <w:bookmarkEnd w:id="416"/>
      <w:bookmarkEnd w:id="417"/>
      <w:bookmarkEnd w:id="418"/>
      <w:bookmarkEnd w:id="419"/>
      <w:bookmarkEnd w:id="420"/>
      <w:r>
        <w:rPr>
          <w:rFonts w:hint="eastAsia" w:ascii="Times New Roman" w:hAnsi="Times New Roman" w:eastAsia="宋体" w:cs="宋体"/>
          <w:b/>
          <w:bCs/>
          <w:color w:val="auto"/>
          <w:kern w:val="21"/>
          <w:sz w:val="24"/>
          <w:szCs w:val="24"/>
          <w:highlight w:val="none"/>
          <w:lang w:eastAsia="zh-CN"/>
        </w:rPr>
        <w:t>.2</w:t>
      </w:r>
      <w:bookmarkStart w:id="423" w:name="_Toc247527651"/>
      <w:bookmarkStart w:id="424" w:name="_Toc300835049"/>
      <w:bookmarkStart w:id="425" w:name="_Toc247514050"/>
      <w:bookmarkStart w:id="426" w:name="_Toc247514053"/>
      <w:bookmarkStart w:id="427" w:name="_Toc370281723"/>
      <w:bookmarkStart w:id="428" w:name="_Toc385942919"/>
      <w:bookmarkStart w:id="429" w:name="_Toc300835052"/>
      <w:bookmarkStart w:id="430" w:name="_Toc247527654"/>
      <w:r>
        <w:rPr>
          <w:rFonts w:hint="eastAsia" w:ascii="Times New Roman" w:hAnsi="Times New Roman" w:eastAsia="宋体" w:cs="宋体"/>
          <w:b/>
          <w:bCs/>
          <w:color w:val="auto"/>
          <w:kern w:val="21"/>
          <w:sz w:val="24"/>
          <w:szCs w:val="24"/>
          <w:highlight w:val="none"/>
          <w:lang w:eastAsia="zh-CN"/>
        </w:rPr>
        <w:t xml:space="preserve"> 发出开始监理通</w:t>
      </w:r>
      <w:bookmarkEnd w:id="423"/>
      <w:bookmarkEnd w:id="424"/>
      <w:bookmarkEnd w:id="425"/>
      <w:r>
        <w:rPr>
          <w:rFonts w:hint="eastAsia" w:ascii="Times New Roman" w:hAnsi="Times New Roman" w:eastAsia="宋体" w:cs="宋体"/>
          <w:b/>
          <w:bCs/>
          <w:color w:val="auto"/>
          <w:kern w:val="21"/>
          <w:sz w:val="24"/>
          <w:szCs w:val="24"/>
          <w:highlight w:val="none"/>
          <w:lang w:eastAsia="zh-CN"/>
        </w:rPr>
        <w:t>知</w:t>
      </w:r>
      <w:bookmarkEnd w:id="421"/>
      <w:bookmarkEnd w:id="422"/>
    </w:p>
    <w:p w14:paraId="4961368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委托人应按第6.1款的约定向监理人发出开始监理通知。</w:t>
      </w:r>
    </w:p>
    <w:p w14:paraId="1178304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2.3 提供设备、设施</w:t>
      </w:r>
    </w:p>
    <w:p w14:paraId="36DB86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除专用合同条款另有约定外，委托人应为监理人的现场人员，在监理期间提供办公房间、办公桌椅、互联网接口、冷暖设施、生活设施、进出现场交通服务和其他便利条件。</w:t>
      </w:r>
    </w:p>
    <w:p w14:paraId="6CB2D9F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31" w:name="_Toc492300655"/>
      <w:bookmarkStart w:id="432" w:name="_Toc482188562"/>
      <w:r>
        <w:rPr>
          <w:rFonts w:hint="eastAsia" w:ascii="Times New Roman" w:hAnsi="Times New Roman" w:eastAsia="宋体" w:cs="宋体"/>
          <w:b/>
          <w:bCs/>
          <w:color w:val="auto"/>
          <w:kern w:val="21"/>
          <w:sz w:val="24"/>
          <w:szCs w:val="24"/>
          <w:highlight w:val="none"/>
          <w:lang w:eastAsia="zh-CN"/>
        </w:rPr>
        <w:t>2.</w:t>
      </w:r>
      <w:bookmarkStart w:id="433" w:name="_Toc247527653"/>
      <w:bookmarkStart w:id="434" w:name="_Toc300835051"/>
      <w:bookmarkStart w:id="435" w:name="_Toc247514052"/>
      <w:r>
        <w:rPr>
          <w:rFonts w:hint="eastAsia" w:ascii="Times New Roman" w:hAnsi="Times New Roman" w:eastAsia="宋体" w:cs="宋体"/>
          <w:b/>
          <w:bCs/>
          <w:color w:val="auto"/>
          <w:kern w:val="21"/>
          <w:sz w:val="24"/>
          <w:szCs w:val="24"/>
          <w:highlight w:val="none"/>
          <w:lang w:eastAsia="zh-CN"/>
        </w:rPr>
        <w:t>4 办理证件</w:t>
      </w:r>
      <w:bookmarkEnd w:id="433"/>
      <w:bookmarkEnd w:id="434"/>
      <w:bookmarkEnd w:id="435"/>
      <w:r>
        <w:rPr>
          <w:rFonts w:hint="eastAsia" w:ascii="Times New Roman" w:hAnsi="Times New Roman" w:eastAsia="宋体" w:cs="宋体"/>
          <w:b/>
          <w:bCs/>
          <w:color w:val="auto"/>
          <w:kern w:val="21"/>
          <w:sz w:val="24"/>
          <w:szCs w:val="24"/>
          <w:highlight w:val="none"/>
          <w:lang w:eastAsia="zh-CN"/>
        </w:rPr>
        <w:t>和批件</w:t>
      </w:r>
      <w:bookmarkEnd w:id="431"/>
      <w:bookmarkEnd w:id="432"/>
    </w:p>
    <w:p w14:paraId="051414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法律规定和（或）合同约定由委托人负责办理的工程建设项目必须履行的各类审批、核准或备案手续，委托人应当按时办理，监理人应给予必要的协助。</w:t>
      </w:r>
    </w:p>
    <w:p w14:paraId="7C17F7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法律规定和（或）合同约定由监理人负责办理的监理所需的证件和批件，委托人应给予必要的协助。</w:t>
      </w:r>
    </w:p>
    <w:p w14:paraId="2E573B3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36" w:name="_Toc482188563"/>
      <w:bookmarkStart w:id="437" w:name="_Toc492300656"/>
      <w:r>
        <w:rPr>
          <w:rFonts w:hint="eastAsia" w:ascii="Times New Roman" w:hAnsi="Times New Roman" w:eastAsia="宋体" w:cs="宋体"/>
          <w:b/>
          <w:bCs/>
          <w:color w:val="auto"/>
          <w:kern w:val="21"/>
          <w:sz w:val="24"/>
          <w:szCs w:val="24"/>
          <w:highlight w:val="none"/>
          <w:lang w:eastAsia="zh-CN"/>
        </w:rPr>
        <w:t>2.5 支付合同价款</w:t>
      </w:r>
      <w:bookmarkEnd w:id="436"/>
      <w:bookmarkEnd w:id="437"/>
    </w:p>
    <w:p w14:paraId="7DA3879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委托人应按合同约定向监理人及时支付合同价款。</w:t>
      </w:r>
    </w:p>
    <w:p w14:paraId="62D5D399">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38" w:name="_Toc474833987"/>
      <w:bookmarkStart w:id="439" w:name="_Toc482188564"/>
      <w:bookmarkStart w:id="440" w:name="_Toc492300657"/>
      <w:r>
        <w:rPr>
          <w:rFonts w:hint="eastAsia" w:ascii="Times New Roman" w:hAnsi="Times New Roman" w:eastAsia="宋体" w:cs="宋体"/>
          <w:b/>
          <w:bCs/>
          <w:color w:val="auto"/>
          <w:kern w:val="21"/>
          <w:sz w:val="24"/>
          <w:szCs w:val="24"/>
          <w:highlight w:val="none"/>
          <w:lang w:eastAsia="zh-CN"/>
        </w:rPr>
        <w:t>2.6 提供监理资料</w:t>
      </w:r>
      <w:bookmarkEnd w:id="438"/>
      <w:bookmarkEnd w:id="439"/>
      <w:bookmarkEnd w:id="440"/>
    </w:p>
    <w:p w14:paraId="362F94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委托人应按第1.6.2项的约定向监理人提供监理资料。</w:t>
      </w:r>
    </w:p>
    <w:bookmarkEnd w:id="426"/>
    <w:bookmarkEnd w:id="427"/>
    <w:bookmarkEnd w:id="428"/>
    <w:bookmarkEnd w:id="429"/>
    <w:bookmarkEnd w:id="430"/>
    <w:p w14:paraId="3EFF106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41" w:name="_Toc482188565"/>
      <w:bookmarkStart w:id="442" w:name="_Toc492300658"/>
      <w:r>
        <w:rPr>
          <w:rFonts w:hint="eastAsia" w:ascii="Times New Roman" w:hAnsi="Times New Roman" w:eastAsia="宋体" w:cs="宋体"/>
          <w:b/>
          <w:bCs/>
          <w:color w:val="auto"/>
          <w:kern w:val="21"/>
          <w:sz w:val="24"/>
          <w:szCs w:val="24"/>
          <w:highlight w:val="none"/>
          <w:lang w:eastAsia="zh-CN"/>
        </w:rPr>
        <w:t>2.7 其他义务</w:t>
      </w:r>
      <w:bookmarkEnd w:id="441"/>
      <w:bookmarkEnd w:id="442"/>
    </w:p>
    <w:p w14:paraId="758608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委托人应履行合同约定的其他义务</w:t>
      </w:r>
      <w:bookmarkStart w:id="443" w:name="_Toc385942924"/>
      <w:bookmarkStart w:id="444" w:name="_Toc370281728"/>
      <w:r>
        <w:rPr>
          <w:rFonts w:hint="eastAsia" w:ascii="Times New Roman" w:hAnsi="Times New Roman" w:eastAsia="宋体" w:cs="宋体"/>
          <w:color w:val="auto"/>
          <w:kern w:val="21"/>
          <w:highlight w:val="none"/>
          <w:lang w:eastAsia="zh-CN"/>
        </w:rPr>
        <w:t>。</w:t>
      </w:r>
    </w:p>
    <w:p w14:paraId="481E1B4A">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45" w:name="_Toc492300659"/>
      <w:bookmarkStart w:id="446" w:name="_Toc482188566"/>
      <w:bookmarkStart w:id="447" w:name="_Toc503518002"/>
      <w:r>
        <w:rPr>
          <w:rFonts w:hint="eastAsia" w:ascii="Times New Roman" w:hAnsi="Times New Roman" w:eastAsia="宋体" w:cs="宋体"/>
          <w:b/>
          <w:bCs/>
          <w:color w:val="auto"/>
          <w:kern w:val="21"/>
          <w:sz w:val="28"/>
          <w:szCs w:val="28"/>
          <w:highlight w:val="none"/>
          <w:lang w:eastAsia="zh-CN"/>
        </w:rPr>
        <w:t>3. 委托人管</w:t>
      </w:r>
      <w:bookmarkEnd w:id="443"/>
      <w:bookmarkEnd w:id="444"/>
      <w:r>
        <w:rPr>
          <w:rFonts w:hint="eastAsia" w:ascii="Times New Roman" w:hAnsi="Times New Roman" w:eastAsia="宋体" w:cs="宋体"/>
          <w:b/>
          <w:bCs/>
          <w:color w:val="auto"/>
          <w:kern w:val="21"/>
          <w:sz w:val="28"/>
          <w:szCs w:val="28"/>
          <w:highlight w:val="none"/>
          <w:lang w:eastAsia="zh-CN"/>
        </w:rPr>
        <w:t>理</w:t>
      </w:r>
      <w:bookmarkEnd w:id="445"/>
      <w:bookmarkEnd w:id="446"/>
      <w:bookmarkEnd w:id="447"/>
    </w:p>
    <w:p w14:paraId="75C8323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48" w:name="_Toc492300660"/>
      <w:bookmarkStart w:id="449" w:name="_Toc482188567"/>
      <w:r>
        <w:rPr>
          <w:rFonts w:hint="eastAsia" w:ascii="Times New Roman" w:hAnsi="Times New Roman" w:eastAsia="宋体" w:cs="宋体"/>
          <w:b/>
          <w:bCs/>
          <w:color w:val="auto"/>
          <w:kern w:val="21"/>
          <w:sz w:val="24"/>
          <w:szCs w:val="24"/>
          <w:highlight w:val="none"/>
          <w:lang w:eastAsia="zh-CN"/>
        </w:rPr>
        <w:t>3.1 委托人代表</w:t>
      </w:r>
      <w:bookmarkEnd w:id="448"/>
      <w:bookmarkEnd w:id="449"/>
    </w:p>
    <w:p w14:paraId="66929CE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3.1.1除专用合同条款</w:t>
      </w:r>
      <w:bookmarkStart w:id="450" w:name="_Toc247514057"/>
      <w:bookmarkStart w:id="451" w:name="_Toc385942925"/>
      <w:bookmarkStart w:id="452" w:name="_Toc300835055"/>
      <w:bookmarkStart w:id="453" w:name="_Toc247527658"/>
      <w:bookmarkStart w:id="454" w:name="_Toc370281729"/>
      <w:r>
        <w:rPr>
          <w:rFonts w:hint="eastAsia" w:ascii="Times New Roman" w:hAnsi="Times New Roman" w:eastAsia="宋体" w:cs="宋体"/>
          <w:color w:val="auto"/>
          <w:kern w:val="21"/>
          <w:highlight w:val="none"/>
          <w:lang w:eastAsia="zh-CN"/>
        </w:rPr>
        <w:t>另有约定外，</w:t>
      </w:r>
      <w:bookmarkEnd w:id="450"/>
      <w:bookmarkEnd w:id="451"/>
      <w:bookmarkEnd w:id="452"/>
      <w:bookmarkEnd w:id="453"/>
      <w:bookmarkEnd w:id="454"/>
      <w:r>
        <w:rPr>
          <w:rFonts w:hint="eastAsia" w:ascii="Times New Roman" w:hAnsi="Times New Roman" w:eastAsia="宋体" w:cs="宋体"/>
          <w:color w:val="auto"/>
          <w:kern w:val="21"/>
          <w:highlight w:val="none"/>
          <w:lang w:eastAsia="zh-CN"/>
        </w:rPr>
        <w:t>委托人应在合同签订后14天内，将委托人代</w:t>
      </w:r>
      <w:bookmarkStart w:id="455" w:name="_Toc300835056"/>
      <w:bookmarkStart w:id="456" w:name="_Toc184635100"/>
      <w:bookmarkStart w:id="457" w:name="_Toc247527659"/>
      <w:bookmarkStart w:id="458" w:name="_Toc247514058"/>
      <w:r>
        <w:rPr>
          <w:rFonts w:hint="eastAsia" w:ascii="Times New Roman" w:hAnsi="Times New Roman" w:eastAsia="宋体" w:cs="宋体"/>
          <w:color w:val="auto"/>
          <w:kern w:val="21"/>
          <w:highlight w:val="none"/>
          <w:lang w:eastAsia="zh-CN"/>
        </w:rPr>
        <w:t>表的姓名、职</w:t>
      </w:r>
      <w:bookmarkEnd w:id="455"/>
      <w:bookmarkEnd w:id="456"/>
      <w:bookmarkEnd w:id="457"/>
      <w:bookmarkEnd w:id="458"/>
      <w:r>
        <w:rPr>
          <w:rFonts w:hint="eastAsia" w:ascii="Times New Roman" w:hAnsi="Times New Roman" w:eastAsia="宋体" w:cs="宋体"/>
          <w:color w:val="auto"/>
          <w:kern w:val="21"/>
          <w:highlight w:val="none"/>
          <w:lang w:eastAsia="zh-CN"/>
        </w:rPr>
        <w:t>务、联</w:t>
      </w:r>
      <w:bookmarkStart w:id="459" w:name="_Toc351203511"/>
      <w:r>
        <w:rPr>
          <w:rFonts w:hint="eastAsia" w:ascii="Times New Roman" w:hAnsi="Times New Roman" w:eastAsia="宋体" w:cs="宋体"/>
          <w:color w:val="auto"/>
          <w:kern w:val="21"/>
          <w:highlight w:val="none"/>
          <w:lang w:eastAsia="zh-CN"/>
        </w:rPr>
        <w:t>系方式、授权范围和</w:t>
      </w:r>
      <w:bookmarkEnd w:id="459"/>
      <w:r>
        <w:rPr>
          <w:rFonts w:hint="eastAsia" w:ascii="Times New Roman" w:hAnsi="Times New Roman" w:eastAsia="宋体" w:cs="宋体"/>
          <w:color w:val="auto"/>
          <w:kern w:val="21"/>
          <w:highlight w:val="none"/>
          <w:lang w:eastAsia="zh-CN"/>
        </w:rPr>
        <w:t>授权期限书面通知监理人，由委托人代表在其授权范围和授权期限内，代表委托人行使权利、履行义务和处理合同履行中的具体事宜。委托人代表在授权范围内的行为由委托人承担法律责任。</w:t>
      </w:r>
    </w:p>
    <w:p w14:paraId="3EE24A1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3.1.2委托人代表违反法律法规、违背职业道德守则或者不按合同约定履行职责及义务，导致合同无法继续正常履行的，监理人有权通知委托人更换委托人代表。委托人收到通知后7天内，应当核实完毕并将处理结果通知监理人。</w:t>
      </w:r>
    </w:p>
    <w:p w14:paraId="3640BE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3.1.3 委托人更换委托人代表的，应提前14天将更换人员的姓名、职务、联系方式、授权范围和授权期限书面通知监理人。委托人代表超过2天不能履行职责的，应委派代表代行其职责，并通知监理人。</w:t>
      </w:r>
    </w:p>
    <w:p w14:paraId="40C8E89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60" w:name="_Toc492300661"/>
      <w:bookmarkStart w:id="461" w:name="_Toc482188569"/>
      <w:r>
        <w:rPr>
          <w:rFonts w:hint="eastAsia" w:ascii="Times New Roman" w:hAnsi="Times New Roman" w:eastAsia="宋体" w:cs="宋体"/>
          <w:b/>
          <w:bCs/>
          <w:color w:val="auto"/>
          <w:kern w:val="21"/>
          <w:sz w:val="24"/>
          <w:szCs w:val="24"/>
          <w:highlight w:val="none"/>
          <w:lang w:eastAsia="zh-CN"/>
        </w:rPr>
        <w:t>3.2 委托人的指示</w:t>
      </w:r>
      <w:bookmarkEnd w:id="460"/>
      <w:bookmarkEnd w:id="461"/>
    </w:p>
    <w:p w14:paraId="323E9FB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3.2.1 委托人应按合同约定向监理人发出指示，委托人的指示应盖有委托人单位章</w:t>
      </w:r>
      <w:bookmarkStart w:id="462" w:name="_Toc300835060"/>
      <w:bookmarkStart w:id="463" w:name="_Toc247527663"/>
      <w:bookmarkStart w:id="464" w:name="_Toc247514062"/>
      <w:r>
        <w:rPr>
          <w:rFonts w:hint="eastAsia" w:ascii="Times New Roman" w:hAnsi="Times New Roman" w:eastAsia="宋体" w:cs="宋体"/>
          <w:color w:val="auto"/>
          <w:kern w:val="21"/>
          <w:highlight w:val="none"/>
          <w:lang w:eastAsia="zh-CN"/>
        </w:rPr>
        <w:t>，并由</w:t>
      </w:r>
      <w:bookmarkEnd w:id="462"/>
      <w:bookmarkEnd w:id="463"/>
      <w:bookmarkEnd w:id="464"/>
      <w:r>
        <w:rPr>
          <w:rFonts w:hint="eastAsia" w:ascii="Times New Roman" w:hAnsi="Times New Roman" w:eastAsia="宋体" w:cs="宋体"/>
          <w:color w:val="auto"/>
          <w:kern w:val="21"/>
          <w:highlight w:val="none"/>
          <w:lang w:eastAsia="zh-CN"/>
        </w:rPr>
        <w:t>委托人代表签字确认。</w:t>
      </w:r>
    </w:p>
    <w:p w14:paraId="2E19E40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3.2.2 监理人收到委托人作出的指示后应遵照执行。指示构成变更的，应按第8条执行。</w:t>
      </w:r>
    </w:p>
    <w:p w14:paraId="1962B8E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3.2.3 在紧急情况下，委托人代表或其授权人员可以当场签发临时书面指示，监理人应遵照执行。委托人代表应在临时书面指示发出后24小时内发出书面确认函，逾期未发出书面确认函的，该临时书面指示应被视为委托人的正式指示。</w:t>
      </w:r>
    </w:p>
    <w:p w14:paraId="7F8D355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3.2.4 由于委托人未能按合同约定发出指示、指示延误或指示错误而导致监理人费用增加和（或）周期延误的，委托人应承担由此增加的费用和（或）周期延误。</w:t>
      </w:r>
    </w:p>
    <w:p w14:paraId="4730C18E">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65" w:name="_Toc482188570"/>
      <w:bookmarkStart w:id="466" w:name="_Toc492300662"/>
      <w:r>
        <w:rPr>
          <w:rFonts w:hint="eastAsia" w:ascii="Times New Roman" w:hAnsi="Times New Roman" w:eastAsia="宋体" w:cs="宋体"/>
          <w:b/>
          <w:bCs/>
          <w:color w:val="auto"/>
          <w:kern w:val="21"/>
          <w:sz w:val="24"/>
          <w:szCs w:val="24"/>
          <w:highlight w:val="none"/>
          <w:lang w:eastAsia="zh-CN"/>
        </w:rPr>
        <w:t>3.3 决定或答复</w:t>
      </w:r>
      <w:bookmarkEnd w:id="465"/>
      <w:bookmarkEnd w:id="466"/>
    </w:p>
    <w:p w14:paraId="4EDC080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3.3.1 委托人在法律允许的范围内有权对监理人的监理工作和（或）监理文件作出处理决定</w:t>
      </w:r>
      <w:bookmarkStart w:id="467" w:name="_Toc247514064"/>
      <w:bookmarkStart w:id="468" w:name="_Toc385592088"/>
      <w:bookmarkStart w:id="469" w:name="_Toc247527665"/>
      <w:bookmarkStart w:id="470" w:name="_Toc184635101"/>
      <w:bookmarkStart w:id="471" w:name="_Toc370281730"/>
      <w:bookmarkStart w:id="472" w:name="_Toc300835062"/>
      <w:bookmarkStart w:id="473" w:name="_Toc385942926"/>
      <w:r>
        <w:rPr>
          <w:rFonts w:hint="eastAsia" w:ascii="Times New Roman" w:hAnsi="Times New Roman" w:eastAsia="宋体" w:cs="宋体"/>
          <w:color w:val="auto"/>
          <w:kern w:val="21"/>
          <w:highlight w:val="none"/>
          <w:lang w:eastAsia="zh-CN"/>
        </w:rPr>
        <w:t>，监理人应按照委托人的决定执行，涉及监理服务期限或监理报酬等问题按第8条的约定处理。</w:t>
      </w:r>
    </w:p>
    <w:p w14:paraId="1E5573A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3.3.2 委托人应在专用合同条款约定的时间之内，对监理人书面提出的事项作出书面答复；逾期没有作出答复的，视为已获得委托人的批准。</w:t>
      </w:r>
    </w:p>
    <w:p w14:paraId="61213E2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474" w:name="_Toc482188571"/>
      <w:bookmarkStart w:id="475" w:name="_Toc492300663"/>
      <w:bookmarkStart w:id="476" w:name="_Toc503518003"/>
      <w:r>
        <w:rPr>
          <w:rFonts w:hint="eastAsia" w:ascii="Times New Roman" w:hAnsi="Times New Roman" w:eastAsia="宋体" w:cs="宋体"/>
          <w:b/>
          <w:bCs/>
          <w:color w:val="auto"/>
          <w:kern w:val="21"/>
          <w:sz w:val="28"/>
          <w:szCs w:val="28"/>
          <w:highlight w:val="none"/>
          <w:lang w:eastAsia="zh-CN"/>
        </w:rPr>
        <w:t>4. 监理人义务</w:t>
      </w:r>
      <w:bookmarkEnd w:id="474"/>
      <w:bookmarkEnd w:id="475"/>
      <w:bookmarkEnd w:id="476"/>
    </w:p>
    <w:p w14:paraId="72168E3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77" w:name="_Toc482188572"/>
      <w:bookmarkStart w:id="478" w:name="_Toc492300664"/>
      <w:r>
        <w:rPr>
          <w:rFonts w:hint="eastAsia" w:ascii="Times New Roman" w:hAnsi="Times New Roman" w:eastAsia="宋体" w:cs="宋体"/>
          <w:b/>
          <w:bCs/>
          <w:color w:val="auto"/>
          <w:kern w:val="21"/>
          <w:sz w:val="24"/>
          <w:szCs w:val="24"/>
          <w:highlight w:val="none"/>
          <w:lang w:eastAsia="zh-CN"/>
        </w:rPr>
        <w:t>4.1 监理人的一般义务</w:t>
      </w:r>
      <w:bookmarkEnd w:id="477"/>
      <w:bookmarkEnd w:id="478"/>
    </w:p>
    <w:p w14:paraId="45C814D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4.1.1 遵守法律</w:t>
      </w:r>
    </w:p>
    <w:p w14:paraId="1D3D61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监理人在履行合同过程中应遵守法律，并保证委托人免于承担因</w:t>
      </w:r>
      <w:bookmarkEnd w:id="467"/>
      <w:bookmarkEnd w:id="468"/>
      <w:bookmarkEnd w:id="469"/>
      <w:bookmarkEnd w:id="470"/>
      <w:bookmarkEnd w:id="471"/>
      <w:bookmarkEnd w:id="472"/>
      <w:bookmarkEnd w:id="473"/>
      <w:r>
        <w:rPr>
          <w:rFonts w:hint="eastAsia" w:ascii="Times New Roman" w:hAnsi="Times New Roman" w:eastAsia="宋体" w:cs="宋体"/>
          <w:color w:val="auto"/>
          <w:kern w:val="21"/>
          <w:highlight w:val="none"/>
          <w:lang w:eastAsia="zh-CN"/>
        </w:rPr>
        <w:t>监理人</w:t>
      </w:r>
      <w:bookmarkStart w:id="479" w:name="_Toc370281731"/>
      <w:bookmarkStart w:id="480" w:name="_Toc300835063"/>
      <w:bookmarkStart w:id="481" w:name="_Toc385942927"/>
      <w:bookmarkStart w:id="482" w:name="_Toc247514065"/>
      <w:bookmarkStart w:id="483" w:name="_Toc247527666"/>
      <w:r>
        <w:rPr>
          <w:rFonts w:hint="eastAsia" w:ascii="Times New Roman" w:hAnsi="Times New Roman" w:eastAsia="宋体" w:cs="宋体"/>
          <w:color w:val="auto"/>
          <w:kern w:val="21"/>
          <w:highlight w:val="none"/>
          <w:lang w:eastAsia="zh-CN"/>
        </w:rPr>
        <w:t>违反法律而引起的任何责任。</w:t>
      </w:r>
    </w:p>
    <w:bookmarkEnd w:id="479"/>
    <w:bookmarkEnd w:id="480"/>
    <w:bookmarkEnd w:id="481"/>
    <w:bookmarkEnd w:id="482"/>
    <w:bookmarkEnd w:id="483"/>
    <w:p w14:paraId="6C2F687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4.1.2 依法纳税</w:t>
      </w:r>
    </w:p>
    <w:p w14:paraId="24F341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监理人应按有关法律规定纳税，应缴纳的税金（含增值税）包括在合同价格之中。</w:t>
      </w:r>
    </w:p>
    <w:p w14:paraId="7B7560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4.1.3 完成全部监理工作</w:t>
      </w:r>
    </w:p>
    <w:p w14:paraId="6DC9E6F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监理人应按合同约定以及委托人要求，完成合同约定的全部工作，并对工作中的任何缺陷进行整改，使其满足合同约定的目的。</w:t>
      </w:r>
    </w:p>
    <w:p w14:paraId="14B4B3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4.1.4 其他义务</w:t>
      </w:r>
    </w:p>
    <w:p w14:paraId="6A124F3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监理人应履行合同约定的其他义务。</w:t>
      </w:r>
    </w:p>
    <w:p w14:paraId="2C26C68A">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84" w:name="_Toc382920065"/>
      <w:bookmarkStart w:id="485" w:name="_Toc492300665"/>
      <w:bookmarkStart w:id="486" w:name="_Toc13239"/>
      <w:bookmarkStart w:id="487" w:name="_Toc485303383"/>
      <w:bookmarkStart w:id="488" w:name="_Toc482188573"/>
      <w:bookmarkStart w:id="489" w:name="_Toc300835075"/>
      <w:bookmarkStart w:id="490" w:name="_Toc247527677"/>
      <w:bookmarkStart w:id="491" w:name="_Toc247514076"/>
      <w:bookmarkStart w:id="492" w:name="_Toc300835076"/>
      <w:r>
        <w:rPr>
          <w:rFonts w:hint="eastAsia" w:ascii="Times New Roman" w:hAnsi="Times New Roman" w:eastAsia="宋体" w:cs="宋体"/>
          <w:b/>
          <w:bCs/>
          <w:color w:val="auto"/>
          <w:kern w:val="21"/>
          <w:sz w:val="24"/>
          <w:szCs w:val="24"/>
          <w:highlight w:val="none"/>
          <w:lang w:eastAsia="zh-CN"/>
        </w:rPr>
        <w:t>4.2 履约保证金</w:t>
      </w:r>
      <w:bookmarkEnd w:id="484"/>
      <w:bookmarkEnd w:id="485"/>
      <w:bookmarkEnd w:id="486"/>
      <w:bookmarkEnd w:id="487"/>
    </w:p>
    <w:p w14:paraId="7559731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履约保证金自合同生效之日起生效，在委托人签发竣工验收证书之日起28天后失效。如果监理人不履行合同约定的义务或其履行不符合合同的约定，委托人有权扣划相应金额的履约保证金。</w:t>
      </w:r>
    </w:p>
    <w:bookmarkEnd w:id="488"/>
    <w:p w14:paraId="4095ED4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93" w:name="_Toc482188574"/>
      <w:bookmarkStart w:id="494" w:name="_Toc492300666"/>
      <w:r>
        <w:rPr>
          <w:rFonts w:hint="eastAsia" w:ascii="Times New Roman" w:hAnsi="Times New Roman" w:eastAsia="宋体" w:cs="宋体"/>
          <w:b/>
          <w:bCs/>
          <w:color w:val="auto"/>
          <w:kern w:val="21"/>
          <w:sz w:val="24"/>
          <w:szCs w:val="24"/>
          <w:highlight w:val="none"/>
          <w:lang w:eastAsia="zh-CN"/>
        </w:rPr>
        <w:t>4.3 联合体</w:t>
      </w:r>
      <w:bookmarkEnd w:id="493"/>
      <w:bookmarkEnd w:id="494"/>
    </w:p>
    <w:p w14:paraId="34B6C7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4.3.1 联合体各方应共同与委托人签订合同。联合体各方应为履行合同承担连带责任。</w:t>
      </w:r>
    </w:p>
    <w:p w14:paraId="46C9B34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4.3.2 联合体协议经委托人确认后作为合同附件。在履行合同过程中，未经委托人同意，不得修改联合体协议。</w:t>
      </w:r>
    </w:p>
    <w:p w14:paraId="791D6B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4.3.3 联合体牵头人负责与委托人联系，并接受指示，负责组织联合体各成员全面履行合同。</w:t>
      </w:r>
    </w:p>
    <w:p w14:paraId="75A402E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495" w:name="_Toc482188575"/>
      <w:bookmarkStart w:id="496" w:name="_Toc492300667"/>
      <w:r>
        <w:rPr>
          <w:rFonts w:hint="eastAsia" w:ascii="Times New Roman" w:hAnsi="Times New Roman" w:eastAsia="宋体" w:cs="宋体"/>
          <w:b/>
          <w:bCs/>
          <w:color w:val="auto"/>
          <w:kern w:val="21"/>
          <w:sz w:val="24"/>
          <w:szCs w:val="24"/>
          <w:highlight w:val="none"/>
          <w:lang w:eastAsia="zh-CN"/>
        </w:rPr>
        <w:t xml:space="preserve">4.4 </w:t>
      </w:r>
      <w:bookmarkEnd w:id="495"/>
      <w:r>
        <w:rPr>
          <w:rFonts w:hint="eastAsia" w:ascii="Times New Roman" w:hAnsi="Times New Roman" w:eastAsia="宋体" w:cs="宋体"/>
          <w:b/>
          <w:bCs/>
          <w:color w:val="auto"/>
          <w:kern w:val="21"/>
          <w:sz w:val="24"/>
          <w:szCs w:val="24"/>
          <w:highlight w:val="none"/>
          <w:lang w:eastAsia="zh-CN"/>
        </w:rPr>
        <w:t>总监理工程师</w:t>
      </w:r>
      <w:bookmarkEnd w:id="496"/>
    </w:p>
    <w:p w14:paraId="249C169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4.4.1 监理人应按合同协议书的约定指派总监理工程师，并在约定的期限内到职。监理人更换</w:t>
      </w:r>
      <w:bookmarkStart w:id="497" w:name="_Toc247527670"/>
      <w:bookmarkStart w:id="498" w:name="_Toc300835067"/>
      <w:bookmarkStart w:id="499" w:name="_Toc247514069"/>
      <w:r>
        <w:rPr>
          <w:rFonts w:hint="eastAsia" w:ascii="Times New Roman" w:hAnsi="Times New Roman" w:eastAsia="宋体" w:cs="宋体"/>
          <w:color w:val="auto"/>
          <w:kern w:val="21"/>
          <w:highlight w:val="none"/>
          <w:lang w:eastAsia="zh-CN"/>
        </w:rPr>
        <w:t>总监理工程师应事先征得</w:t>
      </w:r>
      <w:bookmarkEnd w:id="497"/>
      <w:bookmarkEnd w:id="498"/>
      <w:bookmarkEnd w:id="499"/>
      <w:r>
        <w:rPr>
          <w:rFonts w:hint="eastAsia" w:ascii="Times New Roman" w:hAnsi="Times New Roman" w:eastAsia="宋体" w:cs="宋体"/>
          <w:color w:val="auto"/>
          <w:kern w:val="21"/>
          <w:highlight w:val="none"/>
          <w:lang w:eastAsia="zh-CN"/>
        </w:rPr>
        <w:t>委托人同意，并应在更换14天前将拟更换的总监理工程师的姓名和详细资料提交委托人。总监理工程师2天内不能履行职责的，应事先征得委托人同意，并委派代表代行其职责。</w:t>
      </w:r>
    </w:p>
    <w:p w14:paraId="2E3FDD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4.4.2总监理工程师应按合同约定以及委托人要求，负责组织合同工作的实施。在情况紧急且无法与委托人取得联系时，可采取保证工程和人员生命财产安全的紧急措施，并在采取措施后24小时内向委托人提交书面报告。</w:t>
      </w:r>
    </w:p>
    <w:p w14:paraId="38F7FC8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4.4.3 监理人为履行合同发出的一切函件均应盖有监理人单位章或由监理人授权的项目机构章，并由监理人的总监理工程师签字确认。</w:t>
      </w:r>
    </w:p>
    <w:p w14:paraId="657F044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4.4.4 按照专用合同条款约定，总监理工程师可以授权其下属人员履行其某项职责，但事先应将这些人员的姓名和授权范围书面通知委托人和承包人。</w:t>
      </w:r>
    </w:p>
    <w:p w14:paraId="140FA473">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00" w:name="_Toc492300668"/>
      <w:bookmarkStart w:id="501" w:name="_Toc482188576"/>
      <w:r>
        <w:rPr>
          <w:rFonts w:hint="eastAsia" w:ascii="Times New Roman" w:hAnsi="Times New Roman" w:eastAsia="宋体" w:cs="宋体"/>
          <w:b/>
          <w:bCs/>
          <w:color w:val="auto"/>
          <w:kern w:val="21"/>
          <w:sz w:val="24"/>
          <w:szCs w:val="24"/>
          <w:highlight w:val="none"/>
          <w:lang w:eastAsia="zh-CN"/>
        </w:rPr>
        <w:t>4.5 监理人员的管理</w:t>
      </w:r>
      <w:bookmarkEnd w:id="500"/>
      <w:bookmarkEnd w:id="501"/>
    </w:p>
    <w:p w14:paraId="62CE5C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4.5.1 监理人应在接到开始监理通知之日起7天内，向委托人提交监理项目机构以及</w:t>
      </w:r>
      <w:bookmarkStart w:id="502" w:name="_Toc300835068"/>
      <w:bookmarkStart w:id="503" w:name="_Toc247527671"/>
      <w:bookmarkStart w:id="504" w:name="_Toc247514070"/>
      <w:r>
        <w:rPr>
          <w:rFonts w:hint="eastAsia" w:ascii="Times New Roman" w:hAnsi="Times New Roman" w:eastAsia="宋体" w:cs="宋体"/>
          <w:color w:val="auto"/>
          <w:kern w:val="21"/>
          <w:highlight w:val="none"/>
          <w:lang w:eastAsia="zh-CN"/>
        </w:rPr>
        <w:t>人员安排的报告，其内容应</w:t>
      </w:r>
      <w:bookmarkEnd w:id="502"/>
      <w:bookmarkEnd w:id="503"/>
      <w:bookmarkEnd w:id="504"/>
      <w:r>
        <w:rPr>
          <w:rFonts w:hint="eastAsia" w:ascii="Times New Roman" w:hAnsi="Times New Roman" w:eastAsia="宋体" w:cs="宋体"/>
          <w:color w:val="auto"/>
          <w:kern w:val="21"/>
          <w:highlight w:val="none"/>
          <w:lang w:eastAsia="zh-CN"/>
        </w:rPr>
        <w:t>包括项目机构设置、主要监理人员和其他人员的名单及资格条件。主要监理人员应相对稳定，更换主要监理人员的，应取得委托人的同意，并向委托人提交继任人员的资格、管理经验等资料。总监理工程师的更换，应按照本章第4.4.1项规定执行。</w:t>
      </w:r>
    </w:p>
    <w:p w14:paraId="7887C9C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4.5.2除专用合同条款另有约定外，主要监理人员包括总监理工程师、专业监理工程师等；其他人员包括各专业的监理员、资料员等。</w:t>
      </w:r>
    </w:p>
    <w:p w14:paraId="4D17AD8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4.5.3监理人应保证其主要监理人员在合同期限内的任何时候，都能按时参加委托人组织的工作会议。</w:t>
      </w:r>
    </w:p>
    <w:p w14:paraId="70B9B12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4.5.4 国家规定应当持证上岗的工作人员均应持有相应的资格证明，委托人有权随时检查。委托人认为有必要时，可以进行现场考核。</w:t>
      </w:r>
    </w:p>
    <w:p w14:paraId="7F16B34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05" w:name="_Toc482188577"/>
      <w:bookmarkStart w:id="506" w:name="_Toc492300669"/>
      <w:r>
        <w:rPr>
          <w:rFonts w:hint="eastAsia" w:ascii="Times New Roman" w:hAnsi="Times New Roman" w:eastAsia="宋体" w:cs="宋体"/>
          <w:b/>
          <w:bCs/>
          <w:color w:val="auto"/>
          <w:kern w:val="21"/>
          <w:sz w:val="24"/>
          <w:szCs w:val="24"/>
          <w:highlight w:val="none"/>
          <w:lang w:eastAsia="zh-CN"/>
        </w:rPr>
        <w:t>4.6 撤换总监理工程师和其他人员</w:t>
      </w:r>
      <w:bookmarkEnd w:id="505"/>
      <w:bookmarkEnd w:id="506"/>
    </w:p>
    <w:p w14:paraId="183D224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监理人应对其总监理工程师和其他人员进行有效管理。委托人要求撤换不能胜任本职工作、行</w:t>
      </w:r>
      <w:bookmarkStart w:id="507" w:name="_Toc247514071"/>
      <w:bookmarkStart w:id="508" w:name="_Toc300835069"/>
      <w:bookmarkStart w:id="509" w:name="_Toc247527672"/>
      <w:r>
        <w:rPr>
          <w:rFonts w:hint="eastAsia" w:ascii="Times New Roman" w:hAnsi="Times New Roman" w:eastAsia="宋体" w:cs="宋体"/>
          <w:color w:val="auto"/>
          <w:kern w:val="21"/>
          <w:highlight w:val="none"/>
          <w:lang w:eastAsia="zh-CN"/>
        </w:rPr>
        <w:t>为不端或玩忽职守的总监理工程师和其</w:t>
      </w:r>
      <w:bookmarkEnd w:id="507"/>
      <w:bookmarkEnd w:id="508"/>
      <w:bookmarkEnd w:id="509"/>
      <w:r>
        <w:rPr>
          <w:rFonts w:hint="eastAsia" w:ascii="Times New Roman" w:hAnsi="Times New Roman" w:eastAsia="宋体" w:cs="宋体"/>
          <w:color w:val="auto"/>
          <w:kern w:val="21"/>
          <w:highlight w:val="none"/>
          <w:lang w:eastAsia="zh-CN"/>
        </w:rPr>
        <w:t>他人员的，监理人应予以撤换。</w:t>
      </w:r>
    </w:p>
    <w:p w14:paraId="5B06FFC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10" w:name="_Toc482188578"/>
      <w:bookmarkStart w:id="511" w:name="_Toc492300670"/>
      <w:r>
        <w:rPr>
          <w:rFonts w:hint="eastAsia" w:ascii="Times New Roman" w:hAnsi="Times New Roman" w:eastAsia="宋体" w:cs="宋体"/>
          <w:b/>
          <w:bCs/>
          <w:color w:val="auto"/>
          <w:kern w:val="21"/>
          <w:sz w:val="24"/>
          <w:szCs w:val="24"/>
          <w:highlight w:val="none"/>
          <w:lang w:eastAsia="zh-CN"/>
        </w:rPr>
        <w:t>4.7 保障人员的合法权益</w:t>
      </w:r>
      <w:bookmarkEnd w:id="510"/>
      <w:bookmarkEnd w:id="511"/>
    </w:p>
    <w:p w14:paraId="2D5CC42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4.7.1 监理人应与其雇用的人员签订劳动合同，并按时发放工资。</w:t>
      </w:r>
    </w:p>
    <w:p w14:paraId="4BE65E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4.7.2 监理人应</w:t>
      </w:r>
      <w:bookmarkStart w:id="512" w:name="_Toc300835070"/>
      <w:bookmarkStart w:id="513" w:name="_Toc247527673"/>
      <w:bookmarkStart w:id="514" w:name="_Toc247514072"/>
      <w:r>
        <w:rPr>
          <w:rFonts w:hint="eastAsia" w:ascii="Times New Roman" w:hAnsi="Times New Roman" w:eastAsia="宋体" w:cs="宋体"/>
          <w:color w:val="auto"/>
          <w:kern w:val="21"/>
          <w:highlight w:val="none"/>
          <w:lang w:eastAsia="zh-CN"/>
        </w:rPr>
        <w:t>按劳动法的规定安排工作时间</w:t>
      </w:r>
      <w:bookmarkEnd w:id="512"/>
      <w:bookmarkEnd w:id="513"/>
      <w:bookmarkEnd w:id="514"/>
      <w:r>
        <w:rPr>
          <w:rFonts w:hint="eastAsia" w:ascii="Times New Roman" w:hAnsi="Times New Roman" w:eastAsia="宋体" w:cs="宋体"/>
          <w:color w:val="auto"/>
          <w:kern w:val="21"/>
          <w:highlight w:val="none"/>
          <w:lang w:eastAsia="zh-CN"/>
        </w:rPr>
        <w:t>，保证其雇用人员享有休息和休假的权利。因监理需要占用休假日或延长工作时间的，应不超过法律规定的限度，并按法律规定给予补休或付酬。</w:t>
      </w:r>
    </w:p>
    <w:p w14:paraId="408D14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4.7.3 监理人应按有关法律规定和合同约定，为其雇用人员办理保险。</w:t>
      </w:r>
    </w:p>
    <w:p w14:paraId="15EB27D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15" w:name="_Toc492300671"/>
      <w:bookmarkStart w:id="516" w:name="_Toc482188579"/>
      <w:r>
        <w:rPr>
          <w:rFonts w:hint="eastAsia" w:ascii="Times New Roman" w:hAnsi="Times New Roman" w:eastAsia="宋体" w:cs="宋体"/>
          <w:b/>
          <w:bCs/>
          <w:color w:val="auto"/>
          <w:kern w:val="21"/>
          <w:sz w:val="24"/>
          <w:szCs w:val="24"/>
          <w:highlight w:val="none"/>
          <w:lang w:eastAsia="zh-CN"/>
        </w:rPr>
        <w:t>4.8 合同价款应专款专用</w:t>
      </w:r>
      <w:bookmarkEnd w:id="515"/>
      <w:bookmarkEnd w:id="516"/>
    </w:p>
    <w:p w14:paraId="57068D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委托人按合同约定支付给监理人的各项价款，应专用于合同监理工作。</w:t>
      </w:r>
    </w:p>
    <w:bookmarkEnd w:id="489"/>
    <w:bookmarkEnd w:id="490"/>
    <w:bookmarkEnd w:id="491"/>
    <w:p w14:paraId="4A457B2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17" w:name="_Toc482188580"/>
      <w:bookmarkStart w:id="518" w:name="_Toc492300672"/>
      <w:bookmarkStart w:id="519" w:name="_Toc503518004"/>
      <w:r>
        <w:rPr>
          <w:rFonts w:hint="eastAsia" w:ascii="Times New Roman" w:hAnsi="Times New Roman" w:eastAsia="宋体" w:cs="宋体"/>
          <w:b/>
          <w:bCs/>
          <w:color w:val="auto"/>
          <w:kern w:val="21"/>
          <w:sz w:val="28"/>
          <w:szCs w:val="28"/>
          <w:highlight w:val="none"/>
          <w:lang w:eastAsia="zh-CN"/>
        </w:rPr>
        <w:t>5. 监理要求</w:t>
      </w:r>
      <w:bookmarkEnd w:id="517"/>
      <w:bookmarkEnd w:id="518"/>
      <w:bookmarkEnd w:id="519"/>
    </w:p>
    <w:p w14:paraId="1B22714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0" w:name="_Toc492300673"/>
      <w:bookmarkStart w:id="521" w:name="_Toc482188581"/>
      <w:r>
        <w:rPr>
          <w:rFonts w:hint="eastAsia" w:ascii="Times New Roman" w:hAnsi="Times New Roman" w:eastAsia="宋体" w:cs="宋体"/>
          <w:b/>
          <w:bCs/>
          <w:color w:val="auto"/>
          <w:kern w:val="21"/>
          <w:sz w:val="24"/>
          <w:szCs w:val="24"/>
          <w:highlight w:val="none"/>
          <w:lang w:eastAsia="zh-CN"/>
        </w:rPr>
        <w:t>5.1 监理范围</w:t>
      </w:r>
      <w:bookmarkEnd w:id="520"/>
    </w:p>
    <w:p w14:paraId="734428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5.1.1 本合同的监理范围包括工程范围、阶段范围和工作范围，具体监理范围应当根据三者之间的关联内容进行确定。</w:t>
      </w:r>
    </w:p>
    <w:p w14:paraId="532A12B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5.1.2 工程范围指所监理工程的建设内容，具体范围在专用合同条款中约定。</w:t>
      </w:r>
    </w:p>
    <w:p w14:paraId="7C03C1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5.1.3 阶段范围指工程建设程序中的勘察阶段、设计阶段、施工阶段、缺陷责任期及保修阶段中的一个或者多个阶段，具体范围在专用合同条款中约定。</w:t>
      </w:r>
    </w:p>
    <w:p w14:paraId="559F9B4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5.1.4 工作范围指监理工作中的质量控制、进度控制、投资控制、合同管理、信息管理、组织协调和安全监理、环保监理中的一项或者多项工作，具体范围在专用合同条款中约定。</w:t>
      </w:r>
    </w:p>
    <w:bookmarkEnd w:id="521"/>
    <w:p w14:paraId="5023641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2" w:name="_Toc482188582"/>
      <w:bookmarkStart w:id="523" w:name="_Toc492300674"/>
      <w:r>
        <w:rPr>
          <w:rFonts w:hint="eastAsia" w:ascii="Times New Roman" w:hAnsi="Times New Roman" w:eastAsia="宋体" w:cs="宋体"/>
          <w:b/>
          <w:bCs/>
          <w:color w:val="auto"/>
          <w:kern w:val="21"/>
          <w:sz w:val="24"/>
          <w:szCs w:val="24"/>
          <w:highlight w:val="none"/>
          <w:lang w:eastAsia="zh-CN"/>
        </w:rPr>
        <w:t>5.2 监理依据</w:t>
      </w:r>
      <w:bookmarkEnd w:id="522"/>
      <w:bookmarkEnd w:id="523"/>
    </w:p>
    <w:p w14:paraId="2BC797B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除专用合同条款另有约定外，本工程的监理依据如下：</w:t>
      </w:r>
    </w:p>
    <w:p w14:paraId="371750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（1）适用的法律、行政法规及部门规章；</w:t>
      </w:r>
    </w:p>
    <w:p w14:paraId="125605C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（2）与工程有关的规范、标准、规程；</w:t>
      </w:r>
    </w:p>
    <w:p w14:paraId="35178B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（3）工程勘察文件、设计文件及其他文件；</w:t>
      </w:r>
    </w:p>
    <w:p w14:paraId="1263CE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（4）本工程监理的委托合同及补充合同；</w:t>
      </w:r>
    </w:p>
    <w:p w14:paraId="1197685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（5）委托人签订的勘察、设计和施工承包合同；</w:t>
      </w:r>
    </w:p>
    <w:p w14:paraId="229434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（6）合同履行中与监理服务有关的来往函件；</w:t>
      </w:r>
    </w:p>
    <w:p w14:paraId="23ECD8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（7）其他监理依据。</w:t>
      </w:r>
    </w:p>
    <w:p w14:paraId="7FCE0E95">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4" w:name="_Toc492300675"/>
      <w:bookmarkStart w:id="525" w:name="_Toc482188583"/>
      <w:r>
        <w:rPr>
          <w:rFonts w:hint="eastAsia" w:ascii="Times New Roman" w:hAnsi="Times New Roman" w:eastAsia="宋体" w:cs="宋体"/>
          <w:b/>
          <w:bCs/>
          <w:color w:val="auto"/>
          <w:kern w:val="21"/>
          <w:sz w:val="24"/>
          <w:szCs w:val="24"/>
          <w:highlight w:val="none"/>
          <w:lang w:eastAsia="zh-CN"/>
        </w:rPr>
        <w:t>5.3 监理内容</w:t>
      </w:r>
      <w:bookmarkEnd w:id="524"/>
      <w:bookmarkEnd w:id="525"/>
    </w:p>
    <w:p w14:paraId="494FF98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除专用合同条款另有约定外，监理工作内容包括：</w:t>
      </w:r>
    </w:p>
    <w:p w14:paraId="348BE9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（1）收到工程设计文件后编制监理规划，并在第一次工地会议7天前报委托人。根据有关规定和监理工作需要，编制监理实施细则；</w:t>
      </w:r>
    </w:p>
    <w:p w14:paraId="7CD8B48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（2）熟悉工程设计文件，并参加由委托人主持的图纸会审和设计交底会议；</w:t>
      </w:r>
    </w:p>
    <w:p w14:paraId="2C0F3A9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（3）参加由委托人主持的第一次工地会议；主持监理例会并根据工程需要主持或参加专题会议；</w:t>
      </w:r>
    </w:p>
    <w:p w14:paraId="489A25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（4）审查施工承包人提交的施工组织设计，重点审查其中的质量安全技术措施、专项施工方案与工程建设强制性标准的符合性；</w:t>
      </w:r>
    </w:p>
    <w:p w14:paraId="2E5184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（5）检查施工承包人工程质量、安全生产管理制度及组织机构和人员资格；</w:t>
      </w:r>
    </w:p>
    <w:p w14:paraId="71B75C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（6）检查施工承包人专职安全生产管理人员的配备情况；</w:t>
      </w:r>
    </w:p>
    <w:p w14:paraId="4B025E8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（7）审查施工承包人提交的施工进度计划，核查承包人对施工进度计划的调整；</w:t>
      </w:r>
    </w:p>
    <w:p w14:paraId="1EE9BF7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（8）检查施工承包人的试验室；</w:t>
      </w:r>
    </w:p>
    <w:p w14:paraId="1C4B11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（9）审核施工分包人资质条件；</w:t>
      </w:r>
    </w:p>
    <w:p w14:paraId="2BD9083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（10）查验施工承包人的施工测量放线成果；</w:t>
      </w:r>
    </w:p>
    <w:p w14:paraId="67796FA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（11）审查工程开工条件，对条件具备的签发开工令；</w:t>
      </w:r>
    </w:p>
    <w:p w14:paraId="316571F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（12）审查施工承包人报送的工程材料、构配件、设备质量证明文件的有效性和符合性，并按规定对用于工程的材料采取平行检验或见证取样方式进行抽检；</w:t>
      </w:r>
    </w:p>
    <w:p w14:paraId="4D76BE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（13）审核施工承包人提交的工程款支付申请，签发或出具工程款支付证书，并报委托人审核、批准；</w:t>
      </w:r>
    </w:p>
    <w:p w14:paraId="0458D92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（14）在巡视、旁站和检验过程中，发现工程质量、施工安全存在事故隐患的，要求施工承包人整改并报委托人；</w:t>
      </w:r>
    </w:p>
    <w:p w14:paraId="075B0A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（15）经委托人同意，签发工程暂停令和复工令；</w:t>
      </w:r>
    </w:p>
    <w:p w14:paraId="732980B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（16）审查施工承包人提交的采用新材料、新工艺、新技术、新设备的论证材料及相关验收标准；</w:t>
      </w:r>
    </w:p>
    <w:p w14:paraId="20FC41B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（17）验收隐蔽工程、分部分项工程；</w:t>
      </w:r>
    </w:p>
    <w:p w14:paraId="70604D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（18）审查施工承包人提交的工程变更申请，协调处理施工进度调整、费用索赔、合同争议等事项；</w:t>
      </w:r>
    </w:p>
    <w:p w14:paraId="19B0DB3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（19）审查施工承包人提交的竣工验收申请，编写工程质量评估报告；</w:t>
      </w:r>
    </w:p>
    <w:p w14:paraId="1A6A42E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（20）参加工程竣工验收，签署竣工验收意见；</w:t>
      </w:r>
    </w:p>
    <w:p w14:paraId="02FEC58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（21）审查施工承包人提交的竣工结算申请并报委托人；</w:t>
      </w:r>
    </w:p>
    <w:p w14:paraId="055DC8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（22）编制、整理工程监理归档文件并报委托人。</w:t>
      </w:r>
    </w:p>
    <w:p w14:paraId="5032DD13">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26" w:name="_Toc492300676"/>
      <w:r>
        <w:rPr>
          <w:rFonts w:hint="eastAsia" w:ascii="Times New Roman" w:hAnsi="Times New Roman" w:eastAsia="宋体" w:cs="宋体"/>
          <w:b/>
          <w:bCs/>
          <w:color w:val="auto"/>
          <w:kern w:val="21"/>
          <w:sz w:val="24"/>
          <w:szCs w:val="24"/>
          <w:highlight w:val="none"/>
          <w:lang w:eastAsia="zh-CN"/>
        </w:rPr>
        <w:t>5.4 监理文件要求</w:t>
      </w:r>
      <w:bookmarkEnd w:id="526"/>
    </w:p>
    <w:p w14:paraId="436D49D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5.4.1 监理文件的编制应符合法律、规范标准的强制性规定和委托人要求，相关的监理依据应当完整准确，文件内容和相应数据应当真实可靠。</w:t>
      </w:r>
    </w:p>
    <w:p w14:paraId="68FC66C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5.4.2 监理文件的深度应满足本阶段相应监理工作的规定要求，满足委托人的下步工作需要，并应符合国家和行业现行规定。</w:t>
      </w:r>
    </w:p>
    <w:p w14:paraId="4F5947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5.4.3本工程监理文件的具体类别、编制要求、编制内容和提交时间等，在专用合同条款中约定。</w:t>
      </w:r>
    </w:p>
    <w:bookmarkEnd w:id="492"/>
    <w:p w14:paraId="20096AE7">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27" w:name="_Toc482188591"/>
      <w:bookmarkStart w:id="528" w:name="_Toc503518005"/>
      <w:bookmarkStart w:id="529" w:name="_Toc492300677"/>
      <w:r>
        <w:rPr>
          <w:rFonts w:hint="eastAsia" w:ascii="Times New Roman" w:hAnsi="Times New Roman" w:eastAsia="宋体" w:cs="宋体"/>
          <w:b/>
          <w:bCs/>
          <w:color w:val="auto"/>
          <w:kern w:val="21"/>
          <w:sz w:val="28"/>
          <w:szCs w:val="28"/>
          <w:highlight w:val="none"/>
          <w:lang w:eastAsia="zh-CN"/>
        </w:rPr>
        <w:t>6. 开始监理和完成</w:t>
      </w:r>
      <w:bookmarkEnd w:id="527"/>
      <w:r>
        <w:rPr>
          <w:rFonts w:hint="eastAsia" w:ascii="Times New Roman" w:hAnsi="Times New Roman" w:eastAsia="宋体" w:cs="宋体"/>
          <w:b/>
          <w:bCs/>
          <w:color w:val="auto"/>
          <w:kern w:val="21"/>
          <w:sz w:val="28"/>
          <w:szCs w:val="28"/>
          <w:highlight w:val="none"/>
          <w:lang w:eastAsia="zh-CN"/>
        </w:rPr>
        <w:t>监理</w:t>
      </w:r>
      <w:bookmarkEnd w:id="528"/>
      <w:bookmarkEnd w:id="529"/>
    </w:p>
    <w:p w14:paraId="108E89C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30" w:name="_Toc482188592"/>
      <w:bookmarkStart w:id="531" w:name="_Toc492300678"/>
      <w:r>
        <w:rPr>
          <w:rFonts w:hint="eastAsia" w:ascii="Times New Roman" w:hAnsi="Times New Roman" w:eastAsia="宋体" w:cs="宋体"/>
          <w:b/>
          <w:bCs/>
          <w:color w:val="auto"/>
          <w:kern w:val="21"/>
          <w:sz w:val="24"/>
          <w:szCs w:val="24"/>
          <w:highlight w:val="none"/>
          <w:lang w:eastAsia="zh-CN"/>
        </w:rPr>
        <w:t>6.1 开始</w:t>
      </w:r>
      <w:bookmarkEnd w:id="530"/>
      <w:r>
        <w:rPr>
          <w:rFonts w:hint="eastAsia" w:ascii="Times New Roman" w:hAnsi="Times New Roman" w:eastAsia="宋体" w:cs="宋体"/>
          <w:b/>
          <w:bCs/>
          <w:color w:val="auto"/>
          <w:kern w:val="21"/>
          <w:sz w:val="24"/>
          <w:szCs w:val="24"/>
          <w:highlight w:val="none"/>
          <w:lang w:eastAsia="zh-CN"/>
        </w:rPr>
        <w:t>监理</w:t>
      </w:r>
      <w:bookmarkEnd w:id="531"/>
    </w:p>
    <w:p w14:paraId="6391154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6.1.1符合专用合同条款约定的开始监理条件的，委托人应提前7</w:t>
      </w:r>
      <w:bookmarkStart w:id="532" w:name="_Toc184635108"/>
      <w:bookmarkStart w:id="533" w:name="_Toc300835117"/>
      <w:bookmarkStart w:id="534" w:name="_Toc247527715"/>
      <w:bookmarkStart w:id="535" w:name="_Toc247514114"/>
      <w:r>
        <w:rPr>
          <w:rFonts w:hint="eastAsia" w:ascii="Times New Roman" w:hAnsi="Times New Roman" w:eastAsia="宋体" w:cs="宋体"/>
          <w:color w:val="auto"/>
          <w:kern w:val="21"/>
          <w:highlight w:val="none"/>
          <w:lang w:eastAsia="zh-CN"/>
        </w:rPr>
        <w:t>天向监理人发出开始</w:t>
      </w:r>
      <w:bookmarkEnd w:id="532"/>
      <w:bookmarkEnd w:id="533"/>
      <w:bookmarkEnd w:id="534"/>
      <w:bookmarkEnd w:id="535"/>
      <w:r>
        <w:rPr>
          <w:rFonts w:hint="eastAsia" w:ascii="Times New Roman" w:hAnsi="Times New Roman" w:eastAsia="宋体" w:cs="宋体"/>
          <w:color w:val="auto"/>
          <w:kern w:val="21"/>
          <w:highlight w:val="none"/>
          <w:lang w:eastAsia="zh-CN"/>
        </w:rPr>
        <w:t>监理通知。</w:t>
      </w:r>
      <w:bookmarkStart w:id="536" w:name="_Toc247514115"/>
      <w:bookmarkStart w:id="537" w:name="_Toc247527716"/>
      <w:bookmarkStart w:id="538" w:name="_Toc300835118"/>
      <w:bookmarkStart w:id="539" w:name="_Toc247514117"/>
      <w:bookmarkStart w:id="540" w:name="_Toc300835120"/>
      <w:bookmarkStart w:id="541" w:name="_Toc247527718"/>
      <w:r>
        <w:rPr>
          <w:rFonts w:hint="eastAsia" w:ascii="Times New Roman" w:hAnsi="Times New Roman" w:eastAsia="宋体" w:cs="宋体"/>
          <w:color w:val="auto"/>
          <w:kern w:val="21"/>
          <w:highlight w:val="none"/>
          <w:lang w:eastAsia="zh-CN"/>
        </w:rPr>
        <w:t>监理服务期限自开始</w:t>
      </w:r>
      <w:bookmarkEnd w:id="536"/>
      <w:bookmarkEnd w:id="537"/>
      <w:bookmarkEnd w:id="538"/>
      <w:r>
        <w:rPr>
          <w:rFonts w:hint="eastAsia" w:ascii="Times New Roman" w:hAnsi="Times New Roman" w:eastAsia="宋体" w:cs="宋体"/>
          <w:color w:val="auto"/>
          <w:kern w:val="21"/>
          <w:highlight w:val="none"/>
          <w:lang w:eastAsia="zh-CN"/>
        </w:rPr>
        <w:t>监理通知中载明的开始监理日期起计算。</w:t>
      </w:r>
    </w:p>
    <w:p w14:paraId="639EF8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6.1.2除专用合同条款另有约定外，因委托人原因造成合同签订之日起90天内未能发出开始监理通知的，监理人有权提出价格调整要求，或者解除合同。委托人应当承担由此增加的费用和（或）周期延误。</w:t>
      </w:r>
    </w:p>
    <w:p w14:paraId="44FBFA5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42" w:name="_Toc492300679"/>
      <w:bookmarkStart w:id="543" w:name="_Toc482188593"/>
      <w:r>
        <w:rPr>
          <w:rFonts w:hint="eastAsia" w:ascii="Times New Roman" w:hAnsi="Times New Roman" w:eastAsia="宋体" w:cs="宋体"/>
          <w:b/>
          <w:bCs/>
          <w:color w:val="auto"/>
          <w:kern w:val="21"/>
          <w:sz w:val="24"/>
          <w:szCs w:val="24"/>
          <w:highlight w:val="none"/>
          <w:lang w:eastAsia="zh-CN"/>
        </w:rPr>
        <w:t>6.2 监理周期延误</w:t>
      </w:r>
      <w:bookmarkEnd w:id="542"/>
      <w:bookmarkEnd w:id="543"/>
    </w:p>
    <w:p w14:paraId="6B9354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在履行合同过程中，由于下列原因造成监理服务期限延误且属于非监理人责任的，委托人应当延长监理服务期限并增加监理报酬，具体方法在专用合同条款中约定。</w:t>
      </w:r>
      <w:bookmarkEnd w:id="539"/>
      <w:bookmarkEnd w:id="540"/>
      <w:bookmarkEnd w:id="541"/>
    </w:p>
    <w:p w14:paraId="365AE3E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（1）合同变更；</w:t>
      </w:r>
    </w:p>
    <w:p w14:paraId="1DE6DF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 xml:space="preserve">（2）因委托人原因导致的监理工作暂停； </w:t>
      </w:r>
    </w:p>
    <w:p w14:paraId="7A7DC49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（3）未按合同约定及时支付监理报酬；</w:t>
      </w:r>
    </w:p>
    <w:p w14:paraId="572246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（4）未及时履行合同约定的相关义务；</w:t>
      </w:r>
    </w:p>
    <w:p w14:paraId="19ADD6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（5）由于承包人延误、行政管理造成的监理服务期延误；</w:t>
      </w:r>
    </w:p>
    <w:p w14:paraId="6E7F38F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（6）造成监理服务期限延误的其他原因。</w:t>
      </w:r>
    </w:p>
    <w:p w14:paraId="71A46D70">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44" w:name="_Toc492300680"/>
      <w:bookmarkStart w:id="545" w:name="_Toc482188601"/>
      <w:bookmarkStart w:id="546" w:name="_Toc467651004"/>
      <w:r>
        <w:rPr>
          <w:rFonts w:hint="eastAsia" w:ascii="Times New Roman" w:hAnsi="Times New Roman" w:eastAsia="宋体" w:cs="宋体"/>
          <w:b/>
          <w:bCs/>
          <w:color w:val="auto"/>
          <w:kern w:val="21"/>
          <w:sz w:val="24"/>
          <w:szCs w:val="24"/>
          <w:highlight w:val="none"/>
          <w:lang w:eastAsia="zh-CN"/>
        </w:rPr>
        <w:t>6.3 完成监理</w:t>
      </w:r>
      <w:bookmarkEnd w:id="544"/>
      <w:r>
        <w:rPr>
          <w:rFonts w:hint="eastAsia" w:ascii="Times New Roman" w:hAnsi="Times New Roman" w:eastAsia="宋体" w:cs="宋体"/>
          <w:b/>
          <w:bCs/>
          <w:color w:val="auto"/>
          <w:kern w:val="21"/>
          <w:sz w:val="24"/>
          <w:szCs w:val="24"/>
          <w:highlight w:val="none"/>
          <w:lang w:eastAsia="zh-CN"/>
        </w:rPr>
        <w:t xml:space="preserve"> </w:t>
      </w:r>
    </w:p>
    <w:p w14:paraId="70032B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6.3.1 监理人应当根据法律、规范标准、合同约定和委托人要求实施和完成监理，并编制和移交监理文件。</w:t>
      </w:r>
    </w:p>
    <w:p w14:paraId="2E99CC2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6.3.2 缺陷修复监理指缺陷责任期间，监理人对承包人修复质量缺陷进行的监理。缺陷修复监理的责任由监理人负责。</w:t>
      </w:r>
    </w:p>
    <w:p w14:paraId="3659B75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6.3.3 委托人应当及时接收监理人提交的监理文件。如无正当理由拒收的，视为委托人已经接收监理文件。接收监理文件时，委托人应向监理人出具文件签收凭证，凭证内容包括文件名称、文件内容、文件形式、份数、提交和接收日期、提交人与接收人的亲笔签名等。</w:t>
      </w:r>
    </w:p>
    <w:p w14:paraId="3750F5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6.3.4 除专用合同条款另有约定外，监理文件包括纸质文件和电子文件两种形式，两者若有不一致时，应以纸质文件为准。纸质文件应当加盖单位章和总监理工程师的注册执业印章，具体份数、纸幅、装订格式等要求，应在专用合同条款中约定；电子文件应使用光盘或U盘分别贮存。</w:t>
      </w:r>
    </w:p>
    <w:bookmarkEnd w:id="545"/>
    <w:bookmarkEnd w:id="546"/>
    <w:p w14:paraId="5293EC4D">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47" w:name="_Toc492300681"/>
      <w:bookmarkStart w:id="548" w:name="_Toc503518006"/>
      <w:bookmarkStart w:id="549" w:name="_Toc482188607"/>
      <w:bookmarkStart w:id="550" w:name="_Toc247527728"/>
      <w:bookmarkStart w:id="551" w:name="_Toc247514127"/>
      <w:bookmarkStart w:id="552" w:name="_Toc184635110"/>
      <w:r>
        <w:rPr>
          <w:rFonts w:hint="eastAsia" w:ascii="Times New Roman" w:hAnsi="Times New Roman" w:eastAsia="宋体" w:cs="宋体"/>
          <w:b/>
          <w:bCs/>
          <w:color w:val="auto"/>
          <w:kern w:val="21"/>
          <w:sz w:val="28"/>
          <w:szCs w:val="28"/>
          <w:highlight w:val="none"/>
          <w:lang w:eastAsia="zh-CN"/>
        </w:rPr>
        <w:t>7. 监理责任与保险</w:t>
      </w:r>
      <w:bookmarkEnd w:id="547"/>
      <w:bookmarkEnd w:id="548"/>
      <w:bookmarkEnd w:id="549"/>
    </w:p>
    <w:bookmarkEnd w:id="550"/>
    <w:bookmarkEnd w:id="551"/>
    <w:bookmarkEnd w:id="552"/>
    <w:p w14:paraId="28D73C78">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53" w:name="_Toc482188610"/>
      <w:bookmarkStart w:id="554" w:name="_Toc492300682"/>
      <w:r>
        <w:rPr>
          <w:rFonts w:hint="eastAsia" w:ascii="Times New Roman" w:hAnsi="Times New Roman" w:eastAsia="宋体" w:cs="宋体"/>
          <w:b/>
          <w:bCs/>
          <w:color w:val="auto"/>
          <w:kern w:val="21"/>
          <w:sz w:val="24"/>
          <w:szCs w:val="24"/>
          <w:highlight w:val="none"/>
          <w:lang w:eastAsia="zh-CN"/>
        </w:rPr>
        <w:t>7.1 监理责任主体</w:t>
      </w:r>
      <w:bookmarkEnd w:id="553"/>
      <w:bookmarkEnd w:id="554"/>
    </w:p>
    <w:p w14:paraId="6420E25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7.1.1 监理人应运用一切合理的专业技术、知识技能和项目经验，按照职业道德准则和行业公认标准尽其全部职责，勤勉、谨慎、公正地履行其在本合同项下的责任和义务。</w:t>
      </w:r>
    </w:p>
    <w:p w14:paraId="5CBE337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7.1.2 监理责任为监理单位项目负责人终身责任制。总监理工程师应当按照法律法规、有关技术标准、设计文件和工程承包合同进行监理，对施工质量承担监理责任。</w:t>
      </w:r>
    </w:p>
    <w:p w14:paraId="67492BB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7.1.3 总监理工程师应当按照有关规定在办理工程质量监督手续前签署工程质量终身责任承诺书，连同法定代表人出具的授权书，报工程质量监督机构备案。</w:t>
      </w:r>
    </w:p>
    <w:p w14:paraId="02D44CB6">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55" w:name="_Toc482188611"/>
      <w:bookmarkStart w:id="556" w:name="_Toc492300683"/>
      <w:r>
        <w:rPr>
          <w:rFonts w:hint="eastAsia" w:ascii="Times New Roman" w:hAnsi="Times New Roman" w:eastAsia="宋体" w:cs="宋体"/>
          <w:b/>
          <w:bCs/>
          <w:color w:val="auto"/>
          <w:kern w:val="21"/>
          <w:sz w:val="24"/>
          <w:szCs w:val="24"/>
          <w:highlight w:val="none"/>
          <w:lang w:eastAsia="zh-CN"/>
        </w:rPr>
        <w:t>7.2 监理责任保险</w:t>
      </w:r>
      <w:bookmarkEnd w:id="555"/>
      <w:bookmarkEnd w:id="556"/>
    </w:p>
    <w:p w14:paraId="6056E21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除专用合同条款另有约定外，监理人应根据工程情况对监理责任进行保险，并在合同履行期间保持足额、有效。</w:t>
      </w:r>
    </w:p>
    <w:p w14:paraId="549D4B1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57" w:name="_Toc492300684"/>
      <w:bookmarkStart w:id="558" w:name="_Toc503518007"/>
      <w:bookmarkStart w:id="559" w:name="_Toc482188615"/>
      <w:r>
        <w:rPr>
          <w:rFonts w:hint="eastAsia" w:ascii="Times New Roman" w:hAnsi="Times New Roman" w:eastAsia="宋体" w:cs="宋体"/>
          <w:b/>
          <w:bCs/>
          <w:color w:val="auto"/>
          <w:kern w:val="21"/>
          <w:sz w:val="28"/>
          <w:szCs w:val="28"/>
          <w:highlight w:val="none"/>
          <w:lang w:eastAsia="zh-CN"/>
        </w:rPr>
        <w:t>8. 合同变更</w:t>
      </w:r>
      <w:bookmarkEnd w:id="557"/>
      <w:bookmarkEnd w:id="558"/>
      <w:bookmarkEnd w:id="559"/>
    </w:p>
    <w:p w14:paraId="27B37700">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60" w:name="_Toc467651025"/>
      <w:bookmarkStart w:id="561" w:name="_Toc492300685"/>
      <w:bookmarkStart w:id="562" w:name="_Toc482188616"/>
      <w:r>
        <w:rPr>
          <w:rFonts w:hint="eastAsia" w:ascii="Times New Roman" w:hAnsi="Times New Roman" w:eastAsia="宋体" w:cs="宋体"/>
          <w:b/>
          <w:bCs/>
          <w:color w:val="auto"/>
          <w:kern w:val="21"/>
          <w:sz w:val="24"/>
          <w:szCs w:val="24"/>
          <w:highlight w:val="none"/>
          <w:lang w:eastAsia="zh-CN"/>
        </w:rPr>
        <w:t>8.1 变更情形</w:t>
      </w:r>
      <w:bookmarkEnd w:id="560"/>
      <w:bookmarkEnd w:id="561"/>
      <w:bookmarkEnd w:id="562"/>
    </w:p>
    <w:p w14:paraId="6A806B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8.1.1 合同履行中发生下述情形时，合同一方均可向对方提出变更请求，经双方协商一致后进行变更，监理服务期限和监理报酬的调整方法在专用合同条款中约定。</w:t>
      </w:r>
    </w:p>
    <w:p w14:paraId="02223E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（1）监理范围发生变化；</w:t>
      </w:r>
    </w:p>
    <w:p w14:paraId="105809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（2）除不可抗力外，非监理人的原因引起的周期延误；</w:t>
      </w:r>
    </w:p>
    <w:p w14:paraId="08A967D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（3）非监理人的原因，对工程同一部分重复进行监理；</w:t>
      </w:r>
    </w:p>
    <w:p w14:paraId="56F86B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（4）非监理人的原因，对工程暂停监理及恢复监理。</w:t>
      </w:r>
    </w:p>
    <w:p w14:paraId="6AF524C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8.1.2 基准日后，因颁布新的或修订原有法律、法规、规范和标准等引发合同变更情形的，按照上述约定进行调整。</w:t>
      </w:r>
    </w:p>
    <w:p w14:paraId="7CB9948E">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63" w:name="_Toc482188617"/>
      <w:bookmarkStart w:id="564" w:name="_Toc492300686"/>
      <w:bookmarkStart w:id="565" w:name="_Toc467651026"/>
      <w:r>
        <w:rPr>
          <w:rFonts w:hint="eastAsia" w:ascii="Times New Roman" w:hAnsi="Times New Roman" w:eastAsia="宋体" w:cs="宋体"/>
          <w:b/>
          <w:bCs/>
          <w:color w:val="auto"/>
          <w:kern w:val="21"/>
          <w:sz w:val="24"/>
          <w:szCs w:val="24"/>
          <w:highlight w:val="none"/>
          <w:lang w:eastAsia="zh-CN"/>
        </w:rPr>
        <w:t>8.2 合理化建议</w:t>
      </w:r>
      <w:bookmarkEnd w:id="563"/>
      <w:bookmarkEnd w:id="564"/>
      <w:bookmarkEnd w:id="565"/>
    </w:p>
    <w:p w14:paraId="52B11A7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8.2.1 合同履行中，监理人可对委托人要求提出合理化建议。合理化建议应以书面形式提交委托人，被委托人采纳并构成变更的，执行第8.1款约定。</w:t>
      </w:r>
    </w:p>
    <w:p w14:paraId="0F1DCA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8.2.2 监理人提出的合理化建议降低了工程投资、缩短了施工期限或者提高了工程经济效益的，委托人应按专用合同条款中的约定给予奖励。</w:t>
      </w:r>
    </w:p>
    <w:p w14:paraId="1AB5E85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66" w:name="_Toc482188618"/>
      <w:bookmarkStart w:id="567" w:name="_Toc503518008"/>
      <w:bookmarkStart w:id="568" w:name="_Toc492300687"/>
      <w:r>
        <w:rPr>
          <w:rFonts w:hint="eastAsia" w:ascii="Times New Roman" w:hAnsi="Times New Roman" w:eastAsia="宋体" w:cs="宋体"/>
          <w:b/>
          <w:bCs/>
          <w:color w:val="auto"/>
          <w:kern w:val="21"/>
          <w:sz w:val="28"/>
          <w:szCs w:val="28"/>
          <w:highlight w:val="none"/>
          <w:lang w:eastAsia="zh-CN"/>
        </w:rPr>
        <w:t>9. 合同价格与支付</w:t>
      </w:r>
      <w:bookmarkEnd w:id="566"/>
      <w:bookmarkEnd w:id="567"/>
      <w:bookmarkEnd w:id="568"/>
    </w:p>
    <w:p w14:paraId="2A7878C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69" w:name="_Toc482188619"/>
      <w:bookmarkStart w:id="570" w:name="_Toc492300688"/>
      <w:r>
        <w:rPr>
          <w:rFonts w:hint="eastAsia" w:ascii="Times New Roman" w:hAnsi="Times New Roman" w:eastAsia="宋体" w:cs="宋体"/>
          <w:b/>
          <w:bCs/>
          <w:color w:val="auto"/>
          <w:kern w:val="21"/>
          <w:sz w:val="24"/>
          <w:szCs w:val="24"/>
          <w:highlight w:val="none"/>
          <w:lang w:eastAsia="zh-CN"/>
        </w:rPr>
        <w:t>9.1 合同价格</w:t>
      </w:r>
      <w:bookmarkEnd w:id="569"/>
      <w:bookmarkEnd w:id="570"/>
    </w:p>
    <w:p w14:paraId="10F1A9C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9.1.1 本合同的价款确定方式、调整方式和风险范围划分，在专用合同条款中约定。</w:t>
      </w:r>
    </w:p>
    <w:p w14:paraId="597AC4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9.1.2 除专用合同条款另有约定外，合同价格应当包括收集资料、踏勘现场、制订纲要、实施监理、编制监理文件等全部费用和国家规定的增值税税金。</w:t>
      </w:r>
    </w:p>
    <w:p w14:paraId="3AD96F5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9.1.3 委托人要求监理人进行外出考察、试验检测、专项咨询或专家评审时，相应费用不含在合同价格之中，由委托人另行支付。</w:t>
      </w:r>
    </w:p>
    <w:p w14:paraId="14D5A214">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1" w:name="_Toc482188620"/>
      <w:bookmarkStart w:id="572" w:name="_Toc492300689"/>
      <w:r>
        <w:rPr>
          <w:rFonts w:hint="eastAsia" w:ascii="Times New Roman" w:hAnsi="Times New Roman" w:eastAsia="宋体" w:cs="宋体"/>
          <w:b/>
          <w:bCs/>
          <w:color w:val="auto"/>
          <w:kern w:val="21"/>
          <w:sz w:val="24"/>
          <w:szCs w:val="24"/>
          <w:highlight w:val="none"/>
          <w:lang w:eastAsia="zh-CN"/>
        </w:rPr>
        <w:t xml:space="preserve">9.2 </w:t>
      </w:r>
      <w:bookmarkEnd w:id="571"/>
      <w:r>
        <w:rPr>
          <w:rFonts w:hint="eastAsia" w:ascii="Times New Roman" w:hAnsi="Times New Roman" w:eastAsia="宋体" w:cs="宋体"/>
          <w:b/>
          <w:bCs/>
          <w:color w:val="auto"/>
          <w:kern w:val="21"/>
          <w:sz w:val="24"/>
          <w:szCs w:val="24"/>
          <w:highlight w:val="none"/>
          <w:lang w:eastAsia="zh-CN"/>
        </w:rPr>
        <w:t>预付款</w:t>
      </w:r>
      <w:bookmarkEnd w:id="572"/>
    </w:p>
    <w:p w14:paraId="7E2FAD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9.2.1预付款应专用于本工程的监理。预付款的额度、支付方式及抵扣方式在专用合同条款中约定。</w:t>
      </w:r>
    </w:p>
    <w:p w14:paraId="6C0ED3F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9.2.2 委托人应在收到预付款支付申请后28天内，将预付款支付给监理人；监理人应当提供等额的增值税发票。</w:t>
      </w:r>
    </w:p>
    <w:p w14:paraId="423E1FB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3" w:name="_Toc467651035"/>
      <w:bookmarkStart w:id="574" w:name="_Toc482188621"/>
      <w:bookmarkStart w:id="575" w:name="_Toc492300690"/>
      <w:r>
        <w:rPr>
          <w:rFonts w:hint="eastAsia" w:ascii="Times New Roman" w:hAnsi="Times New Roman" w:eastAsia="宋体" w:cs="宋体"/>
          <w:b/>
          <w:bCs/>
          <w:color w:val="auto"/>
          <w:kern w:val="21"/>
          <w:sz w:val="24"/>
          <w:szCs w:val="24"/>
          <w:highlight w:val="none"/>
          <w:lang w:eastAsia="zh-CN"/>
        </w:rPr>
        <w:t>9.3 中期支付</w:t>
      </w:r>
      <w:bookmarkEnd w:id="573"/>
      <w:bookmarkEnd w:id="574"/>
      <w:bookmarkEnd w:id="575"/>
    </w:p>
    <w:p w14:paraId="404D73A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9.3.1 监理人应按委托人批准或专用合同条款约定的格式及份数，向委托人提交中期支付申请，并附相应的支持性证明文件。</w:t>
      </w:r>
    </w:p>
    <w:p w14:paraId="238E2D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9.3.2 委托人应在收到中期支付申请后的28天内，将应付款项支付给监理人；监理人应当提供等额的增值税发票。委托人未能在前述时间内完成审批或不予答复的，视为委托人同意中期支付申请。委托人不按期支付的，按专用合同条款的约定支付逾期付款违约金。</w:t>
      </w:r>
    </w:p>
    <w:p w14:paraId="62ACB2C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9.3.3 中期支付涉及政府投资资金的，按照国库集中支付等国家相关规定和专用合同条款的约定执行。</w:t>
      </w:r>
    </w:p>
    <w:p w14:paraId="136649B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76" w:name="_Toc482188622"/>
      <w:bookmarkStart w:id="577" w:name="_Toc467651036"/>
      <w:bookmarkStart w:id="578" w:name="_Toc492300691"/>
      <w:r>
        <w:rPr>
          <w:rFonts w:hint="eastAsia" w:ascii="Times New Roman" w:hAnsi="Times New Roman" w:eastAsia="宋体" w:cs="宋体"/>
          <w:b/>
          <w:bCs/>
          <w:color w:val="auto"/>
          <w:kern w:val="21"/>
          <w:sz w:val="24"/>
          <w:szCs w:val="24"/>
          <w:highlight w:val="none"/>
          <w:lang w:eastAsia="zh-CN"/>
        </w:rPr>
        <w:t>9.4 费用结算</w:t>
      </w:r>
      <w:bookmarkEnd w:id="576"/>
      <w:bookmarkEnd w:id="577"/>
      <w:bookmarkEnd w:id="578"/>
    </w:p>
    <w:p w14:paraId="1AB66A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9.4.1 合同工作完成后，监理人可按专用合同条款约定的份数和期限，向委托人提交监理费用结算申请，并提供相关证明材料。</w:t>
      </w:r>
    </w:p>
    <w:p w14:paraId="54A340A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9.4.2 委托人应在收到费用结算申请后的28天内，将应付款项支付给监理人；监理人应当提供等额的增值税发票。委托人未能在前述时间内完成审批或不予答复的，视为委托人同意费用结算申请。委托人不按期支付的，按专用合同条款的约定支付逾期付款违约金。</w:t>
      </w:r>
    </w:p>
    <w:p w14:paraId="769273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9.4.3 委托人对费用结算申请内容有异议的，有权要求监理人进行修正和提供补充资料，由监理人重新提交。监理人对此有异议的，按第12条的约定执行。</w:t>
      </w:r>
    </w:p>
    <w:p w14:paraId="167060E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9.4.4 最终结清付款涉及政府投资资金的，按第9.3.3项的约定执行。</w:t>
      </w:r>
    </w:p>
    <w:p w14:paraId="41679C8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79" w:name="_Toc492300692"/>
      <w:bookmarkStart w:id="580" w:name="_Toc482188623"/>
      <w:bookmarkStart w:id="581" w:name="_Toc503518009"/>
      <w:r>
        <w:rPr>
          <w:rFonts w:hint="eastAsia" w:ascii="Times New Roman" w:hAnsi="Times New Roman" w:eastAsia="宋体" w:cs="宋体"/>
          <w:b/>
          <w:bCs/>
          <w:color w:val="auto"/>
          <w:kern w:val="21"/>
          <w:sz w:val="28"/>
          <w:szCs w:val="28"/>
          <w:highlight w:val="none"/>
          <w:lang w:eastAsia="zh-CN"/>
        </w:rPr>
        <w:t>10. 不可抗力</w:t>
      </w:r>
      <w:bookmarkEnd w:id="579"/>
      <w:bookmarkEnd w:id="580"/>
      <w:bookmarkEnd w:id="581"/>
    </w:p>
    <w:p w14:paraId="2531DD32">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82" w:name="_Toc482188624"/>
      <w:bookmarkStart w:id="583" w:name="_Toc492300693"/>
      <w:r>
        <w:rPr>
          <w:rFonts w:hint="eastAsia" w:ascii="Times New Roman" w:hAnsi="Times New Roman" w:eastAsia="宋体" w:cs="宋体"/>
          <w:b/>
          <w:bCs/>
          <w:color w:val="auto"/>
          <w:kern w:val="21"/>
          <w:sz w:val="24"/>
          <w:szCs w:val="24"/>
          <w:highlight w:val="none"/>
          <w:lang w:eastAsia="zh-CN"/>
        </w:rPr>
        <w:t>10.1 不可抗力的确认</w:t>
      </w:r>
      <w:bookmarkEnd w:id="582"/>
      <w:bookmarkEnd w:id="583"/>
    </w:p>
    <w:p w14:paraId="49A29E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10.1.1 不可抗力是指监理人和委托人在订立合同时不可预见，在履行合</w:t>
      </w:r>
      <w:bookmarkStart w:id="584" w:name="_Toc184635118"/>
      <w:bookmarkStart w:id="585" w:name="_Toc247527781"/>
      <w:bookmarkStart w:id="586" w:name="_Toc247514180"/>
      <w:bookmarkStart w:id="587" w:name="_Toc300835182"/>
      <w:r>
        <w:rPr>
          <w:rFonts w:hint="eastAsia" w:ascii="Times New Roman" w:hAnsi="Times New Roman" w:eastAsia="宋体" w:cs="宋体"/>
          <w:color w:val="auto"/>
          <w:kern w:val="21"/>
          <w:highlight w:val="none"/>
          <w:lang w:eastAsia="zh-CN"/>
        </w:rPr>
        <w:t>同过程中不可避免</w:t>
      </w:r>
      <w:bookmarkEnd w:id="584"/>
      <w:bookmarkEnd w:id="585"/>
      <w:bookmarkEnd w:id="586"/>
      <w:bookmarkEnd w:id="587"/>
      <w:r>
        <w:rPr>
          <w:rFonts w:hint="eastAsia" w:ascii="Times New Roman" w:hAnsi="Times New Roman" w:eastAsia="宋体" w:cs="宋体"/>
          <w:color w:val="auto"/>
          <w:kern w:val="21"/>
          <w:highlight w:val="none"/>
          <w:lang w:eastAsia="zh-CN"/>
        </w:rPr>
        <w:t>发</w:t>
      </w:r>
      <w:bookmarkStart w:id="588" w:name="_Toc300835183"/>
      <w:bookmarkStart w:id="589" w:name="_Toc247514181"/>
      <w:bookmarkStart w:id="590" w:name="_Toc247527782"/>
      <w:r>
        <w:rPr>
          <w:rFonts w:hint="eastAsia" w:ascii="Times New Roman" w:hAnsi="Times New Roman" w:eastAsia="宋体" w:cs="宋体"/>
          <w:color w:val="auto"/>
          <w:kern w:val="21"/>
          <w:highlight w:val="none"/>
          <w:lang w:eastAsia="zh-CN"/>
        </w:rPr>
        <w:t>生并不能克服的自然灾害和</w:t>
      </w:r>
      <w:bookmarkEnd w:id="588"/>
      <w:bookmarkEnd w:id="589"/>
      <w:bookmarkEnd w:id="590"/>
      <w:r>
        <w:rPr>
          <w:rFonts w:hint="eastAsia" w:ascii="Times New Roman" w:hAnsi="Times New Roman" w:eastAsia="宋体" w:cs="宋体"/>
          <w:color w:val="auto"/>
          <w:kern w:val="21"/>
          <w:highlight w:val="none"/>
          <w:lang w:eastAsia="zh-CN"/>
        </w:rPr>
        <w:t>社会性突发事件，如地震、海啸、瘟疫、水灾、骚乱、暴动、战争和专用合同条款约定的其他情形。</w:t>
      </w:r>
    </w:p>
    <w:p w14:paraId="39F32E2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10.1.2 不可抗力发生后，委托人和监理人应及时认真统计所造成的损失，收集不可抗力造成损失的证据。合同双方对是否属于不可抗力或其损失的意见不一致的，由合同双方协商确定。</w:t>
      </w:r>
    </w:p>
    <w:p w14:paraId="03D06E7D">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91" w:name="_Toc492300694"/>
      <w:bookmarkStart w:id="592" w:name="_Toc482188625"/>
      <w:r>
        <w:rPr>
          <w:rFonts w:hint="eastAsia" w:ascii="Times New Roman" w:hAnsi="Times New Roman" w:eastAsia="宋体" w:cs="宋体"/>
          <w:b/>
          <w:bCs/>
          <w:color w:val="auto"/>
          <w:kern w:val="21"/>
          <w:sz w:val="24"/>
          <w:szCs w:val="24"/>
          <w:highlight w:val="none"/>
          <w:lang w:eastAsia="zh-CN"/>
        </w:rPr>
        <w:t>10.2 不可抗力的通知</w:t>
      </w:r>
      <w:bookmarkEnd w:id="591"/>
      <w:bookmarkEnd w:id="592"/>
    </w:p>
    <w:p w14:paraId="2087E3E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10.2.1 合同一方当事人遇到不可抗力事件，使其履行合同义务受到阻碍时，应立即通知合同</w:t>
      </w:r>
      <w:bookmarkStart w:id="593" w:name="_Toc247514182"/>
      <w:bookmarkStart w:id="594" w:name="_Toc300835184"/>
      <w:bookmarkStart w:id="595" w:name="_Toc247527783"/>
      <w:r>
        <w:rPr>
          <w:rFonts w:hint="eastAsia" w:ascii="Times New Roman" w:hAnsi="Times New Roman" w:eastAsia="宋体" w:cs="宋体"/>
          <w:color w:val="auto"/>
          <w:kern w:val="21"/>
          <w:highlight w:val="none"/>
          <w:lang w:eastAsia="zh-CN"/>
        </w:rPr>
        <w:t>另一方当事人，书面说明不</w:t>
      </w:r>
      <w:bookmarkEnd w:id="593"/>
      <w:bookmarkEnd w:id="594"/>
      <w:bookmarkEnd w:id="595"/>
      <w:r>
        <w:rPr>
          <w:rFonts w:hint="eastAsia" w:ascii="Times New Roman" w:hAnsi="Times New Roman" w:eastAsia="宋体" w:cs="宋体"/>
          <w:color w:val="auto"/>
          <w:kern w:val="21"/>
          <w:highlight w:val="none"/>
          <w:lang w:eastAsia="zh-CN"/>
        </w:rPr>
        <w:t>可抗力和受阻碍的详细情况，并提供必要的证明。</w:t>
      </w:r>
    </w:p>
    <w:p w14:paraId="0A0F4BD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10.2.2 如不可抗力持续发生，合同一方当事人应及时向合同另一方当事人提交中间报告，说明不可抗力和履行合同受阻的情况，并于不可抗力事件结束后28天内提交最终报告及有关资料。</w:t>
      </w:r>
    </w:p>
    <w:p w14:paraId="5434BCF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596" w:name="_Toc492300695"/>
      <w:bookmarkStart w:id="597" w:name="_Toc482188626"/>
      <w:r>
        <w:rPr>
          <w:rFonts w:hint="eastAsia" w:ascii="Times New Roman" w:hAnsi="Times New Roman" w:eastAsia="宋体" w:cs="宋体"/>
          <w:b/>
          <w:bCs/>
          <w:color w:val="auto"/>
          <w:kern w:val="21"/>
          <w:sz w:val="24"/>
          <w:szCs w:val="24"/>
          <w:highlight w:val="none"/>
          <w:lang w:eastAsia="zh-CN"/>
        </w:rPr>
        <w:t>10.3 不可抗力后果及其处理</w:t>
      </w:r>
      <w:bookmarkEnd w:id="596"/>
      <w:bookmarkEnd w:id="597"/>
    </w:p>
    <w:p w14:paraId="7C6E7D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10.3.1 不可抗力引起的后果及其损失，应由合同当事人依据法律规定各自承担。不可抗力发生前已完成的监理工作，应当按照合同约定进行支付。</w:t>
      </w:r>
    </w:p>
    <w:p w14:paraId="53E5BA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10.3.2 不可抗力发生后，合同当事人应当采取有效措施避免损失进一步扩大，如未采取有效措施致使损失扩大的，应当自行承担扩大部分的损失。</w:t>
      </w:r>
    </w:p>
    <w:p w14:paraId="0368A8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10.3.3 因一方当事人迟延履行合同义务，致使迟延履行期间遭遇不可抗力的，应由该当事人承担全部损失。</w:t>
      </w:r>
    </w:p>
    <w:p w14:paraId="19801F59">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598" w:name="_Toc503518010"/>
      <w:bookmarkStart w:id="599" w:name="_Toc482188627"/>
      <w:bookmarkStart w:id="600" w:name="_Toc492300696"/>
      <w:r>
        <w:rPr>
          <w:rFonts w:hint="eastAsia" w:ascii="Times New Roman" w:hAnsi="Times New Roman" w:eastAsia="宋体" w:cs="宋体"/>
          <w:b/>
          <w:bCs/>
          <w:color w:val="auto"/>
          <w:kern w:val="21"/>
          <w:sz w:val="28"/>
          <w:szCs w:val="28"/>
          <w:highlight w:val="none"/>
          <w:lang w:eastAsia="zh-CN"/>
        </w:rPr>
        <w:t>11. 违约</w:t>
      </w:r>
      <w:bookmarkEnd w:id="598"/>
      <w:bookmarkEnd w:id="599"/>
      <w:bookmarkEnd w:id="600"/>
    </w:p>
    <w:p w14:paraId="22ABB397">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01" w:name="_Toc492300697"/>
      <w:bookmarkStart w:id="602" w:name="_Toc482188628"/>
      <w:r>
        <w:rPr>
          <w:rFonts w:hint="eastAsia" w:ascii="Times New Roman" w:hAnsi="Times New Roman" w:eastAsia="宋体" w:cs="宋体"/>
          <w:b/>
          <w:bCs/>
          <w:color w:val="auto"/>
          <w:kern w:val="21"/>
          <w:sz w:val="24"/>
          <w:szCs w:val="24"/>
          <w:highlight w:val="none"/>
          <w:lang w:eastAsia="zh-CN"/>
        </w:rPr>
        <w:t>11.1 监理人违约</w:t>
      </w:r>
      <w:bookmarkEnd w:id="601"/>
      <w:bookmarkEnd w:id="602"/>
    </w:p>
    <w:p w14:paraId="58AECF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11.1.1合同履行中发生下列情况之一的，属监理人违约：</w:t>
      </w:r>
    </w:p>
    <w:p w14:paraId="7BC63D9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（1）监理文件不符合规范标准以及合同约定；</w:t>
      </w:r>
    </w:p>
    <w:p w14:paraId="271ED19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（2）监理人转让监理工作；</w:t>
      </w:r>
    </w:p>
    <w:p w14:paraId="7C88813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（3）监理人未按合同约定实施监理并造成工程损失；</w:t>
      </w:r>
    </w:p>
    <w:p w14:paraId="0C82AC1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（4）监理人无法履行或停止履行合同；</w:t>
      </w:r>
    </w:p>
    <w:p w14:paraId="2658D6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（5）监理人不履行合同约定的其他义务。</w:t>
      </w:r>
    </w:p>
    <w:p w14:paraId="4EB32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11.1.2 监理人发生违约情况时，委托人可向监理人发出整改通知，要求其在限定期限内纠正；逾期仍不纠正的，委托人有权解除合同并向监理人发出解除合同通知。监理人应当承担由于违约所造成的费用增加、周期延误和委托人损失等。</w:t>
      </w:r>
    </w:p>
    <w:p w14:paraId="0312ECB1">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03" w:name="_Toc492300698"/>
      <w:bookmarkStart w:id="604" w:name="_Toc482188629"/>
      <w:r>
        <w:rPr>
          <w:rFonts w:hint="eastAsia" w:ascii="Times New Roman" w:hAnsi="Times New Roman" w:eastAsia="宋体" w:cs="宋体"/>
          <w:b/>
          <w:bCs/>
          <w:color w:val="auto"/>
          <w:kern w:val="21"/>
          <w:sz w:val="24"/>
          <w:szCs w:val="24"/>
          <w:highlight w:val="none"/>
          <w:lang w:eastAsia="zh-CN"/>
        </w:rPr>
        <w:t>11.2 委托人违约</w:t>
      </w:r>
      <w:bookmarkEnd w:id="603"/>
      <w:bookmarkEnd w:id="604"/>
    </w:p>
    <w:p w14:paraId="02627D0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11.2.1合同履行中发生下列情况之一的，属委托人违约：</w:t>
      </w:r>
    </w:p>
    <w:p w14:paraId="74C0A0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w:t>
      </w:r>
      <w:bookmarkStart w:id="605" w:name="_Toc247514186"/>
      <w:bookmarkStart w:id="606" w:name="_Toc300835188"/>
      <w:bookmarkStart w:id="607" w:name="_Toc247527787"/>
      <w:r>
        <w:rPr>
          <w:rFonts w:hint="eastAsia" w:ascii="Times New Roman" w:hAnsi="Times New Roman" w:eastAsia="宋体" w:cs="宋体"/>
          <w:color w:val="auto"/>
          <w:kern w:val="21"/>
          <w:highlight w:val="none"/>
          <w:lang w:eastAsia="zh-CN"/>
        </w:rPr>
        <w:t>委托人未按合同约定支</w:t>
      </w:r>
      <w:bookmarkEnd w:id="605"/>
      <w:bookmarkEnd w:id="606"/>
      <w:bookmarkEnd w:id="607"/>
      <w:r>
        <w:rPr>
          <w:rFonts w:hint="eastAsia" w:ascii="Times New Roman" w:hAnsi="Times New Roman" w:eastAsia="宋体" w:cs="宋体"/>
          <w:color w:val="auto"/>
          <w:kern w:val="21"/>
          <w:highlight w:val="none"/>
          <w:lang w:eastAsia="zh-CN"/>
        </w:rPr>
        <w:t>付监理报酬；</w:t>
      </w:r>
    </w:p>
    <w:p w14:paraId="1EC1AB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（2）委托人原因造成监理停止；</w:t>
      </w:r>
    </w:p>
    <w:p w14:paraId="0FC4A2E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（3）委托人无法履行或停止履行合同；</w:t>
      </w:r>
    </w:p>
    <w:p w14:paraId="5CBD0C9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（4）委托人不履行合同约定的其他义务。</w:t>
      </w:r>
    </w:p>
    <w:p w14:paraId="1D1E1B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11.2.2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w:t>
      </w:r>
    </w:p>
    <w:p w14:paraId="43ABBA4C">
      <w:pPr>
        <w:spacing w:before="240" w:beforeLines="100" w:after="120" w:afterLines="50"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08" w:name="_Toc482188630"/>
      <w:bookmarkStart w:id="609" w:name="_Toc492300699"/>
      <w:r>
        <w:rPr>
          <w:rFonts w:hint="eastAsia" w:ascii="Times New Roman" w:hAnsi="Times New Roman" w:eastAsia="宋体" w:cs="宋体"/>
          <w:b/>
          <w:bCs/>
          <w:color w:val="auto"/>
          <w:kern w:val="21"/>
          <w:sz w:val="24"/>
          <w:szCs w:val="24"/>
          <w:highlight w:val="none"/>
          <w:lang w:eastAsia="zh-CN"/>
        </w:rPr>
        <w:t>11.3 第三人造成的违约</w:t>
      </w:r>
      <w:bookmarkEnd w:id="608"/>
      <w:bookmarkEnd w:id="609"/>
    </w:p>
    <w:p w14:paraId="060D19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在履行合同过程中，一方当事人因第三人的原因造成违约的，应当向对方当事人承担违约责任。一</w:t>
      </w:r>
      <w:bookmarkStart w:id="610" w:name="_Toc300835189"/>
      <w:bookmarkStart w:id="611" w:name="_Toc247527788"/>
      <w:bookmarkStart w:id="612" w:name="_Toc247514187"/>
      <w:r>
        <w:rPr>
          <w:rFonts w:hint="eastAsia" w:ascii="Times New Roman" w:hAnsi="Times New Roman" w:eastAsia="宋体" w:cs="宋体"/>
          <w:color w:val="auto"/>
          <w:kern w:val="21"/>
          <w:highlight w:val="none"/>
          <w:lang w:eastAsia="zh-CN"/>
        </w:rPr>
        <w:t>方当事人和第三人之间的纠纷</w:t>
      </w:r>
      <w:bookmarkEnd w:id="610"/>
      <w:bookmarkEnd w:id="611"/>
      <w:bookmarkEnd w:id="612"/>
      <w:r>
        <w:rPr>
          <w:rFonts w:hint="eastAsia" w:ascii="Times New Roman" w:hAnsi="Times New Roman" w:eastAsia="宋体" w:cs="宋体"/>
          <w:color w:val="auto"/>
          <w:kern w:val="21"/>
          <w:highlight w:val="none"/>
          <w:lang w:eastAsia="zh-CN"/>
        </w:rPr>
        <w:t>，依照法律规定或者按照约定解决。</w:t>
      </w:r>
    </w:p>
    <w:p w14:paraId="1F12F5AF">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13" w:name="_Toc503518011"/>
      <w:bookmarkStart w:id="614" w:name="_Toc492300700"/>
      <w:bookmarkStart w:id="615" w:name="_Toc482188631"/>
      <w:r>
        <w:rPr>
          <w:rFonts w:hint="eastAsia" w:ascii="Times New Roman" w:hAnsi="Times New Roman" w:eastAsia="宋体" w:cs="宋体"/>
          <w:b/>
          <w:bCs/>
          <w:color w:val="auto"/>
          <w:kern w:val="21"/>
          <w:sz w:val="28"/>
          <w:szCs w:val="28"/>
          <w:highlight w:val="none"/>
          <w:lang w:eastAsia="zh-CN"/>
        </w:rPr>
        <w:t>12. 争议的解决</w:t>
      </w:r>
      <w:bookmarkEnd w:id="613"/>
      <w:bookmarkEnd w:id="614"/>
      <w:bookmarkEnd w:id="615"/>
    </w:p>
    <w:p w14:paraId="5F163B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委托人和监理人在履行合同中发生争议的，可以友好协商解决</w:t>
      </w:r>
      <w:bookmarkStart w:id="616" w:name="_Toc247514193"/>
      <w:bookmarkStart w:id="617" w:name="_Toc184635121"/>
      <w:bookmarkStart w:id="618" w:name="_Toc247527794"/>
      <w:bookmarkStart w:id="619" w:name="_Toc300835195"/>
      <w:r>
        <w:rPr>
          <w:rFonts w:hint="eastAsia" w:ascii="Times New Roman" w:hAnsi="Times New Roman" w:eastAsia="宋体" w:cs="宋体"/>
          <w:color w:val="auto"/>
          <w:kern w:val="21"/>
          <w:highlight w:val="none"/>
          <w:lang w:eastAsia="zh-CN"/>
        </w:rPr>
        <w:t>。合同当事</w:t>
      </w:r>
      <w:bookmarkEnd w:id="616"/>
      <w:bookmarkEnd w:id="617"/>
      <w:bookmarkEnd w:id="618"/>
      <w:bookmarkEnd w:id="619"/>
      <w:r>
        <w:rPr>
          <w:rFonts w:hint="eastAsia" w:ascii="Times New Roman" w:hAnsi="Times New Roman" w:eastAsia="宋体" w:cs="宋体"/>
          <w:color w:val="auto"/>
          <w:kern w:val="21"/>
          <w:highlight w:val="none"/>
          <w:lang w:eastAsia="zh-CN"/>
        </w:rPr>
        <w:t>人</w:t>
      </w:r>
      <w:bookmarkStart w:id="620" w:name="_Toc300835196"/>
      <w:bookmarkStart w:id="621" w:name="_Toc247527795"/>
      <w:bookmarkStart w:id="622" w:name="_Toc247514194"/>
      <w:r>
        <w:rPr>
          <w:rFonts w:hint="eastAsia" w:ascii="Times New Roman" w:hAnsi="Times New Roman" w:eastAsia="宋体" w:cs="宋体"/>
          <w:color w:val="auto"/>
          <w:kern w:val="21"/>
          <w:highlight w:val="none"/>
          <w:lang w:eastAsia="zh-CN"/>
        </w:rPr>
        <w:t>友好协商解决不成</w:t>
      </w:r>
      <w:bookmarkEnd w:id="620"/>
      <w:bookmarkEnd w:id="621"/>
      <w:bookmarkEnd w:id="622"/>
      <w:r>
        <w:rPr>
          <w:rFonts w:hint="eastAsia" w:ascii="Times New Roman" w:hAnsi="Times New Roman" w:eastAsia="宋体" w:cs="宋体"/>
          <w:color w:val="auto"/>
          <w:kern w:val="21"/>
          <w:highlight w:val="none"/>
          <w:lang w:eastAsia="zh-CN"/>
        </w:rPr>
        <w:t>的，可在专用合同条款中约定下列一种方式解决：</w:t>
      </w:r>
    </w:p>
    <w:p w14:paraId="33ACB8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（1）向约定的仲裁委员会申请仲裁；</w:t>
      </w:r>
    </w:p>
    <w:p w14:paraId="31CCE66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（2）向有管辖权的人民法院提起诉讼。</w:t>
      </w:r>
    </w:p>
    <w:p w14:paraId="798DB4B1">
      <w:pPr>
        <w:spacing w:before="63" w:line="225" w:lineRule="auto"/>
        <w:ind w:left="2931"/>
        <w:outlineLvl w:val="0"/>
        <w:rPr>
          <w:rFonts w:ascii="宋体" w:hAnsi="宋体" w:eastAsia="宋体" w:cs="宋体"/>
          <w:b/>
          <w:bCs/>
          <w:color w:val="auto"/>
          <w:spacing w:val="6"/>
          <w:sz w:val="31"/>
          <w:szCs w:val="31"/>
          <w:highlight w:val="none"/>
        </w:rPr>
      </w:pPr>
    </w:p>
    <w:p w14:paraId="61A18C46">
      <w:pPr>
        <w:spacing w:before="63" w:line="225" w:lineRule="auto"/>
        <w:ind w:left="2931"/>
        <w:outlineLvl w:val="0"/>
        <w:rPr>
          <w:rFonts w:ascii="宋体" w:hAnsi="宋体" w:eastAsia="宋体" w:cs="宋体"/>
          <w:b/>
          <w:bCs/>
          <w:color w:val="auto"/>
          <w:spacing w:val="6"/>
          <w:sz w:val="31"/>
          <w:szCs w:val="31"/>
          <w:highlight w:val="none"/>
        </w:rPr>
      </w:pPr>
    </w:p>
    <w:p w14:paraId="4968CA26">
      <w:pPr>
        <w:spacing w:before="63" w:line="225" w:lineRule="auto"/>
        <w:ind w:left="2931"/>
        <w:outlineLvl w:val="0"/>
        <w:rPr>
          <w:rFonts w:ascii="宋体" w:hAnsi="宋体" w:eastAsia="宋体" w:cs="宋体"/>
          <w:b/>
          <w:bCs/>
          <w:color w:val="auto"/>
          <w:spacing w:val="6"/>
          <w:sz w:val="31"/>
          <w:szCs w:val="31"/>
          <w:highlight w:val="none"/>
        </w:rPr>
      </w:pPr>
    </w:p>
    <w:p w14:paraId="1F21B412">
      <w:pPr>
        <w:spacing w:before="63" w:line="225" w:lineRule="auto"/>
        <w:ind w:left="2931"/>
        <w:outlineLvl w:val="0"/>
        <w:rPr>
          <w:rFonts w:ascii="宋体" w:hAnsi="宋体" w:eastAsia="宋体" w:cs="宋体"/>
          <w:b/>
          <w:bCs/>
          <w:color w:val="auto"/>
          <w:spacing w:val="6"/>
          <w:sz w:val="31"/>
          <w:szCs w:val="31"/>
          <w:highlight w:val="none"/>
        </w:rPr>
      </w:pPr>
    </w:p>
    <w:p w14:paraId="50FB4211">
      <w:pPr>
        <w:spacing w:before="63" w:line="225" w:lineRule="auto"/>
        <w:ind w:left="2931"/>
        <w:outlineLvl w:val="0"/>
        <w:rPr>
          <w:rFonts w:ascii="宋体" w:hAnsi="宋体" w:eastAsia="宋体" w:cs="宋体"/>
          <w:b/>
          <w:bCs/>
          <w:color w:val="auto"/>
          <w:spacing w:val="6"/>
          <w:sz w:val="31"/>
          <w:szCs w:val="31"/>
          <w:highlight w:val="none"/>
        </w:rPr>
      </w:pPr>
    </w:p>
    <w:p w14:paraId="6D187AB5">
      <w:pPr>
        <w:spacing w:before="63" w:line="225" w:lineRule="auto"/>
        <w:ind w:left="2931"/>
        <w:outlineLvl w:val="0"/>
        <w:rPr>
          <w:rFonts w:ascii="宋体" w:hAnsi="宋体" w:eastAsia="宋体" w:cs="宋体"/>
          <w:b/>
          <w:bCs/>
          <w:color w:val="auto"/>
          <w:spacing w:val="6"/>
          <w:sz w:val="31"/>
          <w:szCs w:val="31"/>
          <w:highlight w:val="none"/>
        </w:rPr>
      </w:pPr>
    </w:p>
    <w:p w14:paraId="55946EDD">
      <w:pPr>
        <w:spacing w:before="63" w:line="225" w:lineRule="auto"/>
        <w:ind w:left="2931"/>
        <w:outlineLvl w:val="0"/>
        <w:rPr>
          <w:rFonts w:ascii="宋体" w:hAnsi="宋体" w:eastAsia="宋体" w:cs="宋体"/>
          <w:b/>
          <w:bCs/>
          <w:color w:val="auto"/>
          <w:spacing w:val="6"/>
          <w:sz w:val="31"/>
          <w:szCs w:val="31"/>
          <w:highlight w:val="none"/>
        </w:rPr>
      </w:pPr>
    </w:p>
    <w:p w14:paraId="6AA298FE">
      <w:pPr>
        <w:spacing w:before="63" w:line="225" w:lineRule="auto"/>
        <w:ind w:left="2931"/>
        <w:outlineLvl w:val="0"/>
        <w:rPr>
          <w:rFonts w:ascii="宋体" w:hAnsi="宋体" w:eastAsia="宋体" w:cs="宋体"/>
          <w:color w:val="auto"/>
          <w:sz w:val="31"/>
          <w:szCs w:val="31"/>
          <w:highlight w:val="none"/>
        </w:rPr>
      </w:pPr>
      <w:bookmarkStart w:id="623" w:name="_Toc18183"/>
      <w:r>
        <w:rPr>
          <w:rFonts w:ascii="宋体" w:hAnsi="宋体" w:eastAsia="宋体" w:cs="宋体"/>
          <w:b/>
          <w:bCs/>
          <w:color w:val="auto"/>
          <w:spacing w:val="6"/>
          <w:sz w:val="31"/>
          <w:szCs w:val="31"/>
          <w:highlight w:val="none"/>
        </w:rPr>
        <w:t>第二节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专用合同条款</w:t>
      </w:r>
      <w:bookmarkEnd w:id="377"/>
      <w:bookmarkEnd w:id="623"/>
    </w:p>
    <w:p w14:paraId="17D30ACC">
      <w:pPr>
        <w:spacing w:before="269" w:line="223" w:lineRule="auto"/>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包括：</w:t>
      </w:r>
    </w:p>
    <w:p w14:paraId="001732EE">
      <w:pPr>
        <w:spacing w:before="204" w:line="360" w:lineRule="auto"/>
        <w:ind w:left="1" w:firstLine="551"/>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A</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公路工程专用合同条款详见《交通运输部公路工程标准施工监理</w:t>
      </w:r>
      <w:r>
        <w:rPr>
          <w:rFonts w:ascii="宋体" w:hAnsi="宋体" w:eastAsia="宋体" w:cs="宋体"/>
          <w:b/>
          <w:bCs/>
          <w:color w:val="auto"/>
          <w:spacing w:val="-2"/>
          <w:sz w:val="28"/>
          <w:szCs w:val="28"/>
          <w:highlight w:val="none"/>
        </w:rPr>
        <w:t>招标文件（2018</w:t>
      </w:r>
      <w:r>
        <w:rPr>
          <w:rFonts w:ascii="宋体" w:hAnsi="宋体" w:eastAsia="宋体" w:cs="宋体"/>
          <w:color w:val="auto"/>
          <w:spacing w:val="-57"/>
          <w:sz w:val="28"/>
          <w:szCs w:val="28"/>
          <w:highlight w:val="none"/>
        </w:rPr>
        <w:t xml:space="preserve"> </w:t>
      </w:r>
      <w:r>
        <w:rPr>
          <w:rFonts w:ascii="宋体" w:hAnsi="宋体" w:eastAsia="宋体" w:cs="宋体"/>
          <w:b/>
          <w:bCs/>
          <w:color w:val="auto"/>
          <w:spacing w:val="-2"/>
          <w:sz w:val="28"/>
          <w:szCs w:val="28"/>
          <w:highlight w:val="none"/>
        </w:rPr>
        <w:t>年版）》</w:t>
      </w:r>
    </w:p>
    <w:p w14:paraId="1C054164">
      <w:pPr>
        <w:spacing w:before="1" w:line="219" w:lineRule="auto"/>
        <w:ind w:left="557"/>
        <w:rPr>
          <w:rFonts w:ascii="宋体" w:hAnsi="宋体" w:eastAsia="宋体" w:cs="宋体"/>
          <w:color w:val="auto"/>
          <w:sz w:val="28"/>
          <w:szCs w:val="28"/>
          <w:highlight w:val="none"/>
        </w:rPr>
      </w:pPr>
      <w:r>
        <w:rPr>
          <w:rFonts w:ascii="宋体" w:hAnsi="宋体" w:eastAsia="宋体" w:cs="宋体"/>
          <w:b/>
          <w:bCs/>
          <w:color w:val="auto"/>
          <w:spacing w:val="-2"/>
          <w:sz w:val="28"/>
          <w:szCs w:val="28"/>
          <w:highlight w:val="none"/>
        </w:rPr>
        <w:t>B</w:t>
      </w:r>
      <w:r>
        <w:rPr>
          <w:rFonts w:ascii="宋体" w:hAnsi="宋体" w:eastAsia="宋体" w:cs="宋体"/>
          <w:color w:val="auto"/>
          <w:spacing w:val="-2"/>
          <w:sz w:val="28"/>
          <w:szCs w:val="28"/>
          <w:highlight w:val="none"/>
        </w:rPr>
        <w:t xml:space="preserve">  </w:t>
      </w:r>
      <w:r>
        <w:rPr>
          <w:rFonts w:ascii="宋体" w:hAnsi="宋体" w:eastAsia="宋体" w:cs="宋体"/>
          <w:b/>
          <w:bCs/>
          <w:color w:val="auto"/>
          <w:spacing w:val="-2"/>
          <w:sz w:val="28"/>
          <w:szCs w:val="28"/>
          <w:highlight w:val="none"/>
        </w:rPr>
        <w:t>项目专用合同条款</w:t>
      </w:r>
    </w:p>
    <w:p w14:paraId="137197D0">
      <w:pPr>
        <w:spacing w:line="219" w:lineRule="auto"/>
        <w:rPr>
          <w:rFonts w:ascii="宋体" w:hAnsi="宋体" w:eastAsia="宋体" w:cs="宋体"/>
          <w:color w:val="auto"/>
          <w:sz w:val="28"/>
          <w:szCs w:val="28"/>
          <w:highlight w:val="none"/>
        </w:rPr>
        <w:sectPr>
          <w:footerReference r:id="rId29" w:type="default"/>
          <w:pgSz w:w="11906" w:h="16839"/>
          <w:pgMar w:top="1403" w:right="1417" w:bottom="1297" w:left="1426" w:header="0" w:footer="1067" w:gutter="0"/>
          <w:pgBorders>
            <w:top w:val="none" w:sz="0" w:space="0"/>
            <w:left w:val="none" w:sz="0" w:space="0"/>
            <w:bottom w:val="none" w:sz="0" w:space="0"/>
            <w:right w:val="none" w:sz="0" w:space="0"/>
          </w:pgBorders>
          <w:pgNumType w:fmt="decimal"/>
          <w:cols w:space="720" w:num="1"/>
        </w:sectPr>
      </w:pPr>
    </w:p>
    <w:p w14:paraId="4B76C58D">
      <w:pPr>
        <w:pStyle w:val="3"/>
        <w:pageBreakBefore/>
        <w:spacing w:before="0" w:after="0" w:line="360" w:lineRule="auto"/>
        <w:jc w:val="center"/>
        <w:rPr>
          <w:rFonts w:hint="eastAsia" w:ascii="Times New Roman" w:hAnsi="Times New Roman" w:eastAsia="宋体" w:cs="宋体"/>
          <w:color w:val="auto"/>
          <w:kern w:val="21"/>
          <w:sz w:val="28"/>
          <w:szCs w:val="28"/>
          <w:highlight w:val="none"/>
          <w:lang w:eastAsia="zh-CN"/>
        </w:rPr>
      </w:pPr>
      <w:bookmarkStart w:id="624" w:name="_Toc15211"/>
      <w:bookmarkStart w:id="625" w:name="_Toc15841"/>
      <w:r>
        <w:rPr>
          <w:rFonts w:ascii="宋体" w:hAnsi="宋体" w:eastAsia="宋体" w:cs="宋体"/>
          <w:b/>
          <w:bCs/>
          <w:color w:val="auto"/>
          <w:spacing w:val="5"/>
          <w:sz w:val="28"/>
          <w:szCs w:val="28"/>
          <w:highlight w:val="none"/>
        </w:rPr>
        <w:t>A</w:t>
      </w:r>
      <w:r>
        <w:rPr>
          <w:rFonts w:hint="eastAsia" w:ascii="宋体" w:hAnsi="宋体" w:eastAsia="宋体" w:cs="宋体"/>
          <w:b/>
          <w:bCs/>
          <w:color w:val="auto"/>
          <w:spacing w:val="5"/>
          <w:sz w:val="28"/>
          <w:szCs w:val="28"/>
          <w:highlight w:val="none"/>
          <w:lang w:val="en-US" w:eastAsia="zh-CN"/>
        </w:rPr>
        <w:t>.</w:t>
      </w:r>
      <w:r>
        <w:rPr>
          <w:rFonts w:hint="eastAsia" w:ascii="Times New Roman" w:hAnsi="Times New Roman" w:eastAsia="宋体" w:cs="宋体"/>
          <w:color w:val="auto"/>
          <w:kern w:val="21"/>
          <w:sz w:val="28"/>
          <w:szCs w:val="28"/>
          <w:highlight w:val="none"/>
          <w:lang w:eastAsia="zh-CN"/>
        </w:rPr>
        <w:t>公路工程专用合同条款</w:t>
      </w:r>
      <w:bookmarkEnd w:id="624"/>
      <w:bookmarkEnd w:id="625"/>
    </w:p>
    <w:p w14:paraId="60740180">
      <w:pPr>
        <w:spacing w:line="360" w:lineRule="auto"/>
        <w:jc w:val="both"/>
        <w:rPr>
          <w:rFonts w:hint="eastAsia" w:ascii="Times New Roman" w:hAnsi="Times New Roman" w:eastAsia="宋体" w:cs="宋体"/>
          <w:color w:val="auto"/>
          <w:kern w:val="21"/>
          <w:highlight w:val="none"/>
          <w:lang w:eastAsia="zh-CN"/>
        </w:rPr>
      </w:pPr>
    </w:p>
    <w:p w14:paraId="399A7595">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26" w:name="_Toc503518013"/>
      <w:r>
        <w:rPr>
          <w:rFonts w:hint="eastAsia" w:ascii="Times New Roman" w:hAnsi="Times New Roman" w:eastAsia="宋体" w:cs="宋体"/>
          <w:b/>
          <w:bCs/>
          <w:color w:val="auto"/>
          <w:kern w:val="21"/>
          <w:sz w:val="28"/>
          <w:szCs w:val="28"/>
          <w:highlight w:val="none"/>
          <w:lang w:eastAsia="zh-CN"/>
        </w:rPr>
        <w:t>1. 一般约定</w:t>
      </w:r>
      <w:bookmarkEnd w:id="626"/>
    </w:p>
    <w:p w14:paraId="3720C7B7">
      <w:pPr>
        <w:spacing w:before="120" w:beforeLines="50"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 词语定义</w:t>
      </w:r>
    </w:p>
    <w:p w14:paraId="49E70F86">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1.1.1 合同</w:t>
      </w:r>
    </w:p>
    <w:p w14:paraId="2A070EF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第1.1.1.1目细化为：</w:t>
      </w:r>
    </w:p>
    <w:p w14:paraId="64A521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文件（或称合同）：指合同协议书及各种合同附件、中标通知书、投标函、项目专用合同条款、公路工程专用合同条款、通用合同条款、委托人要求、监理服务费用清单、监理人有关人员和试验检测设备投入的承诺，以及其他构成合同组成部分的文件。</w:t>
      </w:r>
    </w:p>
    <w:p w14:paraId="7B1F637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第1.1.1.5目不适用。</w:t>
      </w:r>
    </w:p>
    <w:p w14:paraId="0C8DF86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第1.1.1.8目细化为：</w:t>
      </w:r>
    </w:p>
    <w:p w14:paraId="266A5A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1.1.1.8 监理服务费用清单：指监理人投标文件中的监理服务费用清单。</w:t>
      </w:r>
    </w:p>
    <w:p w14:paraId="0827AEFA">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1.1.2 合同当事人和人员</w:t>
      </w:r>
    </w:p>
    <w:p w14:paraId="7D66CD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本项补充第1.1.2.7目至第1.1.2.9目：</w:t>
      </w:r>
    </w:p>
    <w:p w14:paraId="228808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1.1.2.7 监理机构：指由监理人在项目现场设立的履行监理职责的组织，包括总监理工程师办公室（简称总监办）及驻地监理工程师办公室（简称驻地办）。</w:t>
      </w:r>
    </w:p>
    <w:p w14:paraId="27637DD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1.1.2.8 行政管理部门：指交通运输主管部门或对本工程依法享有行政监督权限的其他政府部门。</w:t>
      </w:r>
    </w:p>
    <w:p w14:paraId="57BB505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1.1.2.9 第三方：指除委托人、监理人之外，与本工程建设有关的其他当事人。</w:t>
      </w:r>
    </w:p>
    <w:p w14:paraId="2BACBDC3">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1.1.3 工程和监理</w:t>
      </w:r>
    </w:p>
    <w:p w14:paraId="0CC412D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第1.1.3.1目细化为：</w:t>
      </w:r>
    </w:p>
    <w:p w14:paraId="7F06816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工程：指为完成项目所实施的一项或若干项永久或临时工程（包括向委托人提供的物资和设备），具体情况在项目专用合同条款中指明。</w:t>
      </w:r>
    </w:p>
    <w:p w14:paraId="25D42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第1.1.3.2目细化为：</w:t>
      </w:r>
    </w:p>
    <w:p w14:paraId="4E371F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服务：指监理人接受委托人的委托，依照法律、规范标准和监理合同等，对公路工程施工准备、施工、验收与缺陷责任期等阶段进行质量控制、进度控制、投资控制、合同管理、信息管理、组织协调和安全监理、环保监理的服务活动。</w:t>
      </w:r>
      <w:bookmarkStart w:id="627" w:name="_Toc493143919"/>
    </w:p>
    <w:p w14:paraId="13FD3C6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第1.4款细化为：</w:t>
      </w:r>
    </w:p>
    <w:p w14:paraId="34BB1FD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1.4 合同文件的优先顺序</w:t>
      </w:r>
    </w:p>
    <w:p w14:paraId="117C81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组成合同的各项文件应互相解释，互为说明。除项目专用合同条款另有约定外，解释合同文件的优先顺序如下：</w:t>
      </w:r>
    </w:p>
    <w:p w14:paraId="013EE8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（1）合同协议书及各种合同附件；</w:t>
      </w:r>
    </w:p>
    <w:p w14:paraId="7FA6749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79540F0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w:t>
      </w:r>
    </w:p>
    <w:p w14:paraId="3B558DA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（4）项目专用合同条款；</w:t>
      </w:r>
    </w:p>
    <w:p w14:paraId="0A99E01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（5）公路工程专用合同条款；</w:t>
      </w:r>
    </w:p>
    <w:p w14:paraId="6D17046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（6）通用合同条款；</w:t>
      </w:r>
    </w:p>
    <w:p w14:paraId="2B57CF9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（7）委托人要求；</w:t>
      </w:r>
    </w:p>
    <w:p w14:paraId="3FF476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（8）监理服务费用清单；</w:t>
      </w:r>
    </w:p>
    <w:p w14:paraId="6E70A7A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（9）监理人有关人员、试验检测设备投入的承诺；</w:t>
      </w:r>
    </w:p>
    <w:p w14:paraId="16CCF64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（10）其他合同文件。</w:t>
      </w:r>
    </w:p>
    <w:p w14:paraId="727C754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合同当事人针对各类合同文件所作出的补充和修改亦属于合同文件的组成部分，属于同一类内容的文件，应以最新签署的为准。</w:t>
      </w:r>
    </w:p>
    <w:p w14:paraId="2462F37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1.6 文件的提供和照管</w:t>
      </w:r>
    </w:p>
    <w:p w14:paraId="0A219060">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sz w:val="24"/>
          <w:szCs w:val="24"/>
          <w:highlight w:val="none"/>
          <w:lang w:eastAsia="zh-CN"/>
        </w:rPr>
        <w:t xml:space="preserve"> </w:t>
      </w:r>
      <w:r>
        <w:rPr>
          <w:rFonts w:hint="eastAsia" w:ascii="Times New Roman" w:hAnsi="Times New Roman" w:eastAsia="宋体" w:cs="宋体"/>
          <w:color w:val="auto"/>
          <w:kern w:val="21"/>
          <w:highlight w:val="none"/>
          <w:lang w:eastAsia="zh-CN"/>
        </w:rPr>
        <w:t>第1.6.1项和第1.6.2项细化为：</w:t>
      </w:r>
    </w:p>
    <w:p w14:paraId="2351D64C">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1.6.1 监理文件的提供</w:t>
      </w:r>
    </w:p>
    <w:p w14:paraId="63F57A8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合理的期限内按照国家、公路行业现行标准、规范、规定，《公路工程施工监理规范》及施工承包合同约定向委托人提供监理文件。合同约定监理文件应经委托人批复的，委托人应当在合同约定的期限内批复或提出修改意见。</w:t>
      </w:r>
    </w:p>
    <w:p w14:paraId="1871E8AE">
      <w:pPr>
        <w:spacing w:line="360" w:lineRule="auto"/>
        <w:ind w:firstLine="422" w:firstLineChars="200"/>
        <w:jc w:val="both"/>
        <w:rPr>
          <w:rFonts w:hint="eastAsia" w:ascii="Times New Roman" w:hAnsi="Times New Roman" w:eastAsia="宋体" w:cs="宋体"/>
          <w:b/>
          <w:bCs/>
          <w:color w:val="auto"/>
          <w:kern w:val="21"/>
          <w:highlight w:val="none"/>
          <w:lang w:eastAsia="zh-CN"/>
        </w:rPr>
      </w:pPr>
      <w:r>
        <w:rPr>
          <w:rFonts w:hint="eastAsia" w:ascii="Times New Roman" w:hAnsi="Times New Roman" w:eastAsia="宋体" w:cs="宋体"/>
          <w:b/>
          <w:bCs/>
          <w:color w:val="auto"/>
          <w:kern w:val="21"/>
          <w:highlight w:val="none"/>
          <w:lang w:eastAsia="zh-CN"/>
        </w:rPr>
        <w:t>1.6.2 委托人提供的文件</w:t>
      </w:r>
    </w:p>
    <w:p w14:paraId="31F3FCB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本款细化为：</w:t>
      </w:r>
    </w:p>
    <w:p w14:paraId="51A01C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除项目专用合同条款另有约定外，委托人应在监理合同生效且取得相关文件、资料后7日内，向监理人免费提供下述文件、资料：</w:t>
      </w:r>
    </w:p>
    <w:p w14:paraId="2C11D5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（1）委托人与承包人签订的施工承包合同1份。</w:t>
      </w:r>
    </w:p>
    <w:p w14:paraId="37C540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（2）委托人与承包人共同确认的已标价的工程数量清单及其说明1份。</w:t>
      </w:r>
    </w:p>
    <w:p w14:paraId="15BDBAF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（3）合同图纸和相关的标准图纸及说明1套。</w:t>
      </w:r>
    </w:p>
    <w:p w14:paraId="123372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（4）合同指定使用的技术规范、检验评定标准、操作规程1套。</w:t>
      </w:r>
    </w:p>
    <w:p w14:paraId="76703D5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（5）其他相关资料。</w:t>
      </w:r>
    </w:p>
    <w:p w14:paraId="4EC72D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由于委托人未按时提供文件造成监理服务期限延误的，按第6.2款约定执行。</w:t>
      </w:r>
    </w:p>
    <w:p w14:paraId="27396F7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第1.8款细化为：</w:t>
      </w:r>
    </w:p>
    <w:bookmarkEnd w:id="627"/>
    <w:p w14:paraId="5D91E83C">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28" w:name="_Toc493143920"/>
      <w:r>
        <w:rPr>
          <w:rFonts w:hint="eastAsia" w:ascii="Times New Roman" w:hAnsi="Times New Roman" w:eastAsia="宋体" w:cs="宋体"/>
          <w:b/>
          <w:bCs/>
          <w:color w:val="auto"/>
          <w:kern w:val="21"/>
          <w:sz w:val="24"/>
          <w:szCs w:val="24"/>
          <w:highlight w:val="none"/>
          <w:lang w:eastAsia="zh-CN"/>
        </w:rPr>
        <w:t>1.8 转让和分包</w:t>
      </w:r>
    </w:p>
    <w:p w14:paraId="1947EB4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1.8.1 </w:t>
      </w:r>
      <w:r>
        <w:rPr>
          <w:rFonts w:hint="eastAsia" w:ascii="Times New Roman" w:hAnsi="Times New Roman" w:eastAsia="宋体" w:cs="宋体"/>
          <w:color w:val="auto"/>
          <w:kern w:val="21"/>
          <w:highlight w:val="none"/>
          <w:lang w:eastAsia="zh-CN"/>
        </w:rPr>
        <w:t>除项目专用合同条款另有约定外，未经对方当事人同意，一方当事人不得将合同权利全部或部分转让给第三人，也不得全部或部分转移合同义务。</w:t>
      </w:r>
    </w:p>
    <w:p w14:paraId="6D338CD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1.8.2 </w:t>
      </w:r>
      <w:r>
        <w:rPr>
          <w:rFonts w:hint="eastAsia" w:ascii="Times New Roman" w:hAnsi="Times New Roman" w:eastAsia="宋体" w:cs="宋体"/>
          <w:color w:val="auto"/>
          <w:kern w:val="21"/>
          <w:highlight w:val="none"/>
          <w:lang w:eastAsia="zh-CN"/>
        </w:rPr>
        <w:t>监理人不得将监理服务的任何部分分包。监理人因监理服务的需要，聘用专业技术人员和辅助工作人员不属于分包。</w:t>
      </w:r>
    </w:p>
    <w:p w14:paraId="0930508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1.10 知识产权</w:t>
      </w:r>
    </w:p>
    <w:p w14:paraId="0389B74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新增第1.10.4项：</w:t>
      </w:r>
    </w:p>
    <w:p w14:paraId="76B002D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1.10.4 </w:t>
      </w:r>
      <w:r>
        <w:rPr>
          <w:rFonts w:hint="eastAsia" w:ascii="Times New Roman" w:hAnsi="Times New Roman" w:eastAsia="宋体" w:cs="宋体"/>
          <w:color w:val="auto"/>
          <w:kern w:val="21"/>
          <w:highlight w:val="none"/>
          <w:lang w:eastAsia="zh-CN"/>
        </w:rPr>
        <w:t>除项目专用合同条款另有约定外，监理人有权出版与本项目或本工程监理服务有关的资料。但未经委托人同意，上述出版物中不得涉及委托人的专利、专有技术以及经济情报。</w:t>
      </w:r>
    </w:p>
    <w:p w14:paraId="7FFF21D7">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新增第1.13项：</w:t>
      </w:r>
    </w:p>
    <w:p w14:paraId="2F296DD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1.13 避免利益冲突</w:t>
      </w:r>
    </w:p>
    <w:p w14:paraId="105D2D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未经委托人书面同意，监理人不得获取本监理合同约定以外的与本工程有关的任何利益，不得参与与本监理合同约定的委托人利益相冲突的任何活动。</w:t>
      </w:r>
    </w:p>
    <w:p w14:paraId="063058EE">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29" w:name="_Toc503518014"/>
      <w:r>
        <w:rPr>
          <w:rFonts w:hint="eastAsia" w:ascii="Times New Roman" w:hAnsi="Times New Roman" w:eastAsia="宋体" w:cs="宋体"/>
          <w:b/>
          <w:bCs/>
          <w:color w:val="auto"/>
          <w:kern w:val="21"/>
          <w:sz w:val="28"/>
          <w:szCs w:val="28"/>
          <w:highlight w:val="none"/>
          <w:lang w:eastAsia="zh-CN"/>
        </w:rPr>
        <w:t>2. 委托人义务</w:t>
      </w:r>
      <w:bookmarkEnd w:id="629"/>
    </w:p>
    <w:p w14:paraId="0EBA3B8B">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新增第2.7款至第2.10款：</w:t>
      </w:r>
    </w:p>
    <w:p w14:paraId="2C2BE47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2.7 协助</w:t>
      </w:r>
    </w:p>
    <w:p w14:paraId="40670A3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委托人在工程所在地向监理人提供进驻现场的相关条件，解决非监理人原因而发生意外事件时，监理工作人员的撤场和相关事宜；并避免监理人根据监理合同提供监理服务而导致的第三方收费（不含税金）。</w:t>
      </w:r>
    </w:p>
    <w:p w14:paraId="6335E55E">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30" w:name="_Toc493143930"/>
      <w:r>
        <w:rPr>
          <w:rFonts w:hint="eastAsia" w:ascii="Times New Roman" w:hAnsi="Times New Roman" w:eastAsia="宋体" w:cs="宋体"/>
          <w:b/>
          <w:bCs/>
          <w:color w:val="auto"/>
          <w:kern w:val="21"/>
          <w:sz w:val="24"/>
          <w:szCs w:val="24"/>
          <w:highlight w:val="none"/>
          <w:lang w:eastAsia="zh-CN"/>
        </w:rPr>
        <w:t>2.8 授权通知</w:t>
      </w:r>
    </w:p>
    <w:p w14:paraId="435EC45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委托人必须将履行监理服务的监理人及委托人授予监理人的权力，及时用书面形式通知第三方。</w:t>
      </w:r>
    </w:p>
    <w:p w14:paraId="7DDFC824">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2.9 委托人指令的下达</w:t>
      </w:r>
    </w:p>
    <w:p w14:paraId="42F0451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委托人在本合同约定的服务范围内对承包人的任何意见或要求，应通过监理人向承包人提出。</w:t>
      </w:r>
    </w:p>
    <w:p w14:paraId="5AA172B5">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2.10 保障</w:t>
      </w:r>
    </w:p>
    <w:p w14:paraId="25CC514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在监理人不违反有关法律、法规的前提下，委托人应保障监理人免受因履行本监理合同而引起的外界索赔或干扰。</w:t>
      </w:r>
    </w:p>
    <w:p w14:paraId="4F5AC32B">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1" w:name="_Toc503518015"/>
      <w:r>
        <w:rPr>
          <w:rFonts w:hint="eastAsia" w:ascii="Times New Roman" w:hAnsi="Times New Roman" w:eastAsia="宋体" w:cs="宋体"/>
          <w:b/>
          <w:bCs/>
          <w:color w:val="auto"/>
          <w:kern w:val="21"/>
          <w:sz w:val="28"/>
          <w:szCs w:val="28"/>
          <w:highlight w:val="none"/>
          <w:lang w:eastAsia="zh-CN"/>
        </w:rPr>
        <w:t>3. 委托人管理</w:t>
      </w:r>
      <w:bookmarkEnd w:id="631"/>
    </w:p>
    <w:p w14:paraId="65BB3DF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3.3 决定或答复</w:t>
      </w:r>
    </w:p>
    <w:p w14:paraId="10292B1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第3.3.2项细化为：</w:t>
      </w:r>
    </w:p>
    <w:bookmarkEnd w:id="630"/>
    <w:p w14:paraId="60DBEE0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委托人对监理人关于本工程的工期、质量、投资、合约和安全等问题提出的请示应及时作出书面答复。对上述请示给予书面答复的期限，自收到书面请示之日起最长不超过7日，重大问题不得超过28日。</w:t>
      </w:r>
      <w:bookmarkStart w:id="632" w:name="_Toc493143931"/>
      <w:r>
        <w:rPr>
          <w:rFonts w:hint="eastAsia" w:ascii="Times New Roman" w:hAnsi="Times New Roman" w:eastAsia="宋体" w:cs="宋体"/>
          <w:color w:val="auto"/>
          <w:kern w:val="21"/>
          <w:highlight w:val="none"/>
          <w:lang w:eastAsia="zh-CN"/>
        </w:rPr>
        <w:t>逾期没有作出答复的，视为已获得委托人的批准。</w:t>
      </w:r>
      <w:bookmarkEnd w:id="632"/>
      <w:bookmarkStart w:id="633" w:name="_Toc493143932"/>
    </w:p>
    <w:bookmarkEnd w:id="633"/>
    <w:p w14:paraId="3A757963">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4" w:name="_Toc503518016"/>
      <w:r>
        <w:rPr>
          <w:rFonts w:hint="eastAsia" w:ascii="Times New Roman" w:hAnsi="Times New Roman" w:eastAsia="宋体" w:cs="宋体"/>
          <w:b/>
          <w:bCs/>
          <w:color w:val="auto"/>
          <w:kern w:val="21"/>
          <w:sz w:val="28"/>
          <w:szCs w:val="28"/>
          <w:highlight w:val="none"/>
          <w:lang w:eastAsia="zh-CN"/>
        </w:rPr>
        <w:t>4. 监理人义务</w:t>
      </w:r>
      <w:bookmarkEnd w:id="634"/>
    </w:p>
    <w:p w14:paraId="396E1FC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第4.2款细化为：</w:t>
      </w:r>
    </w:p>
    <w:p w14:paraId="0BF2BAA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4.2 履约保证金</w:t>
      </w:r>
    </w:p>
    <w:p w14:paraId="5615DBD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4.2.1</w:t>
      </w:r>
      <w:r>
        <w:rPr>
          <w:rFonts w:hint="eastAsia" w:ascii="Times New Roman" w:hAnsi="Times New Roman" w:eastAsia="宋体" w:cs="宋体"/>
          <w:color w:val="auto"/>
          <w:kern w:val="21"/>
          <w:highlight w:val="none"/>
          <w:lang w:eastAsia="zh-CN"/>
        </w:rPr>
        <w:t xml:space="preserve"> 履约保证金自合同生效之日起生效。在签发合同工程交工证书后，监理人应按委托人要求的格式，以项目专用合同条款规定的额度向委托人提交缺陷责任期保函。委托人在收到监理人提交的缺陷责任期保函后7日内向监理人返还履约保证金。在签发工程缺陷责任终止证书后14日内，委托人向监理人返还缺陷责任期保函。</w:t>
      </w:r>
    </w:p>
    <w:p w14:paraId="5FB72B6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4.2.2</w:t>
      </w:r>
      <w:r>
        <w:rPr>
          <w:rFonts w:hint="eastAsia" w:ascii="Times New Roman" w:hAnsi="Times New Roman" w:eastAsia="宋体" w:cs="宋体"/>
          <w:color w:val="auto"/>
          <w:kern w:val="21"/>
          <w:highlight w:val="none"/>
          <w:lang w:eastAsia="zh-CN"/>
        </w:rPr>
        <w:t xml:space="preserve"> 如果监理人不履行合同约定的义务或其履行不符合合同的约定，委托人有权扣划相应金额的履约保证金或缺陷责任期保函，但不影响监理人根据监理合同应当得到的其他款项的支付。</w:t>
      </w:r>
    </w:p>
    <w:p w14:paraId="478C5935">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4.3 联合体</w:t>
      </w:r>
    </w:p>
    <w:p w14:paraId="4B52CA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第4.3.3项细化为：</w:t>
      </w:r>
    </w:p>
    <w:p w14:paraId="7F7D287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联合体牵头人负责与委托人联系并接受指示，负责组织联合体各成员全面履行合同。委托人就本合同工程向联合体牵头人发布的任何指令、指示、通知等均对联合体其他成员具有同等效力。</w:t>
      </w:r>
    </w:p>
    <w:p w14:paraId="48518BF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补充第4.3.4项：</w:t>
      </w:r>
    </w:p>
    <w:p w14:paraId="310E44E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4.3.4</w:t>
      </w:r>
      <w:r>
        <w:rPr>
          <w:rFonts w:hint="eastAsia" w:ascii="Times New Roman" w:hAnsi="Times New Roman" w:eastAsia="宋体" w:cs="宋体"/>
          <w:color w:val="auto"/>
          <w:kern w:val="21"/>
          <w:highlight w:val="none"/>
          <w:lang w:eastAsia="zh-CN"/>
        </w:rPr>
        <w:t xml:space="preserve"> 未经委托人同意，联合体的组成、结构与业务分工均不得变动。</w:t>
      </w:r>
    </w:p>
    <w:p w14:paraId="03C7932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4.4 总监理工程师</w:t>
      </w:r>
    </w:p>
    <w:p w14:paraId="1CB8574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第4.4.1项细化为：</w:t>
      </w:r>
    </w:p>
    <w:p w14:paraId="1B0E872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合同协议书的约定指派总监理工程师，并在约定的期限内到职。监理人更换总监理工程师应事先征得委托人同意，并应在更换14天前将拟更换的总监理工程师的姓名和详细资料提交委托人，拟更换的总监理工程师资历应不低于原总监理工程师。总监理工程师2天内不能履行职责的，应事先征得委托人同意，并委派代表代行其职责。</w:t>
      </w:r>
    </w:p>
    <w:p w14:paraId="18AB08F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4.5 监理人员的管理</w:t>
      </w:r>
    </w:p>
    <w:p w14:paraId="59B4D7E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第4.5.1项、4.5.2项细化为：</w:t>
      </w:r>
    </w:p>
    <w:p w14:paraId="4750F89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4.5.1</w:t>
      </w:r>
      <w:r>
        <w:rPr>
          <w:rFonts w:hint="eastAsia" w:ascii="Times New Roman" w:hAnsi="Times New Roman" w:eastAsia="宋体" w:cs="宋体"/>
          <w:color w:val="auto"/>
          <w:kern w:val="21"/>
          <w:highlight w:val="none"/>
          <w:lang w:eastAsia="zh-CN"/>
        </w:rPr>
        <w:t xml:space="preserve"> 监理人应在接到开始监理通知之日起7天内，向委托人提交监理项目机构以及人员安排的报告，其内容应包括项目机构设置、主要监理人员和其他人员的名单及资格条件。主要监理人员应常驻现场并相对稳定。更换主要监理人员的，应取得委托人的同意，并向委托人提交继任人员的资格、管理经验等资料，继任人员的资历应不低于原监理人员。总监理工程师的更换，应按照本章第4.4.1项规定执行。</w:t>
      </w:r>
    </w:p>
    <w:p w14:paraId="755907F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4.5.2 </w:t>
      </w:r>
      <w:r>
        <w:rPr>
          <w:rFonts w:hint="eastAsia" w:ascii="Times New Roman" w:hAnsi="Times New Roman" w:eastAsia="宋体" w:cs="宋体"/>
          <w:color w:val="auto"/>
          <w:kern w:val="21"/>
          <w:highlight w:val="none"/>
          <w:lang w:eastAsia="zh-CN"/>
        </w:rPr>
        <w:t>除项目专用合同条款另有约定外，主要监理人员包括总监理工程师、专业监理工程师等；其他人员包括各专业的监理员、试验员、资料员等。</w:t>
      </w:r>
    </w:p>
    <w:p w14:paraId="32EBEB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新增第4.9款：</w:t>
      </w:r>
    </w:p>
    <w:p w14:paraId="40E75C1B">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4.9 党建工作要求</w:t>
      </w:r>
    </w:p>
    <w:p w14:paraId="107274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对于政府投资的国家高速公路项目，或监理人为国有控股或参股企业的，监理人应按规定在项目现场设立基层党组织。不满足上述情形的，监理人应创造条件使党员能够参加党组织生活并接受相应管理。</w:t>
      </w:r>
    </w:p>
    <w:p w14:paraId="78388A0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在项目现场设立基层党组织的，应明确党组织机构设置、党组织负责人及党务工作人员配备情况，编制党务工作开展预案，并按照预案要求在项目实施过程中同步开展党务工作，充分发挥基层党组织在项目实施的作用。</w:t>
      </w:r>
    </w:p>
    <w:p w14:paraId="63B18878">
      <w:pPr>
        <w:spacing w:line="360" w:lineRule="auto"/>
        <w:ind w:firstLine="420" w:firstLineChars="200"/>
        <w:jc w:val="both"/>
        <w:rPr>
          <w:rFonts w:hint="eastAsia" w:ascii="Times New Roman" w:hAnsi="Times New Roman" w:eastAsia="宋体" w:cs="宋体"/>
          <w:color w:val="auto"/>
          <w:kern w:val="21"/>
          <w:highlight w:val="none"/>
          <w:lang w:eastAsia="zh-CN"/>
        </w:rPr>
      </w:pPr>
    </w:p>
    <w:p w14:paraId="452513F6">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5" w:name="_Toc503518017"/>
      <w:r>
        <w:rPr>
          <w:rFonts w:hint="eastAsia" w:ascii="Times New Roman" w:hAnsi="Times New Roman" w:eastAsia="宋体" w:cs="宋体"/>
          <w:b/>
          <w:bCs/>
          <w:color w:val="auto"/>
          <w:kern w:val="21"/>
          <w:sz w:val="28"/>
          <w:szCs w:val="28"/>
          <w:highlight w:val="none"/>
          <w:lang w:eastAsia="zh-CN"/>
        </w:rPr>
        <w:t>5. 监理要求</w:t>
      </w:r>
      <w:bookmarkEnd w:id="635"/>
    </w:p>
    <w:p w14:paraId="20ECA9A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5.1 监理范围</w:t>
      </w:r>
    </w:p>
    <w:p w14:paraId="162366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第5.1.3项细化为：</w:t>
      </w:r>
    </w:p>
    <w:p w14:paraId="7A57397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阶段范围指公路工程建设程序中的施工准备阶段、施工阶段、验收与缺陷责任期阶段中的一个或者多个阶段，具体范围在项目专用合同条款中约定。</w:t>
      </w:r>
    </w:p>
    <w:p w14:paraId="0489CE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第5.2款细化为：</w:t>
      </w:r>
    </w:p>
    <w:p w14:paraId="046768C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5.2 监理依据</w:t>
      </w:r>
    </w:p>
    <w:p w14:paraId="6EF157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除项目专用合同条款另有约定外，本工程的监理依据如下：</w:t>
      </w:r>
    </w:p>
    <w:p w14:paraId="642994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（1）适用的法律、行政法规及部门规章；</w:t>
      </w:r>
    </w:p>
    <w:p w14:paraId="22A44E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（2）与工程有关的规范、标准、规程；</w:t>
      </w:r>
    </w:p>
    <w:p w14:paraId="250BAD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（3）工程前期有关文件；</w:t>
      </w:r>
    </w:p>
    <w:p w14:paraId="34CB48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（4）工程勘察文件、设计文件及其他文件；</w:t>
      </w:r>
    </w:p>
    <w:p w14:paraId="6988E81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（5）本工程监理的委托合同及补充合同；</w:t>
      </w:r>
    </w:p>
    <w:p w14:paraId="18CE098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（6）委托人签订的施工承包合同；</w:t>
      </w:r>
    </w:p>
    <w:p w14:paraId="0D23D09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（7）合同履行中与监理服务有关的来往函件；</w:t>
      </w:r>
    </w:p>
    <w:p w14:paraId="3D57E79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（8）其他监理依据。</w:t>
      </w:r>
    </w:p>
    <w:p w14:paraId="504544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第5.3款细化为：</w:t>
      </w:r>
    </w:p>
    <w:p w14:paraId="40A85F8B">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5.3 监理内容</w:t>
      </w:r>
    </w:p>
    <w:p w14:paraId="336CA5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本款细化为：</w:t>
      </w:r>
    </w:p>
    <w:p w14:paraId="7273A7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照《公路工程施工监理规范》及相关法律、法规开展监理服务。委托人须依据《公路工程施工监理规范》要求对监理机构的设置方式进行选择，并在项目专用合同条款中予以约定。各阶段监理服务包括但不限于以下内容，委托人可根据工程实际情况在项目专用合同条款中对其进行调整。</w:t>
      </w:r>
    </w:p>
    <w:p w14:paraId="69789111">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5.3.1</w:t>
      </w:r>
      <w:r>
        <w:rPr>
          <w:rFonts w:hint="eastAsia" w:ascii="Times New Roman" w:hAnsi="Times New Roman" w:eastAsia="宋体" w:cs="宋体"/>
          <w:color w:val="auto"/>
          <w:kern w:val="21"/>
          <w:highlight w:val="none"/>
          <w:lang w:eastAsia="zh-CN"/>
        </w:rPr>
        <w:t xml:space="preserve"> 在工程同时设置总监办和驻地办时，总监办的监理服务内容为：</w:t>
      </w:r>
    </w:p>
    <w:p w14:paraId="387186D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（1）总监办工地试验室按监理合同要求配备常规的试验检测设备，并须达到项目专用合同条款中约定的检查项目及频率要求；</w:t>
      </w:r>
    </w:p>
    <w:p w14:paraId="5405C76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77D0BD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（3）在合同约定的期限内主持编制监理计划；</w:t>
      </w:r>
    </w:p>
    <w:p w14:paraId="6CA037A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（4）审批各驻地办主持编制的监理细则；</w:t>
      </w:r>
    </w:p>
    <w:p w14:paraId="3E73F5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1068095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（6）在合同约定的期限内审批承包人提交的施工组织设计（含安全技术措施、应急救援抢险方案、专项施工方案及施工环境保护措施）；</w:t>
      </w:r>
    </w:p>
    <w:p w14:paraId="7858D58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（7）审批承包人提交的总体进度计划，核批承包人对总体进度计划的调整计划；</w:t>
      </w:r>
    </w:p>
    <w:p w14:paraId="77FD73E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（8）签发开工预付款支付证书；</w:t>
      </w:r>
    </w:p>
    <w:p w14:paraId="5262E3C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（9）审批承包人提交的分项、分部、单位工程划分；</w:t>
      </w:r>
    </w:p>
    <w:p w14:paraId="4669F2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（10）检查承包人的质量、安全和环保等保证体系，审核工地试验室，抽查控制桩点复测、测定地面线和工程划分及驻地办工作；</w:t>
      </w:r>
    </w:p>
    <w:p w14:paraId="3466832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（11）主持召开监理交底会；</w:t>
      </w:r>
    </w:p>
    <w:p w14:paraId="2DB42F3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（12）主持召开第一次工地会议；</w:t>
      </w:r>
    </w:p>
    <w:p w14:paraId="68FE96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（13）签发合同工程开工令；</w:t>
      </w:r>
    </w:p>
    <w:p w14:paraId="450A486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（14）审批重要工程材料及混合料配合比；</w:t>
      </w:r>
    </w:p>
    <w:p w14:paraId="149675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（15）审核工程中期支付申请，签发中期支付证书；</w:t>
      </w:r>
    </w:p>
    <w:p w14:paraId="46665BC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（16）签发单位工程或合同工程的暂停令和复工令；</w:t>
      </w:r>
    </w:p>
    <w:p w14:paraId="6F3095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（17）受理合同其他事项的有关事宜，按合同约定审核、评估和处理工程变更、工程延期、费用索赔、价格调整、保险、违约、争端等合同事项；</w:t>
      </w:r>
    </w:p>
    <w:p w14:paraId="072CD58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（18）组织编写监理月报；</w:t>
      </w:r>
    </w:p>
    <w:p w14:paraId="3A0B3D2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（19）根据工程需要主持召开专题工地会议；</w:t>
      </w:r>
    </w:p>
    <w:p w14:paraId="40C16F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（20）对发生的质量缺陷、质量隐患和质量事故进行调查、处理或督促承包人按规定报告有关部门；</w:t>
      </w:r>
    </w:p>
    <w:p w14:paraId="15AD3B3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（21）协助委托人审查交工验收申请，评定工程质量；</w:t>
      </w:r>
    </w:p>
    <w:p w14:paraId="00FFFBF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（22）参加委托人组织的合同工程交工验收；</w:t>
      </w:r>
    </w:p>
    <w:p w14:paraId="073251A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（23）编写监理工作报告，并提交委托人；</w:t>
      </w:r>
    </w:p>
    <w:p w14:paraId="016AD3C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（24）签认交工结账证书；</w:t>
      </w:r>
    </w:p>
    <w:p w14:paraId="642E8D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（25）组织编制工程监理竣工文件，并督促承包人按合同约定编制和整理竣工资料；</w:t>
      </w:r>
    </w:p>
    <w:p w14:paraId="046274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（26）在合同工程的缺陷责任期内，检查承包人剩余工程的实施；巡视检查已完工程，指示承包人修复发生的工程缺陷，调查、确认缺陷责任及修复费用；</w:t>
      </w:r>
    </w:p>
    <w:p w14:paraId="7178913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（27）缺陷责任期结束，经检查符合条件时，签发合同工程缺陷责任终止证书；</w:t>
      </w:r>
    </w:p>
    <w:p w14:paraId="41B8ACD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（28）签认最后支付证书；</w:t>
      </w:r>
    </w:p>
    <w:p w14:paraId="551B8A2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（29）参加工程竣工验收；</w:t>
      </w:r>
    </w:p>
    <w:p w14:paraId="2A434EA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（30）按照项目专用合同条款约定提供其他工程管理咨询服务。</w:t>
      </w:r>
    </w:p>
    <w:p w14:paraId="36A6614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5.3.2 </w:t>
      </w:r>
      <w:r>
        <w:rPr>
          <w:rFonts w:hint="eastAsia" w:ascii="Times New Roman" w:hAnsi="Times New Roman" w:eastAsia="宋体" w:cs="宋体"/>
          <w:color w:val="auto"/>
          <w:kern w:val="21"/>
          <w:highlight w:val="none"/>
          <w:lang w:eastAsia="zh-CN"/>
        </w:rPr>
        <w:t>在工程同时设置总监办和驻地办时，驻地办的监理服务内容为：</w:t>
      </w:r>
    </w:p>
    <w:p w14:paraId="0E8B6E6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（1）按项目专用合同条款的约定建立（或不建立）工地试验室，如需驻地办建立工地试验室，应配备现场抽查常用的试验检测设备，并在项目专用合同条款中明确检查项目和频率的要求；</w:t>
      </w:r>
    </w:p>
    <w:p w14:paraId="25EFF8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52179F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（3）在总监办的安排下，参与编制监理计划，提供本驻地办相关资料；</w:t>
      </w:r>
    </w:p>
    <w:p w14:paraId="2C7C7C4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（4）根据监理计划在相应工程开工前主持编制监理细则；</w:t>
      </w:r>
    </w:p>
    <w:p w14:paraId="27228D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1E6C00C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（6）按规定程序初审本驻地监理标段承包人提交的施工组织设计（含安全技术措施、应急救援抢险方案、专项施工方案及施工环境保护措施）；</w:t>
      </w:r>
    </w:p>
    <w:p w14:paraId="229B6D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（7）初审本驻地监理标段承包人提交的总体进度计划以及施工中进行的调整计划；</w:t>
      </w:r>
    </w:p>
    <w:p w14:paraId="489370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（8）对承包人提交的原始基准点、基准线和基准高程的复测结果进行平行复测，审核后予以批复；</w:t>
      </w:r>
    </w:p>
    <w:p w14:paraId="7C7FB32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（9）验收承包人测定的地面线；</w:t>
      </w:r>
    </w:p>
    <w:p w14:paraId="735C190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（10）确认承包人提交的场地占用计划；</w:t>
      </w:r>
    </w:p>
    <w:p w14:paraId="2296517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（11）核算承包人对工程量清单的复核结果；</w:t>
      </w:r>
    </w:p>
    <w:p w14:paraId="23F8EAD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（12）按合同约定对工程分包计划和协议进行审查，审查分包合同中是否明确了承包人与分包人各自在安全生产方面的责任；</w:t>
      </w:r>
    </w:p>
    <w:p w14:paraId="471436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（13）审批施工测量放线；</w:t>
      </w:r>
    </w:p>
    <w:p w14:paraId="2F9F9A1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（14）审批一般工程原材料和混合料配合比；</w:t>
      </w:r>
    </w:p>
    <w:p w14:paraId="1DE1DC0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（15）审查施工组织及人员配备；</w:t>
      </w:r>
    </w:p>
    <w:p w14:paraId="1571F2B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（16）审查承包人进场的施工机械设备；</w:t>
      </w:r>
    </w:p>
    <w:p w14:paraId="67224F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（17）审查承包人提交的分项、分部工程的施工方案及主要工艺；</w:t>
      </w:r>
    </w:p>
    <w:p w14:paraId="065F042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（18）审批承包人月进度计划，检查和监督进度计划的实施；</w:t>
      </w:r>
    </w:p>
    <w:p w14:paraId="6095D92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（19）审批分项（部）工程的开工申请，签发分项、分部工程暂停令和复工令；</w:t>
      </w:r>
    </w:p>
    <w:p w14:paraId="6B87DFF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（20）验收构配件或设备；</w:t>
      </w:r>
    </w:p>
    <w:p w14:paraId="43E826A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（21）按有关规定和要求对工程进行巡视、旁站和抽检，并做好记录；</w:t>
      </w:r>
    </w:p>
    <w:p w14:paraId="625D29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（22）对关键工序进行签认；</w:t>
      </w:r>
    </w:p>
    <w:p w14:paraId="1E08A18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（23）对发生的质量缺陷、质量隐患和质量事故进行调查、处理或对不属于监理人权限处理的质量事故督促承包人按规定报告有关部门；</w:t>
      </w:r>
    </w:p>
    <w:p w14:paraId="26BE2E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（24）对交工的单位、分部、分项工程进行检验和质量等级评定并签发《中间交工证书》；</w:t>
      </w:r>
    </w:p>
    <w:p w14:paraId="6946A3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（25）对已完工程按合同约定的方法进行计量；</w:t>
      </w:r>
    </w:p>
    <w:p w14:paraId="10D2666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（26）按有关规定及时对已完分部工程、单位工程及合同工程进行质量评定；</w:t>
      </w:r>
    </w:p>
    <w:p w14:paraId="51D2A27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（27）编写本驻地监理标段的监理月报；</w:t>
      </w:r>
    </w:p>
    <w:p w14:paraId="5038D03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（28）主持召开工地会议和根据工程需要主持召开专题工地会议；</w:t>
      </w:r>
    </w:p>
    <w:p w14:paraId="0F5A6EB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（29）编制标段监理竣工文件；</w:t>
      </w:r>
    </w:p>
    <w:p w14:paraId="205B25C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（30）编写本驻地监理标段的监理工作报告；</w:t>
      </w:r>
    </w:p>
    <w:p w14:paraId="56785B2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（31）参加本驻地监理标段合同工程的交工验收；</w:t>
      </w:r>
    </w:p>
    <w:p w14:paraId="5FF2989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（32）初审交工结账证书。</w:t>
      </w:r>
    </w:p>
    <w:p w14:paraId="4EA61C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（33）按照项目专用合同条款约定提供其他工程管理咨询服务。</w:t>
      </w:r>
    </w:p>
    <w:p w14:paraId="276078A2">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5.3.3 </w:t>
      </w:r>
      <w:r>
        <w:rPr>
          <w:rFonts w:hint="eastAsia" w:ascii="Times New Roman" w:hAnsi="Times New Roman" w:eastAsia="宋体" w:cs="宋体"/>
          <w:color w:val="auto"/>
          <w:kern w:val="21"/>
          <w:highlight w:val="none"/>
          <w:lang w:eastAsia="zh-CN"/>
        </w:rPr>
        <w:t>在工程只设置总监办一级监理机构时，其监理服务内容为：</w:t>
      </w:r>
    </w:p>
    <w:p w14:paraId="197ABA8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（1）按监理合同要求建立总监办工地试验室，按监理合同要求配备常规的试验检测设备，按监理合同要求配备常规的试验检测设备，并须达到项目专用合同条款中约定的检查项目及频率要求；</w:t>
      </w:r>
    </w:p>
    <w:p w14:paraId="02C34A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（2）熟悉合同文件，调查施工环境条件；</w:t>
      </w:r>
    </w:p>
    <w:p w14:paraId="017DB12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（3）在合同约定的期限内编制监理计划，根据监理计划在相应工程开工前编制监理细则；</w:t>
      </w:r>
    </w:p>
    <w:p w14:paraId="20E5F34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（4）在合同约定的期限内审批承包人提交的施工组织设计（含安全技术措施、应急救援抢险方案、专项施工方案及施工环境保护措施）；</w:t>
      </w:r>
    </w:p>
    <w:p w14:paraId="64EF910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（5）参加设计交底；</w:t>
      </w:r>
    </w:p>
    <w:p w14:paraId="09BBCC3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（6）审批承包人提交的总体进度计划，核批承包人对总体进度计划的调整计划；</w:t>
      </w:r>
    </w:p>
    <w:p w14:paraId="528999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（7）检查承包人工程质量、施工安全和施工环境保护等保证体系；</w:t>
      </w:r>
    </w:p>
    <w:p w14:paraId="4B7FD4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（8）审核承包人的工地试验室；</w:t>
      </w:r>
    </w:p>
    <w:p w14:paraId="1B8358E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（9）对承包人提交的原始基准点、基准线和基准高程的复测结果进行平行复测，审核后予以批复；</w:t>
      </w:r>
    </w:p>
    <w:p w14:paraId="05110A3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（10）验收承包人测定的地面线；</w:t>
      </w:r>
    </w:p>
    <w:p w14:paraId="5A4B58B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（11）审批承包人提交的分项、分部、单位工程划分；</w:t>
      </w:r>
    </w:p>
    <w:p w14:paraId="28470E5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（12）确认承包人提交的场地占用计划；</w:t>
      </w:r>
    </w:p>
    <w:p w14:paraId="4CBBF18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（13）核算承包人对工程量清单的复核结果；</w:t>
      </w:r>
    </w:p>
    <w:p w14:paraId="40B71AE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（14）签发开工预付款支付证书；</w:t>
      </w:r>
    </w:p>
    <w:p w14:paraId="64F8666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（15）主持召开监理交底会；</w:t>
      </w:r>
    </w:p>
    <w:p w14:paraId="396B594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（16）主持召开第一次工地会议；</w:t>
      </w:r>
    </w:p>
    <w:p w14:paraId="36B7BCD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（17）签发合同工程开工令；</w:t>
      </w:r>
    </w:p>
    <w:p w14:paraId="26B584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（18）按合同约定对工程分包计划和协议进行审查，并审查分包合同中是否明确了承包人与分包单位各自在安全生产方面的责任；</w:t>
      </w:r>
    </w:p>
    <w:p w14:paraId="50E168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（19）审批施工测量放线；</w:t>
      </w:r>
    </w:p>
    <w:p w14:paraId="0478FD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（20）审批工程原材料及混合料配合比；</w:t>
      </w:r>
    </w:p>
    <w:p w14:paraId="2383913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（21）审查施工组织及人员配备；</w:t>
      </w:r>
    </w:p>
    <w:p w14:paraId="253336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（22）审查承包人进场的施工机械设备；</w:t>
      </w:r>
    </w:p>
    <w:p w14:paraId="2DDC872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（23）审查承包人提交的分项、分部工程的施工方案及主要工艺；</w:t>
      </w:r>
    </w:p>
    <w:p w14:paraId="1D5A41E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（24）审批承包人月进度计划，检查和监督进度计划的实施；</w:t>
      </w:r>
    </w:p>
    <w:p w14:paraId="74B76DC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（25）审批分项（分部）工程的开工申请；</w:t>
      </w:r>
    </w:p>
    <w:p w14:paraId="2931657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（26）验收构配件或设备；</w:t>
      </w:r>
    </w:p>
    <w:p w14:paraId="542FF56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（27）按有关规定和要求对工程进行巡视、旁站和抽检，并做好记录；</w:t>
      </w:r>
    </w:p>
    <w:p w14:paraId="225F0CD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（28）对关键工序进行签认；</w:t>
      </w:r>
    </w:p>
    <w:p w14:paraId="220BAA9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（29）对发生的质量缺陷、质量隐患和质量事故进行调查、处理或对不属于监理人权限处理的质量事故督促承包人按规定报告有关部门；</w:t>
      </w:r>
    </w:p>
    <w:p w14:paraId="6640474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（30）签发单位或合同工程及分部（分项）工程的暂停令和复工令；</w:t>
      </w:r>
    </w:p>
    <w:p w14:paraId="4BE3783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（31）对交工的单位、分部、分项工程进行检验和质量等级评定并签发《中间交工证书》；</w:t>
      </w:r>
    </w:p>
    <w:p w14:paraId="46F5760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（32）对已完工程按合同约定的方法进行计量；</w:t>
      </w:r>
    </w:p>
    <w:p w14:paraId="575CD90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（33）审核工程中期支付申请，签发中期支付证书；</w:t>
      </w:r>
    </w:p>
    <w:p w14:paraId="49F626A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（34）按有关规定及时对已完分部工程、单位工程及合同工程进行质量评定；</w:t>
      </w:r>
    </w:p>
    <w:p w14:paraId="249B8DC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（35）受理合同其他事项的有关事宜，按合同约定审核、评估和处理工程变更、延期、费用索赔、价格调整、保险、违约、争端等合同事项；</w:t>
      </w:r>
    </w:p>
    <w:p w14:paraId="07113C4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（36）组织编写监理月报；</w:t>
      </w:r>
    </w:p>
    <w:p w14:paraId="7334771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（37）主持召开工地例会或根据工程需要主持召开专题工地会议；</w:t>
      </w:r>
    </w:p>
    <w:p w14:paraId="225A63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（38）协助委托人审查交工验收申请，评定工程质量；</w:t>
      </w:r>
    </w:p>
    <w:p w14:paraId="697DE0E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（39）参加委托人组织的合同工程交工验收；</w:t>
      </w:r>
    </w:p>
    <w:p w14:paraId="1C1A88D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（40）编写监理工作报告，并提交委托人；</w:t>
      </w:r>
    </w:p>
    <w:p w14:paraId="333B9D2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（41）签认交工结账证书；</w:t>
      </w:r>
    </w:p>
    <w:p w14:paraId="1300450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（42）组织编制工程监理竣工文件，并督促承包人按合同约定编制和整理竣工资料；</w:t>
      </w:r>
    </w:p>
    <w:p w14:paraId="5E6BE86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（43）在合同工程的缺陷责任期内，检查承包人剩余工程的实施；巡视检查已完工程，指示承包人修复发生的工程缺陷，调查、确认缺陷责任及修复费用；</w:t>
      </w:r>
    </w:p>
    <w:p w14:paraId="337ADD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（44）缺陷责任期结束，经检查符合条件时，签发合同工程缺陷责任终止证书；</w:t>
      </w:r>
    </w:p>
    <w:p w14:paraId="53640C0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（45）签认最后支付证书；</w:t>
      </w:r>
    </w:p>
    <w:p w14:paraId="68294A7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（46）参加工程竣工验收；</w:t>
      </w:r>
    </w:p>
    <w:p w14:paraId="6E499CE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（47）按照项目专用合同条款约定提供其他工程管理咨询服务。</w:t>
      </w:r>
    </w:p>
    <w:p w14:paraId="0D1B9ED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5.4 监理文件要求</w:t>
      </w:r>
    </w:p>
    <w:p w14:paraId="7BD5E4A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第5.4.3项细化为：</w:t>
      </w:r>
    </w:p>
    <w:p w14:paraId="168875D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本工程监理文件包括监理管理文件、质量监理文件、安全监理文件、环保监理文件、费用与进度监理文件、合同事项管理文件，以及监理日志、巡视记录、旁站记录、监理月报、监理工作报告等其他监理文件和影像资料，具体类别、编制要求、编制内容、提交时间和份数等应满足《公路工程施工监理规范》的规定。</w:t>
      </w:r>
    </w:p>
    <w:p w14:paraId="23C191C5">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本条补充第5.5款至第5.7款：</w:t>
      </w:r>
    </w:p>
    <w:p w14:paraId="3EC7C996">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5.5 监理服务形式</w:t>
      </w:r>
    </w:p>
    <w:p w14:paraId="78CD4CD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监理人应根据工程规模、难易程度、合同工期安排、现场条件等因素设置现场监理的组织机构并满足合同要求。委托人对监理人的机构设置要求在项目专用合同条款中约定。</w:t>
      </w:r>
      <w:bookmarkEnd w:id="628"/>
    </w:p>
    <w:p w14:paraId="6885076A">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5.6 监理服务目标</w:t>
      </w:r>
    </w:p>
    <w:p w14:paraId="3F3C387B">
      <w:pPr>
        <w:spacing w:line="360" w:lineRule="auto"/>
        <w:ind w:firstLine="422" w:firstLineChars="200"/>
        <w:jc w:val="both"/>
        <w:rPr>
          <w:rFonts w:hint="eastAsia" w:ascii="Times New Roman" w:hAnsi="Times New Roman" w:eastAsia="宋体" w:cs="宋体"/>
          <w:color w:val="auto"/>
          <w:kern w:val="21"/>
          <w:highlight w:val="none"/>
          <w:lang w:eastAsia="zh-CN"/>
        </w:rPr>
      </w:pPr>
      <w:bookmarkStart w:id="636" w:name="_Toc493143922"/>
      <w:r>
        <w:rPr>
          <w:rFonts w:hint="eastAsia" w:ascii="Times New Roman" w:hAnsi="Times New Roman" w:eastAsia="宋体" w:cs="宋体"/>
          <w:b/>
          <w:bCs/>
          <w:color w:val="auto"/>
          <w:kern w:val="21"/>
          <w:highlight w:val="none"/>
          <w:lang w:eastAsia="zh-CN"/>
        </w:rPr>
        <w:t>5.6.1</w:t>
      </w:r>
      <w:r>
        <w:rPr>
          <w:rFonts w:hint="eastAsia" w:ascii="Times New Roman" w:hAnsi="Times New Roman" w:eastAsia="宋体" w:cs="宋体"/>
          <w:color w:val="auto"/>
          <w:kern w:val="21"/>
          <w:highlight w:val="none"/>
          <w:lang w:eastAsia="zh-CN"/>
        </w:rPr>
        <w:t xml:space="preserve"> 监理服务履约目标：除项目专用合同条款另有约定外，监理人提供的监理服务，应当符合国家有关法律、法规和标准规范，满足合同约定的服务内容和质量等要求。</w:t>
      </w:r>
    </w:p>
    <w:p w14:paraId="71A4701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5.6.2</w:t>
      </w:r>
      <w:r>
        <w:rPr>
          <w:rFonts w:hint="eastAsia" w:ascii="Times New Roman" w:hAnsi="Times New Roman" w:eastAsia="宋体" w:cs="宋体"/>
          <w:color w:val="auto"/>
          <w:kern w:val="21"/>
          <w:highlight w:val="none"/>
          <w:lang w:eastAsia="zh-CN"/>
        </w:rPr>
        <w:t xml:space="preserve"> 对第三方履约管理的服务目标：在项目专用合同条款中约定。</w:t>
      </w:r>
    </w:p>
    <w:p w14:paraId="4E1E0929">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5.7 委托人对监理人的授权</w:t>
      </w:r>
    </w:p>
    <w:p w14:paraId="29C4D37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5.7.1 </w:t>
      </w:r>
      <w:r>
        <w:rPr>
          <w:rFonts w:hint="eastAsia" w:ascii="Times New Roman" w:hAnsi="Times New Roman" w:eastAsia="宋体" w:cs="宋体"/>
          <w:color w:val="auto"/>
          <w:kern w:val="21"/>
          <w:highlight w:val="none"/>
          <w:lang w:eastAsia="zh-CN"/>
        </w:rPr>
        <w:t>监理人根据监理合同提供监理服务时，在委托人授权权限范围内开展工作。授权权限在项目专用合同条款中约定。</w:t>
      </w:r>
    </w:p>
    <w:p w14:paraId="078AB343">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5.7.2 </w:t>
      </w:r>
      <w:r>
        <w:rPr>
          <w:rFonts w:hint="eastAsia" w:ascii="Times New Roman" w:hAnsi="Times New Roman" w:eastAsia="宋体" w:cs="宋体"/>
          <w:color w:val="auto"/>
          <w:kern w:val="21"/>
          <w:highlight w:val="none"/>
          <w:lang w:eastAsia="zh-CN"/>
        </w:rPr>
        <w:t>如果监理人在监理服务过程中行使的权力或所需的授权，来自于委托人和第三方签订的工程合同文件，该合同文件应成为本监理合同的组成部分，两者之间如出现矛盾，则应编制补充说明文件一并列入监理合同。监理人应：</w:t>
      </w:r>
    </w:p>
    <w:p w14:paraId="01D77FF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（1）根据监理合同文件和工程合同文件提供监理服务；</w:t>
      </w:r>
    </w:p>
    <w:p w14:paraId="437B94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（2）根据职责范围，在委托人和第三方之间独立公正地行使上述合同文件赋予的权力；</w:t>
      </w:r>
    </w:p>
    <w:p w14:paraId="7F1A161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（3）根据上述合同文件的授权，对相应的工程和合同事宜进行变更，但未经委托人的书面批准，不得变更工程合同文件中约定的工程标准和第三方的责任与义务。</w:t>
      </w:r>
    </w:p>
    <w:p w14:paraId="35827D39">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37" w:name="_Toc503518018"/>
      <w:r>
        <w:rPr>
          <w:rFonts w:hint="eastAsia" w:ascii="Times New Roman" w:hAnsi="Times New Roman" w:eastAsia="宋体" w:cs="宋体"/>
          <w:b/>
          <w:bCs/>
          <w:color w:val="auto"/>
          <w:kern w:val="21"/>
          <w:sz w:val="28"/>
          <w:szCs w:val="28"/>
          <w:highlight w:val="none"/>
          <w:lang w:eastAsia="zh-CN"/>
        </w:rPr>
        <w:t>6. 开始监理和完成监理</w:t>
      </w:r>
      <w:bookmarkEnd w:id="637"/>
    </w:p>
    <w:p w14:paraId="0602B2BF">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38" w:name="_Toc493143944"/>
      <w:r>
        <w:rPr>
          <w:rFonts w:hint="eastAsia" w:ascii="Times New Roman" w:hAnsi="Times New Roman" w:eastAsia="宋体" w:cs="宋体"/>
          <w:b/>
          <w:bCs/>
          <w:color w:val="auto"/>
          <w:kern w:val="21"/>
          <w:sz w:val="24"/>
          <w:szCs w:val="24"/>
          <w:highlight w:val="none"/>
          <w:lang w:eastAsia="zh-CN"/>
        </w:rPr>
        <w:t>6.1 开始监理</w:t>
      </w:r>
    </w:p>
    <w:p w14:paraId="0E79C8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第6.1.1项细化为：</w:t>
      </w:r>
    </w:p>
    <w:p w14:paraId="1068503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6.1.1</w:t>
      </w:r>
      <w:r>
        <w:rPr>
          <w:rFonts w:hint="eastAsia" w:ascii="Times New Roman" w:hAnsi="Times New Roman" w:eastAsia="宋体" w:cs="宋体"/>
          <w:color w:val="auto"/>
          <w:kern w:val="21"/>
          <w:highlight w:val="none"/>
          <w:lang w:eastAsia="zh-CN"/>
        </w:rPr>
        <w:t xml:space="preserve"> 符合项目专用合同条款约定的开始监理条件的，委托人应提前7天向监理人发出开始监理通知。监理服务期限自开始监理通知中载明的开始监理日期及监理人首批人员实际进场日期起算，以时间在后者为准。</w:t>
      </w:r>
    </w:p>
    <w:bookmarkEnd w:id="638"/>
    <w:p w14:paraId="67213BB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监理人应按照监理合同约定的时间和有关期限履行和完成监理服务，根据本项目工程的进展情况和委托人批准的人员进场计划，安排监理人员及时进场。</w:t>
      </w:r>
    </w:p>
    <w:p w14:paraId="5BD31F07">
      <w:pPr>
        <w:spacing w:line="360" w:lineRule="auto"/>
        <w:jc w:val="both"/>
        <w:outlineLvl w:val="4"/>
        <w:rPr>
          <w:rFonts w:hint="eastAsia" w:ascii="Times New Roman" w:hAnsi="Times New Roman" w:eastAsia="宋体" w:cs="宋体"/>
          <w:color w:val="auto"/>
          <w:kern w:val="21"/>
          <w:highlight w:val="none"/>
          <w:lang w:eastAsia="zh-CN"/>
        </w:rPr>
      </w:pPr>
      <w:bookmarkStart w:id="639" w:name="_Toc493143947"/>
      <w:r>
        <w:rPr>
          <w:rFonts w:hint="eastAsia" w:ascii="Times New Roman" w:hAnsi="Times New Roman" w:eastAsia="宋体" w:cs="宋体"/>
          <w:color w:val="auto"/>
          <w:kern w:val="21"/>
          <w:highlight w:val="none"/>
          <w:lang w:eastAsia="zh-CN"/>
        </w:rPr>
        <w:t>新增补充第6.4款：</w:t>
      </w:r>
    </w:p>
    <w:p w14:paraId="5C726B9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6.4 监理工作的暂停与</w:t>
      </w:r>
      <w:bookmarkEnd w:id="639"/>
      <w:r>
        <w:rPr>
          <w:rFonts w:hint="eastAsia" w:ascii="Times New Roman" w:hAnsi="Times New Roman" w:eastAsia="宋体" w:cs="宋体"/>
          <w:b/>
          <w:bCs/>
          <w:color w:val="auto"/>
          <w:kern w:val="21"/>
          <w:sz w:val="24"/>
          <w:szCs w:val="24"/>
          <w:highlight w:val="none"/>
          <w:lang w:eastAsia="zh-CN"/>
        </w:rPr>
        <w:t>监理合同的解除</w:t>
      </w:r>
    </w:p>
    <w:p w14:paraId="6F56ACF9">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6.4.1 </w:t>
      </w:r>
      <w:r>
        <w:rPr>
          <w:rFonts w:hint="eastAsia" w:ascii="Times New Roman" w:hAnsi="Times New Roman" w:eastAsia="宋体" w:cs="宋体"/>
          <w:color w:val="auto"/>
          <w:kern w:val="21"/>
          <w:highlight w:val="none"/>
          <w:lang w:eastAsia="zh-CN"/>
        </w:rPr>
        <w:t>出现根据本监理合同的约定不应由监理人负责的情况，且该情况已使监理人不能继续履行全部或部分监理服务时，监理人应立即书面通知委托人，并视情况采取相应措施：</w:t>
      </w:r>
    </w:p>
    <w:p w14:paraId="3562647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（1）不得不暂停或减缓某些监理服务时，则上述服务的完成期限应予以延长，因此增加的监理服务工作量或延长的服务期限，委托人应按合同条款约定进行调整。</w:t>
      </w:r>
    </w:p>
    <w:p w14:paraId="5547E4A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全部监理服务已无法继续履行时，监理人在书面通知委托人28日之后，有权单方面解除本监理合同，因此增加的监理服务工作量所涉及费用，委托人应按合同条款约定进行调整，同时应及时向监理人返还全部或剩余部分的履约保证金。</w:t>
      </w:r>
    </w:p>
    <w:p w14:paraId="0D46620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（3）因不可抗力致使本监理合同不能履行或只能部分履行时，应按照本合同第10条规定的程序暂停监理服务或解除监理合同。</w:t>
      </w:r>
    </w:p>
    <w:p w14:paraId="0C35E35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6.4.2</w:t>
      </w:r>
      <w:r>
        <w:rPr>
          <w:rFonts w:hint="eastAsia" w:ascii="Times New Roman" w:hAnsi="Times New Roman" w:eastAsia="宋体" w:cs="宋体"/>
          <w:color w:val="auto"/>
          <w:kern w:val="21"/>
          <w:highlight w:val="none"/>
          <w:lang w:eastAsia="zh-CN"/>
        </w:rPr>
        <w:t xml:space="preserve"> 委托人要求监理人全部或部分暂停监理服务或解除本监理合同时，必须在56日之前发出书面通知。监理人在接到通知后，应立即安排停止全部或部分监理服务并将相关费用开支减至最小。因此增加的监理服务工作量所涉及的费用，委托人应按合同条款约定进行调整，同时及时向监理人返还全部或剩余部分的履约保证金。</w:t>
      </w:r>
    </w:p>
    <w:p w14:paraId="72CAE96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6.4.3</w:t>
      </w:r>
      <w:r>
        <w:rPr>
          <w:rFonts w:hint="eastAsia" w:ascii="Times New Roman" w:hAnsi="Times New Roman" w:eastAsia="宋体" w:cs="宋体"/>
          <w:color w:val="auto"/>
          <w:kern w:val="21"/>
          <w:highlight w:val="none"/>
          <w:lang w:eastAsia="zh-CN"/>
        </w:rPr>
        <w:t xml:space="preserve"> 监理人无正当的理由，未根据监理合同的约定履行全部或部分监理服务，委托人可书面要求监理人予以解释。若监理人在28日内未能根据本监理合同给予合理的答复，委托人可在进一步发出书面通知14日后，单方面解除本监理合同，并视情况没收监理人的全部或部分履约保证金。</w:t>
      </w:r>
    </w:p>
    <w:p w14:paraId="06C271C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6.4.4</w:t>
      </w:r>
      <w:r>
        <w:rPr>
          <w:rFonts w:hint="eastAsia" w:ascii="Times New Roman" w:hAnsi="Times New Roman" w:eastAsia="宋体" w:cs="宋体"/>
          <w:color w:val="auto"/>
          <w:kern w:val="21"/>
          <w:highlight w:val="none"/>
          <w:lang w:eastAsia="zh-CN"/>
        </w:rPr>
        <w:t xml:space="preserve"> 委托人拖延支付监理服务费用，并已超过合同条款约定支付期限后28日，或根据本合同第6.4.1款（1）目或第6.4.2项的约定，暂停监理服务已超过6个月，监理人可书面要求委托人予以解释。若委托人在28天内未能根据本监理合同给予合理的答复，监理人可在进一步发出书面通知14日后，单方面解除本监理合同或自行暂停全部或部分监理服务。因此增加的监理服务工作量所涉及的费用，委托人应按合同条款约定进行调整，同时应及时向监理人返还全部或剩余部分的履约保证金。</w:t>
      </w:r>
    </w:p>
    <w:p w14:paraId="11DF8CA2">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6.4.5 </w:t>
      </w:r>
      <w:r>
        <w:rPr>
          <w:rFonts w:hint="eastAsia" w:ascii="Times New Roman" w:hAnsi="Times New Roman" w:eastAsia="宋体" w:cs="宋体"/>
          <w:color w:val="auto"/>
          <w:kern w:val="21"/>
          <w:highlight w:val="none"/>
          <w:lang w:eastAsia="zh-CN"/>
        </w:rPr>
        <w:t>监理合同的解除，不得损害或影响双方根据本监理合同应有的义务、责任、权力和利益。</w:t>
      </w:r>
    </w:p>
    <w:p w14:paraId="57E7425A">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0" w:name="_Toc503518019"/>
      <w:r>
        <w:rPr>
          <w:rFonts w:hint="eastAsia" w:ascii="Times New Roman" w:hAnsi="Times New Roman" w:eastAsia="宋体" w:cs="宋体"/>
          <w:b/>
          <w:bCs/>
          <w:color w:val="auto"/>
          <w:kern w:val="21"/>
          <w:sz w:val="28"/>
          <w:szCs w:val="28"/>
          <w:highlight w:val="none"/>
          <w:lang w:eastAsia="zh-CN"/>
        </w:rPr>
        <w:t>7. 监理责任与保险</w:t>
      </w:r>
      <w:bookmarkEnd w:id="640"/>
    </w:p>
    <w:p w14:paraId="71D7F58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7.1 监理责任主体</w:t>
      </w:r>
    </w:p>
    <w:p w14:paraId="09C14B0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第7.1.2项、7.1.3项细化为：</w:t>
      </w:r>
    </w:p>
    <w:p w14:paraId="1D1DC5F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7.1.2 </w:t>
      </w:r>
      <w:r>
        <w:rPr>
          <w:rFonts w:hint="eastAsia" w:ascii="Times New Roman" w:hAnsi="Times New Roman" w:eastAsia="宋体" w:cs="宋体"/>
          <w:color w:val="auto"/>
          <w:kern w:val="21"/>
          <w:highlight w:val="none"/>
          <w:lang w:eastAsia="zh-CN"/>
        </w:rPr>
        <w:t>监理人应当建立健全工程质量保证体系，制定质量管理制度，强化工程质量管理措施，完善工程质量目标保障机制。</w:t>
      </w:r>
    </w:p>
    <w:p w14:paraId="0754675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本工程施行质量责任终身制。监理人应当书面明确相应的总监理工程师和质量负责人。监理人的相关人员按照国家法律法规和有关规定在工程合理使用年限内承担相应的质量责任。</w:t>
      </w:r>
    </w:p>
    <w:p w14:paraId="13D8A299">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7.1.3 </w:t>
      </w:r>
      <w:r>
        <w:rPr>
          <w:rFonts w:hint="eastAsia" w:ascii="Times New Roman" w:hAnsi="Times New Roman" w:eastAsia="宋体" w:cs="宋体"/>
          <w:color w:val="auto"/>
          <w:kern w:val="21"/>
          <w:highlight w:val="none"/>
          <w:lang w:eastAsia="zh-CN"/>
        </w:rPr>
        <w:t>监理人对施工质量负监理责任，应当按合同约定设立现场监理机构，按规定程序和标准进行工程质量检查、检测和验收，对发现的质量问题及时督促整改，不得降低工程质量标准。</w:t>
      </w:r>
    </w:p>
    <w:p w14:paraId="70C103E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本工程交工验收前，监理人应当根据有关标准和规范要求对工程质量进行检查验证，编制工程质量评定或者评估报告，并提交委托人。</w:t>
      </w:r>
    </w:p>
    <w:p w14:paraId="606B5FE6">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7.1.4 </w:t>
      </w:r>
      <w:r>
        <w:rPr>
          <w:rFonts w:hint="eastAsia" w:ascii="Times New Roman" w:hAnsi="Times New Roman" w:eastAsia="宋体" w:cs="宋体"/>
          <w:color w:val="auto"/>
          <w:kern w:val="21"/>
          <w:highlight w:val="none"/>
          <w:lang w:eastAsia="zh-CN"/>
        </w:rPr>
        <w:t>监理人应当按照合同约定设立工地临时试验室，严格按照工程技术标准、检测规范和规程，在核定的试验检测参数范围内开展试验检测活动。</w:t>
      </w:r>
    </w:p>
    <w:p w14:paraId="58B67F5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监理人应当对其设立的工地临时试验室所出具的试验检测数据和报告的真实性、客观性、准确性负责。</w:t>
      </w:r>
    </w:p>
    <w:p w14:paraId="3666F20B">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新增第7.3项：</w:t>
      </w:r>
    </w:p>
    <w:p w14:paraId="27809DC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7.3 人员和设备保险</w:t>
      </w:r>
    </w:p>
    <w:p w14:paraId="6F2CE0E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在监理服务期内，自费办理派驻到工程所在地人员的人身和自备财产的有关保险，保险时间应随服务时间的延长而顺延，并在出险后自行办理索赔。如果监理人不办理上述保险，则应对有关风险及后果自负其责。</w:t>
      </w:r>
    </w:p>
    <w:p w14:paraId="057A9AD2">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1" w:name="_Toc503518020"/>
      <w:r>
        <w:rPr>
          <w:rFonts w:hint="eastAsia" w:ascii="Times New Roman" w:hAnsi="Times New Roman" w:eastAsia="宋体" w:cs="宋体"/>
          <w:b/>
          <w:bCs/>
          <w:color w:val="auto"/>
          <w:kern w:val="21"/>
          <w:sz w:val="28"/>
          <w:szCs w:val="28"/>
          <w:highlight w:val="none"/>
          <w:lang w:eastAsia="zh-CN"/>
        </w:rPr>
        <w:t>8. 合同变更</w:t>
      </w:r>
      <w:bookmarkEnd w:id="641"/>
    </w:p>
    <w:p w14:paraId="039DEE58">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8.1 变更情形</w:t>
      </w:r>
    </w:p>
    <w:p w14:paraId="7AC0CB0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第8.1.1项细化为：</w:t>
      </w:r>
    </w:p>
    <w:p w14:paraId="122A4FF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合同履行中发生下述情形时，合同一方均可向对方提出变更请求，经双方协商一致后进行变更，监理服务期限和监理报酬的调整方法在项目专用合同条款中约定。</w:t>
      </w:r>
    </w:p>
    <w:p w14:paraId="1AB9E51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（1）监理范围发生变化；</w:t>
      </w:r>
    </w:p>
    <w:p w14:paraId="004522F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（2）除不可抗力外，非监理人的原因引起的周期延误；</w:t>
      </w:r>
    </w:p>
    <w:p w14:paraId="219C347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（3）非监理人的原因，对工程同一部分重复进行监理；</w:t>
      </w:r>
    </w:p>
    <w:p w14:paraId="02D7496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（4）非监理人的原因，对工程暂停监理及恢复监理；</w:t>
      </w:r>
    </w:p>
    <w:p w14:paraId="76CBB8C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（5）监理服务的形式与内容发生变化；</w:t>
      </w:r>
    </w:p>
    <w:p w14:paraId="592A9C7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（6）因委托人或第三方的责任，阻碍或延误了监理人履行监理服务；</w:t>
      </w:r>
    </w:p>
    <w:p w14:paraId="343EBB0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（7）委托人提出高于监理合同约定的服务目标，监理人为完成此目标导致增加投入。</w:t>
      </w:r>
    </w:p>
    <w:p w14:paraId="6C1F41C1">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2" w:name="_Toc503518021"/>
      <w:r>
        <w:rPr>
          <w:rFonts w:hint="eastAsia" w:ascii="Times New Roman" w:hAnsi="Times New Roman" w:eastAsia="宋体" w:cs="宋体"/>
          <w:b/>
          <w:bCs/>
          <w:color w:val="auto"/>
          <w:kern w:val="21"/>
          <w:sz w:val="28"/>
          <w:szCs w:val="28"/>
          <w:highlight w:val="none"/>
          <w:lang w:eastAsia="zh-CN"/>
        </w:rPr>
        <w:t>9. 合同价格与支付</w:t>
      </w:r>
      <w:bookmarkEnd w:id="642"/>
    </w:p>
    <w:p w14:paraId="487A2D9C">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9.1 合同价格</w:t>
      </w:r>
    </w:p>
    <w:p w14:paraId="1E16600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第9.1.1项细化为：</w:t>
      </w:r>
    </w:p>
    <w:p w14:paraId="04BAAF4C">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3" w:name="_Toc493143950"/>
      <w:r>
        <w:rPr>
          <w:rFonts w:hint="eastAsia" w:ascii="Times New Roman" w:hAnsi="Times New Roman" w:eastAsia="宋体" w:cs="宋体"/>
          <w:color w:val="auto"/>
          <w:kern w:val="21"/>
          <w:highlight w:val="none"/>
          <w:lang w:eastAsia="zh-CN"/>
        </w:rPr>
        <w:t>合同价格是监理人按照合同约定完成施工准备阶段、施工阶段、验收与缺陷责任期阶段监理服务所需的全部费用</w:t>
      </w:r>
      <w:bookmarkEnd w:id="643"/>
      <w:r>
        <w:rPr>
          <w:rFonts w:hint="eastAsia" w:ascii="Times New Roman" w:hAnsi="Times New Roman" w:eastAsia="宋体" w:cs="宋体"/>
          <w:color w:val="auto"/>
          <w:kern w:val="21"/>
          <w:highlight w:val="none"/>
          <w:lang w:eastAsia="zh-CN"/>
        </w:rPr>
        <w:t>，应按投标文件格式中报价清单的内容和格式填报。</w:t>
      </w:r>
    </w:p>
    <w:p w14:paraId="22A7EAF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监理服务费用包括以下组成部分：</w:t>
      </w:r>
    </w:p>
    <w:p w14:paraId="7CE1FD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（1）监理人员服务费；</w:t>
      </w:r>
    </w:p>
    <w:p w14:paraId="1E7C6E1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（2）监理办公设施费；</w:t>
      </w:r>
    </w:p>
    <w:p w14:paraId="7B6346E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（3）监理交通设施费；</w:t>
      </w:r>
    </w:p>
    <w:p w14:paraId="5B8E6F5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（4）监理试验设施费；</w:t>
      </w:r>
    </w:p>
    <w:p w14:paraId="0B2531F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（5）监理生活设施费。</w:t>
      </w:r>
    </w:p>
    <w:p w14:paraId="165F449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（6）利润。</w:t>
      </w:r>
    </w:p>
    <w:p w14:paraId="75DEEA2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利润外，以上各项费用应分别按施工期（涵盖施工准备阶段和施工阶段）和缺陷责任期两个阶段填报，其中监理人员服务费应填报各级监理人员的人月单价及为完成监理服务所需要的总人月数量。各类监理人员的人月单价应包括监理人员履行监理服务时由于施工工艺的连续性导致不可避免的加班费用，在上述情况发生时，委托人将不考虑另行支付监理人员的加班费用。</w:t>
      </w:r>
    </w:p>
    <w:p w14:paraId="0423773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监理人因完成本项目施工监理服务需计取的企业管理费及需缴纳的一切税费均由监理人承担，并包含在所报的各项监理服务费用之内，委托人不单独支付。</w:t>
      </w:r>
    </w:p>
    <w:p w14:paraId="14941A5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除本合同第8条约定的变更情形和项目专用合同条款约定的其他情形外，本监理合同的监理服务费用在合同实施期间一律不予调整。</w:t>
      </w:r>
    </w:p>
    <w:p w14:paraId="382A58B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除项目专用合同条款另有约定外，因工程提前完成导致监理服务期限缩短，且在监理人已履行本合同规定义务的情况下，委托人不能以监理人提前完成监理为由而减少监理报酬。</w:t>
      </w:r>
    </w:p>
    <w:p w14:paraId="586364D8">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4" w:name="_Toc493143951"/>
      <w:r>
        <w:rPr>
          <w:rFonts w:hint="eastAsia" w:ascii="Times New Roman" w:hAnsi="Times New Roman" w:eastAsia="宋体" w:cs="宋体"/>
          <w:color w:val="auto"/>
          <w:kern w:val="21"/>
          <w:highlight w:val="none"/>
          <w:lang w:eastAsia="zh-CN"/>
        </w:rPr>
        <w:t>第9.2款细化为：</w:t>
      </w:r>
    </w:p>
    <w:bookmarkEnd w:id="644"/>
    <w:p w14:paraId="00B70AC3">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9.2 预付款</w:t>
      </w:r>
    </w:p>
    <w:p w14:paraId="1DB4EEA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为使监理服务能够及时开展，委托人应在监理合同签订后7日内按监理服务费总额的10%向监理人支付预付款，项目专用合同条款另有约定的除外。</w:t>
      </w:r>
    </w:p>
    <w:p w14:paraId="3D545AA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预付款在施工阶段监理服务费支付的累计金额达到“中标监理服务费总价”的30%时开始抵扣，全部预付款应在施工阶段监理服务费累计支付到“中标监理服务费总价”的80%时扣完。</w:t>
      </w:r>
    </w:p>
    <w:p w14:paraId="28DD363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预付款应专用于本工程的监理。监理人无须向委托人提交预付款保函，但监理人提交的履约保证金对预付款的正常使用承担保证责任。</w:t>
      </w:r>
    </w:p>
    <w:p w14:paraId="5BB87D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第9.3款细化为：</w:t>
      </w:r>
    </w:p>
    <w:p w14:paraId="06D14922">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9.3 中期支付</w:t>
      </w:r>
    </w:p>
    <w:p w14:paraId="75F19F6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9.3.1 </w:t>
      </w:r>
      <w:r>
        <w:rPr>
          <w:rFonts w:hint="eastAsia" w:ascii="Times New Roman" w:hAnsi="Times New Roman" w:eastAsia="宋体" w:cs="宋体"/>
          <w:color w:val="auto"/>
          <w:kern w:val="21"/>
          <w:highlight w:val="none"/>
          <w:lang w:eastAsia="zh-CN"/>
        </w:rPr>
        <w:t>监理人应在各月末向委托人提交由总监理工程师签署的按委托人批准格式填写的监理服务费付款申请单一式三份，该付款申请单包括以下栏目，监理人应逐项填写清楚：</w:t>
      </w:r>
    </w:p>
    <w:p w14:paraId="52D4D61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（1）本月应向监理人支付的（结算的）监理服务费用；</w:t>
      </w:r>
    </w:p>
    <w:p w14:paraId="498DB0E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（2）本月应支付的监理服务变更费用；</w:t>
      </w:r>
    </w:p>
    <w:p w14:paraId="1E392DD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（3）本月应支付的预付款；</w:t>
      </w:r>
    </w:p>
    <w:p w14:paraId="342CD6C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（4）根据合同规定，本月应结算的其他款项；</w:t>
      </w:r>
    </w:p>
    <w:p w14:paraId="79BD4663">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（5）本月应扣回的预付款；</w:t>
      </w:r>
    </w:p>
    <w:p w14:paraId="3E99F8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（6）根据合同规定，本月应扣除的其他款项。</w:t>
      </w:r>
    </w:p>
    <w:p w14:paraId="6CF77ABA">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9.3.2 </w:t>
      </w:r>
      <w:r>
        <w:rPr>
          <w:rFonts w:hint="eastAsia" w:ascii="Times New Roman" w:hAnsi="Times New Roman" w:eastAsia="宋体" w:cs="宋体"/>
          <w:color w:val="auto"/>
          <w:kern w:val="21"/>
          <w:highlight w:val="none"/>
          <w:lang w:eastAsia="zh-CN"/>
        </w:rPr>
        <w:t>委托人将在收到监理人提交的监理服务费付款申请单后28日内进行核实并予以支付。除项目专用条款另有约定外，支付原则如下：</w:t>
      </w:r>
    </w:p>
    <w:p w14:paraId="4FA23F6F">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施工期间的监理人员服务费根据各级监理人员的人月单价及本月实际完成的监理服务时间计算并支付（各岗位监理人员的人月数以监理人记录并经委托人签字确认的监理人员出勤情况为依据）。本项目各月累计支付的监理人员服务费总额不得超过监理人在监理服务费报价清单中填报的施工期监理人员服务费合计金额，超过部分委托人将不再予以支付。</w:t>
      </w:r>
      <w:r>
        <w:rPr>
          <w:rFonts w:hint="eastAsia" w:ascii="Times New Roman" w:hAnsi="Times New Roman" w:eastAsia="宋体" w:cs="宋体"/>
          <w:color w:val="auto"/>
          <w:kern w:val="21"/>
          <w:highlight w:val="none"/>
          <w:vertAlign w:val="superscript"/>
          <w:lang w:eastAsia="zh-CN"/>
        </w:rPr>
        <w:footnoteReference w:id="0"/>
      </w:r>
    </w:p>
    <w:p w14:paraId="59C598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施工期间的监理办公设施费、交通设施费、试验设施费及生活设施费由监理人包干使用，上述四项设施费的报价总额按月度等额支付给监理人。监理人必须保证实际投入本项目的办公设施、交通设施、试验设施及生活设施能满足本招标文件的要求和实际工作的需要，且不低于监理人投标文件中所列设施，否则委托人将根据本合同第11.1.2项的规定从其报价总额中扣除违约赔偿金。</w:t>
      </w:r>
    </w:p>
    <w:p w14:paraId="389BB8D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（3）缺陷责任期内的监理人员服务费、监理办公设施费、交通设施费、试验设施费及生活设施费将在本项目的缺陷责任期开始后，分四次等额支付给监理人。</w:t>
      </w:r>
    </w:p>
    <w:p w14:paraId="1C1EC8C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（4）监理服务变更费用经双方协商确认后，在监理服务所对应工作期限内按月平均支付或按双方所签订补充协议约定的支付方式进行支付。</w:t>
      </w:r>
    </w:p>
    <w:p w14:paraId="24BF7F16">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（5）根据合同条款第8.2.2项约定对监理人的奖励，委托人应于对监理人的当期支付费用中一次性支付；</w:t>
      </w:r>
    </w:p>
    <w:p w14:paraId="15F5D41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根据合同条款第11.1款确定的监理人对委托人的违约赔偿金，由委托人从对监理人的当期监理服务费计量支付报表中予以核减；当期监理服务费不足以抵扣违约赔偿金时，则从后续监理服务费计量支付报表或履约保证金中扣回；</w:t>
      </w:r>
    </w:p>
    <w:p w14:paraId="3C3BF45D">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（7）根据通用合同条款第11.2款确定的委托人对监理人的赔偿金，应由委托人与监理人协商确定后在对监理人当期支付费用中一次性支付。</w:t>
      </w:r>
    </w:p>
    <w:p w14:paraId="778ACAC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9.3.3 </w:t>
      </w:r>
      <w:r>
        <w:rPr>
          <w:rFonts w:hint="eastAsia" w:ascii="Times New Roman" w:hAnsi="Times New Roman" w:eastAsia="宋体" w:cs="宋体"/>
          <w:color w:val="auto"/>
          <w:kern w:val="21"/>
          <w:highlight w:val="none"/>
          <w:lang w:eastAsia="zh-CN"/>
        </w:rPr>
        <w:t>委托人在收到监理人提交的书面支付申请且监理人提交了合格的增值税专用发票后，应按上述条款约定的支付期限内支付监理服务费用。委托人未能在前述时间内完成审批或不予答复的，视为委托人同意中期支付申请。委托人未按期支付到期应付的款项，应承担违约责任，并支付逾期付款违约金，逾期付款的违约金以到期应付而未付的款项，按照银行同期贷款利率加计算相应的利息，时间自未付款项的应付之日起算。</w:t>
      </w:r>
    </w:p>
    <w:p w14:paraId="19FA58B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9.3.4 </w:t>
      </w:r>
      <w:r>
        <w:rPr>
          <w:rFonts w:hint="eastAsia" w:ascii="Times New Roman" w:hAnsi="Times New Roman" w:eastAsia="宋体" w:cs="宋体"/>
          <w:color w:val="auto"/>
          <w:kern w:val="21"/>
          <w:highlight w:val="none"/>
          <w:lang w:eastAsia="zh-CN"/>
        </w:rPr>
        <w:t>委托人对监理人要求支付的款项中的任何部分有异议的，应在收到监理人提交的书面支付申请7日内发出书面通知说明理由，但不得借此延误对监理人其他应得款项的支付。</w:t>
      </w:r>
    </w:p>
    <w:p w14:paraId="797DEE81">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9.3.5 </w:t>
      </w:r>
      <w:r>
        <w:rPr>
          <w:rFonts w:hint="eastAsia" w:ascii="Times New Roman" w:hAnsi="Times New Roman" w:eastAsia="宋体" w:cs="宋体"/>
          <w:color w:val="auto"/>
          <w:kern w:val="21"/>
          <w:highlight w:val="none"/>
          <w:lang w:eastAsia="zh-CN"/>
        </w:rPr>
        <w:t>中期支付涉及政府投资资金的，按照国库集中支付等国家相关规定和项目专用合同条款的约定执行。</w:t>
      </w:r>
    </w:p>
    <w:p w14:paraId="55B5B3F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第9.4款细化为：</w:t>
      </w:r>
    </w:p>
    <w:p w14:paraId="712A4359">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9.4 费用结算</w:t>
      </w:r>
    </w:p>
    <w:p w14:paraId="19E8194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9.4.1 </w:t>
      </w:r>
      <w:r>
        <w:rPr>
          <w:rFonts w:hint="eastAsia" w:ascii="Times New Roman" w:hAnsi="Times New Roman" w:eastAsia="宋体" w:cs="宋体"/>
          <w:color w:val="auto"/>
          <w:kern w:val="21"/>
          <w:highlight w:val="none"/>
          <w:lang w:eastAsia="zh-CN"/>
        </w:rPr>
        <w:t>在施工阶段监理服务工作结束后7日内，监理人应将至交工证书申请之日前实际发生的监理服务费用，扣减预付款和监理人赔偿金后余额的支付申请上报至委托人，委托人应在收到该支付申请后7日内予以审批，在批复后14日内向监理人支付费用。监理人在提交支付申请的同时，应按合同条款第4.2.1项的约定向委托人提交缺陷责任期保函，委托人在收到监理人提交的缺陷责任期保函后7日内向监理人返还履约保证金。</w:t>
      </w:r>
    </w:p>
    <w:p w14:paraId="72278DA6">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9.4.2 </w:t>
      </w:r>
      <w:r>
        <w:rPr>
          <w:rFonts w:hint="eastAsia" w:ascii="Times New Roman" w:hAnsi="Times New Roman" w:eastAsia="宋体" w:cs="宋体"/>
          <w:color w:val="auto"/>
          <w:kern w:val="21"/>
          <w:highlight w:val="none"/>
          <w:lang w:eastAsia="zh-CN"/>
        </w:rPr>
        <w:t>在签发工程缺陷责任终止证书后7日内，监理人应将工程缺陷责任期内未结清的监理服务费用和其他应由委托人向监理人支付的剩余款项，扣减其他应由委托人从监理人扣回的款项的支付申请上报至委托人，委托人应在收到该支付申请后7天内予以审批，在批复后14日内向监理人支付费用，同时委托人向监理人返还缺陷责任期保函。</w:t>
      </w:r>
    </w:p>
    <w:p w14:paraId="5313C274">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9.4.3 </w:t>
      </w:r>
      <w:r>
        <w:rPr>
          <w:rFonts w:hint="eastAsia" w:ascii="Times New Roman" w:hAnsi="Times New Roman" w:eastAsia="宋体" w:cs="宋体"/>
          <w:color w:val="auto"/>
          <w:kern w:val="21"/>
          <w:highlight w:val="none"/>
          <w:lang w:eastAsia="zh-CN"/>
        </w:rPr>
        <w:t>委托人在收到监理人提交的书面支付申请且监理人提交了合格的增值税专用发票后，应按上述条款约定的支付期限内支付监理服务费用。委托人未能在前述时间内完成审批或不予答复的，视为委托人同意费用结算申请。委托人未按期支付到期应付的款项，应承担违约责任，并支付逾期付款违约金，逾期付款的违约金以到期应付而未付的款项，按照银行同期贷款利率计算相应的利息，时间自未付款项的应付之日起算。</w:t>
      </w:r>
    </w:p>
    <w:p w14:paraId="3ACFAEE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9.4.4 </w:t>
      </w:r>
      <w:r>
        <w:rPr>
          <w:rFonts w:hint="eastAsia" w:ascii="Times New Roman" w:hAnsi="Times New Roman" w:eastAsia="宋体" w:cs="宋体"/>
          <w:color w:val="auto"/>
          <w:kern w:val="21"/>
          <w:highlight w:val="none"/>
          <w:lang w:eastAsia="zh-CN"/>
        </w:rPr>
        <w:t>委托人对费用结算申请内容有异议的，有权要求监理人进行修正和提供补充资料，由监理人重新提交。监理人对此有异议的，按第12条的约定执行。</w:t>
      </w:r>
    </w:p>
    <w:p w14:paraId="30B9DB1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9.4.5 </w:t>
      </w:r>
      <w:r>
        <w:rPr>
          <w:rFonts w:hint="eastAsia" w:ascii="Times New Roman" w:hAnsi="Times New Roman" w:eastAsia="宋体" w:cs="宋体"/>
          <w:color w:val="auto"/>
          <w:kern w:val="21"/>
          <w:highlight w:val="none"/>
          <w:lang w:eastAsia="zh-CN"/>
        </w:rPr>
        <w:t>最终结清付款涉及政府投资资金的，按第9.3.5项的约定执行。</w:t>
      </w:r>
    </w:p>
    <w:p w14:paraId="5ED8A567">
      <w:pPr>
        <w:spacing w:line="360" w:lineRule="auto"/>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新增第9.5款、第9.6款：</w:t>
      </w:r>
    </w:p>
    <w:p w14:paraId="749FFF3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9.5 暂列金额</w:t>
      </w:r>
    </w:p>
    <w:p w14:paraId="4DD88F5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本合同的暂列金额在项目专用合同条款中约定。暂列金额应按委托人的书面指示全部或部分地使用，或根本不予动用。暂列金额主要用于支付监理服务的变更费用。</w:t>
      </w:r>
    </w:p>
    <w:p w14:paraId="723F57EE">
      <w:pPr>
        <w:spacing w:line="360" w:lineRule="auto"/>
        <w:jc w:val="both"/>
        <w:outlineLvl w:val="4"/>
        <w:rPr>
          <w:rFonts w:hint="eastAsia" w:ascii="Times New Roman" w:hAnsi="Times New Roman" w:eastAsia="宋体" w:cs="宋体"/>
          <w:b/>
          <w:bCs/>
          <w:color w:val="auto"/>
          <w:kern w:val="21"/>
          <w:sz w:val="24"/>
          <w:szCs w:val="24"/>
          <w:highlight w:val="none"/>
          <w:lang w:eastAsia="zh-CN"/>
        </w:rPr>
      </w:pPr>
      <w:bookmarkStart w:id="645" w:name="_Toc493143952"/>
      <w:r>
        <w:rPr>
          <w:rFonts w:hint="eastAsia" w:ascii="Times New Roman" w:hAnsi="Times New Roman" w:eastAsia="宋体" w:cs="宋体"/>
          <w:b/>
          <w:bCs/>
          <w:color w:val="auto"/>
          <w:kern w:val="21"/>
          <w:sz w:val="24"/>
          <w:szCs w:val="24"/>
          <w:highlight w:val="none"/>
          <w:lang w:eastAsia="zh-CN"/>
        </w:rPr>
        <w:t>9.6 货币</w:t>
      </w:r>
      <w:bookmarkEnd w:id="645"/>
    </w:p>
    <w:p w14:paraId="318269B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除项目专用合同条款另有约定外，委托人采用人民币支付监理服务费用。涉及外币支付的，其货币种类、比例和汇率等事宜，在项目专用合同条款中约定。</w:t>
      </w:r>
    </w:p>
    <w:bookmarkEnd w:id="636"/>
    <w:p w14:paraId="71DDD286">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6" w:name="_Toc503518022"/>
      <w:r>
        <w:rPr>
          <w:rFonts w:hint="eastAsia" w:ascii="Times New Roman" w:hAnsi="Times New Roman" w:eastAsia="宋体" w:cs="宋体"/>
          <w:b/>
          <w:bCs/>
          <w:color w:val="auto"/>
          <w:kern w:val="21"/>
          <w:sz w:val="28"/>
          <w:szCs w:val="28"/>
          <w:highlight w:val="none"/>
          <w:lang w:eastAsia="zh-CN"/>
        </w:rPr>
        <w:t>11. 违约</w:t>
      </w:r>
      <w:bookmarkEnd w:id="646"/>
    </w:p>
    <w:p w14:paraId="771A19F0">
      <w:pPr>
        <w:spacing w:line="360" w:lineRule="auto"/>
        <w:ind w:firstLine="420" w:firstLineChars="200"/>
        <w:jc w:val="both"/>
        <w:outlineLvl w:val="4"/>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第11.1款细化为：</w:t>
      </w:r>
    </w:p>
    <w:p w14:paraId="2BEDE74F">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11.1 监理人违约</w:t>
      </w:r>
    </w:p>
    <w:p w14:paraId="57726E78">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11.1.1 </w:t>
      </w:r>
      <w:r>
        <w:rPr>
          <w:rFonts w:hint="eastAsia" w:ascii="Times New Roman" w:hAnsi="Times New Roman" w:eastAsia="宋体" w:cs="宋体"/>
          <w:color w:val="auto"/>
          <w:kern w:val="21"/>
          <w:highlight w:val="none"/>
          <w:lang w:eastAsia="zh-CN"/>
        </w:rPr>
        <w:t>合同履行中发生下列情况之一的，属监理人违约：</w:t>
      </w:r>
    </w:p>
    <w:p w14:paraId="2B195F7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（1）监理文件不符合规范标准以及合同约定；</w:t>
      </w:r>
    </w:p>
    <w:p w14:paraId="267210B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（2）监理人转让或分包监理工作；</w:t>
      </w:r>
    </w:p>
    <w:p w14:paraId="22030AB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（3）监理人未按合同约定实施监理并造成工程损失；</w:t>
      </w:r>
    </w:p>
    <w:p w14:paraId="19F45CA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（4）监理人向承包人索贿、谋取私利，或与承包人串通损害委托人利益，给委托人造成损失；</w:t>
      </w:r>
    </w:p>
    <w:p w14:paraId="20E6277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（5）监理人未按《公路工程施工监理规范》的规定对主要工程或关键工序进行旁站、巡视或抽检；</w:t>
      </w:r>
    </w:p>
    <w:p w14:paraId="6E53C6C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（6）监理人未能按照投标文件的承诺或合同文件的约定配备满足监理服务需求的人员或设备；</w:t>
      </w:r>
    </w:p>
    <w:p w14:paraId="5D25D64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（7）监理人无法履行或停止履行合同；</w:t>
      </w:r>
    </w:p>
    <w:p w14:paraId="0C41BB0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（8）监理人不履行合同约定的其他义务。</w:t>
      </w:r>
    </w:p>
    <w:p w14:paraId="00384EEF">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11.1.2 </w:t>
      </w:r>
      <w:r>
        <w:rPr>
          <w:rFonts w:hint="eastAsia" w:ascii="Times New Roman" w:hAnsi="Times New Roman" w:eastAsia="宋体" w:cs="宋体"/>
          <w:color w:val="auto"/>
          <w:kern w:val="21"/>
          <w:highlight w:val="none"/>
          <w:lang w:eastAsia="zh-CN"/>
        </w:rPr>
        <w:t>监理人发生违约情况时，委托人可向监理人发出整改通知，要求其在限定期限内纠正；逾期仍不纠正的，委托人有权解除合同并向监理人发出解除合同通知。发生第11.1.1（2）目或（4）目情形时，委托人可直接发出解除合同通知。</w:t>
      </w:r>
    </w:p>
    <w:p w14:paraId="307585D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应当承担由于违约所造成的费用增加、周期延误和委托人损失等。委托人有权向监理人课以项目专用合同条款中约定的违约金，并由委托人将其违约行为上报省级交通运输主管部门，作为不良记录纳入公路建设市场信用信息管理系统。</w:t>
      </w:r>
    </w:p>
    <w:p w14:paraId="68AB9240">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11.1.3 </w:t>
      </w:r>
      <w:r>
        <w:rPr>
          <w:rFonts w:hint="eastAsia" w:ascii="Times New Roman" w:hAnsi="Times New Roman" w:eastAsia="宋体" w:cs="宋体"/>
          <w:color w:val="auto"/>
          <w:kern w:val="21"/>
          <w:highlight w:val="none"/>
          <w:lang w:eastAsia="zh-CN"/>
        </w:rPr>
        <w:t>监理人对委托人损失的赔偿责任</w:t>
      </w:r>
    </w:p>
    <w:p w14:paraId="483FCC7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监理人违反监理合同的约定并造成委托人的经济损失，应向委托人赔偿，除项目专用合同条款另有约定外，赔偿金应按下式计算：</w:t>
      </w:r>
    </w:p>
    <w:p w14:paraId="05BC9B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赔偿金=委托人直接经济损失所对应的监理费×监理人应承担责任的比例</w:t>
      </w:r>
    </w:p>
    <w:p w14:paraId="60A1D9F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对由于第三方责任造成的任何经济损失，不承担责任。如果监理人与委托人或第三方对有关经济损失共负责任时，应按责任比例计算赔偿。监理人的上述责任赔偿，均应按照本合同条款第11.5款的约定办理。</w:t>
      </w:r>
    </w:p>
    <w:p w14:paraId="34E7A42E">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11.1.4 </w:t>
      </w:r>
      <w:r>
        <w:rPr>
          <w:rFonts w:hint="eastAsia" w:ascii="Times New Roman" w:hAnsi="Times New Roman" w:eastAsia="宋体" w:cs="宋体"/>
          <w:color w:val="auto"/>
          <w:kern w:val="21"/>
          <w:highlight w:val="none"/>
          <w:lang w:eastAsia="zh-CN"/>
        </w:rPr>
        <w:t>监理人对委托人未授权的监理服务范围不承担监理责任。</w:t>
      </w:r>
    </w:p>
    <w:p w14:paraId="28F5764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第11.2款细化为：</w:t>
      </w:r>
    </w:p>
    <w:p w14:paraId="4887C8B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11.2 委托人违约</w:t>
      </w:r>
    </w:p>
    <w:p w14:paraId="2FF03C0D">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11.2.1</w:t>
      </w:r>
      <w:r>
        <w:rPr>
          <w:rFonts w:hint="eastAsia" w:ascii="Times New Roman" w:hAnsi="Times New Roman" w:eastAsia="宋体" w:cs="宋体"/>
          <w:color w:val="auto"/>
          <w:kern w:val="21"/>
          <w:highlight w:val="none"/>
          <w:lang w:eastAsia="zh-CN"/>
        </w:rPr>
        <w:t xml:space="preserve"> 合同履行中发生下列情况之一的，属委托人违约：</w:t>
      </w:r>
    </w:p>
    <w:p w14:paraId="005D1AF9">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（1）委托人未按合同约定支付监理报酬；</w:t>
      </w:r>
    </w:p>
    <w:p w14:paraId="1131124C">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（2）委托人原因造成监理停止；</w:t>
      </w:r>
    </w:p>
    <w:p w14:paraId="6FA5EB6A">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（3）委托人无法履行或停止履行合同；</w:t>
      </w:r>
    </w:p>
    <w:p w14:paraId="6A27E744">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（4）委托人无正当理由不按时返还履约保证金或缺陷责任期保函；</w:t>
      </w:r>
    </w:p>
    <w:p w14:paraId="5D714395">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（5）委托人不履行合同约定的其他义务。</w:t>
      </w:r>
    </w:p>
    <w:p w14:paraId="6658504C">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11.2.2</w:t>
      </w:r>
      <w:r>
        <w:rPr>
          <w:rFonts w:hint="eastAsia" w:ascii="Times New Roman" w:hAnsi="Times New Roman" w:eastAsia="宋体" w:cs="宋体"/>
          <w:color w:val="auto"/>
          <w:kern w:val="21"/>
          <w:highlight w:val="none"/>
          <w:lang w:eastAsia="zh-CN"/>
        </w:rPr>
        <w:t xml:space="preserve"> 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监理人有权向委托人课以专用合同条款中约定的违约金。</w:t>
      </w:r>
    </w:p>
    <w:p w14:paraId="28210057">
      <w:pPr>
        <w:spacing w:line="360" w:lineRule="auto"/>
        <w:ind w:firstLine="422"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b/>
          <w:bCs/>
          <w:color w:val="auto"/>
          <w:kern w:val="21"/>
          <w:highlight w:val="none"/>
          <w:lang w:eastAsia="zh-CN"/>
        </w:rPr>
        <w:t xml:space="preserve">11.2.3 </w:t>
      </w:r>
      <w:r>
        <w:rPr>
          <w:rFonts w:hint="eastAsia" w:ascii="Times New Roman" w:hAnsi="Times New Roman" w:eastAsia="宋体" w:cs="宋体"/>
          <w:color w:val="auto"/>
          <w:kern w:val="21"/>
          <w:highlight w:val="none"/>
          <w:lang w:eastAsia="zh-CN"/>
        </w:rPr>
        <w:t>委托人对监理人损失的赔偿责任</w:t>
      </w:r>
    </w:p>
    <w:p w14:paraId="0D3A90AE">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委托人违反监理合同的约定并造成监理人的经济损失，除项目专用合同条款另有约定外，委托人应据实赔偿监理人的直接经济损失。</w:t>
      </w:r>
    </w:p>
    <w:p w14:paraId="4C73130D">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7" w:name="_Toc493143938"/>
      <w:r>
        <w:rPr>
          <w:rFonts w:hint="eastAsia" w:ascii="Times New Roman" w:hAnsi="Times New Roman" w:eastAsia="宋体" w:cs="宋体"/>
          <w:color w:val="auto"/>
          <w:kern w:val="21"/>
          <w:highlight w:val="none"/>
          <w:lang w:eastAsia="zh-CN"/>
        </w:rPr>
        <w:t>新增第11.4款、第11.5款：</w:t>
      </w:r>
    </w:p>
    <w:p w14:paraId="2DF848EE">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11.4 赔偿责任的期限</w:t>
      </w:r>
      <w:bookmarkEnd w:id="647"/>
    </w:p>
    <w:p w14:paraId="54E26CCC">
      <w:pPr>
        <w:spacing w:line="360" w:lineRule="auto"/>
        <w:ind w:firstLine="420" w:firstLineChars="200"/>
        <w:jc w:val="both"/>
        <w:rPr>
          <w:rFonts w:hint="eastAsia" w:ascii="Times New Roman" w:hAnsi="Times New Roman" w:eastAsia="宋体" w:cs="宋体"/>
          <w:color w:val="auto"/>
          <w:kern w:val="21"/>
          <w:highlight w:val="none"/>
          <w:lang w:eastAsia="zh-CN"/>
        </w:rPr>
      </w:pPr>
      <w:bookmarkStart w:id="648" w:name="_Toc493143939"/>
      <w:r>
        <w:rPr>
          <w:rFonts w:hint="eastAsia" w:ascii="Times New Roman" w:hAnsi="Times New Roman" w:eastAsia="宋体" w:cs="宋体"/>
          <w:color w:val="auto"/>
          <w:kern w:val="21"/>
          <w:highlight w:val="none"/>
          <w:lang w:eastAsia="zh-CN"/>
        </w:rPr>
        <w:t>委托人或监理人任何一方向另一方要求的赔偿，均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无论是委托人还是监理人，逾期未提出书面索赔意向书，均失去索赔权利。</w:t>
      </w:r>
    </w:p>
    <w:p w14:paraId="19B66DA0">
      <w:pPr>
        <w:spacing w:line="360" w:lineRule="auto"/>
        <w:jc w:val="both"/>
        <w:outlineLvl w:val="4"/>
        <w:rPr>
          <w:rFonts w:hint="eastAsia" w:ascii="Times New Roman" w:hAnsi="Times New Roman" w:eastAsia="宋体" w:cs="宋体"/>
          <w:b/>
          <w:bCs/>
          <w:color w:val="auto"/>
          <w:kern w:val="21"/>
          <w:sz w:val="24"/>
          <w:szCs w:val="24"/>
          <w:highlight w:val="none"/>
          <w:lang w:eastAsia="zh-CN"/>
        </w:rPr>
      </w:pPr>
      <w:r>
        <w:rPr>
          <w:rFonts w:hint="eastAsia" w:ascii="Times New Roman" w:hAnsi="Times New Roman" w:eastAsia="宋体" w:cs="宋体"/>
          <w:b/>
          <w:bCs/>
          <w:color w:val="auto"/>
          <w:kern w:val="21"/>
          <w:sz w:val="24"/>
          <w:szCs w:val="24"/>
          <w:highlight w:val="none"/>
          <w:lang w:eastAsia="zh-CN"/>
        </w:rPr>
        <w:t>11.5 赔偿的限额</w:t>
      </w:r>
      <w:bookmarkEnd w:id="648"/>
    </w:p>
    <w:p w14:paraId="27E2C06B">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除项目专用合同条款另有约定外，合同一方当事人向对方当事人依据本合同条款第11.1款和第11.2款支付赔偿的最高限额为：</w:t>
      </w:r>
    </w:p>
    <w:p w14:paraId="3DFA2FD7">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（1）监理人的累计赔偿限额为监理服务费总额的30%，当达到此限额时，委托人有权单方面终止监理合同，没收监理人的履约保证金。</w:t>
      </w:r>
    </w:p>
    <w:p w14:paraId="5BFBB182">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（2）委托人赔偿监理人的直接经济损失的累计限额为监理服务费总额。</w:t>
      </w:r>
    </w:p>
    <w:p w14:paraId="087DDBA0">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合同双方同意放弃超过上述限额的剩余赔偿要求，但本合同其他条款约定的补偿和由于任何一方故意违约而引起的索赔，不受该限额的限制。</w:t>
      </w:r>
    </w:p>
    <w:p w14:paraId="08BB7435">
      <w:pPr>
        <w:spacing w:before="240" w:beforeLines="100" w:after="120" w:afterLines="50" w:line="360" w:lineRule="auto"/>
        <w:jc w:val="both"/>
        <w:outlineLvl w:val="3"/>
        <w:rPr>
          <w:rFonts w:hint="eastAsia" w:ascii="Times New Roman" w:hAnsi="Times New Roman" w:eastAsia="宋体" w:cs="宋体"/>
          <w:b/>
          <w:bCs/>
          <w:color w:val="auto"/>
          <w:kern w:val="21"/>
          <w:sz w:val="28"/>
          <w:szCs w:val="28"/>
          <w:highlight w:val="none"/>
          <w:lang w:eastAsia="zh-CN"/>
        </w:rPr>
      </w:pPr>
      <w:bookmarkStart w:id="649" w:name="_Toc503518023"/>
      <w:bookmarkStart w:id="650" w:name="_Toc493143959"/>
      <w:r>
        <w:rPr>
          <w:rFonts w:hint="eastAsia" w:ascii="Times New Roman" w:hAnsi="Times New Roman" w:eastAsia="宋体" w:cs="宋体"/>
          <w:b/>
          <w:bCs/>
          <w:color w:val="auto"/>
          <w:kern w:val="21"/>
          <w:sz w:val="28"/>
          <w:szCs w:val="28"/>
          <w:highlight w:val="none"/>
          <w:lang w:eastAsia="zh-CN"/>
        </w:rPr>
        <w:t>12. 争议的解决</w:t>
      </w:r>
      <w:bookmarkEnd w:id="649"/>
    </w:p>
    <w:p w14:paraId="7897E331">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本条补充：</w:t>
      </w:r>
    </w:p>
    <w:p w14:paraId="6981AEC8">
      <w:pPr>
        <w:spacing w:line="360" w:lineRule="auto"/>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采用仲裁方式最终解决争议的项目，仲裁裁决是终局性的并对委托人和监理人双方均具有约束力。全部仲裁费用应由败诉方承担，或按仲裁委员会裁决的比例分担。</w:t>
      </w:r>
      <w:bookmarkEnd w:id="650"/>
    </w:p>
    <w:p w14:paraId="6B20084D">
      <w:pPr>
        <w:spacing w:before="69" w:line="241" w:lineRule="auto"/>
        <w:ind w:left="3156"/>
        <w:rPr>
          <w:rFonts w:ascii="宋体" w:hAnsi="宋体" w:eastAsia="宋体" w:cs="宋体"/>
          <w:b/>
          <w:bCs/>
          <w:color w:val="auto"/>
          <w:spacing w:val="5"/>
          <w:sz w:val="31"/>
          <w:szCs w:val="31"/>
          <w:highlight w:val="none"/>
        </w:rPr>
      </w:pPr>
    </w:p>
    <w:p w14:paraId="76D1ABA6">
      <w:pPr>
        <w:spacing w:before="69" w:line="241" w:lineRule="auto"/>
        <w:ind w:left="3156"/>
        <w:rPr>
          <w:rFonts w:ascii="宋体" w:hAnsi="宋体" w:eastAsia="宋体" w:cs="宋体"/>
          <w:b/>
          <w:bCs/>
          <w:color w:val="auto"/>
          <w:spacing w:val="5"/>
          <w:sz w:val="31"/>
          <w:szCs w:val="31"/>
          <w:highlight w:val="none"/>
        </w:rPr>
      </w:pPr>
    </w:p>
    <w:p w14:paraId="2E3AE7C2">
      <w:pPr>
        <w:spacing w:before="69" w:line="241" w:lineRule="auto"/>
        <w:ind w:left="3156"/>
        <w:rPr>
          <w:rFonts w:ascii="宋体" w:hAnsi="宋体" w:eastAsia="宋体" w:cs="宋体"/>
          <w:b/>
          <w:bCs/>
          <w:color w:val="auto"/>
          <w:spacing w:val="5"/>
          <w:sz w:val="31"/>
          <w:szCs w:val="31"/>
          <w:highlight w:val="none"/>
        </w:rPr>
      </w:pPr>
    </w:p>
    <w:p w14:paraId="3A59E769">
      <w:pPr>
        <w:spacing w:before="69" w:line="241" w:lineRule="auto"/>
        <w:ind w:left="3156"/>
        <w:rPr>
          <w:rFonts w:ascii="宋体" w:hAnsi="宋体" w:eastAsia="宋体" w:cs="宋体"/>
          <w:b/>
          <w:bCs/>
          <w:color w:val="auto"/>
          <w:spacing w:val="5"/>
          <w:sz w:val="31"/>
          <w:szCs w:val="31"/>
          <w:highlight w:val="none"/>
        </w:rPr>
      </w:pPr>
    </w:p>
    <w:p w14:paraId="2C0E9326">
      <w:pPr>
        <w:spacing w:before="69" w:line="241" w:lineRule="auto"/>
        <w:ind w:left="3156"/>
        <w:rPr>
          <w:rFonts w:ascii="宋体" w:hAnsi="宋体" w:eastAsia="宋体" w:cs="宋体"/>
          <w:b/>
          <w:bCs/>
          <w:color w:val="auto"/>
          <w:spacing w:val="5"/>
          <w:sz w:val="31"/>
          <w:szCs w:val="31"/>
          <w:highlight w:val="none"/>
        </w:rPr>
      </w:pPr>
    </w:p>
    <w:p w14:paraId="5E7FB5CE">
      <w:pPr>
        <w:spacing w:before="69" w:line="241" w:lineRule="auto"/>
        <w:ind w:left="3156"/>
        <w:rPr>
          <w:rFonts w:ascii="宋体" w:hAnsi="宋体" w:eastAsia="宋体" w:cs="宋体"/>
          <w:b/>
          <w:bCs/>
          <w:color w:val="auto"/>
          <w:spacing w:val="5"/>
          <w:sz w:val="31"/>
          <w:szCs w:val="31"/>
          <w:highlight w:val="none"/>
        </w:rPr>
      </w:pPr>
    </w:p>
    <w:p w14:paraId="7ED3FAE7">
      <w:pPr>
        <w:spacing w:before="69" w:line="241" w:lineRule="auto"/>
        <w:ind w:left="3156"/>
        <w:rPr>
          <w:rFonts w:ascii="宋体" w:hAnsi="宋体" w:eastAsia="宋体" w:cs="宋体"/>
          <w:b/>
          <w:bCs/>
          <w:color w:val="auto"/>
          <w:spacing w:val="5"/>
          <w:sz w:val="31"/>
          <w:szCs w:val="31"/>
          <w:highlight w:val="none"/>
        </w:rPr>
      </w:pPr>
    </w:p>
    <w:p w14:paraId="1E6557CE">
      <w:pPr>
        <w:spacing w:before="69" w:line="241" w:lineRule="auto"/>
        <w:ind w:left="3156"/>
        <w:rPr>
          <w:rFonts w:ascii="宋体" w:hAnsi="宋体" w:eastAsia="宋体" w:cs="宋体"/>
          <w:b/>
          <w:bCs/>
          <w:color w:val="auto"/>
          <w:spacing w:val="5"/>
          <w:sz w:val="31"/>
          <w:szCs w:val="31"/>
          <w:highlight w:val="none"/>
        </w:rPr>
      </w:pPr>
    </w:p>
    <w:p w14:paraId="602948A4">
      <w:pPr>
        <w:spacing w:before="69" w:line="241" w:lineRule="auto"/>
        <w:ind w:left="3156"/>
        <w:rPr>
          <w:rFonts w:ascii="宋体" w:hAnsi="宋体" w:eastAsia="宋体" w:cs="宋体"/>
          <w:b/>
          <w:bCs/>
          <w:color w:val="auto"/>
          <w:spacing w:val="5"/>
          <w:sz w:val="31"/>
          <w:szCs w:val="31"/>
          <w:highlight w:val="none"/>
        </w:rPr>
      </w:pPr>
    </w:p>
    <w:p w14:paraId="701389AD">
      <w:pPr>
        <w:spacing w:before="69" w:line="241" w:lineRule="auto"/>
        <w:ind w:left="3156"/>
        <w:rPr>
          <w:rFonts w:ascii="宋体" w:hAnsi="宋体" w:eastAsia="宋体" w:cs="宋体"/>
          <w:b/>
          <w:bCs/>
          <w:color w:val="auto"/>
          <w:spacing w:val="5"/>
          <w:sz w:val="31"/>
          <w:szCs w:val="31"/>
          <w:highlight w:val="none"/>
        </w:rPr>
      </w:pPr>
    </w:p>
    <w:p w14:paraId="292861AD">
      <w:pPr>
        <w:spacing w:before="69" w:line="241" w:lineRule="auto"/>
        <w:ind w:left="3156"/>
        <w:rPr>
          <w:rFonts w:ascii="宋体" w:hAnsi="宋体" w:eastAsia="宋体" w:cs="宋体"/>
          <w:b/>
          <w:bCs/>
          <w:color w:val="auto"/>
          <w:spacing w:val="5"/>
          <w:sz w:val="31"/>
          <w:szCs w:val="31"/>
          <w:highlight w:val="none"/>
        </w:rPr>
      </w:pPr>
    </w:p>
    <w:p w14:paraId="72DD98F0">
      <w:pPr>
        <w:spacing w:before="69" w:line="241" w:lineRule="auto"/>
        <w:ind w:left="3156"/>
        <w:rPr>
          <w:rFonts w:ascii="宋体" w:hAnsi="宋体" w:eastAsia="宋体" w:cs="宋体"/>
          <w:b/>
          <w:bCs/>
          <w:color w:val="auto"/>
          <w:spacing w:val="5"/>
          <w:sz w:val="31"/>
          <w:szCs w:val="31"/>
          <w:highlight w:val="none"/>
        </w:rPr>
      </w:pPr>
    </w:p>
    <w:p w14:paraId="7A64741F">
      <w:pPr>
        <w:spacing w:before="69" w:line="241" w:lineRule="auto"/>
        <w:ind w:left="3156"/>
        <w:rPr>
          <w:rFonts w:ascii="宋体" w:hAnsi="宋体" w:eastAsia="宋体" w:cs="宋体"/>
          <w:b/>
          <w:bCs/>
          <w:color w:val="auto"/>
          <w:spacing w:val="5"/>
          <w:sz w:val="31"/>
          <w:szCs w:val="31"/>
          <w:highlight w:val="none"/>
        </w:rPr>
      </w:pPr>
    </w:p>
    <w:p w14:paraId="1B627FB4">
      <w:pPr>
        <w:spacing w:before="69" w:line="241" w:lineRule="auto"/>
        <w:ind w:left="3156"/>
        <w:rPr>
          <w:rFonts w:ascii="宋体" w:hAnsi="宋体" w:eastAsia="宋体" w:cs="宋体"/>
          <w:b/>
          <w:bCs/>
          <w:color w:val="auto"/>
          <w:spacing w:val="5"/>
          <w:sz w:val="31"/>
          <w:szCs w:val="31"/>
          <w:highlight w:val="none"/>
        </w:rPr>
      </w:pPr>
    </w:p>
    <w:p w14:paraId="155F71FE">
      <w:pPr>
        <w:spacing w:before="69" w:line="241" w:lineRule="auto"/>
        <w:ind w:left="3156"/>
        <w:rPr>
          <w:rFonts w:ascii="宋体" w:hAnsi="宋体" w:eastAsia="宋体" w:cs="宋体"/>
          <w:b/>
          <w:bCs/>
          <w:color w:val="auto"/>
          <w:spacing w:val="5"/>
          <w:sz w:val="31"/>
          <w:szCs w:val="31"/>
          <w:highlight w:val="none"/>
        </w:rPr>
      </w:pPr>
    </w:p>
    <w:p w14:paraId="3A353327">
      <w:pPr>
        <w:spacing w:before="69" w:line="241" w:lineRule="auto"/>
        <w:ind w:left="3156"/>
        <w:rPr>
          <w:rFonts w:ascii="宋体" w:hAnsi="宋体" w:eastAsia="宋体" w:cs="宋体"/>
          <w:b/>
          <w:bCs/>
          <w:color w:val="auto"/>
          <w:spacing w:val="5"/>
          <w:sz w:val="31"/>
          <w:szCs w:val="31"/>
          <w:highlight w:val="none"/>
        </w:rPr>
      </w:pPr>
    </w:p>
    <w:p w14:paraId="0CDDA341">
      <w:pPr>
        <w:spacing w:before="69" w:line="241" w:lineRule="auto"/>
        <w:ind w:left="3156"/>
        <w:rPr>
          <w:rFonts w:ascii="宋体" w:hAnsi="宋体" w:eastAsia="宋体" w:cs="宋体"/>
          <w:b/>
          <w:bCs/>
          <w:color w:val="auto"/>
          <w:spacing w:val="5"/>
          <w:sz w:val="31"/>
          <w:szCs w:val="31"/>
          <w:highlight w:val="none"/>
        </w:rPr>
      </w:pPr>
    </w:p>
    <w:p w14:paraId="7C08C393">
      <w:pPr>
        <w:spacing w:before="69" w:line="241" w:lineRule="auto"/>
        <w:ind w:left="3156"/>
        <w:rPr>
          <w:rFonts w:ascii="宋体" w:hAnsi="宋体" w:eastAsia="宋体" w:cs="宋体"/>
          <w:b/>
          <w:bCs/>
          <w:color w:val="auto"/>
          <w:spacing w:val="5"/>
          <w:sz w:val="31"/>
          <w:szCs w:val="31"/>
          <w:highlight w:val="none"/>
        </w:rPr>
      </w:pPr>
    </w:p>
    <w:p w14:paraId="7103C91D">
      <w:pPr>
        <w:spacing w:before="69" w:line="241" w:lineRule="auto"/>
        <w:ind w:left="3156"/>
        <w:rPr>
          <w:rFonts w:ascii="宋体" w:hAnsi="宋体" w:eastAsia="宋体" w:cs="宋体"/>
          <w:b/>
          <w:bCs/>
          <w:color w:val="auto"/>
          <w:spacing w:val="5"/>
          <w:sz w:val="31"/>
          <w:szCs w:val="31"/>
          <w:highlight w:val="none"/>
        </w:rPr>
      </w:pPr>
    </w:p>
    <w:p w14:paraId="5B470735">
      <w:pPr>
        <w:spacing w:before="69" w:line="241" w:lineRule="auto"/>
        <w:ind w:left="3156"/>
        <w:rPr>
          <w:rFonts w:ascii="宋体" w:hAnsi="宋体" w:eastAsia="宋体" w:cs="宋体"/>
          <w:b/>
          <w:bCs/>
          <w:color w:val="auto"/>
          <w:spacing w:val="5"/>
          <w:sz w:val="31"/>
          <w:szCs w:val="31"/>
          <w:highlight w:val="none"/>
        </w:rPr>
      </w:pPr>
    </w:p>
    <w:p w14:paraId="6BBCCC05">
      <w:pPr>
        <w:spacing w:before="69" w:line="241" w:lineRule="auto"/>
        <w:ind w:left="3156"/>
        <w:rPr>
          <w:rFonts w:ascii="宋体" w:hAnsi="宋体" w:eastAsia="宋体" w:cs="宋体"/>
          <w:b/>
          <w:bCs/>
          <w:color w:val="auto"/>
          <w:spacing w:val="5"/>
          <w:sz w:val="31"/>
          <w:szCs w:val="31"/>
          <w:highlight w:val="none"/>
        </w:rPr>
      </w:pPr>
    </w:p>
    <w:p w14:paraId="073C12B4">
      <w:pPr>
        <w:spacing w:before="69" w:line="241" w:lineRule="auto"/>
        <w:ind w:left="3156"/>
        <w:rPr>
          <w:rFonts w:ascii="宋体" w:hAnsi="宋体" w:eastAsia="宋体" w:cs="宋体"/>
          <w:b/>
          <w:bCs/>
          <w:color w:val="auto"/>
          <w:spacing w:val="5"/>
          <w:sz w:val="31"/>
          <w:szCs w:val="31"/>
          <w:highlight w:val="none"/>
        </w:rPr>
      </w:pPr>
    </w:p>
    <w:p w14:paraId="68AD623B">
      <w:pPr>
        <w:spacing w:before="69" w:line="241" w:lineRule="auto"/>
        <w:ind w:left="3156"/>
        <w:rPr>
          <w:rFonts w:ascii="宋体" w:hAnsi="宋体" w:eastAsia="宋体" w:cs="宋体"/>
          <w:b/>
          <w:bCs/>
          <w:color w:val="auto"/>
          <w:spacing w:val="5"/>
          <w:sz w:val="31"/>
          <w:szCs w:val="31"/>
          <w:highlight w:val="none"/>
        </w:rPr>
      </w:pPr>
    </w:p>
    <w:p w14:paraId="321B96BA">
      <w:pPr>
        <w:spacing w:before="69" w:line="241" w:lineRule="auto"/>
        <w:ind w:left="3156"/>
        <w:rPr>
          <w:rFonts w:ascii="宋体" w:hAnsi="宋体" w:eastAsia="宋体" w:cs="宋体"/>
          <w:b/>
          <w:bCs/>
          <w:color w:val="auto"/>
          <w:spacing w:val="5"/>
          <w:sz w:val="31"/>
          <w:szCs w:val="31"/>
          <w:highlight w:val="none"/>
        </w:rPr>
      </w:pPr>
    </w:p>
    <w:p w14:paraId="22543C04">
      <w:pPr>
        <w:spacing w:before="69" w:line="241" w:lineRule="auto"/>
        <w:ind w:left="3156"/>
        <w:rPr>
          <w:rFonts w:ascii="宋体" w:hAnsi="宋体" w:eastAsia="宋体" w:cs="宋体"/>
          <w:b/>
          <w:bCs/>
          <w:color w:val="auto"/>
          <w:spacing w:val="5"/>
          <w:sz w:val="31"/>
          <w:szCs w:val="31"/>
          <w:highlight w:val="none"/>
        </w:rPr>
      </w:pPr>
    </w:p>
    <w:p w14:paraId="261A812F">
      <w:pPr>
        <w:spacing w:before="69" w:line="241" w:lineRule="auto"/>
        <w:ind w:left="3156"/>
        <w:rPr>
          <w:rFonts w:ascii="宋体" w:hAnsi="宋体" w:eastAsia="宋体" w:cs="宋体"/>
          <w:color w:val="auto"/>
          <w:sz w:val="16"/>
          <w:szCs w:val="16"/>
          <w:highlight w:val="none"/>
        </w:rPr>
      </w:pPr>
      <w:r>
        <w:rPr>
          <w:rFonts w:ascii="宋体" w:hAnsi="宋体" w:eastAsia="宋体" w:cs="宋体"/>
          <w:b/>
          <w:bCs/>
          <w:color w:val="auto"/>
          <w:spacing w:val="5"/>
          <w:sz w:val="31"/>
          <w:szCs w:val="31"/>
          <w:highlight w:val="none"/>
        </w:rPr>
        <w:t>B.</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项目专用合同条款</w:t>
      </w:r>
    </w:p>
    <w:p w14:paraId="20DD24CE">
      <w:pPr>
        <w:spacing w:line="464" w:lineRule="auto"/>
        <w:rPr>
          <w:rFonts w:ascii="Arial"/>
          <w:color w:val="auto"/>
          <w:sz w:val="21"/>
          <w:highlight w:val="none"/>
        </w:rPr>
      </w:pPr>
    </w:p>
    <w:p w14:paraId="6A11782F">
      <w:pPr>
        <w:spacing w:before="78" w:line="219" w:lineRule="auto"/>
        <w:ind w:left="14"/>
        <w:rPr>
          <w:rFonts w:ascii="宋体" w:hAnsi="宋体" w:eastAsia="宋体" w:cs="宋体"/>
          <w:color w:val="auto"/>
          <w:sz w:val="24"/>
          <w:szCs w:val="24"/>
          <w:highlight w:val="none"/>
        </w:rPr>
      </w:pPr>
      <w:r>
        <w:rPr>
          <w:rFonts w:ascii="宋体" w:hAnsi="宋体" w:eastAsia="宋体" w:cs="宋体"/>
          <w:color w:val="auto"/>
          <w:spacing w:val="-15"/>
          <w:sz w:val="24"/>
          <w:szCs w:val="24"/>
          <w:highlight w:val="none"/>
        </w:rPr>
        <w:t>说</w:t>
      </w:r>
      <w:r>
        <w:rPr>
          <w:rFonts w:ascii="宋体" w:hAnsi="宋体" w:eastAsia="宋体" w:cs="宋体"/>
          <w:color w:val="auto"/>
          <w:spacing w:val="15"/>
          <w:sz w:val="24"/>
          <w:szCs w:val="24"/>
          <w:highlight w:val="none"/>
        </w:rPr>
        <w:t xml:space="preserve">  </w:t>
      </w:r>
      <w:r>
        <w:rPr>
          <w:rFonts w:ascii="宋体" w:hAnsi="宋体" w:eastAsia="宋体" w:cs="宋体"/>
          <w:color w:val="auto"/>
          <w:spacing w:val="-15"/>
          <w:sz w:val="24"/>
          <w:szCs w:val="24"/>
          <w:highlight w:val="none"/>
        </w:rPr>
        <w:t>明：</w:t>
      </w:r>
    </w:p>
    <w:p w14:paraId="30CA3ED2">
      <w:pPr>
        <w:spacing w:before="236" w:line="295" w:lineRule="auto"/>
        <w:ind w:right="93" w:firstLine="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1.招标人在根据《公路工程标准施工监理招标文件》编制项目招标文件中的“项目</w:t>
      </w:r>
      <w:r>
        <w:rPr>
          <w:rFonts w:ascii="宋体" w:hAnsi="宋体" w:eastAsia="宋体" w:cs="宋体"/>
          <w:color w:val="auto"/>
          <w:spacing w:val="3"/>
          <w:sz w:val="24"/>
          <w:szCs w:val="24"/>
          <w:highlight w:val="none"/>
        </w:rPr>
        <w:t>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”时，可根据招标项目的具体特点和实际需要，对“通用合同条款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”及“公路工程专用合同条款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”进行补充和细化，除“通用合同条款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”明确“专用合同条</w:t>
      </w:r>
      <w:r>
        <w:rPr>
          <w:rFonts w:ascii="宋体" w:hAnsi="宋体" w:eastAsia="宋体" w:cs="宋体"/>
          <w:color w:val="auto"/>
          <w:spacing w:val="2"/>
          <w:sz w:val="24"/>
          <w:szCs w:val="24"/>
          <w:highlight w:val="none"/>
        </w:rPr>
        <w:t>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2"/>
          <w:sz w:val="24"/>
          <w:szCs w:val="24"/>
          <w:highlight w:val="none"/>
        </w:rPr>
        <w:t>”可作出不同约定以及“公路工程专用合同条款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”明确“项目专用合同条款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”可作</w:t>
      </w:r>
      <w:r>
        <w:rPr>
          <w:rFonts w:ascii="宋体" w:hAnsi="宋体" w:eastAsia="宋体" w:cs="宋体"/>
          <w:color w:val="auto"/>
          <w:spacing w:val="4"/>
          <w:sz w:val="24"/>
          <w:szCs w:val="24"/>
          <w:highlight w:val="none"/>
        </w:rPr>
        <w:t>出不同约定外，补充和细化的内容不得与“通用合同条款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”及“公路工程专用合同条款</w:t>
      </w:r>
      <w:r>
        <w:rPr>
          <w:rFonts w:ascii="宋体" w:hAnsi="宋体" w:eastAsia="宋体" w:cs="宋体"/>
          <w:color w:val="auto"/>
          <w:spacing w:val="-73"/>
          <w:sz w:val="24"/>
          <w:szCs w:val="24"/>
          <w:highlight w:val="none"/>
        </w:rPr>
        <w:t xml:space="preserve"> </w:t>
      </w:r>
      <w:r>
        <w:rPr>
          <w:rFonts w:ascii="宋体" w:hAnsi="宋体" w:eastAsia="宋体" w:cs="宋体"/>
          <w:color w:val="auto"/>
          <w:spacing w:val="4"/>
          <w:sz w:val="24"/>
          <w:szCs w:val="24"/>
          <w:highlight w:val="none"/>
        </w:rPr>
        <w:t>”强制性规定相抵触。同时，补充、细化或约定的内容，不得违反法律、行政法规</w:t>
      </w:r>
      <w:r>
        <w:rPr>
          <w:rFonts w:ascii="宋体" w:hAnsi="宋体" w:eastAsia="宋体" w:cs="宋体"/>
          <w:color w:val="auto"/>
          <w:spacing w:val="-2"/>
          <w:sz w:val="24"/>
          <w:szCs w:val="24"/>
          <w:highlight w:val="none"/>
        </w:rPr>
        <w:t>的强制性规定和平等、</w:t>
      </w:r>
      <w:r>
        <w:rPr>
          <w:rFonts w:ascii="宋体" w:hAnsi="宋体" w:eastAsia="宋体" w:cs="宋体"/>
          <w:color w:val="auto"/>
          <w:spacing w:val="-71"/>
          <w:sz w:val="24"/>
          <w:szCs w:val="24"/>
          <w:highlight w:val="none"/>
        </w:rPr>
        <w:t xml:space="preserve"> </w:t>
      </w:r>
      <w:r>
        <w:rPr>
          <w:rFonts w:ascii="宋体" w:hAnsi="宋体" w:eastAsia="宋体" w:cs="宋体"/>
          <w:color w:val="auto"/>
          <w:spacing w:val="-2"/>
          <w:sz w:val="24"/>
          <w:szCs w:val="24"/>
          <w:highlight w:val="none"/>
        </w:rPr>
        <w:t>自愿、公平和诚实信用原</w:t>
      </w:r>
      <w:r>
        <w:rPr>
          <w:rFonts w:ascii="宋体" w:hAnsi="宋体" w:eastAsia="宋体" w:cs="宋体"/>
          <w:color w:val="auto"/>
          <w:spacing w:val="-3"/>
          <w:sz w:val="24"/>
          <w:szCs w:val="24"/>
          <w:highlight w:val="none"/>
        </w:rPr>
        <w:t>则。</w:t>
      </w:r>
    </w:p>
    <w:p w14:paraId="295A4B6F">
      <w:pPr>
        <w:spacing w:before="236" w:line="219" w:lineRule="auto"/>
        <w:ind w:left="439"/>
        <w:rPr>
          <w:rFonts w:ascii="宋体" w:hAnsi="宋体" w:eastAsia="宋体" w:cs="宋体"/>
          <w:color w:val="auto"/>
          <w:sz w:val="24"/>
          <w:szCs w:val="24"/>
          <w:highlight w:val="none"/>
        </w:rPr>
      </w:pPr>
      <w:r>
        <w:rPr>
          <w:rFonts w:ascii="宋体" w:hAnsi="宋体" w:eastAsia="宋体" w:cs="宋体"/>
          <w:color w:val="auto"/>
          <w:sz w:val="24"/>
          <w:szCs w:val="24"/>
          <w:highlight w:val="none"/>
        </w:rPr>
        <w:t>2.项目专用合同条款的编号应与通用合同条款</w:t>
      </w:r>
      <w:r>
        <w:rPr>
          <w:rFonts w:ascii="宋体" w:hAnsi="宋体" w:eastAsia="宋体" w:cs="宋体"/>
          <w:color w:val="auto"/>
          <w:spacing w:val="-1"/>
          <w:sz w:val="24"/>
          <w:szCs w:val="24"/>
          <w:highlight w:val="none"/>
        </w:rPr>
        <w:t>和公路工程专用合同条款一致。</w:t>
      </w:r>
    </w:p>
    <w:p w14:paraId="0340024B">
      <w:pPr>
        <w:spacing w:before="233" w:line="219" w:lineRule="auto"/>
        <w:ind w:left="44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3.项目专用合同条款可对下列内容进行补充和细化：</w:t>
      </w:r>
    </w:p>
    <w:p w14:paraId="6AB729A6">
      <w:pPr>
        <w:spacing w:before="233" w:line="286" w:lineRule="auto"/>
        <w:ind w:left="12" w:right="95" w:firstLine="46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(1)“通用合同条款</w:t>
      </w:r>
      <w:r>
        <w:rPr>
          <w:rFonts w:ascii="宋体" w:hAnsi="宋体" w:eastAsia="宋体" w:cs="宋体"/>
          <w:color w:val="auto"/>
          <w:spacing w:val="-78"/>
          <w:sz w:val="24"/>
          <w:szCs w:val="24"/>
          <w:highlight w:val="none"/>
        </w:rPr>
        <w:t xml:space="preserve"> </w:t>
      </w:r>
      <w:r>
        <w:rPr>
          <w:rFonts w:ascii="宋体" w:hAnsi="宋体" w:eastAsia="宋体" w:cs="宋体"/>
          <w:color w:val="auto"/>
          <w:spacing w:val="-1"/>
          <w:sz w:val="24"/>
          <w:szCs w:val="24"/>
          <w:highlight w:val="none"/>
        </w:rPr>
        <w:t>”中明确指出“专用合同条款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pacing w:val="-1"/>
          <w:sz w:val="24"/>
          <w:szCs w:val="24"/>
          <w:highlight w:val="none"/>
        </w:rPr>
        <w:t>”可对“通用合同条款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”进行修改的内容(在“通用合同条款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”中用“应按合同约定</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”“应按专用合同</w:t>
      </w:r>
      <w:r>
        <w:rPr>
          <w:rFonts w:ascii="宋体" w:hAnsi="宋体" w:eastAsia="宋体" w:cs="宋体"/>
          <w:color w:val="auto"/>
          <w:spacing w:val="-2"/>
          <w:sz w:val="24"/>
          <w:szCs w:val="24"/>
          <w:highlight w:val="none"/>
        </w:rPr>
        <w:t>条款约定</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”“除</w:t>
      </w:r>
      <w:r>
        <w:rPr>
          <w:rFonts w:ascii="宋体" w:hAnsi="宋体" w:eastAsia="宋体" w:cs="宋体"/>
          <w:color w:val="auto"/>
          <w:spacing w:val="1"/>
          <w:sz w:val="24"/>
          <w:szCs w:val="24"/>
          <w:highlight w:val="none"/>
        </w:rPr>
        <w:t>合同另有约定外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pacing w:val="-91"/>
          <w:sz w:val="24"/>
          <w:szCs w:val="24"/>
          <w:highlight w:val="none"/>
        </w:rPr>
        <w:t xml:space="preserve"> </w:t>
      </w:r>
      <w:r>
        <w:rPr>
          <w:rFonts w:ascii="宋体" w:hAnsi="宋体" w:eastAsia="宋体" w:cs="宋体"/>
          <w:color w:val="auto"/>
          <w:spacing w:val="1"/>
          <w:sz w:val="24"/>
          <w:szCs w:val="24"/>
          <w:highlight w:val="none"/>
        </w:rPr>
        <w:t>除专用合同条款另有约定外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”“在专用合同条款中约定</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等多种</w:t>
      </w:r>
      <w:r>
        <w:rPr>
          <w:rFonts w:ascii="宋体" w:hAnsi="宋体" w:eastAsia="宋体" w:cs="宋体"/>
          <w:color w:val="auto"/>
          <w:spacing w:val="-2"/>
          <w:sz w:val="24"/>
          <w:szCs w:val="24"/>
          <w:highlight w:val="none"/>
        </w:rPr>
        <w:t>文字形式表达)；</w:t>
      </w:r>
    </w:p>
    <w:p w14:paraId="500D73B4">
      <w:pPr>
        <w:spacing w:before="234" w:line="286" w:lineRule="auto"/>
        <w:ind w:left="12" w:right="93" w:firstLine="466"/>
        <w:rPr>
          <w:rFonts w:ascii="宋体" w:hAnsi="宋体" w:eastAsia="宋体" w:cs="宋体"/>
          <w:color w:val="auto"/>
          <w:sz w:val="24"/>
          <w:szCs w:val="24"/>
          <w:highlight w:val="none"/>
        </w:rPr>
      </w:pPr>
      <w:r>
        <w:rPr>
          <w:rFonts w:ascii="宋体" w:hAnsi="宋体" w:eastAsia="宋体" w:cs="宋体"/>
          <w:color w:val="auto"/>
          <w:sz w:val="24"/>
          <w:szCs w:val="24"/>
          <w:highlight w:val="none"/>
        </w:rPr>
        <w:t>(2)“公路工程专用合同条款</w:t>
      </w:r>
      <w:r>
        <w:rPr>
          <w:rFonts w:ascii="宋体" w:hAnsi="宋体" w:eastAsia="宋体" w:cs="宋体"/>
          <w:color w:val="auto"/>
          <w:spacing w:val="-80"/>
          <w:sz w:val="24"/>
          <w:szCs w:val="24"/>
          <w:highlight w:val="none"/>
        </w:rPr>
        <w:t xml:space="preserve"> </w:t>
      </w:r>
      <w:r>
        <w:rPr>
          <w:rFonts w:ascii="宋体" w:hAnsi="宋体" w:eastAsia="宋体" w:cs="宋体"/>
          <w:color w:val="auto"/>
          <w:sz w:val="24"/>
          <w:szCs w:val="24"/>
          <w:highlight w:val="none"/>
        </w:rPr>
        <w:t>”中明确指出“项目专用合同条款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”可对“公路工程专用合同条款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”进行修改的内容(在“公路工程专用合同条款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”中</w:t>
      </w:r>
      <w:r>
        <w:rPr>
          <w:rFonts w:ascii="宋体" w:hAnsi="宋体" w:eastAsia="宋体" w:cs="宋体"/>
          <w:color w:val="auto"/>
          <w:spacing w:val="-1"/>
          <w:sz w:val="24"/>
          <w:szCs w:val="24"/>
          <w:highlight w:val="none"/>
        </w:rPr>
        <w:t>用“除项目专用合同</w:t>
      </w:r>
      <w:r>
        <w:rPr>
          <w:rFonts w:ascii="宋体" w:hAnsi="宋体" w:eastAsia="宋体" w:cs="宋体"/>
          <w:color w:val="auto"/>
          <w:spacing w:val="3"/>
          <w:sz w:val="24"/>
          <w:szCs w:val="24"/>
          <w:highlight w:val="none"/>
        </w:rPr>
        <w:t>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”“项目专用合同条款可能约定的</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”“项目专用合同条款约</w:t>
      </w:r>
      <w:r>
        <w:rPr>
          <w:rFonts w:ascii="宋体" w:hAnsi="宋体" w:eastAsia="宋体" w:cs="宋体"/>
          <w:color w:val="auto"/>
          <w:spacing w:val="2"/>
          <w:sz w:val="24"/>
          <w:szCs w:val="24"/>
          <w:highlight w:val="none"/>
        </w:rPr>
        <w:t>定的其他</w:t>
      </w:r>
      <w:r>
        <w:rPr>
          <w:rFonts w:ascii="宋体" w:hAnsi="宋体" w:eastAsia="宋体" w:cs="宋体"/>
          <w:color w:val="auto"/>
          <w:spacing w:val="-4"/>
          <w:sz w:val="24"/>
          <w:szCs w:val="24"/>
          <w:highlight w:val="none"/>
        </w:rPr>
        <w:t>情形</w:t>
      </w:r>
      <w:r>
        <w:rPr>
          <w:rFonts w:ascii="宋体" w:hAnsi="宋体" w:eastAsia="宋体" w:cs="宋体"/>
          <w:color w:val="auto"/>
          <w:spacing w:val="-76"/>
          <w:sz w:val="24"/>
          <w:szCs w:val="24"/>
          <w:highlight w:val="none"/>
        </w:rPr>
        <w:t xml:space="preserve"> </w:t>
      </w:r>
      <w:r>
        <w:rPr>
          <w:rFonts w:ascii="宋体" w:hAnsi="宋体" w:eastAsia="宋体" w:cs="宋体"/>
          <w:color w:val="auto"/>
          <w:spacing w:val="-4"/>
          <w:sz w:val="24"/>
          <w:szCs w:val="24"/>
          <w:highlight w:val="none"/>
        </w:rPr>
        <w:t>”等多种文字形式表达)。</w:t>
      </w:r>
    </w:p>
    <w:p w14:paraId="1733EE59">
      <w:pPr>
        <w:spacing w:before="233" w:line="219" w:lineRule="auto"/>
        <w:ind w:left="478"/>
        <w:rPr>
          <w:rFonts w:ascii="宋体" w:hAnsi="宋体" w:eastAsia="宋体" w:cs="宋体"/>
          <w:color w:val="auto"/>
          <w:sz w:val="24"/>
          <w:szCs w:val="24"/>
          <w:highlight w:val="none"/>
        </w:rPr>
      </w:pPr>
      <w:bookmarkStart w:id="651" w:name="bookmark141"/>
      <w:bookmarkEnd w:id="651"/>
      <w:r>
        <w:rPr>
          <w:rFonts w:ascii="宋体" w:hAnsi="宋体" w:eastAsia="宋体" w:cs="宋体"/>
          <w:color w:val="auto"/>
          <w:spacing w:val="-4"/>
          <w:sz w:val="24"/>
          <w:szCs w:val="24"/>
          <w:highlight w:val="none"/>
        </w:rPr>
        <w:t>(3)其他需要补充、细化的内容。</w:t>
      </w:r>
    </w:p>
    <w:p w14:paraId="14E7FFE9">
      <w:pPr>
        <w:spacing w:line="254" w:lineRule="auto"/>
        <w:rPr>
          <w:rFonts w:ascii="Arial"/>
          <w:color w:val="auto"/>
          <w:sz w:val="21"/>
          <w:highlight w:val="none"/>
        </w:rPr>
      </w:pPr>
    </w:p>
    <w:p w14:paraId="0A2AAEEB">
      <w:pPr>
        <w:spacing w:line="254" w:lineRule="auto"/>
        <w:rPr>
          <w:rFonts w:ascii="Arial"/>
          <w:color w:val="auto"/>
          <w:sz w:val="21"/>
          <w:highlight w:val="none"/>
        </w:rPr>
      </w:pPr>
    </w:p>
    <w:p w14:paraId="12800730">
      <w:pPr>
        <w:spacing w:line="254" w:lineRule="auto"/>
        <w:rPr>
          <w:rFonts w:ascii="Arial"/>
          <w:color w:val="auto"/>
          <w:sz w:val="21"/>
          <w:highlight w:val="none"/>
        </w:rPr>
      </w:pPr>
    </w:p>
    <w:p w14:paraId="44FD9984">
      <w:pPr>
        <w:spacing w:line="254" w:lineRule="auto"/>
        <w:rPr>
          <w:rFonts w:ascii="Arial"/>
          <w:color w:val="auto"/>
          <w:sz w:val="21"/>
          <w:highlight w:val="none"/>
        </w:rPr>
      </w:pPr>
    </w:p>
    <w:p w14:paraId="235E0E32">
      <w:pPr>
        <w:spacing w:line="254" w:lineRule="auto"/>
        <w:rPr>
          <w:rFonts w:ascii="Arial"/>
          <w:color w:val="auto"/>
          <w:sz w:val="21"/>
          <w:highlight w:val="none"/>
        </w:rPr>
      </w:pPr>
    </w:p>
    <w:p w14:paraId="083B8C5D">
      <w:pPr>
        <w:spacing w:line="254" w:lineRule="auto"/>
        <w:rPr>
          <w:rFonts w:ascii="Arial"/>
          <w:color w:val="auto"/>
          <w:sz w:val="21"/>
          <w:highlight w:val="none"/>
        </w:rPr>
      </w:pPr>
    </w:p>
    <w:p w14:paraId="6C51157C">
      <w:pPr>
        <w:spacing w:line="254" w:lineRule="auto"/>
        <w:rPr>
          <w:rFonts w:ascii="Arial"/>
          <w:color w:val="auto"/>
          <w:sz w:val="21"/>
          <w:highlight w:val="none"/>
        </w:rPr>
      </w:pPr>
    </w:p>
    <w:p w14:paraId="734A6EBC">
      <w:pPr>
        <w:spacing w:line="254" w:lineRule="auto"/>
        <w:rPr>
          <w:rFonts w:ascii="Arial"/>
          <w:color w:val="auto"/>
          <w:sz w:val="21"/>
          <w:highlight w:val="none"/>
        </w:rPr>
      </w:pPr>
    </w:p>
    <w:p w14:paraId="2816C511">
      <w:pPr>
        <w:spacing w:line="254" w:lineRule="auto"/>
        <w:rPr>
          <w:rFonts w:ascii="Arial"/>
          <w:color w:val="auto"/>
          <w:sz w:val="21"/>
          <w:highlight w:val="none"/>
        </w:rPr>
      </w:pPr>
    </w:p>
    <w:p w14:paraId="2FA01E0A">
      <w:pPr>
        <w:spacing w:line="254" w:lineRule="auto"/>
        <w:rPr>
          <w:rFonts w:ascii="Arial"/>
          <w:color w:val="auto"/>
          <w:sz w:val="21"/>
          <w:highlight w:val="none"/>
        </w:rPr>
      </w:pPr>
    </w:p>
    <w:p w14:paraId="0C590FE2">
      <w:pPr>
        <w:spacing w:line="254" w:lineRule="auto"/>
        <w:rPr>
          <w:rFonts w:ascii="Arial"/>
          <w:color w:val="auto"/>
          <w:sz w:val="21"/>
          <w:highlight w:val="none"/>
        </w:rPr>
      </w:pPr>
    </w:p>
    <w:p w14:paraId="68649220">
      <w:pPr>
        <w:spacing w:line="255" w:lineRule="auto"/>
        <w:rPr>
          <w:rFonts w:ascii="Arial"/>
          <w:color w:val="auto"/>
          <w:sz w:val="21"/>
          <w:highlight w:val="none"/>
        </w:rPr>
      </w:pPr>
    </w:p>
    <w:p w14:paraId="01367F0F">
      <w:pPr>
        <w:spacing w:line="255" w:lineRule="auto"/>
        <w:rPr>
          <w:rFonts w:ascii="Arial"/>
          <w:color w:val="auto"/>
          <w:sz w:val="21"/>
          <w:highlight w:val="none"/>
        </w:rPr>
      </w:pPr>
    </w:p>
    <w:p w14:paraId="54111A10">
      <w:pPr>
        <w:spacing w:line="255" w:lineRule="auto"/>
        <w:rPr>
          <w:rFonts w:ascii="Arial"/>
          <w:color w:val="auto"/>
          <w:sz w:val="21"/>
          <w:highlight w:val="none"/>
        </w:rPr>
      </w:pPr>
    </w:p>
    <w:p w14:paraId="007BBB46">
      <w:pPr>
        <w:spacing w:line="255" w:lineRule="auto"/>
        <w:rPr>
          <w:rFonts w:ascii="Arial"/>
          <w:color w:val="auto"/>
          <w:sz w:val="21"/>
          <w:highlight w:val="none"/>
        </w:rPr>
      </w:pPr>
    </w:p>
    <w:p w14:paraId="69FBF7EF">
      <w:pPr>
        <w:spacing w:line="233" w:lineRule="auto"/>
        <w:rPr>
          <w:rFonts w:ascii="宋体" w:hAnsi="宋体" w:eastAsia="宋体" w:cs="宋体"/>
          <w:color w:val="auto"/>
          <w:sz w:val="18"/>
          <w:szCs w:val="18"/>
          <w:highlight w:val="none"/>
        </w:rPr>
        <w:sectPr>
          <w:footerReference r:id="rId30" w:type="default"/>
          <w:pgSz w:w="11906" w:h="16839"/>
          <w:pgMar w:top="1382" w:right="1322" w:bottom="1297" w:left="1413" w:header="0" w:footer="1067" w:gutter="0"/>
          <w:pgBorders>
            <w:top w:val="none" w:sz="0" w:space="0"/>
            <w:left w:val="none" w:sz="0" w:space="0"/>
            <w:bottom w:val="none" w:sz="0" w:space="0"/>
            <w:right w:val="none" w:sz="0" w:space="0"/>
          </w:pgBorders>
          <w:pgNumType w:fmt="decimal"/>
          <w:cols w:space="720" w:num="1"/>
        </w:sectPr>
      </w:pPr>
    </w:p>
    <w:p w14:paraId="261509B5">
      <w:pPr>
        <w:spacing w:before="163" w:line="360" w:lineRule="auto"/>
        <w:ind w:left="26"/>
        <w:outlineLvl w:val="1"/>
        <w:rPr>
          <w:rFonts w:ascii="宋体" w:hAnsi="宋体" w:eastAsia="宋体" w:cs="宋体"/>
          <w:color w:val="auto"/>
          <w:sz w:val="24"/>
          <w:szCs w:val="24"/>
          <w:highlight w:val="none"/>
        </w:rPr>
      </w:pPr>
      <w:bookmarkStart w:id="652" w:name="_Toc1148"/>
      <w:bookmarkStart w:id="653" w:name="_Toc7825"/>
      <w:bookmarkStart w:id="654" w:name="_Toc7921"/>
      <w:bookmarkStart w:id="655" w:name="_Toc23052"/>
      <w:r>
        <w:rPr>
          <w:rFonts w:ascii="宋体" w:hAnsi="宋体" w:eastAsia="宋体" w:cs="宋体"/>
          <w:b/>
          <w:bCs/>
          <w:color w:val="auto"/>
          <w:spacing w:val="-9"/>
          <w:sz w:val="24"/>
          <w:szCs w:val="24"/>
          <w:highlight w:val="none"/>
        </w:rPr>
        <w:t>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一般约定</w:t>
      </w:r>
      <w:bookmarkEnd w:id="652"/>
      <w:bookmarkEnd w:id="653"/>
      <w:bookmarkEnd w:id="654"/>
      <w:bookmarkEnd w:id="655"/>
    </w:p>
    <w:p w14:paraId="1B8C9926">
      <w:pPr>
        <w:spacing w:before="292" w:line="360" w:lineRule="auto"/>
        <w:ind w:left="26"/>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词语定义</w:t>
      </w:r>
    </w:p>
    <w:p w14:paraId="437B9E1D">
      <w:pPr>
        <w:spacing w:line="360" w:lineRule="auto"/>
        <w:rPr>
          <w:rFonts w:ascii="Arial"/>
          <w:color w:val="auto"/>
          <w:sz w:val="21"/>
          <w:highlight w:val="none"/>
        </w:rPr>
      </w:pPr>
    </w:p>
    <w:p w14:paraId="1EE50723">
      <w:pPr>
        <w:spacing w:before="166" w:line="360" w:lineRule="auto"/>
        <w:ind w:left="451"/>
        <w:rPr>
          <w:rFonts w:ascii="宋体" w:hAnsi="宋体" w:eastAsia="宋体" w:cs="宋体"/>
          <w:color w:val="auto"/>
          <w:spacing w:val="-3"/>
          <w:sz w:val="22"/>
          <w:szCs w:val="22"/>
          <w:highlight w:val="none"/>
        </w:rPr>
      </w:pPr>
      <w:r>
        <w:rPr>
          <w:rFonts w:ascii="宋体" w:hAnsi="宋体" w:eastAsia="宋体" w:cs="宋体"/>
          <w:color w:val="auto"/>
          <w:spacing w:val="-3"/>
          <w:sz w:val="22"/>
          <w:szCs w:val="22"/>
          <w:highlight w:val="none"/>
        </w:rPr>
        <w:t>1.1.2.2 委托人：</w:t>
      </w:r>
      <w:r>
        <w:rPr>
          <w:rFonts w:ascii="宋体" w:hAnsi="宋体" w:eastAsia="宋体" w:cs="宋体"/>
          <w:color w:val="auto"/>
          <w:spacing w:val="-3"/>
          <w:sz w:val="22"/>
          <w:szCs w:val="22"/>
          <w:highlight w:val="none"/>
          <w:u w:val="single"/>
        </w:rPr>
        <w:t xml:space="preserve"> </w:t>
      </w:r>
      <w:r>
        <w:rPr>
          <w:rFonts w:hint="eastAsia" w:ascii="宋体" w:hAnsi="宋体" w:eastAsia="宋体" w:cs="宋体"/>
          <w:color w:val="auto"/>
          <w:spacing w:val="-3"/>
          <w:sz w:val="22"/>
          <w:szCs w:val="22"/>
          <w:highlight w:val="none"/>
          <w:u w:val="single"/>
          <w:lang w:val="en-US" w:eastAsia="zh-CN"/>
        </w:rPr>
        <w:t>乐昌市地方公路站</w:t>
      </w:r>
      <w:r>
        <w:rPr>
          <w:rFonts w:ascii="宋体" w:hAnsi="宋体" w:eastAsia="宋体" w:cs="宋体"/>
          <w:color w:val="auto"/>
          <w:spacing w:val="-3"/>
          <w:sz w:val="22"/>
          <w:szCs w:val="22"/>
          <w:highlight w:val="none"/>
        </w:rPr>
        <w:t>。</w:t>
      </w:r>
    </w:p>
    <w:p w14:paraId="611693F1">
      <w:pPr>
        <w:spacing w:before="166" w:line="360" w:lineRule="auto"/>
        <w:ind w:left="451"/>
        <w:rPr>
          <w:rFonts w:ascii="宋体" w:hAnsi="宋体" w:eastAsia="宋体" w:cs="宋体"/>
          <w:color w:val="auto"/>
          <w:spacing w:val="-3"/>
          <w:sz w:val="22"/>
          <w:szCs w:val="22"/>
          <w:highlight w:val="none"/>
        </w:rPr>
      </w:pPr>
      <w:r>
        <w:rPr>
          <w:rFonts w:ascii="宋体" w:hAnsi="宋体" w:eastAsia="宋体" w:cs="宋体"/>
          <w:color w:val="auto"/>
          <w:spacing w:val="-3"/>
          <w:sz w:val="22"/>
          <w:szCs w:val="22"/>
          <w:highlight w:val="none"/>
        </w:rPr>
        <w:t>1.1.3.1 本次进行施工监理招标的项目为</w:t>
      </w:r>
      <w:r>
        <w:rPr>
          <w:rFonts w:ascii="宋体" w:hAnsi="宋体" w:eastAsia="宋体" w:cs="宋体"/>
          <w:color w:val="auto"/>
          <w:spacing w:val="-3"/>
          <w:sz w:val="22"/>
          <w:szCs w:val="22"/>
          <w:highlight w:val="none"/>
          <w:u w:val="single"/>
        </w:rPr>
        <w:t xml:space="preserve"> </w:t>
      </w:r>
      <w:r>
        <w:rPr>
          <w:rFonts w:hint="eastAsia" w:ascii="宋体" w:hAnsi="宋体" w:eastAsia="宋体" w:cs="宋体"/>
          <w:color w:val="auto"/>
          <w:spacing w:val="-3"/>
          <w:sz w:val="22"/>
          <w:szCs w:val="22"/>
          <w:highlight w:val="none"/>
          <w:u w:val="single"/>
          <w:lang w:val="en-US" w:eastAsia="zh-CN"/>
        </w:rPr>
        <w:t>长征国家文化公园(乐昌段)旅游公路建设项目二期-X826线坪石至桃坪(K0+000-K21+000段)</w:t>
      </w:r>
      <w:r>
        <w:rPr>
          <w:rFonts w:ascii="宋体" w:hAnsi="宋体" w:eastAsia="宋体" w:cs="宋体"/>
          <w:color w:val="auto"/>
          <w:spacing w:val="-3"/>
          <w:sz w:val="22"/>
          <w:szCs w:val="22"/>
          <w:highlight w:val="none"/>
        </w:rPr>
        <w:t>。</w:t>
      </w:r>
    </w:p>
    <w:p w14:paraId="5A0B5381">
      <w:pPr>
        <w:spacing w:before="166" w:line="360" w:lineRule="auto"/>
        <w:ind w:left="45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工程地点</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韶关市乐昌市</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7B61429B">
      <w:pPr>
        <w:spacing w:before="164" w:line="36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起讫桩号</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K0+000~K</w:t>
      </w:r>
      <w:r>
        <w:rPr>
          <w:rFonts w:hint="eastAsia" w:ascii="宋体" w:hAnsi="宋体" w:eastAsia="宋体" w:cs="宋体"/>
          <w:color w:val="auto"/>
          <w:sz w:val="22"/>
          <w:szCs w:val="22"/>
          <w:highlight w:val="none"/>
          <w:u w:val="single" w:color="auto"/>
          <w:lang w:val="en-US" w:eastAsia="zh-CN"/>
        </w:rPr>
        <w:t>21</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u w:val="single" w:color="auto"/>
          <w:lang w:val="en-US" w:eastAsia="zh-CN"/>
        </w:rPr>
        <w:t>000</w:t>
      </w:r>
      <w:r>
        <w:rPr>
          <w:rFonts w:ascii="宋体" w:hAnsi="宋体" w:eastAsia="宋体" w:cs="宋体"/>
          <w:color w:val="auto"/>
          <w:spacing w:val="-1"/>
          <w:sz w:val="22"/>
          <w:szCs w:val="22"/>
          <w:highlight w:val="none"/>
        </w:rPr>
        <w:t>；</w:t>
      </w:r>
    </w:p>
    <w:p w14:paraId="31DCC22D">
      <w:pPr>
        <w:spacing w:before="167" w:line="360"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施工合同标段划分：</w:t>
      </w:r>
      <w:r>
        <w:rPr>
          <w:rFonts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val="en-US" w:eastAsia="zh-CN"/>
        </w:rPr>
        <w:t>/</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1"/>
          <w:sz w:val="22"/>
          <w:szCs w:val="22"/>
          <w:highlight w:val="none"/>
        </w:rPr>
        <w:t>；</w:t>
      </w:r>
    </w:p>
    <w:p w14:paraId="6FBDAD00">
      <w:pPr>
        <w:spacing w:before="164" w:line="36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监理合同标段划分</w:t>
      </w:r>
      <w:r>
        <w:rPr>
          <w:rFonts w:ascii="宋体" w:hAnsi="宋体" w:eastAsia="宋体" w:cs="宋体"/>
          <w:color w:val="auto"/>
          <w:spacing w:val="-2"/>
          <w:sz w:val="22"/>
          <w:szCs w:val="22"/>
          <w:highlight w:val="none"/>
        </w:rPr>
        <w:t>：</w:t>
      </w:r>
      <w:r>
        <w:rPr>
          <w:rFonts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lang w:val="en-US" w:eastAsia="zh-CN"/>
        </w:rPr>
        <w:t>/</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2"/>
          <w:sz w:val="22"/>
          <w:szCs w:val="22"/>
          <w:highlight w:val="none"/>
        </w:rPr>
        <w:t>；</w:t>
      </w:r>
    </w:p>
    <w:p w14:paraId="282F88FF">
      <w:pPr>
        <w:spacing w:before="169" w:line="360"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试验检测服务标段划分</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w:t>
      </w:r>
    </w:p>
    <w:p w14:paraId="2D9DC5B8">
      <w:pPr>
        <w:spacing w:before="166" w:line="360" w:lineRule="auto"/>
        <w:ind w:left="451"/>
        <w:rPr>
          <w:rFonts w:ascii="宋体" w:hAnsi="宋体" w:eastAsia="宋体" w:cs="宋体"/>
          <w:color w:val="auto"/>
          <w:sz w:val="22"/>
          <w:szCs w:val="22"/>
          <w:highlight w:val="none"/>
          <w:u w:val="single" w:color="auto"/>
          <w:lang w:val="en-US" w:eastAsia="zh-CN"/>
        </w:rPr>
      </w:pPr>
      <w:r>
        <w:rPr>
          <w:rFonts w:ascii="宋体" w:hAnsi="宋体" w:eastAsia="宋体" w:cs="宋体"/>
          <w:color w:val="auto"/>
          <w:sz w:val="22"/>
          <w:szCs w:val="22"/>
          <w:highlight w:val="none"/>
        </w:rPr>
        <w:t>工程概况：</w:t>
      </w:r>
      <w:r>
        <w:rPr>
          <w:rFonts w:hint="eastAsia" w:ascii="宋体" w:hAnsi="宋体" w:eastAsia="宋体" w:cs="宋体"/>
          <w:color w:val="auto"/>
          <w:sz w:val="22"/>
          <w:szCs w:val="22"/>
          <w:highlight w:val="none"/>
          <w:u w:val="single"/>
          <w:lang w:eastAsia="zh-CN"/>
        </w:rPr>
        <w:t>本项目位于乐昌市坪石镇，起点与S248线呈T型平交，起点桩号K0+000，经过金鸡村、上下白沙、黄鹿冲、梓门塘、麦坪村、新岩下村、水口村、京口村、皈塘村、竹岗村、杨家等，至终点桃坪村（桩号:K25+565），路线全长25.565公里（本次实施范围为K0+000-K21+000段）。本项目技术标准为按三级公路技术标准建设，路基宽7.5米，采用水泥混凝土路面，局部困难路段维持原路标准。</w:t>
      </w:r>
    </w:p>
    <w:p w14:paraId="7AD0F333">
      <w:pPr>
        <w:spacing w:line="360" w:lineRule="auto"/>
        <w:rPr>
          <w:rFonts w:ascii="Arial"/>
          <w:color w:val="auto"/>
          <w:sz w:val="21"/>
          <w:highlight w:val="none"/>
        </w:rPr>
      </w:pPr>
    </w:p>
    <w:p w14:paraId="3FF01816">
      <w:pPr>
        <w:spacing w:before="79" w:line="360" w:lineRule="auto"/>
        <w:ind w:left="2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1.6</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文件的提供和照管</w:t>
      </w:r>
    </w:p>
    <w:p w14:paraId="65960CDD">
      <w:pPr>
        <w:spacing w:before="178" w:line="360" w:lineRule="auto"/>
        <w:ind w:left="10" w:right="2" w:firstLine="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1.6.2 委托人负责提供的文件包括</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rPr>
        <w:t xml:space="preserve"> 项目立项文件复印件、设计文件批复复印件施工图纸</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rPr>
        <w:t>提供</w:t>
      </w:r>
      <w:r>
        <w:rPr>
          <w:rFonts w:ascii="宋体" w:hAnsi="宋体" w:eastAsia="宋体" w:cs="宋体"/>
          <w:color w:val="auto"/>
          <w:spacing w:val="-2"/>
          <w:sz w:val="22"/>
          <w:szCs w:val="22"/>
          <w:highlight w:val="none"/>
        </w:rPr>
        <w:t>数量</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各一份</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75"/>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2"/>
          <w:sz w:val="22"/>
          <w:szCs w:val="22"/>
          <w:highlight w:val="none"/>
        </w:rPr>
        <w:t>提供</w:t>
      </w:r>
      <w:r>
        <w:rPr>
          <w:rFonts w:ascii="宋体" w:hAnsi="宋体" w:eastAsia="宋体" w:cs="宋体"/>
          <w:color w:val="auto"/>
          <w:spacing w:val="-1"/>
          <w:sz w:val="22"/>
          <w:szCs w:val="22"/>
          <w:highlight w:val="none"/>
        </w:rPr>
        <w:t>期限：</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已提供</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13CAEBF6">
      <w:pPr>
        <w:spacing w:before="239" w:line="360"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委托人要求</w:t>
      </w:r>
    </w:p>
    <w:p w14:paraId="359DDD4C">
      <w:pPr>
        <w:spacing w:before="176" w:line="360" w:lineRule="auto"/>
        <w:ind w:left="8" w:right="2"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1.12.3 委托人提供国外规范和标准的时间</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提供数量</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1"/>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其他要求：</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6C186CDE">
      <w:pPr>
        <w:spacing w:line="360" w:lineRule="auto"/>
        <w:rPr>
          <w:rFonts w:ascii="Arial"/>
          <w:color w:val="auto"/>
          <w:sz w:val="21"/>
          <w:highlight w:val="none"/>
        </w:rPr>
      </w:pPr>
    </w:p>
    <w:p w14:paraId="00002E4C">
      <w:pPr>
        <w:spacing w:before="79" w:line="360" w:lineRule="auto"/>
        <w:ind w:left="11"/>
        <w:outlineLvl w:val="1"/>
        <w:rPr>
          <w:rFonts w:ascii="宋体" w:hAnsi="宋体" w:eastAsia="宋体" w:cs="宋体"/>
          <w:color w:val="auto"/>
          <w:sz w:val="24"/>
          <w:szCs w:val="24"/>
          <w:highlight w:val="none"/>
        </w:rPr>
      </w:pPr>
      <w:bookmarkStart w:id="656" w:name="bookmark142"/>
      <w:bookmarkEnd w:id="656"/>
      <w:bookmarkStart w:id="657" w:name="_Toc31024"/>
      <w:bookmarkStart w:id="658" w:name="_Toc23126"/>
      <w:bookmarkStart w:id="659" w:name="_Toc19744"/>
      <w:bookmarkStart w:id="660" w:name="_Toc4138"/>
      <w:r>
        <w:rPr>
          <w:rFonts w:ascii="宋体" w:hAnsi="宋体" w:eastAsia="宋体" w:cs="宋体"/>
          <w:b/>
          <w:bCs/>
          <w:color w:val="auto"/>
          <w:spacing w:val="-4"/>
          <w:sz w:val="24"/>
          <w:szCs w:val="24"/>
          <w:highlight w:val="none"/>
        </w:rPr>
        <w:t>2.委托人义务</w:t>
      </w:r>
      <w:bookmarkEnd w:id="657"/>
      <w:bookmarkEnd w:id="658"/>
      <w:bookmarkEnd w:id="659"/>
      <w:bookmarkEnd w:id="660"/>
    </w:p>
    <w:p w14:paraId="1B01625D">
      <w:pPr>
        <w:spacing w:before="48" w:line="360" w:lineRule="auto"/>
        <w:ind w:left="449"/>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4"/>
          <w:sz w:val="22"/>
          <w:szCs w:val="22"/>
          <w:highlight w:val="none"/>
        </w:rPr>
        <w:t>2.3</w:t>
      </w:r>
      <w:r>
        <w:rPr>
          <w:rFonts w:ascii="宋体" w:hAnsi="宋体" w:eastAsia="宋体" w:cs="宋体"/>
          <w:color w:val="auto"/>
          <w:spacing w:val="-43"/>
          <w:sz w:val="22"/>
          <w:szCs w:val="22"/>
          <w:highlight w:val="none"/>
        </w:rPr>
        <w:t xml:space="preserve"> </w:t>
      </w:r>
      <w:r>
        <w:rPr>
          <w:rFonts w:ascii="宋体" w:hAnsi="宋体" w:eastAsia="宋体" w:cs="宋体"/>
          <w:color w:val="auto"/>
          <w:spacing w:val="-4"/>
          <w:sz w:val="22"/>
          <w:szCs w:val="22"/>
          <w:highlight w:val="none"/>
        </w:rPr>
        <w:t>项修改为：</w:t>
      </w:r>
    </w:p>
    <w:p w14:paraId="0E069220">
      <w:pPr>
        <w:spacing w:before="164" w:line="360" w:lineRule="auto"/>
        <w:ind w:left="9"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委托人不提供办公房间、办公桌椅、互联网接口、冷暖设施、生活设施、进出现场交通服</w:t>
      </w:r>
      <w:r>
        <w:rPr>
          <w:rFonts w:ascii="宋体" w:hAnsi="宋体" w:eastAsia="宋体" w:cs="宋体"/>
          <w:color w:val="auto"/>
          <w:spacing w:val="-5"/>
          <w:sz w:val="22"/>
          <w:szCs w:val="22"/>
          <w:highlight w:val="none"/>
        </w:rPr>
        <w:t>务。</w:t>
      </w:r>
    </w:p>
    <w:p w14:paraId="23916035">
      <w:pPr>
        <w:spacing w:before="164" w:line="360" w:lineRule="auto"/>
        <w:ind w:left="13"/>
        <w:outlineLvl w:val="1"/>
        <w:rPr>
          <w:rFonts w:ascii="宋体" w:hAnsi="宋体" w:eastAsia="宋体" w:cs="宋体"/>
          <w:color w:val="auto"/>
          <w:sz w:val="24"/>
          <w:szCs w:val="24"/>
          <w:highlight w:val="none"/>
        </w:rPr>
      </w:pPr>
      <w:bookmarkStart w:id="661" w:name="_Toc24795"/>
      <w:bookmarkStart w:id="662" w:name="_Toc19522"/>
      <w:bookmarkStart w:id="663" w:name="_Toc5210"/>
      <w:bookmarkStart w:id="664" w:name="_Toc2384"/>
      <w:r>
        <w:rPr>
          <w:rFonts w:ascii="宋体" w:hAnsi="宋体" w:eastAsia="宋体" w:cs="宋体"/>
          <w:b/>
          <w:bCs/>
          <w:color w:val="auto"/>
          <w:spacing w:val="-4"/>
          <w:sz w:val="24"/>
          <w:szCs w:val="24"/>
          <w:highlight w:val="none"/>
        </w:rPr>
        <w:t>3.</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委托人管理</w:t>
      </w:r>
      <w:bookmarkEnd w:id="661"/>
      <w:bookmarkEnd w:id="662"/>
      <w:bookmarkEnd w:id="663"/>
      <w:bookmarkEnd w:id="664"/>
    </w:p>
    <w:p w14:paraId="56BE44D9">
      <w:pPr>
        <w:spacing w:before="293" w:line="360" w:lineRule="auto"/>
        <w:ind w:left="13"/>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3.3</w:t>
      </w:r>
      <w:r>
        <w:rPr>
          <w:rFonts w:ascii="宋体" w:hAnsi="宋体" w:eastAsia="宋体" w:cs="宋体"/>
          <w:color w:val="auto"/>
          <w:spacing w:val="22"/>
          <w:sz w:val="24"/>
          <w:szCs w:val="24"/>
          <w:highlight w:val="none"/>
        </w:rPr>
        <w:t xml:space="preserve"> </w:t>
      </w:r>
      <w:r>
        <w:rPr>
          <w:rFonts w:ascii="宋体" w:hAnsi="宋体" w:eastAsia="宋体" w:cs="宋体"/>
          <w:b/>
          <w:bCs/>
          <w:color w:val="auto"/>
          <w:spacing w:val="-6"/>
          <w:sz w:val="24"/>
          <w:szCs w:val="24"/>
          <w:highlight w:val="none"/>
        </w:rPr>
        <w:t>决定或答复</w:t>
      </w:r>
    </w:p>
    <w:p w14:paraId="11E8120B">
      <w:pPr>
        <w:spacing w:before="178" w:line="360" w:lineRule="auto"/>
        <w:ind w:left="45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3.3.2 委托人应在收到监理人书面提出的事项后</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7</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2"/>
          <w:sz w:val="22"/>
          <w:szCs w:val="22"/>
          <w:highlight w:val="none"/>
        </w:rPr>
        <w:t xml:space="preserve"> </w:t>
      </w:r>
      <w:r>
        <w:rPr>
          <w:rFonts w:ascii="宋体" w:hAnsi="宋体" w:eastAsia="宋体" w:cs="宋体"/>
          <w:color w:val="auto"/>
          <w:spacing w:val="-1"/>
          <w:sz w:val="22"/>
          <w:szCs w:val="22"/>
          <w:highlight w:val="none"/>
        </w:rPr>
        <w:t>天内作出书面答复。</w:t>
      </w:r>
    </w:p>
    <w:p w14:paraId="56F6E48F">
      <w:pPr>
        <w:spacing w:line="360" w:lineRule="auto"/>
        <w:rPr>
          <w:rFonts w:ascii="Arial"/>
          <w:color w:val="auto"/>
          <w:sz w:val="21"/>
          <w:highlight w:val="none"/>
        </w:rPr>
      </w:pPr>
    </w:p>
    <w:p w14:paraId="4AFD349F">
      <w:pPr>
        <w:spacing w:line="360" w:lineRule="auto"/>
        <w:rPr>
          <w:rFonts w:ascii="Arial"/>
          <w:color w:val="auto"/>
          <w:sz w:val="21"/>
          <w:highlight w:val="none"/>
        </w:rPr>
      </w:pPr>
    </w:p>
    <w:p w14:paraId="2B479824">
      <w:pPr>
        <w:spacing w:before="78" w:line="360" w:lineRule="auto"/>
        <w:ind w:left="7"/>
        <w:outlineLvl w:val="1"/>
        <w:rPr>
          <w:rFonts w:ascii="宋体" w:hAnsi="宋体" w:eastAsia="宋体" w:cs="宋体"/>
          <w:color w:val="auto"/>
          <w:sz w:val="24"/>
          <w:szCs w:val="24"/>
          <w:highlight w:val="none"/>
        </w:rPr>
      </w:pPr>
      <w:bookmarkStart w:id="665" w:name="_Toc26576"/>
      <w:bookmarkStart w:id="666" w:name="_Toc11448"/>
      <w:bookmarkStart w:id="667" w:name="_Toc2621"/>
      <w:bookmarkStart w:id="668" w:name="_Toc16002"/>
      <w:r>
        <w:rPr>
          <w:rFonts w:ascii="宋体" w:hAnsi="宋体" w:eastAsia="宋体" w:cs="宋体"/>
          <w:b/>
          <w:bCs/>
          <w:color w:val="auto"/>
          <w:spacing w:val="-3"/>
          <w:sz w:val="24"/>
          <w:szCs w:val="24"/>
          <w:highlight w:val="none"/>
        </w:rPr>
        <w:t>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监理人义务</w:t>
      </w:r>
      <w:bookmarkEnd w:id="665"/>
      <w:bookmarkEnd w:id="666"/>
      <w:bookmarkEnd w:id="667"/>
      <w:bookmarkEnd w:id="668"/>
    </w:p>
    <w:p w14:paraId="3F784A37">
      <w:pPr>
        <w:spacing w:before="293" w:line="360"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4.1</w:t>
      </w:r>
      <w:r>
        <w:rPr>
          <w:rFonts w:ascii="宋体" w:hAnsi="宋体" w:eastAsia="宋体" w:cs="宋体"/>
          <w:color w:val="auto"/>
          <w:spacing w:val="-44"/>
          <w:sz w:val="24"/>
          <w:szCs w:val="24"/>
          <w:highlight w:val="none"/>
        </w:rPr>
        <w:t xml:space="preserve"> </w:t>
      </w:r>
      <w:r>
        <w:rPr>
          <w:rFonts w:ascii="宋体" w:hAnsi="宋体" w:eastAsia="宋体" w:cs="宋体"/>
          <w:b/>
          <w:bCs/>
          <w:color w:val="auto"/>
          <w:spacing w:val="-4"/>
          <w:sz w:val="24"/>
          <w:szCs w:val="24"/>
          <w:highlight w:val="none"/>
        </w:rPr>
        <w:t>监理人的一般义务</w:t>
      </w:r>
    </w:p>
    <w:p w14:paraId="67063110">
      <w:pPr>
        <w:spacing w:before="177" w:line="360" w:lineRule="auto"/>
        <w:ind w:left="45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增加第</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4.1.5-4.1.7</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w:t>
      </w:r>
    </w:p>
    <w:p w14:paraId="3716CBE6">
      <w:pPr>
        <w:spacing w:before="167" w:line="360" w:lineRule="auto"/>
        <w:ind w:left="8" w:firstLine="43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4.1.5</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监理人应根据公路建设市场和高质量发展的需要，整合优势资源，构建灵活的服务</w:t>
      </w:r>
      <w:r>
        <w:rPr>
          <w:rFonts w:ascii="宋体" w:hAnsi="宋体" w:eastAsia="宋体" w:cs="宋体"/>
          <w:color w:val="auto"/>
          <w:spacing w:val="1"/>
          <w:sz w:val="22"/>
          <w:szCs w:val="22"/>
          <w:highlight w:val="none"/>
        </w:rPr>
        <w:t>架构和经营模式，丰富监理及咨询服务的内涵，强化技术支持，面向公路建设全产业链，提供</w:t>
      </w:r>
      <w:r>
        <w:rPr>
          <w:rFonts w:ascii="宋体" w:hAnsi="宋体" w:eastAsia="宋体" w:cs="宋体"/>
          <w:color w:val="auto"/>
          <w:spacing w:val="4"/>
          <w:sz w:val="22"/>
          <w:szCs w:val="22"/>
          <w:highlight w:val="none"/>
        </w:rPr>
        <w:t>专业、高水平的咨询服务，形成包括代建、咨询和监理等在内的</w:t>
      </w:r>
      <w:r>
        <w:rPr>
          <w:rFonts w:ascii="宋体" w:hAnsi="宋体" w:eastAsia="宋体" w:cs="宋体"/>
          <w:color w:val="auto"/>
          <w:spacing w:val="3"/>
          <w:sz w:val="22"/>
          <w:szCs w:val="22"/>
          <w:highlight w:val="none"/>
        </w:rPr>
        <w:t>多元化发展方向，提升监理+</w:t>
      </w:r>
      <w:r>
        <w:rPr>
          <w:rFonts w:ascii="宋体" w:hAnsi="宋体" w:eastAsia="宋体" w:cs="宋体"/>
          <w:color w:val="auto"/>
          <w:spacing w:val="-2"/>
          <w:sz w:val="22"/>
          <w:szCs w:val="22"/>
          <w:highlight w:val="none"/>
        </w:rPr>
        <w:t>的服务品质。</w:t>
      </w:r>
    </w:p>
    <w:p w14:paraId="4E0DA563">
      <w:pPr>
        <w:spacing w:before="168" w:line="360" w:lineRule="auto"/>
        <w:ind w:left="6" w:right="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4.1.6</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监理法人单位应根据《广东省公路工程施工监理指南（试行）》第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3.4</w:t>
      </w:r>
      <w:r>
        <w:rPr>
          <w:rFonts w:ascii="宋体" w:hAnsi="宋体" w:eastAsia="宋体" w:cs="宋体"/>
          <w:color w:val="auto"/>
          <w:spacing w:val="-43"/>
          <w:sz w:val="22"/>
          <w:szCs w:val="22"/>
          <w:highlight w:val="none"/>
        </w:rPr>
        <w:t xml:space="preserve"> </w:t>
      </w:r>
      <w:r>
        <w:rPr>
          <w:rFonts w:ascii="宋体" w:hAnsi="宋体" w:eastAsia="宋体" w:cs="宋体"/>
          <w:color w:val="auto"/>
          <w:spacing w:val="1"/>
          <w:sz w:val="22"/>
          <w:szCs w:val="22"/>
          <w:highlight w:val="none"/>
        </w:rPr>
        <w:t>款做好项目</w:t>
      </w:r>
      <w:r>
        <w:rPr>
          <w:rFonts w:ascii="宋体" w:hAnsi="宋体" w:eastAsia="宋体" w:cs="宋体"/>
          <w:color w:val="auto"/>
          <w:sz w:val="22"/>
          <w:szCs w:val="22"/>
          <w:highlight w:val="none"/>
        </w:rPr>
        <w:t>总监办的管理，加强对项目总监办的履约管理，不得以“总</w:t>
      </w:r>
      <w:r>
        <w:rPr>
          <w:rFonts w:ascii="宋体" w:hAnsi="宋体" w:eastAsia="宋体" w:cs="宋体"/>
          <w:color w:val="auto"/>
          <w:spacing w:val="-1"/>
          <w:sz w:val="22"/>
          <w:szCs w:val="22"/>
          <w:highlight w:val="none"/>
        </w:rPr>
        <w:t>费用包干</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”、“重费用轻管理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”等</w:t>
      </w:r>
      <w:r>
        <w:rPr>
          <w:rFonts w:ascii="宋体" w:hAnsi="宋体" w:eastAsia="宋体" w:cs="宋体"/>
          <w:color w:val="auto"/>
          <w:sz w:val="22"/>
          <w:szCs w:val="22"/>
          <w:highlight w:val="none"/>
        </w:rPr>
        <w:t>模式进行管理，防止对总监办“脱管、失管</w:t>
      </w:r>
      <w:r>
        <w:rPr>
          <w:rFonts w:ascii="宋体" w:hAnsi="宋体" w:eastAsia="宋体" w:cs="宋体"/>
          <w:color w:val="auto"/>
          <w:spacing w:val="-67"/>
          <w:sz w:val="22"/>
          <w:szCs w:val="22"/>
          <w:highlight w:val="none"/>
        </w:rPr>
        <w:t xml:space="preserve"> </w:t>
      </w:r>
      <w:r>
        <w:rPr>
          <w:rFonts w:ascii="宋体" w:hAnsi="宋体" w:eastAsia="宋体" w:cs="宋体"/>
          <w:color w:val="auto"/>
          <w:sz w:val="22"/>
          <w:szCs w:val="22"/>
          <w:highlight w:val="none"/>
        </w:rPr>
        <w:t>”，保障总监办正常运作的合理经费及人员薪酬待</w:t>
      </w:r>
      <w:r>
        <w:rPr>
          <w:rFonts w:ascii="宋体" w:hAnsi="宋体" w:eastAsia="宋体" w:cs="宋体"/>
          <w:color w:val="auto"/>
          <w:spacing w:val="-1"/>
          <w:sz w:val="22"/>
          <w:szCs w:val="22"/>
          <w:highlight w:val="none"/>
        </w:rPr>
        <w:t>遇，对总监办开展工作提供必要的技术和管理支持。</w:t>
      </w:r>
    </w:p>
    <w:p w14:paraId="2379A126">
      <w:pPr>
        <w:spacing w:before="165" w:line="360"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监理单位应强化对总监及主要监理人员的管理，总监、副总监要切实履行对其他监理人员的管理职责。监理单位应与建设单位共同做好从下而上、从人员到单位的穿透式、联动式信用评价管理工作，承担连带责任，实行“红黑名单 ”管理。</w:t>
      </w:r>
    </w:p>
    <w:p w14:paraId="0B4136C7">
      <w:pPr>
        <w:spacing w:before="165" w:line="360"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4.1.7 监理法人单位应在建设过程中对“项目现场管理机构 ”的履约情况进行监管和支持，重要事项提级管理，避免“失管失察 ”，建设单位要对该项工作进行专项管理，可在合同中单独列支相关“专项费用 ”，监理单位法人单位的履约情况纳入其年度信用管理。</w:t>
      </w:r>
    </w:p>
    <w:p w14:paraId="4F8A0DA3">
      <w:pPr>
        <w:spacing w:before="243" w:line="360" w:lineRule="auto"/>
        <w:ind w:left="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4.2</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5"/>
          <w:sz w:val="24"/>
          <w:szCs w:val="24"/>
          <w:highlight w:val="none"/>
        </w:rPr>
        <w:t>履约保证金</w:t>
      </w:r>
    </w:p>
    <w:p w14:paraId="6F0797BA">
      <w:pPr>
        <w:spacing w:before="145" w:line="360" w:lineRule="auto"/>
        <w:ind w:left="448"/>
        <w:rPr>
          <w:rFonts w:ascii="宋体" w:hAnsi="宋体" w:eastAsia="宋体" w:cs="宋体"/>
          <w:color w:val="auto"/>
          <w:sz w:val="10"/>
          <w:szCs w:val="10"/>
          <w:highlight w:val="none"/>
        </w:rPr>
      </w:pPr>
      <w:r>
        <w:rPr>
          <w:rFonts w:ascii="宋体" w:hAnsi="宋体" w:eastAsia="宋体" w:cs="宋体"/>
          <w:color w:val="auto"/>
          <w:spacing w:val="-2"/>
          <w:sz w:val="22"/>
          <w:szCs w:val="22"/>
          <w:highlight w:val="none"/>
        </w:rPr>
        <w:t xml:space="preserve">4.2.1 缺陷责任期保函金额： </w:t>
      </w:r>
      <w:r>
        <w:rPr>
          <w:rFonts w:ascii="宋体" w:hAnsi="宋体" w:eastAsia="宋体" w:cs="宋体"/>
          <w:color w:val="auto"/>
          <w:spacing w:val="-2"/>
          <w:sz w:val="22"/>
          <w:szCs w:val="22"/>
          <w:highlight w:val="none"/>
          <w:u w:val="single" w:color="auto"/>
        </w:rPr>
        <w:t xml:space="preserve"> 监理服务费</w:t>
      </w:r>
      <w:r>
        <w:rPr>
          <w:rFonts w:ascii="宋体" w:hAnsi="宋体" w:eastAsia="宋体" w:cs="宋体"/>
          <w:color w:val="auto"/>
          <w:spacing w:val="-3"/>
          <w:sz w:val="22"/>
          <w:szCs w:val="22"/>
          <w:highlight w:val="none"/>
          <w:u w:val="single" w:color="auto"/>
        </w:rPr>
        <w:t>用总额的</w:t>
      </w:r>
      <w:r>
        <w:rPr>
          <w:rFonts w:ascii="宋体" w:hAnsi="宋体" w:eastAsia="宋体" w:cs="宋体"/>
          <w:color w:val="auto"/>
          <w:spacing w:val="-42"/>
          <w:sz w:val="22"/>
          <w:szCs w:val="22"/>
          <w:highlight w:val="none"/>
          <w:u w:val="single" w:color="auto"/>
        </w:rPr>
        <w:t xml:space="preserve"> </w:t>
      </w:r>
      <w:r>
        <w:rPr>
          <w:rFonts w:ascii="宋体" w:hAnsi="宋体" w:eastAsia="宋体" w:cs="宋体"/>
          <w:color w:val="auto"/>
          <w:spacing w:val="-3"/>
          <w:sz w:val="22"/>
          <w:szCs w:val="22"/>
          <w:highlight w:val="none"/>
          <w:u w:val="single" w:color="auto"/>
        </w:rPr>
        <w:t>3％</w:t>
      </w:r>
      <w:r>
        <w:rPr>
          <w:rFonts w:ascii="宋体" w:hAnsi="宋体" w:eastAsia="宋体" w:cs="宋体"/>
          <w:color w:val="auto"/>
          <w:spacing w:val="57"/>
          <w:sz w:val="22"/>
          <w:szCs w:val="22"/>
          <w:highlight w:val="none"/>
          <w:u w:val="single" w:color="auto"/>
        </w:rPr>
        <w:t xml:space="preserve"> </w:t>
      </w:r>
      <w:r>
        <w:rPr>
          <w:rFonts w:ascii="宋体" w:hAnsi="宋体" w:eastAsia="宋体" w:cs="宋体"/>
          <w:color w:val="auto"/>
          <w:spacing w:val="-3"/>
          <w:sz w:val="22"/>
          <w:szCs w:val="22"/>
          <w:highlight w:val="none"/>
        </w:rPr>
        <w:t>。</w:t>
      </w:r>
    </w:p>
    <w:p w14:paraId="1D426B2A">
      <w:pPr>
        <w:spacing w:before="236" w:line="360"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4.5</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4"/>
          <w:sz w:val="24"/>
          <w:szCs w:val="24"/>
          <w:highlight w:val="none"/>
        </w:rPr>
        <w:t>监理人员的管理</w:t>
      </w:r>
    </w:p>
    <w:p w14:paraId="0A3BF741">
      <w:pPr>
        <w:spacing w:before="178" w:line="36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4.5.3</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304B08D1">
      <w:pPr>
        <w:spacing w:before="168" w:line="360" w:lineRule="auto"/>
        <w:ind w:left="6"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监理人派驻到工程所在地进行监理服务的总监理工程师及主要监理人员，必须常驻现场，</w:t>
      </w:r>
      <w:r>
        <w:rPr>
          <w:rFonts w:ascii="宋体" w:hAnsi="宋体" w:eastAsia="宋体" w:cs="宋体"/>
          <w:color w:val="auto"/>
          <w:spacing w:val="3"/>
          <w:sz w:val="22"/>
          <w:szCs w:val="22"/>
          <w:highlight w:val="none"/>
        </w:rPr>
        <w:t>每月不得少于</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rPr>
        <w:t>22</w:t>
      </w:r>
      <w:r>
        <w:rPr>
          <w:rFonts w:ascii="宋体" w:hAnsi="宋体" w:eastAsia="宋体" w:cs="宋体"/>
          <w:color w:val="auto"/>
          <w:spacing w:val="-37"/>
          <w:sz w:val="22"/>
          <w:szCs w:val="22"/>
          <w:highlight w:val="none"/>
        </w:rPr>
        <w:t xml:space="preserve"> </w:t>
      </w:r>
      <w:r>
        <w:rPr>
          <w:rFonts w:ascii="宋体" w:hAnsi="宋体" w:eastAsia="宋体" w:cs="宋体"/>
          <w:color w:val="auto"/>
          <w:spacing w:val="3"/>
          <w:sz w:val="22"/>
          <w:szCs w:val="22"/>
          <w:highlight w:val="none"/>
        </w:rPr>
        <w:t>天，所有人员一律不得在同一时间内承担其他项目的监理任务。若出于某种</w:t>
      </w:r>
      <w:r>
        <w:rPr>
          <w:rFonts w:ascii="宋体" w:hAnsi="宋体" w:eastAsia="宋体" w:cs="宋体"/>
          <w:color w:val="auto"/>
          <w:spacing w:val="1"/>
          <w:sz w:val="22"/>
          <w:szCs w:val="22"/>
          <w:highlight w:val="none"/>
        </w:rPr>
        <w:t>原因需要暂时离开现场时，必须提请委托人批准后方可离开。如果总监理工程师（驻地监理工</w:t>
      </w:r>
      <w:bookmarkStart w:id="669" w:name="bookmark143"/>
      <w:bookmarkEnd w:id="669"/>
      <w:r>
        <w:rPr>
          <w:rFonts w:ascii="宋体" w:hAnsi="宋体" w:eastAsia="宋体" w:cs="宋体"/>
          <w:color w:val="auto"/>
          <w:spacing w:val="2"/>
          <w:sz w:val="22"/>
          <w:szCs w:val="22"/>
          <w:highlight w:val="none"/>
        </w:rPr>
        <w:t>程师）或其他主要监理人员需离开现场的时间超过</w:t>
      </w:r>
      <w:r>
        <w:rPr>
          <w:rFonts w:ascii="宋体" w:hAnsi="宋体" w:eastAsia="宋体" w:cs="宋体"/>
          <w:color w:val="auto"/>
          <w:spacing w:val="-25"/>
          <w:sz w:val="22"/>
          <w:szCs w:val="22"/>
          <w:highlight w:val="none"/>
        </w:rPr>
        <w:t xml:space="preserve"> </w:t>
      </w:r>
      <w:r>
        <w:rPr>
          <w:rFonts w:ascii="宋体" w:hAnsi="宋体" w:eastAsia="宋体" w:cs="宋体"/>
          <w:color w:val="auto"/>
          <w:spacing w:val="2"/>
          <w:sz w:val="22"/>
          <w:szCs w:val="22"/>
          <w:highlight w:val="none"/>
        </w:rPr>
        <w:t>14</w:t>
      </w:r>
      <w:r>
        <w:rPr>
          <w:rFonts w:ascii="宋体" w:hAnsi="宋体" w:eastAsia="宋体" w:cs="宋体"/>
          <w:color w:val="auto"/>
          <w:spacing w:val="-40"/>
          <w:sz w:val="22"/>
          <w:szCs w:val="22"/>
          <w:highlight w:val="none"/>
        </w:rPr>
        <w:t xml:space="preserve"> </w:t>
      </w:r>
      <w:r>
        <w:rPr>
          <w:rFonts w:ascii="宋体" w:hAnsi="宋体" w:eastAsia="宋体" w:cs="宋体"/>
          <w:color w:val="auto"/>
          <w:spacing w:val="2"/>
          <w:sz w:val="22"/>
          <w:szCs w:val="22"/>
          <w:highlight w:val="none"/>
        </w:rPr>
        <w:t>天，则监理人必须按第</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4.5.1</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规</w:t>
      </w:r>
      <w:r>
        <w:rPr>
          <w:rFonts w:ascii="宋体" w:hAnsi="宋体" w:eastAsia="宋体" w:cs="宋体"/>
          <w:color w:val="auto"/>
          <w:spacing w:val="1"/>
          <w:sz w:val="22"/>
          <w:szCs w:val="22"/>
          <w:highlight w:val="none"/>
        </w:rPr>
        <w:t>定派同</w:t>
      </w:r>
      <w:r>
        <w:rPr>
          <w:rFonts w:ascii="宋体" w:hAnsi="宋体" w:eastAsia="宋体" w:cs="宋体"/>
          <w:color w:val="auto"/>
          <w:spacing w:val="-1"/>
          <w:sz w:val="22"/>
          <w:szCs w:val="22"/>
          <w:highlight w:val="none"/>
        </w:rPr>
        <w:t>样资质的人员来替换。</w:t>
      </w:r>
    </w:p>
    <w:p w14:paraId="377C22EB">
      <w:pPr>
        <w:spacing w:before="166" w:line="360" w:lineRule="auto"/>
        <w:ind w:left="6" w:right="150"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监理人应如实记录各监理人员及行政事务人员的出勤情况及工作内容，并在每月月末提交</w:t>
      </w:r>
      <w:r>
        <w:rPr>
          <w:rFonts w:ascii="宋体" w:hAnsi="宋体" w:eastAsia="宋体" w:cs="宋体"/>
          <w:color w:val="auto"/>
          <w:sz w:val="22"/>
          <w:szCs w:val="22"/>
          <w:highlight w:val="none"/>
        </w:rPr>
        <w:t>委托人签字确认。</w:t>
      </w:r>
    </w:p>
    <w:p w14:paraId="701BD978">
      <w:pPr>
        <w:spacing w:line="36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4.5.4</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2C2A6438">
      <w:pPr>
        <w:spacing w:before="167" w:line="360" w:lineRule="auto"/>
        <w:ind w:left="6" w:right="34"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监理人须根据交通运输主管部门的有关规定，完成监理人员从业登记和业绩登记，其中房</w:t>
      </w:r>
      <w:r>
        <w:rPr>
          <w:rFonts w:ascii="宋体" w:hAnsi="宋体" w:eastAsia="宋体" w:cs="宋体"/>
          <w:color w:val="auto"/>
          <w:spacing w:val="-1"/>
          <w:sz w:val="22"/>
          <w:szCs w:val="22"/>
          <w:highlight w:val="none"/>
        </w:rPr>
        <w:t>建工程监理人员应满足《广东省公路房建工程建设管理指</w:t>
      </w:r>
      <w:r>
        <w:rPr>
          <w:rFonts w:ascii="宋体" w:hAnsi="宋体" w:eastAsia="宋体" w:cs="宋体"/>
          <w:color w:val="auto"/>
          <w:spacing w:val="-2"/>
          <w:sz w:val="22"/>
          <w:szCs w:val="22"/>
          <w:highlight w:val="none"/>
        </w:rPr>
        <w:t>南》中的相关要求。监理人员进场后，</w:t>
      </w:r>
      <w:r>
        <w:rPr>
          <w:rFonts w:ascii="宋体" w:hAnsi="宋体" w:eastAsia="宋体" w:cs="宋体"/>
          <w:color w:val="auto"/>
          <w:spacing w:val="4"/>
          <w:sz w:val="22"/>
          <w:szCs w:val="22"/>
          <w:highlight w:val="none"/>
        </w:rPr>
        <w:t>委托人将组织对监理人员进行上岗前考核，同时在监理服务期限内,委托</w:t>
      </w:r>
      <w:r>
        <w:rPr>
          <w:rFonts w:ascii="宋体" w:hAnsi="宋体" w:eastAsia="宋体" w:cs="宋体"/>
          <w:color w:val="auto"/>
          <w:spacing w:val="3"/>
          <w:sz w:val="22"/>
          <w:szCs w:val="22"/>
          <w:highlight w:val="none"/>
        </w:rPr>
        <w:t>人将根据实际情况不</w:t>
      </w:r>
      <w:r>
        <w:rPr>
          <w:rFonts w:ascii="宋体" w:hAnsi="宋体" w:eastAsia="宋体" w:cs="宋体"/>
          <w:color w:val="auto"/>
          <w:sz w:val="22"/>
          <w:szCs w:val="22"/>
          <w:highlight w:val="none"/>
        </w:rPr>
        <w:t>定期对监理人员进行考核，考核不合格的监理人员将不准上岗，全部监理人</w:t>
      </w:r>
      <w:r>
        <w:rPr>
          <w:rFonts w:ascii="宋体" w:hAnsi="宋体" w:eastAsia="宋体" w:cs="宋体"/>
          <w:color w:val="auto"/>
          <w:spacing w:val="-1"/>
          <w:sz w:val="22"/>
          <w:szCs w:val="22"/>
          <w:highlight w:val="none"/>
        </w:rPr>
        <w:t>员均须持证上岗。</w:t>
      </w:r>
    </w:p>
    <w:p w14:paraId="7028EA65">
      <w:pPr>
        <w:spacing w:line="36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8"/>
          <w:sz w:val="22"/>
          <w:szCs w:val="22"/>
          <w:highlight w:val="none"/>
        </w:rPr>
        <w:t xml:space="preserve"> </w:t>
      </w:r>
      <w:r>
        <w:rPr>
          <w:rFonts w:ascii="宋体" w:hAnsi="宋体" w:eastAsia="宋体" w:cs="宋体"/>
          <w:color w:val="auto"/>
          <w:spacing w:val="-3"/>
          <w:sz w:val="22"/>
          <w:szCs w:val="22"/>
          <w:highlight w:val="none"/>
        </w:rPr>
        <w:t>4.5.5</w:t>
      </w:r>
      <w:r>
        <w:rPr>
          <w:rFonts w:ascii="宋体" w:hAnsi="宋体" w:eastAsia="宋体" w:cs="宋体"/>
          <w:color w:val="auto"/>
          <w:spacing w:val="-42"/>
          <w:sz w:val="22"/>
          <w:szCs w:val="22"/>
          <w:highlight w:val="none"/>
        </w:rPr>
        <w:t xml:space="preserve"> </w:t>
      </w:r>
      <w:r>
        <w:rPr>
          <w:rFonts w:ascii="宋体" w:hAnsi="宋体" w:eastAsia="宋体" w:cs="宋体"/>
          <w:color w:val="auto"/>
          <w:spacing w:val="-3"/>
          <w:sz w:val="22"/>
          <w:szCs w:val="22"/>
          <w:highlight w:val="none"/>
        </w:rPr>
        <w:t>项-4.5.8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w:t>
      </w:r>
    </w:p>
    <w:p w14:paraId="6203AA2B">
      <w:pPr>
        <w:spacing w:before="166" w:line="360" w:lineRule="auto"/>
        <w:ind w:left="6" w:right="15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4.5.5 监理人在投标文件中填报或在合同附件约定的人员必须全部按时到位，对于人员不</w:t>
      </w:r>
      <w:r>
        <w:rPr>
          <w:rFonts w:ascii="宋体" w:hAnsi="宋体" w:eastAsia="宋体" w:cs="宋体"/>
          <w:color w:val="auto"/>
          <w:spacing w:val="-1"/>
          <w:sz w:val="22"/>
          <w:szCs w:val="22"/>
          <w:highlight w:val="none"/>
        </w:rPr>
        <w:t>及时到位的按违约进行：</w:t>
      </w:r>
    </w:p>
    <w:p w14:paraId="51E3AF02">
      <w:pPr>
        <w:spacing w:line="360" w:lineRule="auto"/>
        <w:ind w:left="7" w:firstLine="447"/>
        <w:jc w:val="both"/>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总监理工程师处违约金</w:t>
      </w:r>
      <w:r>
        <w:rPr>
          <w:rFonts w:ascii="宋体" w:hAnsi="宋体" w:eastAsia="宋体" w:cs="宋体"/>
          <w:color w:val="auto"/>
          <w:spacing w:val="-107"/>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3</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万元/人次（用备选人替换首选人的调整不受此限）</w:t>
      </w:r>
      <w:r>
        <w:rPr>
          <w:rFonts w:hint="eastAsia" w:ascii="宋体" w:hAnsi="宋体" w:eastAsia="宋体" w:cs="宋体"/>
          <w:color w:val="auto"/>
          <w:spacing w:val="3"/>
          <w:sz w:val="22"/>
          <w:szCs w:val="22"/>
          <w:highlight w:val="none"/>
          <w:lang w:eastAsia="zh-CN"/>
        </w:rPr>
        <w:t>，</w:t>
      </w:r>
      <w:r>
        <w:rPr>
          <w:rFonts w:ascii="宋体" w:hAnsi="宋体" w:eastAsia="宋体" w:cs="宋体"/>
          <w:color w:val="auto"/>
          <w:sz w:val="22"/>
          <w:szCs w:val="22"/>
          <w:highlight w:val="none"/>
        </w:rPr>
        <w:t>其他主要监理人员</w:t>
      </w:r>
      <w:r>
        <w:rPr>
          <w:rFonts w:ascii="宋体" w:hAnsi="宋体" w:eastAsia="宋体" w:cs="宋体"/>
          <w:color w:val="auto"/>
          <w:spacing w:val="3"/>
          <w:sz w:val="22"/>
          <w:szCs w:val="22"/>
          <w:highlight w:val="none"/>
        </w:rPr>
        <w:t>的到位率必须达到</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以上，如不足</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%的（其他主要监理人员分批次进场的，以最终进场的所有人员计算</w:t>
      </w:r>
      <w:r>
        <w:rPr>
          <w:rFonts w:ascii="宋体" w:hAnsi="宋体" w:eastAsia="宋体" w:cs="宋体"/>
          <w:color w:val="auto"/>
          <w:spacing w:val="10"/>
          <w:sz w:val="22"/>
          <w:szCs w:val="22"/>
          <w:highlight w:val="none"/>
        </w:rPr>
        <w:t>），</w:t>
      </w:r>
      <w:r>
        <w:rPr>
          <w:rFonts w:ascii="宋体" w:hAnsi="宋体" w:eastAsia="宋体" w:cs="宋体"/>
          <w:color w:val="auto"/>
          <w:spacing w:val="3"/>
          <w:sz w:val="22"/>
          <w:szCs w:val="22"/>
          <w:highlight w:val="none"/>
        </w:rPr>
        <w:t>其差额部分处以违约金</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万元/人次进行处罚。如因</w:t>
      </w:r>
      <w:r>
        <w:rPr>
          <w:rFonts w:ascii="宋体" w:hAnsi="宋体" w:eastAsia="宋体" w:cs="宋体"/>
          <w:color w:val="auto"/>
          <w:spacing w:val="2"/>
          <w:sz w:val="22"/>
          <w:szCs w:val="22"/>
          <w:highlight w:val="none"/>
        </w:rPr>
        <w:t>特殊原因确需对投标文件中的主要监理人员进行调整除按4.5.1</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项规定外，所代替的人选在资格、资历、能力等方</w:t>
      </w:r>
      <w:r>
        <w:rPr>
          <w:rFonts w:ascii="宋体" w:hAnsi="宋体" w:eastAsia="宋体" w:cs="宋体"/>
          <w:color w:val="auto"/>
          <w:spacing w:val="-1"/>
          <w:sz w:val="22"/>
          <w:szCs w:val="22"/>
          <w:highlight w:val="none"/>
        </w:rPr>
        <w:t>面均不得低于原来的人选，监理人须将更换人员的相关资料如任职证明、身份证、专业（执业）</w:t>
      </w:r>
      <w:r>
        <w:rPr>
          <w:rFonts w:ascii="宋体" w:hAnsi="宋体" w:eastAsia="宋体" w:cs="宋体"/>
          <w:color w:val="auto"/>
          <w:sz w:val="22"/>
          <w:szCs w:val="22"/>
          <w:highlight w:val="none"/>
        </w:rPr>
        <w:t>资格证书等复印件报委托人备案，并按上述</w:t>
      </w:r>
      <w:r>
        <w:rPr>
          <w:rFonts w:ascii="宋体" w:hAnsi="宋体" w:eastAsia="宋体" w:cs="宋体"/>
          <w:color w:val="auto"/>
          <w:spacing w:val="-1"/>
          <w:sz w:val="22"/>
          <w:szCs w:val="22"/>
          <w:highlight w:val="none"/>
        </w:rPr>
        <w:t>标准提交违约金。</w:t>
      </w:r>
    </w:p>
    <w:p w14:paraId="689F10AA">
      <w:pPr>
        <w:spacing w:line="360" w:lineRule="auto"/>
        <w:ind w:left="6" w:right="150" w:firstLine="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4.5.6</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如果监理人需要对其在投标文件中提出的人员进场计划及计划调整，必须事先经过</w:t>
      </w:r>
      <w:r>
        <w:rPr>
          <w:rFonts w:ascii="宋体" w:hAnsi="宋体" w:eastAsia="宋体" w:cs="宋体"/>
          <w:color w:val="auto"/>
          <w:sz w:val="22"/>
          <w:szCs w:val="22"/>
          <w:highlight w:val="none"/>
        </w:rPr>
        <w:t>委托人的批准；所有监理人员需经委托人组织考核</w:t>
      </w:r>
      <w:r>
        <w:rPr>
          <w:rFonts w:ascii="宋体" w:hAnsi="宋体" w:eastAsia="宋体" w:cs="宋体"/>
          <w:color w:val="auto"/>
          <w:spacing w:val="-1"/>
          <w:sz w:val="22"/>
          <w:szCs w:val="22"/>
          <w:highlight w:val="none"/>
        </w:rPr>
        <w:t>合格后方可进场。</w:t>
      </w:r>
    </w:p>
    <w:p w14:paraId="57613CB1">
      <w:pPr>
        <w:spacing w:before="167" w:line="360"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4.5.7 监理人员上岗时必须统一着装、挂牌，做到标志</w:t>
      </w:r>
      <w:r>
        <w:rPr>
          <w:rFonts w:ascii="宋体" w:hAnsi="宋体" w:eastAsia="宋体" w:cs="宋体"/>
          <w:color w:val="auto"/>
          <w:spacing w:val="-1"/>
          <w:sz w:val="22"/>
          <w:szCs w:val="22"/>
          <w:highlight w:val="none"/>
        </w:rPr>
        <w:t>明显，形象分明。</w:t>
      </w:r>
    </w:p>
    <w:p w14:paraId="65661370">
      <w:pPr>
        <w:spacing w:before="166" w:line="360" w:lineRule="auto"/>
        <w:ind w:left="13" w:right="150" w:firstLine="434"/>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4.5.8</w:t>
      </w:r>
      <w:r>
        <w:rPr>
          <w:rFonts w:ascii="宋体" w:hAnsi="宋体" w:eastAsia="宋体" w:cs="宋体"/>
          <w:color w:val="auto"/>
          <w:spacing w:val="-48"/>
          <w:sz w:val="22"/>
          <w:szCs w:val="22"/>
          <w:highlight w:val="none"/>
        </w:rPr>
        <w:t xml:space="preserve"> </w:t>
      </w:r>
      <w:r>
        <w:rPr>
          <w:rFonts w:ascii="宋体" w:hAnsi="宋体" w:eastAsia="宋体" w:cs="宋体"/>
          <w:color w:val="auto"/>
          <w:sz w:val="22"/>
          <w:szCs w:val="22"/>
          <w:highlight w:val="none"/>
        </w:rPr>
        <w:t>在交(竣)工验收及缺陷责</w:t>
      </w:r>
      <w:r>
        <w:rPr>
          <w:rFonts w:ascii="宋体" w:hAnsi="宋体" w:eastAsia="宋体" w:cs="宋体"/>
          <w:color w:val="auto"/>
          <w:spacing w:val="5"/>
          <w:sz w:val="22"/>
          <w:szCs w:val="22"/>
          <w:highlight w:val="none"/>
        </w:rPr>
        <w:t>任期内，监理人应配备</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5"/>
          <w:sz w:val="22"/>
          <w:szCs w:val="22"/>
          <w:highlight w:val="none"/>
        </w:rPr>
        <w:t>名监理人员，且所安排人员应</w:t>
      </w:r>
      <w:r>
        <w:rPr>
          <w:rFonts w:ascii="宋体" w:hAnsi="宋体" w:eastAsia="宋体" w:cs="宋体"/>
          <w:color w:val="auto"/>
          <w:spacing w:val="-2"/>
          <w:sz w:val="22"/>
          <w:szCs w:val="22"/>
          <w:highlight w:val="none"/>
        </w:rPr>
        <w:t>到岗到位，不得随意更换。</w:t>
      </w:r>
    </w:p>
    <w:p w14:paraId="37A022F4">
      <w:pPr>
        <w:spacing w:before="168" w:line="360" w:lineRule="auto"/>
        <w:ind w:left="10" w:right="150" w:firstLine="43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4.5.9</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监理人应根据广东省交通运输厅关于加强交通建设工程从业人员实名制管理和作业</w:t>
      </w:r>
      <w:r>
        <w:rPr>
          <w:rFonts w:ascii="宋体" w:hAnsi="宋体" w:eastAsia="宋体" w:cs="宋体"/>
          <w:color w:val="auto"/>
          <w:spacing w:val="1"/>
          <w:sz w:val="22"/>
          <w:szCs w:val="22"/>
          <w:highlight w:val="none"/>
        </w:rPr>
        <w:t>工人工资支付管理的通知（</w:t>
      </w:r>
      <w:r>
        <w:rPr>
          <w:rFonts w:ascii="宋体" w:hAnsi="宋体" w:eastAsia="宋体" w:cs="宋体"/>
          <w:color w:val="auto"/>
          <w:spacing w:val="48"/>
          <w:sz w:val="22"/>
          <w:szCs w:val="22"/>
          <w:highlight w:val="none"/>
        </w:rPr>
        <w:t xml:space="preserve"> </w:t>
      </w:r>
      <w:r>
        <w:rPr>
          <w:rFonts w:ascii="宋体" w:hAnsi="宋体" w:eastAsia="宋体" w:cs="宋体"/>
          <w:color w:val="auto"/>
          <w:spacing w:val="1"/>
          <w:sz w:val="22"/>
          <w:szCs w:val="22"/>
          <w:highlight w:val="none"/>
        </w:rPr>
        <w:t>粤交基函〔 2020〕</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177 号</w:t>
      </w:r>
      <w:r>
        <w:rPr>
          <w:rFonts w:ascii="宋体" w:hAnsi="宋体" w:eastAsia="宋体" w:cs="宋体"/>
          <w:color w:val="auto"/>
          <w:sz w:val="22"/>
          <w:szCs w:val="22"/>
          <w:highlight w:val="none"/>
        </w:rPr>
        <w:t>）</w:t>
      </w:r>
      <w:r>
        <w:rPr>
          <w:rFonts w:ascii="宋体" w:hAnsi="宋体" w:eastAsia="宋体" w:cs="宋体"/>
          <w:color w:val="auto"/>
          <w:spacing w:val="37"/>
          <w:sz w:val="22"/>
          <w:szCs w:val="22"/>
          <w:highlight w:val="none"/>
        </w:rPr>
        <w:t xml:space="preserve"> </w:t>
      </w:r>
      <w:r>
        <w:rPr>
          <w:rFonts w:ascii="宋体" w:hAnsi="宋体" w:eastAsia="宋体" w:cs="宋体"/>
          <w:color w:val="auto"/>
          <w:sz w:val="22"/>
          <w:szCs w:val="22"/>
          <w:highlight w:val="none"/>
        </w:rPr>
        <w:t>的要求， 做好从业人员实名制管</w:t>
      </w:r>
      <w:r>
        <w:rPr>
          <w:rFonts w:ascii="宋体" w:hAnsi="宋体" w:eastAsia="宋体" w:cs="宋体"/>
          <w:color w:val="auto"/>
          <w:spacing w:val="-1"/>
          <w:sz w:val="22"/>
          <w:szCs w:val="22"/>
          <w:highlight w:val="none"/>
        </w:rPr>
        <w:t>理要求， 具体要求根据委托人发布的相关办法执行。</w:t>
      </w:r>
    </w:p>
    <w:p w14:paraId="75B919F9">
      <w:pPr>
        <w:spacing w:before="168" w:line="360" w:lineRule="auto"/>
        <w:ind w:left="49" w:right="152" w:firstLine="3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4.5.10 委托人可批准部分未持有交通运输部监理</w:t>
      </w:r>
      <w:r>
        <w:rPr>
          <w:rFonts w:ascii="宋体" w:hAnsi="宋体" w:eastAsia="宋体" w:cs="宋体"/>
          <w:color w:val="auto"/>
          <w:spacing w:val="3"/>
          <w:sz w:val="22"/>
          <w:szCs w:val="22"/>
          <w:highlight w:val="none"/>
        </w:rPr>
        <w:t>工程师证人员以专业工程师身份进入项</w:t>
      </w:r>
      <w:r>
        <w:rPr>
          <w:rFonts w:ascii="宋体" w:hAnsi="宋体" w:eastAsia="宋体" w:cs="宋体"/>
          <w:color w:val="auto"/>
          <w:spacing w:val="-2"/>
          <w:sz w:val="22"/>
          <w:szCs w:val="22"/>
          <w:highlight w:val="none"/>
        </w:rPr>
        <w:t>目执业，书面批复并明确其在项目内的职权范围。比例不超</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30</w:t>
      </w:r>
      <w:r>
        <w:rPr>
          <w:rFonts w:ascii="宋体" w:hAnsi="宋体" w:eastAsia="宋体" w:cs="宋体"/>
          <w:color w:val="auto"/>
          <w:spacing w:val="-3"/>
          <w:sz w:val="22"/>
          <w:szCs w:val="22"/>
          <w:highlight w:val="none"/>
        </w:rPr>
        <w:t>%。</w:t>
      </w:r>
    </w:p>
    <w:p w14:paraId="48774E5A">
      <w:pPr>
        <w:spacing w:before="166" w:line="360"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4.5.11 监理机构应制定监理人员培训方案，培</w:t>
      </w:r>
      <w:r>
        <w:rPr>
          <w:rFonts w:ascii="宋体" w:hAnsi="宋体" w:eastAsia="宋体" w:cs="宋体"/>
          <w:color w:val="auto"/>
          <w:spacing w:val="-1"/>
          <w:sz w:val="22"/>
          <w:szCs w:val="22"/>
          <w:highlight w:val="none"/>
        </w:rPr>
        <w:t>训内容应包括：</w:t>
      </w:r>
    </w:p>
    <w:p w14:paraId="5061B428">
      <w:pPr>
        <w:spacing w:before="168" w:line="36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a）相关法律法规、规范及指南；</w:t>
      </w:r>
    </w:p>
    <w:p w14:paraId="08198906">
      <w:pPr>
        <w:spacing w:before="165" w:line="360" w:lineRule="auto"/>
        <w:ind w:left="445"/>
        <w:rPr>
          <w:rFonts w:ascii="宋体" w:hAnsi="宋体" w:eastAsia="宋体" w:cs="宋体"/>
          <w:color w:val="auto"/>
          <w:sz w:val="22"/>
          <w:szCs w:val="22"/>
          <w:highlight w:val="none"/>
        </w:rPr>
      </w:pPr>
      <w:bookmarkStart w:id="670" w:name="bookmark144"/>
      <w:bookmarkEnd w:id="670"/>
      <w:r>
        <w:rPr>
          <w:rFonts w:ascii="宋体" w:hAnsi="宋体" w:eastAsia="宋体" w:cs="宋体"/>
          <w:color w:val="auto"/>
          <w:sz w:val="22"/>
          <w:szCs w:val="22"/>
          <w:highlight w:val="none"/>
        </w:rPr>
        <w:t>b）监理基础知识、专业技术知识，分部分项工程质量安全</w:t>
      </w:r>
      <w:r>
        <w:rPr>
          <w:rFonts w:ascii="宋体" w:hAnsi="宋体" w:eastAsia="宋体" w:cs="宋体"/>
          <w:color w:val="auto"/>
          <w:spacing w:val="-1"/>
          <w:sz w:val="22"/>
          <w:szCs w:val="22"/>
          <w:highlight w:val="none"/>
        </w:rPr>
        <w:t>监理要点；</w:t>
      </w:r>
    </w:p>
    <w:p w14:paraId="276CCD19">
      <w:pPr>
        <w:spacing w:before="44" w:line="360" w:lineRule="auto"/>
        <w:ind w:left="2" w:right="118" w:firstLine="445"/>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c）项目建设目标、建设理念、项目管理要求或建设单位下发的项</w:t>
      </w:r>
      <w:r>
        <w:rPr>
          <w:rFonts w:ascii="宋体" w:hAnsi="宋体" w:eastAsia="宋体" w:cs="宋体"/>
          <w:color w:val="auto"/>
          <w:spacing w:val="3"/>
          <w:sz w:val="22"/>
          <w:szCs w:val="22"/>
          <w:highlight w:val="none"/>
        </w:rPr>
        <w:t>目管理办法、工程特点</w:t>
      </w:r>
      <w:r>
        <w:rPr>
          <w:rFonts w:ascii="宋体" w:hAnsi="宋体" w:eastAsia="宋体" w:cs="宋体"/>
          <w:color w:val="auto"/>
          <w:sz w:val="22"/>
          <w:szCs w:val="22"/>
          <w:highlight w:val="none"/>
        </w:rPr>
        <w:t>和施工图设计文件，总体施工组织设计、承包人项目管理方案</w:t>
      </w:r>
      <w:r>
        <w:rPr>
          <w:rFonts w:ascii="宋体" w:hAnsi="宋体" w:eastAsia="宋体" w:cs="宋体"/>
          <w:color w:val="auto"/>
          <w:spacing w:val="-1"/>
          <w:sz w:val="22"/>
          <w:szCs w:val="22"/>
          <w:highlight w:val="none"/>
        </w:rPr>
        <w:t>及专项施工方案等；</w:t>
      </w:r>
    </w:p>
    <w:p w14:paraId="7B54C2B0">
      <w:pPr>
        <w:spacing w:before="167" w:line="36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d）其他方面。</w:t>
      </w:r>
    </w:p>
    <w:p w14:paraId="1EB351DF">
      <w:pPr>
        <w:spacing w:line="360" w:lineRule="auto"/>
        <w:rPr>
          <w:rFonts w:ascii="Arial"/>
          <w:color w:val="auto"/>
          <w:sz w:val="21"/>
          <w:highlight w:val="none"/>
        </w:rPr>
      </w:pPr>
    </w:p>
    <w:p w14:paraId="33F909AE">
      <w:pPr>
        <w:spacing w:line="360" w:lineRule="auto"/>
        <w:rPr>
          <w:rFonts w:ascii="Arial"/>
          <w:color w:val="auto"/>
          <w:sz w:val="21"/>
          <w:highlight w:val="none"/>
        </w:rPr>
      </w:pPr>
    </w:p>
    <w:p w14:paraId="7414335D">
      <w:pPr>
        <w:spacing w:before="78" w:line="360"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4.6</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3"/>
          <w:sz w:val="24"/>
          <w:szCs w:val="24"/>
          <w:highlight w:val="none"/>
        </w:rPr>
        <w:t>撤换总监理工程师和其他人员</w:t>
      </w:r>
    </w:p>
    <w:p w14:paraId="5E763AE1">
      <w:pPr>
        <w:spacing w:before="175" w:line="36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在</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4.6</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项段后增加如下内容：</w:t>
      </w:r>
    </w:p>
    <w:p w14:paraId="2B4E09E2">
      <w:pPr>
        <w:spacing w:before="166" w:line="360" w:lineRule="auto"/>
        <w:ind w:left="1"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尽管监理人已按投标文件中的人员进场计划派遣了监理人员，但若委托人认为现场监理人员仍不足以满足施工监理服务的需要而影响了对工程质量及进度的监控时，委托人有权要求监</w:t>
      </w:r>
      <w:r>
        <w:rPr>
          <w:rFonts w:ascii="宋体" w:hAnsi="宋体" w:eastAsia="宋体" w:cs="宋体"/>
          <w:color w:val="auto"/>
          <w:spacing w:val="-1"/>
          <w:sz w:val="22"/>
          <w:szCs w:val="22"/>
          <w:highlight w:val="none"/>
        </w:rPr>
        <w:t>理人另外增派或雇用监理人员。监理人在接到通知后应</w:t>
      </w:r>
      <w:r>
        <w:rPr>
          <w:rFonts w:ascii="宋体" w:hAnsi="宋体" w:eastAsia="宋体" w:cs="宋体"/>
          <w:color w:val="auto"/>
          <w:spacing w:val="-2"/>
          <w:sz w:val="22"/>
          <w:szCs w:val="22"/>
          <w:highlight w:val="none"/>
        </w:rPr>
        <w:t>立即执行委托人的指示，不得无故拖延，</w:t>
      </w:r>
      <w:r>
        <w:rPr>
          <w:rFonts w:ascii="宋体" w:hAnsi="宋体" w:eastAsia="宋体" w:cs="宋体"/>
          <w:color w:val="auto"/>
          <w:spacing w:val="1"/>
          <w:sz w:val="22"/>
          <w:szCs w:val="22"/>
          <w:highlight w:val="none"/>
        </w:rPr>
        <w:t>同时委托人也有权要求监理人减少监理人员。如监理人因此在投标报价的现场监理人员费用总</w:t>
      </w:r>
      <w:r>
        <w:rPr>
          <w:rFonts w:ascii="宋体" w:hAnsi="宋体" w:eastAsia="宋体" w:cs="宋体"/>
          <w:color w:val="auto"/>
          <w:sz w:val="22"/>
          <w:szCs w:val="22"/>
          <w:highlight w:val="none"/>
        </w:rPr>
        <w:t>额上需增减费用，则增加部分由委托人承担，减</w:t>
      </w:r>
      <w:r>
        <w:rPr>
          <w:rFonts w:ascii="宋体" w:hAnsi="宋体" w:eastAsia="宋体" w:cs="宋体"/>
          <w:color w:val="auto"/>
          <w:spacing w:val="-1"/>
          <w:sz w:val="22"/>
          <w:szCs w:val="22"/>
          <w:highlight w:val="none"/>
        </w:rPr>
        <w:t>少部分归委托人所有。</w:t>
      </w:r>
    </w:p>
    <w:p w14:paraId="2CB10EC9">
      <w:pPr>
        <w:spacing w:line="360" w:lineRule="auto"/>
        <w:rPr>
          <w:rFonts w:ascii="Arial"/>
          <w:color w:val="auto"/>
          <w:sz w:val="21"/>
          <w:highlight w:val="none"/>
        </w:rPr>
      </w:pPr>
    </w:p>
    <w:p w14:paraId="4B5A57CF">
      <w:pPr>
        <w:spacing w:before="78" w:line="360" w:lineRule="auto"/>
        <w:ind w:left="7"/>
        <w:outlineLvl w:val="1"/>
        <w:rPr>
          <w:rFonts w:ascii="宋体" w:hAnsi="宋体" w:eastAsia="宋体" w:cs="宋体"/>
          <w:color w:val="auto"/>
          <w:sz w:val="24"/>
          <w:szCs w:val="24"/>
          <w:highlight w:val="none"/>
        </w:rPr>
      </w:pPr>
      <w:bookmarkStart w:id="671" w:name="_Toc19124"/>
      <w:bookmarkStart w:id="672" w:name="_Toc30216"/>
      <w:bookmarkStart w:id="673" w:name="_Toc4735"/>
      <w:bookmarkStart w:id="674" w:name="_Toc30108"/>
      <w:r>
        <w:rPr>
          <w:rFonts w:ascii="宋体" w:hAnsi="宋体" w:eastAsia="宋体" w:cs="宋体"/>
          <w:b/>
          <w:bCs/>
          <w:color w:val="auto"/>
          <w:spacing w:val="-6"/>
          <w:sz w:val="24"/>
          <w:szCs w:val="24"/>
          <w:highlight w:val="none"/>
        </w:rPr>
        <w:t>5.</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监理要求</w:t>
      </w:r>
      <w:bookmarkEnd w:id="671"/>
      <w:bookmarkEnd w:id="672"/>
      <w:bookmarkEnd w:id="673"/>
      <w:bookmarkEnd w:id="674"/>
    </w:p>
    <w:p w14:paraId="23632CA9">
      <w:pPr>
        <w:spacing w:before="289" w:line="360"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5.1</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监理范围</w:t>
      </w:r>
    </w:p>
    <w:p w14:paraId="7028AB53">
      <w:pPr>
        <w:spacing w:before="177" w:line="360" w:lineRule="auto"/>
        <w:ind w:left="7"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5.1.2 工程范围包括：</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路基、路面、绿化、交通安全设施及沿线附属设施等的施工监理工作。</w:t>
      </w:r>
    </w:p>
    <w:p w14:paraId="53B17690">
      <w:pPr>
        <w:spacing w:before="166" w:line="360" w:lineRule="auto"/>
        <w:ind w:left="7" w:leftChars="0" w:firstLine="438" w:firstLineChars="20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5.1.3 阶段范围包括：</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施工准备阶段、施工阶段、交(竣)工验收及缺陷责任期阶段的施工监理、施工安全的监理</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2"/>
          <w:sz w:val="22"/>
          <w:szCs w:val="22"/>
          <w:highlight w:val="none"/>
        </w:rPr>
        <w:t>。</w:t>
      </w:r>
    </w:p>
    <w:p w14:paraId="08F69FD4">
      <w:pPr>
        <w:spacing w:before="164" w:line="360" w:lineRule="auto"/>
        <w:ind w:left="0" w:leftChars="0" w:firstLine="418" w:firstLineChars="190"/>
        <w:rPr>
          <w:rFonts w:hint="eastAsia" w:ascii="宋体" w:hAnsi="宋体" w:eastAsia="宋体" w:cs="宋体"/>
          <w:color w:val="auto"/>
          <w:sz w:val="22"/>
          <w:szCs w:val="22"/>
          <w:highlight w:val="none"/>
          <w:u w:val="single" w:color="auto"/>
        </w:rPr>
      </w:pPr>
      <w:r>
        <w:rPr>
          <w:rFonts w:ascii="宋体" w:hAnsi="宋体" w:eastAsia="宋体" w:cs="宋体"/>
          <w:color w:val="auto"/>
          <w:sz w:val="22"/>
          <w:szCs w:val="22"/>
          <w:highlight w:val="none"/>
        </w:rPr>
        <w:t>5.1.4 工作范围包括：</w:t>
      </w:r>
      <w:r>
        <w:rPr>
          <w:rFonts w:hint="eastAsia" w:ascii="宋体" w:hAnsi="宋体" w:eastAsia="宋体" w:cs="宋体"/>
          <w:color w:val="auto"/>
          <w:sz w:val="22"/>
          <w:szCs w:val="22"/>
          <w:highlight w:val="none"/>
          <w:u w:val="single" w:color="auto"/>
          <w:lang w:eastAsia="zh-CN"/>
        </w:rPr>
        <w:t>质量控制、进度控制、投资控制、合同管理、信息管理、组织协调和安全监理、项目的环境保护监理、水土保持的监理，参建各方竣工档案编制工作的监理，以及配合业主交、竣工验收和配合业主竣工验收前的结算与决算等有关工作</w:t>
      </w:r>
      <w:r>
        <w:rPr>
          <w:rFonts w:hint="eastAsia" w:ascii="宋体" w:hAnsi="宋体" w:eastAsia="宋体" w:cs="宋体"/>
          <w:color w:val="auto"/>
          <w:sz w:val="22"/>
          <w:szCs w:val="22"/>
          <w:highlight w:val="none"/>
          <w:u w:val="single" w:color="auto"/>
        </w:rPr>
        <w:t xml:space="preserve"> 。</w:t>
      </w:r>
    </w:p>
    <w:p w14:paraId="74A38CD5">
      <w:pPr>
        <w:spacing w:line="360" w:lineRule="auto"/>
        <w:rPr>
          <w:rFonts w:ascii="Arial"/>
          <w:color w:val="auto"/>
          <w:sz w:val="21"/>
          <w:highlight w:val="none"/>
        </w:rPr>
      </w:pPr>
    </w:p>
    <w:p w14:paraId="64D9CB57">
      <w:pPr>
        <w:spacing w:before="79" w:line="360"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5.3</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监理内容</w:t>
      </w:r>
    </w:p>
    <w:p w14:paraId="0383339E">
      <w:pPr>
        <w:spacing w:before="175" w:line="360"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（以下适用于二级监理管理的情形）</w:t>
      </w:r>
    </w:p>
    <w:p w14:paraId="3E3F322C">
      <w:pPr>
        <w:spacing w:before="162" w:line="360" w:lineRule="auto"/>
        <w:ind w:right="115" w:firstLine="442"/>
        <w:jc w:val="both"/>
        <w:rPr>
          <w:rFonts w:ascii="宋体" w:hAnsi="宋体" w:eastAsia="宋体" w:cs="宋体"/>
          <w:color w:val="auto"/>
          <w:sz w:val="22"/>
          <w:szCs w:val="22"/>
          <w:highlight w:val="none"/>
        </w:rPr>
      </w:pPr>
      <w:r>
        <w:rPr>
          <w:rFonts w:ascii="宋体" w:hAnsi="宋体" w:eastAsia="宋体" w:cs="宋体"/>
          <w:color w:val="auto"/>
          <w:spacing w:val="2"/>
          <w:sz w:val="20"/>
          <w:szCs w:val="20"/>
          <w:highlight w:val="none"/>
        </w:rPr>
        <w:t>□</w:t>
      </w:r>
      <w:r>
        <w:rPr>
          <w:rFonts w:ascii="宋体" w:hAnsi="宋体" w:eastAsia="宋体" w:cs="宋体"/>
          <w:color w:val="auto"/>
          <w:spacing w:val="2"/>
          <w:sz w:val="22"/>
          <w:szCs w:val="22"/>
          <w:highlight w:val="none"/>
        </w:rPr>
        <w:t>工程同时设置总监理工程师办公室和驻地监理工程师</w:t>
      </w:r>
      <w:r>
        <w:rPr>
          <w:rFonts w:ascii="宋体" w:hAnsi="宋体" w:eastAsia="宋体" w:cs="宋体"/>
          <w:color w:val="auto"/>
          <w:spacing w:val="1"/>
          <w:sz w:val="22"/>
          <w:szCs w:val="22"/>
          <w:highlight w:val="none"/>
        </w:rPr>
        <w:t>办公室：本项目施工监理机构不设置中心试验室。委托人通过单独招标方式，另行设置中心试验室，原监理机构中心试验室的相</w:t>
      </w:r>
      <w:r>
        <w:rPr>
          <w:rFonts w:ascii="宋体" w:hAnsi="宋体" w:eastAsia="宋体" w:cs="宋体"/>
          <w:color w:val="auto"/>
          <w:spacing w:val="-1"/>
          <w:sz w:val="22"/>
          <w:szCs w:val="22"/>
          <w:highlight w:val="none"/>
        </w:rPr>
        <w:t>关试验检测服务工作由中心试验室试验检测服务单位承担，具体约定见</w:t>
      </w:r>
      <w:r>
        <w:rPr>
          <w:rFonts w:ascii="宋体" w:hAnsi="宋体" w:eastAsia="宋体" w:cs="宋体"/>
          <w:color w:val="auto"/>
          <w:spacing w:val="-30"/>
          <w:sz w:val="22"/>
          <w:szCs w:val="22"/>
          <w:highlight w:val="none"/>
        </w:rPr>
        <w:t xml:space="preserve"> </w:t>
      </w:r>
      <w:r>
        <w:rPr>
          <w:rFonts w:ascii="宋体" w:hAnsi="宋体" w:eastAsia="宋体" w:cs="宋体"/>
          <w:color w:val="auto"/>
          <w:spacing w:val="-1"/>
          <w:sz w:val="22"/>
          <w:szCs w:val="22"/>
          <w:highlight w:val="none"/>
        </w:rPr>
        <w:t>13.6</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款；</w:t>
      </w:r>
    </w:p>
    <w:p w14:paraId="65320544">
      <w:pPr>
        <w:spacing w:before="1" w:line="360"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（以下适用于一级监理管理的情形）</w:t>
      </w:r>
    </w:p>
    <w:p w14:paraId="5B14D3C2">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2"/>
          <w:szCs w:val="22"/>
          <w:highlight w:val="none"/>
        </w:rPr>
        <w:t>工程只设置总监理工程师办公室：</w:t>
      </w:r>
      <w:r>
        <w:rPr>
          <w:rFonts w:hint="eastAsia" w:ascii="宋体" w:hAnsi="宋体" w:eastAsia="宋体" w:cs="宋体"/>
          <w:color w:val="auto"/>
          <w:spacing w:val="2"/>
          <w:sz w:val="22"/>
          <w:szCs w:val="22"/>
          <w:highlight w:val="none"/>
        </w:rPr>
        <w:t>本项目施工监理机构设置</w:t>
      </w:r>
      <w:r>
        <w:rPr>
          <w:rFonts w:hint="eastAsia" w:ascii="宋体" w:hAnsi="宋体" w:eastAsia="宋体" w:cs="宋体"/>
          <w:color w:val="auto"/>
          <w:spacing w:val="2"/>
          <w:sz w:val="22"/>
          <w:szCs w:val="22"/>
          <w:highlight w:val="none"/>
          <w:lang w:val="en-US" w:eastAsia="zh-CN"/>
        </w:rPr>
        <w:t>工地</w:t>
      </w:r>
      <w:r>
        <w:rPr>
          <w:rFonts w:hint="eastAsia" w:ascii="宋体" w:hAnsi="宋体" w:eastAsia="宋体" w:cs="宋体"/>
          <w:color w:val="auto"/>
          <w:spacing w:val="2"/>
          <w:sz w:val="22"/>
          <w:szCs w:val="22"/>
          <w:highlight w:val="none"/>
        </w:rPr>
        <w:t>试验室。本工程只设置总监理工程师办公室：监理人应按照招标文件的要求建立一个满足监理工作需要的</w:t>
      </w:r>
      <w:r>
        <w:rPr>
          <w:rFonts w:hint="eastAsia" w:ascii="宋体" w:hAnsi="宋体" w:eastAsia="宋体" w:cs="宋体"/>
          <w:color w:val="auto"/>
          <w:spacing w:val="2"/>
          <w:sz w:val="22"/>
          <w:szCs w:val="22"/>
          <w:highlight w:val="none"/>
          <w:lang w:val="en-US" w:eastAsia="zh-CN"/>
        </w:rPr>
        <w:t>工地</w:t>
      </w:r>
      <w:r>
        <w:rPr>
          <w:rFonts w:hint="eastAsia" w:ascii="宋体" w:hAnsi="宋体" w:eastAsia="宋体" w:cs="宋体"/>
          <w:color w:val="auto"/>
          <w:spacing w:val="2"/>
          <w:sz w:val="22"/>
          <w:szCs w:val="22"/>
          <w:highlight w:val="none"/>
        </w:rPr>
        <w:t>试验室，中心试验室应在通过质里监督部门临时资质考核后方可开展工作。对监理</w:t>
      </w:r>
      <w:r>
        <w:rPr>
          <w:rFonts w:hint="eastAsia" w:ascii="宋体" w:hAnsi="宋体" w:eastAsia="宋体" w:cs="宋体"/>
          <w:color w:val="auto"/>
          <w:spacing w:val="2"/>
          <w:sz w:val="22"/>
          <w:szCs w:val="22"/>
          <w:highlight w:val="none"/>
          <w:lang w:val="en-US" w:eastAsia="zh-CN"/>
        </w:rPr>
        <w:t>工地</w:t>
      </w:r>
      <w:r>
        <w:rPr>
          <w:rFonts w:hint="eastAsia" w:ascii="宋体" w:hAnsi="宋体" w:eastAsia="宋体" w:cs="宋体"/>
          <w:color w:val="auto"/>
          <w:spacing w:val="2"/>
          <w:sz w:val="22"/>
          <w:szCs w:val="22"/>
          <w:highlight w:val="none"/>
        </w:rPr>
        <w:t>试验室不能完成的非常规试验检测项目，在现场抽检后，送由监理人委托的并经业主同意的、具有交通行业试验检测资质并且通过计量认证的单位完成，费用由监理人自行承担。</w:t>
      </w:r>
    </w:p>
    <w:p w14:paraId="3FF0A7E6">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监理人自行设立工地试验室的，应具有相应的《公路水运试验检测机构等级证书》，否则，监理人应委托具有相应资格的第三方试验检测机构设立工地试验室。</w:t>
      </w:r>
    </w:p>
    <w:p w14:paraId="5D362014">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p>
    <w:p w14:paraId="08C6895B">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试验检测工作的相关要求如下：</w:t>
      </w:r>
    </w:p>
    <w:p w14:paraId="77DD02EC">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a.监理人应按照《公路水运工程试验室试验检测管理办法》或其更新文件有关要求开展试验检测工作，即使监理人采取委托第三方试验检测机构承担检测工作，但仍然不减免监理人应对试验检测结果的准确性、时效性、完备性所负的责任。委托及试验检测的相关费用由监理人自行承担。</w:t>
      </w:r>
    </w:p>
    <w:p w14:paraId="339F5731">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b.监理人必须按照投标文件要求配备试验检测监理工程师。</w:t>
      </w:r>
    </w:p>
    <w:p w14:paraId="755F7170">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c.同一个合同段的施工、监理单位不能将检测任务委托给同一家检测机构,也不得委托同一家检测机构为其提供工地试验室服务。</w:t>
      </w:r>
    </w:p>
    <w:p w14:paraId="73291C65">
      <w:pPr>
        <w:keepNext w:val="0"/>
        <w:keepLines w:val="0"/>
        <w:pageBreakBefore w:val="0"/>
        <w:widowControl/>
        <w:kinsoku w:val="0"/>
        <w:wordWrap/>
        <w:overflowPunct/>
        <w:topLinePunct w:val="0"/>
        <w:autoSpaceDE w:val="0"/>
        <w:autoSpaceDN w:val="0"/>
        <w:bidi w:val="0"/>
        <w:adjustRightInd w:val="0"/>
        <w:snapToGrid w:val="0"/>
        <w:spacing w:line="360" w:lineRule="auto"/>
        <w:ind w:left="0" w:right="119" w:firstLine="442"/>
        <w:jc w:val="both"/>
        <w:textAlignment w:val="baseline"/>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d.试验室资质及各检查项目抽检频率必须满足现行监理规范及广东省、韶关市质量监督部门相应规定及要求。</w:t>
      </w:r>
    </w:p>
    <w:p w14:paraId="006355AF">
      <w:pPr>
        <w:keepNext w:val="0"/>
        <w:keepLines w:val="0"/>
        <w:pageBreakBefore w:val="0"/>
        <w:widowControl/>
        <w:kinsoku w:val="0"/>
        <w:wordWrap/>
        <w:overflowPunct/>
        <w:topLinePunct w:val="0"/>
        <w:autoSpaceDE w:val="0"/>
        <w:autoSpaceDN w:val="0"/>
        <w:bidi w:val="0"/>
        <w:adjustRightInd w:val="0"/>
        <w:snapToGrid w:val="0"/>
        <w:spacing w:line="360" w:lineRule="auto"/>
        <w:ind w:left="44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5.3.3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后增加第（48）~（52）项内容如下：</w:t>
      </w:r>
    </w:p>
    <w:p w14:paraId="0CD86A0B">
      <w:pPr>
        <w:keepNext w:val="0"/>
        <w:keepLines w:val="0"/>
        <w:pageBreakBefore w:val="0"/>
        <w:widowControl/>
        <w:kinsoku w:val="0"/>
        <w:wordWrap/>
        <w:overflowPunct/>
        <w:topLinePunct w:val="0"/>
        <w:autoSpaceDE w:val="0"/>
        <w:autoSpaceDN w:val="0"/>
        <w:bidi w:val="0"/>
        <w:adjustRightInd w:val="0"/>
        <w:snapToGrid w:val="0"/>
        <w:spacing w:line="360" w:lineRule="auto"/>
        <w:ind w:right="115" w:firstLine="448"/>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（48）监理人应按照《广东省交通运输厅关于进一步加强公路施工便道取弃土场</w:t>
      </w:r>
      <w:r>
        <w:rPr>
          <w:rFonts w:ascii="宋体" w:hAnsi="宋体" w:eastAsia="宋体" w:cs="宋体"/>
          <w:color w:val="auto"/>
          <w:sz w:val="22"/>
          <w:szCs w:val="22"/>
          <w:highlight w:val="none"/>
        </w:rPr>
        <w:t>的设计和</w:t>
      </w:r>
      <w:r>
        <w:rPr>
          <w:rFonts w:ascii="宋体" w:hAnsi="宋体" w:eastAsia="宋体" w:cs="宋体"/>
          <w:color w:val="auto"/>
          <w:spacing w:val="1"/>
          <w:sz w:val="22"/>
          <w:szCs w:val="22"/>
          <w:highlight w:val="none"/>
        </w:rPr>
        <w:t>施工管理工作的通知》《广东省高速公路工程施工安全标准化指南》和《广东省公路工程施工标准化指南》的要求审核施工便道和取弃土场的选址和建设方案，并对该部分建设内容进行监</w:t>
      </w:r>
      <w:r>
        <w:rPr>
          <w:rFonts w:ascii="宋体" w:hAnsi="宋体" w:eastAsia="宋体" w:cs="宋体"/>
          <w:color w:val="auto"/>
          <w:spacing w:val="-4"/>
          <w:sz w:val="22"/>
          <w:szCs w:val="22"/>
          <w:highlight w:val="none"/>
        </w:rPr>
        <w:t>理。</w:t>
      </w:r>
    </w:p>
    <w:p w14:paraId="1A7549BD">
      <w:pPr>
        <w:keepNext w:val="0"/>
        <w:keepLines w:val="0"/>
        <w:pageBreakBefore w:val="0"/>
        <w:widowControl/>
        <w:kinsoku w:val="0"/>
        <w:wordWrap/>
        <w:overflowPunct/>
        <w:topLinePunct w:val="0"/>
        <w:autoSpaceDE w:val="0"/>
        <w:autoSpaceDN w:val="0"/>
        <w:bidi w:val="0"/>
        <w:adjustRightInd w:val="0"/>
        <w:snapToGrid w:val="0"/>
        <w:spacing w:line="360" w:lineRule="auto"/>
        <w:ind w:left="8" w:firstLine="44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（49）监理人应根据《广东省交通运输厅关于切实加强我省高速公路路堑边坡管理的通知》</w:t>
      </w:r>
      <w:r>
        <w:rPr>
          <w:rFonts w:ascii="宋体" w:hAnsi="宋体" w:eastAsia="宋体" w:cs="宋体"/>
          <w:color w:val="auto"/>
          <w:spacing w:val="16"/>
          <w:sz w:val="22"/>
          <w:szCs w:val="22"/>
          <w:highlight w:val="none"/>
        </w:rPr>
        <w:t xml:space="preserve"> </w:t>
      </w:r>
      <w:r>
        <w:rPr>
          <w:rFonts w:ascii="宋体" w:hAnsi="宋体" w:eastAsia="宋体" w:cs="宋体"/>
          <w:color w:val="auto"/>
          <w:spacing w:val="-1"/>
          <w:sz w:val="22"/>
          <w:szCs w:val="22"/>
          <w:highlight w:val="none"/>
        </w:rPr>
        <w:t>（粤交基函〔2019〕680 号）要求审核施工承包人的开工报告。</w:t>
      </w:r>
    </w:p>
    <w:p w14:paraId="0811BB2D">
      <w:pPr>
        <w:keepNext w:val="0"/>
        <w:keepLines w:val="0"/>
        <w:pageBreakBefore w:val="0"/>
        <w:widowControl/>
        <w:kinsoku w:val="0"/>
        <w:wordWrap/>
        <w:overflowPunct/>
        <w:topLinePunct w:val="0"/>
        <w:autoSpaceDE w:val="0"/>
        <w:autoSpaceDN w:val="0"/>
        <w:bidi w:val="0"/>
        <w:adjustRightInd w:val="0"/>
        <w:snapToGrid w:val="0"/>
        <w:spacing w:line="360" w:lineRule="auto"/>
        <w:ind w:left="1" w:right="161" w:firstLine="448"/>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（50）监理机构应按照行业发展的需求，发展自身管理的数字化建设，开放</w:t>
      </w:r>
      <w:r>
        <w:rPr>
          <w:rFonts w:ascii="宋体" w:hAnsi="宋体" w:eastAsia="宋体" w:cs="宋体"/>
          <w:color w:val="auto"/>
          <w:sz w:val="22"/>
          <w:szCs w:val="22"/>
          <w:highlight w:val="none"/>
        </w:rPr>
        <w:t>数字化平台及</w:t>
      </w:r>
      <w:r>
        <w:rPr>
          <w:rFonts w:ascii="宋体" w:hAnsi="宋体" w:eastAsia="宋体" w:cs="宋体"/>
          <w:color w:val="auto"/>
          <w:spacing w:val="1"/>
          <w:sz w:val="22"/>
          <w:szCs w:val="22"/>
          <w:highlight w:val="none"/>
        </w:rPr>
        <w:t>相关数据接口，对接建设单位数字化管理系统，积极配合建设单位对项目管理数字化的统筹和整合，助力建设单位打通各参建单位不同系统之间的信息壁垒，形成适应于项目的综合性数字化管理平台。监理机构的管理应充分利用共享数据的一体化数字化技术和平台，评估保证体系</w:t>
      </w:r>
      <w:r>
        <w:rPr>
          <w:rFonts w:ascii="宋体" w:hAnsi="宋体" w:eastAsia="宋体" w:cs="宋体"/>
          <w:color w:val="auto"/>
          <w:sz w:val="22"/>
          <w:szCs w:val="22"/>
          <w:highlight w:val="none"/>
        </w:rPr>
        <w:t>的运行状况，分析管理的薄弱环节，利用数字化手段和数据为监理</w:t>
      </w:r>
      <w:r>
        <w:rPr>
          <w:rFonts w:ascii="宋体" w:hAnsi="宋体" w:eastAsia="宋体" w:cs="宋体"/>
          <w:color w:val="auto"/>
          <w:spacing w:val="-1"/>
          <w:sz w:val="22"/>
          <w:szCs w:val="22"/>
          <w:highlight w:val="none"/>
        </w:rPr>
        <w:t>管理工作提供支撑。</w:t>
      </w:r>
    </w:p>
    <w:p w14:paraId="1B8C5D43">
      <w:pPr>
        <w:keepNext w:val="0"/>
        <w:keepLines w:val="0"/>
        <w:pageBreakBefore w:val="0"/>
        <w:widowControl/>
        <w:kinsoku w:val="0"/>
        <w:wordWrap/>
        <w:overflowPunct/>
        <w:topLinePunct w:val="0"/>
        <w:autoSpaceDE w:val="0"/>
        <w:autoSpaceDN w:val="0"/>
        <w:bidi w:val="0"/>
        <w:adjustRightInd w:val="0"/>
        <w:snapToGrid w:val="0"/>
        <w:spacing w:line="360" w:lineRule="auto"/>
        <w:ind w:left="3" w:right="158" w:firstLine="44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（51）施工单位进场之后，对施工单位质量安全等保证体系进行检查，并每半年</w:t>
      </w:r>
      <w:r>
        <w:rPr>
          <w:rFonts w:ascii="宋体" w:hAnsi="宋体" w:eastAsia="宋体" w:cs="宋体"/>
          <w:color w:val="auto"/>
          <w:sz w:val="22"/>
          <w:szCs w:val="22"/>
          <w:highlight w:val="none"/>
        </w:rPr>
        <w:t>对执行情</w:t>
      </w:r>
      <w:r>
        <w:rPr>
          <w:rFonts w:ascii="宋体" w:hAnsi="宋体" w:eastAsia="宋体" w:cs="宋体"/>
          <w:color w:val="auto"/>
          <w:spacing w:val="-2"/>
          <w:sz w:val="22"/>
          <w:szCs w:val="22"/>
          <w:highlight w:val="none"/>
        </w:rPr>
        <w:t>况进行检查。</w:t>
      </w:r>
    </w:p>
    <w:p w14:paraId="3278F573">
      <w:pPr>
        <w:keepNext w:val="0"/>
        <w:keepLines w:val="0"/>
        <w:pageBreakBefore w:val="0"/>
        <w:widowControl/>
        <w:kinsoku w:val="0"/>
        <w:wordWrap/>
        <w:overflowPunct/>
        <w:topLinePunct w:val="0"/>
        <w:autoSpaceDE w:val="0"/>
        <w:autoSpaceDN w:val="0"/>
        <w:bidi w:val="0"/>
        <w:adjustRightInd w:val="0"/>
        <w:snapToGrid w:val="0"/>
        <w:spacing w:line="360" w:lineRule="auto"/>
        <w:ind w:right="23" w:firstLine="449"/>
        <w:textAlignment w:val="baseline"/>
        <w:rPr>
          <w:rFonts w:ascii="宋体" w:hAnsi="宋体" w:eastAsia="宋体" w:cs="宋体"/>
          <w:color w:val="auto"/>
          <w:sz w:val="24"/>
          <w:szCs w:val="24"/>
          <w:highlight w:val="none"/>
        </w:rPr>
      </w:pPr>
      <w:r>
        <w:rPr>
          <w:rFonts w:ascii="宋体" w:hAnsi="宋体" w:eastAsia="宋体" w:cs="宋体"/>
          <w:color w:val="auto"/>
          <w:spacing w:val="1"/>
          <w:sz w:val="22"/>
          <w:szCs w:val="22"/>
          <w:highlight w:val="none"/>
        </w:rPr>
        <w:t>（</w:t>
      </w:r>
      <w:r>
        <w:rPr>
          <w:rFonts w:ascii="MingLiU-ExtB" w:hAnsi="MingLiU-ExtB" w:eastAsia="MingLiU-ExtB" w:cs="MingLiU-ExtB"/>
          <w:color w:val="auto"/>
          <w:spacing w:val="1"/>
          <w:sz w:val="22"/>
          <w:szCs w:val="22"/>
          <w:highlight w:val="none"/>
        </w:rPr>
        <w:t>52</w:t>
      </w:r>
      <w:r>
        <w:rPr>
          <w:rFonts w:ascii="宋体" w:hAnsi="宋体" w:eastAsia="宋体" w:cs="宋体"/>
          <w:color w:val="auto"/>
          <w:spacing w:val="1"/>
          <w:sz w:val="22"/>
          <w:szCs w:val="22"/>
          <w:highlight w:val="none"/>
        </w:rPr>
        <w:t>）总监办根据《广东省公路工程施工监理指南（试行）》的要求，一是重点</w:t>
      </w:r>
      <w:r>
        <w:rPr>
          <w:rFonts w:ascii="宋体" w:hAnsi="宋体" w:eastAsia="宋体" w:cs="宋体"/>
          <w:color w:val="auto"/>
          <w:sz w:val="22"/>
          <w:szCs w:val="22"/>
          <w:highlight w:val="none"/>
        </w:rPr>
        <w:t>审核施工</w:t>
      </w:r>
      <w:r>
        <w:rPr>
          <w:rFonts w:ascii="宋体" w:hAnsi="宋体" w:eastAsia="宋体" w:cs="宋体"/>
          <w:color w:val="auto"/>
          <w:spacing w:val="1"/>
          <w:sz w:val="22"/>
          <w:szCs w:val="22"/>
          <w:highlight w:val="none"/>
        </w:rPr>
        <w:t>单位的项目管理方案是否落实《广东省交通运输厅关于推进公路建设项目管理改革的指导意见</w:t>
      </w:r>
      <w:r>
        <w:rPr>
          <w:rFonts w:ascii="宋体" w:hAnsi="宋体" w:eastAsia="宋体" w:cs="宋体"/>
          <w:color w:val="auto"/>
          <w:spacing w:val="-1"/>
          <w:sz w:val="22"/>
          <w:szCs w:val="22"/>
          <w:highlight w:val="none"/>
        </w:rPr>
        <w:t>（试行）》和《广东省公路工程施工项目部管理指南（试行）》相关要求，是否满足施工单位、</w:t>
      </w:r>
      <w:r>
        <w:rPr>
          <w:rFonts w:ascii="宋体" w:hAnsi="宋体" w:eastAsia="宋体" w:cs="宋体"/>
          <w:color w:val="auto"/>
          <w:spacing w:val="1"/>
          <w:sz w:val="22"/>
          <w:szCs w:val="22"/>
          <w:highlight w:val="none"/>
        </w:rPr>
        <w:t>项目部、分包单位、劳务合作企业、施工班组、材料供应商与机械设备租赁商的多层次的管理机构</w:t>
      </w:r>
      <w:r>
        <w:rPr>
          <w:rFonts w:ascii="宋体" w:hAnsi="宋体" w:eastAsia="宋体" w:cs="宋体"/>
          <w:color w:val="auto"/>
          <w:spacing w:val="7"/>
          <w:sz w:val="22"/>
          <w:szCs w:val="22"/>
          <w:highlight w:val="none"/>
        </w:rPr>
        <w:t>，是否建立管监分离的质量保障体系。督促、指导、监管施工单位在施工全过程中落实项目管理方案；二是重点做好施工单位/项目部对施工分包单位的分包工程质量、安全、进度、资金使用和管理行为等全过程管理行为的监理工作，加强对施工单位/项目部内控管理体系和主要人员履约、设备、材料等穿透式管理的监理工作。</w:t>
      </w:r>
    </w:p>
    <w:p w14:paraId="377A6ABF">
      <w:pPr>
        <w:keepNext w:val="0"/>
        <w:keepLines w:val="0"/>
        <w:pageBreakBefore w:val="0"/>
        <w:widowControl/>
        <w:kinsoku w:val="0"/>
        <w:wordWrap/>
        <w:overflowPunct/>
        <w:topLinePunct w:val="0"/>
        <w:autoSpaceDE w:val="0"/>
        <w:autoSpaceDN w:val="0"/>
        <w:bidi w:val="0"/>
        <w:adjustRightInd w:val="0"/>
        <w:snapToGrid w:val="0"/>
        <w:spacing w:line="360" w:lineRule="auto"/>
        <w:ind w:right="161" w:firstLine="442"/>
        <w:jc w:val="both"/>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在实施过程中每季度至少对施工单位</w:t>
      </w:r>
      <w:r>
        <w:rPr>
          <w:rFonts w:ascii="MingLiU-ExtB" w:hAnsi="MingLiU-ExtB" w:eastAsia="MingLiU-ExtB" w:cs="MingLiU-ExtB"/>
          <w:color w:val="auto"/>
          <w:spacing w:val="4"/>
          <w:sz w:val="22"/>
          <w:szCs w:val="22"/>
          <w:highlight w:val="none"/>
        </w:rPr>
        <w:t>/</w:t>
      </w:r>
      <w:r>
        <w:rPr>
          <w:rFonts w:ascii="宋体" w:hAnsi="宋体" w:eastAsia="宋体" w:cs="宋体"/>
          <w:color w:val="auto"/>
          <w:spacing w:val="4"/>
          <w:sz w:val="22"/>
          <w:szCs w:val="22"/>
          <w:highlight w:val="none"/>
        </w:rPr>
        <w:t>项目部上述工作的落实情况进行一次全</w:t>
      </w:r>
      <w:r>
        <w:rPr>
          <w:rFonts w:ascii="宋体" w:hAnsi="宋体" w:eastAsia="宋体" w:cs="宋体"/>
          <w:color w:val="auto"/>
          <w:spacing w:val="3"/>
          <w:sz w:val="22"/>
          <w:szCs w:val="22"/>
          <w:highlight w:val="none"/>
        </w:rPr>
        <w:t>面核查，并</w:t>
      </w:r>
      <w:r>
        <w:rPr>
          <w:rFonts w:ascii="宋体" w:hAnsi="宋体" w:eastAsia="宋体" w:cs="宋体"/>
          <w:color w:val="auto"/>
          <w:spacing w:val="1"/>
          <w:sz w:val="22"/>
          <w:szCs w:val="22"/>
          <w:highlight w:val="none"/>
        </w:rPr>
        <w:t>将核查情况报发包人。施工单位未落实项目管理方案的，监理单位应及时督促整改，未及时整</w:t>
      </w:r>
      <w:r>
        <w:rPr>
          <w:rFonts w:ascii="宋体" w:hAnsi="宋体" w:eastAsia="宋体" w:cs="宋体"/>
          <w:color w:val="auto"/>
          <w:spacing w:val="-1"/>
          <w:sz w:val="22"/>
          <w:szCs w:val="22"/>
          <w:highlight w:val="none"/>
        </w:rPr>
        <w:t>改的，应及时报发包人协调处理。</w:t>
      </w:r>
    </w:p>
    <w:p w14:paraId="728EE6C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在5.3.3后增加5.3.4项如下：</w:t>
      </w:r>
    </w:p>
    <w:p w14:paraId="75105A8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监理人检测工作包括但不限于以下内容：</w:t>
      </w:r>
    </w:p>
    <w:p w14:paraId="33D0E16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（1）在合同签订后 60天内（具体时间根据发包人的要求）完成监理人的中心试验室建设，包括仪器采购、安装和调试，仪器设备检定、校准和标定，制度和管理体系建设，资质认证等，并取得交通主管部门的备案。</w:t>
      </w:r>
    </w:p>
    <w:p w14:paraId="0B4A522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代表发包人及履行监理抽检职能对工程用材料、结构物成品、半成品和工程实体质量进行抽检及施工现场的原位试验检测抽检工作，及时向出具试验检测报告，并应设专门的留样室，对送检样品和试件，按规定在留样室留样备查。</w:t>
      </w:r>
    </w:p>
    <w:p w14:paraId="60161E9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16"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6"/>
          <w:sz w:val="22"/>
          <w:szCs w:val="22"/>
          <w:highlight w:val="none"/>
        </w:rPr>
        <w:t>其中，发包人的抽检频率原则上不超过承包人自检频率的5%；监理人的试验检测服务单位的抽检频率不少于最新《公路工程施工监理规范》及最新《水运工程施工监理规范》相关规定</w:t>
      </w:r>
      <w:r>
        <w:rPr>
          <w:rFonts w:hint="eastAsia" w:ascii="宋体" w:hAnsi="宋体" w:eastAsia="宋体" w:cs="宋体"/>
          <w:color w:val="auto"/>
          <w:spacing w:val="1"/>
          <w:sz w:val="22"/>
          <w:szCs w:val="22"/>
          <w:highlight w:val="none"/>
        </w:rPr>
        <w:t>。</w:t>
      </w:r>
    </w:p>
    <w:p w14:paraId="3BFF17B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（3）对整个项目的试验检测工作进行统一规划和协调，统一全线范围内试验检测的技术标准、规范、规程、记录表格、试验检测报告表格、试验检测台帐、档案资料管理要求。</w:t>
      </w:r>
    </w:p>
    <w:p w14:paraId="4EF7C45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（4）组织对本合同范围内相关试验检测工作人员进行培训和考核，并对其岗位的适应性进行认定。</w:t>
      </w:r>
    </w:p>
    <w:p w14:paraId="1EDE200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（5）对混凝土配合比、沥青混合料配合比、土工击实等标准试验进行平行验证试验。</w:t>
      </w:r>
    </w:p>
    <w:p w14:paraId="15653B6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（6）按照合同要求，代表发包人对工程用材料、结构物成品、半成品和工程实体质量进行抽检。</w:t>
      </w:r>
    </w:p>
    <w:p w14:paraId="7B8FE08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（7）负责对各施工承包人的现场试验室进行检查，重点检查试验室的设备性能、人员资质、操作方法、试验资料管理、规章制度、台帐登记等。</w:t>
      </w:r>
    </w:p>
    <w:p w14:paraId="7539DBE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（8）指导承包人试验样品的采集、送检、试验等过程，确保试验检测结果的准确性、可靠性和公正性。</w:t>
      </w:r>
    </w:p>
    <w:p w14:paraId="29DE287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（9）对完工实体工程进行质量检测，发布质量检测情况报告。</w:t>
      </w:r>
    </w:p>
    <w:p w14:paraId="649BC30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（10）组织对试验检测工作事故进行调查，提出整改措施，并做好跟踪落实工作。</w:t>
      </w:r>
    </w:p>
    <w:p w14:paraId="2E9D70D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（11）召开试验检测工作会议或参与工地例会，协调解决试验检测工作中遇到的问题，明确试验检测工作要求及管理措施。</w:t>
      </w:r>
    </w:p>
    <w:p w14:paraId="55AA4F9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（12）参与新材料、新技术、新工艺等方面的科研试验工作。</w:t>
      </w:r>
    </w:p>
    <w:p w14:paraId="3EBA90B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（13）参与工程质量问题和事故的调查工作，做好相关的试验检测工作。</w:t>
      </w:r>
    </w:p>
    <w:p w14:paraId="4CBFD8A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（14）建立相对独立的资料管理体系，对所有试验检测成果、技术档案等资料及时分类，并按相关要求整理归档。资料管理应由专人负责，便于查找和使用。</w:t>
      </w:r>
    </w:p>
    <w:p w14:paraId="550ADC3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（15）参与发包人和主管部门组织阶段性工程验收工作，做好相关的试验检测工作。</w:t>
      </w:r>
    </w:p>
    <w:p w14:paraId="2EBBAFA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16）及时将监理人的中心试验室的试验检测结果和报告录入相关信息管理系统，做好代表发包人抽检部分试验检测数据和资料档案的归档工作，并对试验检测合同段内资料的归档进行统一管理。定期对试验检测结果进行统计分析，编写试验检测月报。</w:t>
      </w:r>
    </w:p>
    <w:p w14:paraId="74B8EC2E">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（17）根据发包人安排，为科研单位、设计单位、咨询单位提供试验检测服务。</w:t>
      </w:r>
    </w:p>
    <w:p w14:paraId="7F49ED9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（18）完成发包人安排的其他试验检测任务。</w:t>
      </w:r>
    </w:p>
    <w:p w14:paraId="4F7C39C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（19）监理人的中心试验室基本试验检测项目、频率见本合同条款附件。</w:t>
      </w:r>
    </w:p>
    <w:p w14:paraId="11A25FA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（20）监理人的中心试验室应在母体《公路水运工程试验检测等级证书》核定的专业、项目参数范围内完成相应承担试验检测项目并出具试验检测报告。</w:t>
      </w:r>
    </w:p>
    <w:p w14:paraId="45F94F7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（21）按发包人要求提交监理人详细的工作规划、试验检测实施细则等文件，经评审后才可实施，同时作为发包人检查监督和验收监理人检测工作的依据。</w:t>
      </w:r>
    </w:p>
    <w:p w14:paraId="05868F5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（22）在接到发包人进场指令后，应按照合同要求进场，并在整个服务期内完成发包人所要求的的试验检测工作。发包人有权要求监理人定期提供与本工程有关的各种-形式的报告。</w:t>
      </w:r>
    </w:p>
    <w:p w14:paraId="72FC5D1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（23）在接到发包人、承包人要求现场试验检测的通知后，监理人必须及时在24小时内开展试验检测工作，并应于每批次检测完成后的3 日内提供本批次试验检测结果，以满足施工进度需要。</w:t>
      </w:r>
    </w:p>
    <w:p w14:paraId="455DA84D">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监理服务形式</w:t>
      </w:r>
    </w:p>
    <w:p w14:paraId="65C7DFFF">
      <w:pPr>
        <w:keepNext w:val="0"/>
        <w:keepLines w:val="0"/>
        <w:pageBreakBefore w:val="0"/>
        <w:widowControl/>
        <w:kinsoku w:val="0"/>
        <w:wordWrap/>
        <w:overflowPunct/>
        <w:topLinePunct w:val="0"/>
        <w:autoSpaceDE w:val="0"/>
        <w:autoSpaceDN w:val="0"/>
        <w:bidi w:val="0"/>
        <w:adjustRightInd w:val="0"/>
        <w:snapToGrid w:val="0"/>
        <w:spacing w:line="360" w:lineRule="auto"/>
        <w:ind w:left="443"/>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监理服务机构设置：</w:t>
      </w:r>
      <w:r>
        <w:rPr>
          <w:rFonts w:hint="eastAsia" w:ascii="宋体" w:hAnsi="宋体" w:eastAsia="宋体" w:cs="宋体"/>
          <w:color w:val="auto"/>
          <w:kern w:val="0"/>
          <w:sz w:val="24"/>
          <w:szCs w:val="24"/>
          <w:highlight w:val="none"/>
          <w:u w:val="single"/>
          <w:lang w:val="en-US" w:eastAsia="zh-CN"/>
        </w:rPr>
        <w:t>一</w:t>
      </w:r>
      <w:r>
        <w:rPr>
          <w:rFonts w:hint="eastAsia" w:ascii="宋体" w:hAnsi="宋体" w:eastAsia="宋体" w:cs="宋体"/>
          <w:color w:val="auto"/>
          <w:kern w:val="0"/>
          <w:sz w:val="24"/>
          <w:szCs w:val="24"/>
          <w:highlight w:val="none"/>
          <w:u w:val="single"/>
        </w:rPr>
        <w:t>级监理机构</w:t>
      </w:r>
      <w:r>
        <w:rPr>
          <w:rFonts w:ascii="宋体" w:hAnsi="宋体" w:eastAsia="宋体" w:cs="宋体"/>
          <w:color w:val="auto"/>
          <w:spacing w:val="-1"/>
          <w:sz w:val="22"/>
          <w:szCs w:val="22"/>
          <w:highlight w:val="none"/>
        </w:rPr>
        <w:t>。</w:t>
      </w:r>
    </w:p>
    <w:p w14:paraId="1A2438F2">
      <w:pPr>
        <w:keepNext w:val="0"/>
        <w:keepLines w:val="0"/>
        <w:pageBreakBefore w:val="0"/>
        <w:widowControl/>
        <w:kinsoku w:val="0"/>
        <w:wordWrap/>
        <w:overflowPunct/>
        <w:topLinePunct w:val="0"/>
        <w:autoSpaceDE w:val="0"/>
        <w:autoSpaceDN w:val="0"/>
        <w:bidi w:val="0"/>
        <w:adjustRightInd w:val="0"/>
        <w:snapToGrid w:val="0"/>
        <w:spacing w:line="360" w:lineRule="auto"/>
        <w:ind w:firstLine="436" w:firstLineChars="200"/>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总监理工程师办公室按</w:t>
      </w:r>
      <w:r>
        <w:rPr>
          <w:rFonts w:hint="eastAsia" w:ascii="宋体" w:hAnsi="宋体" w:eastAsia="宋体" w:cs="宋体"/>
          <w:color w:val="auto"/>
          <w:kern w:val="0"/>
          <w:sz w:val="24"/>
          <w:szCs w:val="24"/>
          <w:highlight w:val="none"/>
          <w:u w:val="single"/>
          <w:lang w:val="en-US" w:eastAsia="zh-CN"/>
        </w:rPr>
        <w:t xml:space="preserve"> 一级监理机构</w:t>
      </w:r>
      <w:r>
        <w:rPr>
          <w:rFonts w:ascii="宋体" w:hAnsi="宋体" w:eastAsia="宋体" w:cs="宋体"/>
          <w:color w:val="auto"/>
          <w:spacing w:val="-2"/>
          <w:sz w:val="22"/>
          <w:szCs w:val="22"/>
          <w:highlight w:val="none"/>
        </w:rPr>
        <w:t>组建，下设</w:t>
      </w:r>
      <w:r>
        <w:rPr>
          <w:rFonts w:ascii="宋体" w:hAnsi="宋体" w:eastAsia="宋体" w:cs="宋体"/>
          <w:color w:val="auto"/>
          <w:spacing w:val="35"/>
          <w:sz w:val="22"/>
          <w:szCs w:val="22"/>
          <w:highlight w:val="none"/>
          <w:u w:val="single" w:color="auto"/>
        </w:rPr>
        <w:t xml:space="preserve"> </w:t>
      </w:r>
      <w:r>
        <w:rPr>
          <w:rFonts w:hint="eastAsia" w:ascii="宋体" w:hAnsi="宋体" w:eastAsia="宋体" w:cs="宋体"/>
          <w:color w:val="auto"/>
          <w:spacing w:val="35"/>
          <w:sz w:val="22"/>
          <w:szCs w:val="22"/>
          <w:highlight w:val="none"/>
          <w:u w:val="single" w:color="auto"/>
          <w:lang w:val="en-US" w:eastAsia="zh-CN"/>
        </w:rPr>
        <w:t>/</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2"/>
          <w:sz w:val="22"/>
          <w:szCs w:val="22"/>
          <w:highlight w:val="none"/>
        </w:rPr>
        <w:t>个驻地监理工程师办公室。</w:t>
      </w:r>
    </w:p>
    <w:p w14:paraId="0725D9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5A08F21A">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监理服务目标</w:t>
      </w:r>
    </w:p>
    <w:p w14:paraId="474EA9A4">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40" w:firstLineChars="20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5.6.2 对第三方履约管理的服务目标：</w:t>
      </w:r>
      <w:r>
        <w:rPr>
          <w:rFonts w:hint="eastAsia" w:ascii="宋体" w:hAnsi="宋体" w:eastAsia="宋体" w:cs="宋体"/>
          <w:color w:val="auto"/>
          <w:sz w:val="22"/>
          <w:szCs w:val="22"/>
          <w:highlight w:val="none"/>
          <w:u w:val="single"/>
        </w:rPr>
        <w:t>确保工期，节省投资，保证安全，工程质量达到交工验收合格、竣工验收合格</w:t>
      </w:r>
      <w:r>
        <w:rPr>
          <w:rFonts w:ascii="宋体" w:hAnsi="宋体" w:eastAsia="宋体" w:cs="宋体"/>
          <w:color w:val="auto"/>
          <w:spacing w:val="-1"/>
          <w:sz w:val="22"/>
          <w:szCs w:val="22"/>
          <w:highlight w:val="none"/>
        </w:rPr>
        <w:t>。</w:t>
      </w:r>
    </w:p>
    <w:p w14:paraId="23EFF7A5">
      <w:pPr>
        <w:keepNext w:val="0"/>
        <w:keepLines w:val="0"/>
        <w:pageBreakBefore w:val="0"/>
        <w:widowControl/>
        <w:kinsoku w:val="0"/>
        <w:wordWrap/>
        <w:overflowPunct/>
        <w:topLinePunct w:val="0"/>
        <w:autoSpaceDE w:val="0"/>
        <w:autoSpaceDN w:val="0"/>
        <w:bidi w:val="0"/>
        <w:adjustRightInd w:val="0"/>
        <w:snapToGrid w:val="0"/>
        <w:spacing w:line="360" w:lineRule="auto"/>
        <w:ind w:left="22" w:right="133" w:firstLine="424"/>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5.6.3</w:t>
      </w:r>
      <w:r>
        <w:rPr>
          <w:rFonts w:ascii="宋体" w:hAnsi="宋体" w:eastAsia="宋体" w:cs="宋体"/>
          <w:color w:val="auto"/>
          <w:spacing w:val="-44"/>
          <w:sz w:val="22"/>
          <w:szCs w:val="22"/>
          <w:highlight w:val="none"/>
        </w:rPr>
        <w:t xml:space="preserve"> </w:t>
      </w:r>
      <w:r>
        <w:rPr>
          <w:rFonts w:ascii="宋体" w:hAnsi="宋体" w:eastAsia="宋体" w:cs="宋体"/>
          <w:color w:val="auto"/>
          <w:spacing w:val="2"/>
          <w:sz w:val="22"/>
          <w:szCs w:val="22"/>
          <w:highlight w:val="none"/>
        </w:rPr>
        <w:t>监理人应根据《公路工程施工监理规范》、广东省《公路工程造价管理指南》、合</w:t>
      </w:r>
      <w:r>
        <w:rPr>
          <w:rFonts w:ascii="宋体" w:hAnsi="宋体" w:eastAsia="宋体" w:cs="宋体"/>
          <w:color w:val="auto"/>
          <w:spacing w:val="-2"/>
          <w:sz w:val="22"/>
          <w:szCs w:val="22"/>
          <w:highlight w:val="none"/>
        </w:rPr>
        <w:t>同约定及工程设计要求和合同履行监理责任。</w:t>
      </w:r>
    </w:p>
    <w:p w14:paraId="0D2EFF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47687E40">
      <w:pPr>
        <w:keepNext w:val="0"/>
        <w:keepLines w:val="0"/>
        <w:pageBreakBefore w:val="0"/>
        <w:widowControl/>
        <w:kinsoku w:val="0"/>
        <w:wordWrap/>
        <w:overflowPunct/>
        <w:topLinePunct w:val="0"/>
        <w:autoSpaceDE w:val="0"/>
        <w:autoSpaceDN w:val="0"/>
        <w:bidi w:val="0"/>
        <w:adjustRightInd w:val="0"/>
        <w:snapToGrid w:val="0"/>
        <w:spacing w:line="360" w:lineRule="auto"/>
        <w:ind w:left="6"/>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委托人对监理人的授权</w:t>
      </w:r>
    </w:p>
    <w:p w14:paraId="6C305DDB">
      <w:pPr>
        <w:keepNext w:val="0"/>
        <w:keepLines w:val="0"/>
        <w:pageBreakBefore w:val="0"/>
        <w:widowControl/>
        <w:kinsoku w:val="0"/>
        <w:wordWrap/>
        <w:overflowPunct/>
        <w:topLinePunct w:val="0"/>
        <w:autoSpaceDE w:val="0"/>
        <w:autoSpaceDN w:val="0"/>
        <w:bidi w:val="0"/>
        <w:adjustRightInd w:val="0"/>
        <w:snapToGrid w:val="0"/>
        <w:spacing w:line="360" w:lineRule="auto"/>
        <w:ind w:left="32" w:right="280" w:firstLine="421"/>
        <w:textAlignment w:val="baseline"/>
        <w:rPr>
          <w:rFonts w:ascii="宋体" w:hAnsi="宋体" w:eastAsia="宋体" w:cs="宋体"/>
          <w:color w:val="auto"/>
          <w:spacing w:val="1"/>
          <w:sz w:val="22"/>
          <w:szCs w:val="22"/>
          <w:highlight w:val="none"/>
        </w:rPr>
      </w:pPr>
    </w:p>
    <w:p w14:paraId="749D6B7E">
      <w:pPr>
        <w:keepNext w:val="0"/>
        <w:keepLines w:val="0"/>
        <w:pageBreakBefore w:val="0"/>
        <w:widowControl/>
        <w:kinsoku w:val="0"/>
        <w:wordWrap/>
        <w:overflowPunct/>
        <w:topLinePunct w:val="0"/>
        <w:autoSpaceDE w:val="0"/>
        <w:autoSpaceDN w:val="0"/>
        <w:bidi w:val="0"/>
        <w:adjustRightInd w:val="0"/>
        <w:snapToGrid w:val="0"/>
        <w:spacing w:line="360" w:lineRule="auto"/>
        <w:ind w:left="32" w:right="280" w:firstLine="42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5.7.1 委托人对监理人的授权：监理人在行使以下规定的职权之前，应先取</w:t>
      </w:r>
      <w:r>
        <w:rPr>
          <w:rFonts w:ascii="宋体" w:hAnsi="宋体" w:eastAsia="宋体" w:cs="宋体"/>
          <w:color w:val="auto"/>
          <w:sz w:val="22"/>
          <w:szCs w:val="22"/>
          <w:highlight w:val="none"/>
        </w:rPr>
        <w:t>得委托人的专</w:t>
      </w:r>
      <w:r>
        <w:rPr>
          <w:rFonts w:ascii="宋体" w:hAnsi="宋体" w:eastAsia="宋体" w:cs="宋体"/>
          <w:color w:val="auto"/>
          <w:spacing w:val="-9"/>
          <w:sz w:val="22"/>
          <w:szCs w:val="22"/>
          <w:highlight w:val="none"/>
        </w:rPr>
        <w:t>门批准：</w:t>
      </w:r>
    </w:p>
    <w:p w14:paraId="0F1D7FA2">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（1）审核分包本工程的某非主体部分；</w:t>
      </w:r>
    </w:p>
    <w:p w14:paraId="3C72AE6B">
      <w:pPr>
        <w:keepNext w:val="0"/>
        <w:keepLines w:val="0"/>
        <w:pageBreakBefore w:val="0"/>
        <w:widowControl/>
        <w:kinsoku w:val="0"/>
        <w:wordWrap/>
        <w:overflowPunct/>
        <w:topLinePunct w:val="0"/>
        <w:autoSpaceDE w:val="0"/>
        <w:autoSpaceDN w:val="0"/>
        <w:bidi w:val="0"/>
        <w:adjustRightInd w:val="0"/>
        <w:snapToGrid w:val="0"/>
        <w:spacing w:line="360" w:lineRule="auto"/>
        <w:ind w:left="8" w:right="278" w:firstLine="447"/>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（2）核对施工队伍、人员和设备的进场情况是否与承包人投标文</w:t>
      </w:r>
      <w:r>
        <w:rPr>
          <w:rFonts w:ascii="宋体" w:hAnsi="宋体" w:eastAsia="宋体" w:cs="宋体"/>
          <w:color w:val="auto"/>
          <w:spacing w:val="3"/>
          <w:sz w:val="22"/>
          <w:szCs w:val="22"/>
          <w:highlight w:val="none"/>
        </w:rPr>
        <w:t>件承诺一致，发布开工</w:t>
      </w:r>
      <w:r>
        <w:rPr>
          <w:rFonts w:ascii="宋体" w:hAnsi="宋体" w:eastAsia="宋体" w:cs="宋体"/>
          <w:color w:val="auto"/>
          <w:spacing w:val="-1"/>
          <w:sz w:val="22"/>
          <w:szCs w:val="22"/>
          <w:highlight w:val="none"/>
        </w:rPr>
        <w:t>令、暂时停工或复工令；</w:t>
      </w:r>
    </w:p>
    <w:p w14:paraId="2AF20412">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（3）决定承包人有权得到的工程延期；</w:t>
      </w:r>
    </w:p>
    <w:p w14:paraId="0C2F4A64">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（4）审查批准技术规范(规格)或设计的变更；</w:t>
      </w:r>
    </w:p>
    <w:p w14:paraId="272C1DBF">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（5）下达变更指令；</w:t>
      </w:r>
    </w:p>
    <w:p w14:paraId="25ADBD4A">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（6）对新增施工细目的单价进行估价；</w:t>
      </w:r>
    </w:p>
    <w:p w14:paraId="59215DD6">
      <w:pPr>
        <w:keepNext w:val="0"/>
        <w:keepLines w:val="0"/>
        <w:pageBreakBefore w:val="0"/>
        <w:widowControl/>
        <w:kinsoku w:val="0"/>
        <w:wordWrap/>
        <w:overflowPunct/>
        <w:topLinePunct w:val="0"/>
        <w:autoSpaceDE w:val="0"/>
        <w:autoSpaceDN w:val="0"/>
        <w:bidi w:val="0"/>
        <w:adjustRightInd w:val="0"/>
        <w:snapToGrid w:val="0"/>
        <w:spacing w:line="360" w:lineRule="auto"/>
        <w:ind w:left="455"/>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（7）审核有关暂列金额的使用；</w:t>
      </w:r>
    </w:p>
    <w:p w14:paraId="585E79A0">
      <w:pPr>
        <w:keepNext w:val="0"/>
        <w:keepLines w:val="0"/>
        <w:pageBreakBefore w:val="0"/>
        <w:widowControl/>
        <w:kinsoku w:val="0"/>
        <w:wordWrap/>
        <w:overflowPunct/>
        <w:topLinePunct w:val="0"/>
        <w:autoSpaceDE w:val="0"/>
        <w:autoSpaceDN w:val="0"/>
        <w:bidi w:val="0"/>
        <w:adjustRightInd w:val="0"/>
        <w:snapToGrid w:val="0"/>
        <w:spacing w:line="360" w:lineRule="auto"/>
        <w:ind w:left="5" w:right="145" w:firstLine="441"/>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但如果发生紧急情况，监理人认为将造成人员伤亡，或危及本工程或邻近的财产需立即采</w:t>
      </w:r>
      <w:r>
        <w:rPr>
          <w:rFonts w:ascii="宋体" w:hAnsi="宋体" w:eastAsia="宋体" w:cs="宋体"/>
          <w:color w:val="auto"/>
          <w:spacing w:val="-1"/>
          <w:sz w:val="22"/>
          <w:szCs w:val="22"/>
          <w:highlight w:val="none"/>
        </w:rPr>
        <w:t>取行动，监理人有权在未征得委托人的批准的情况下向承包人发布处理紧急情况所必需的指令。</w:t>
      </w:r>
      <w:r>
        <w:rPr>
          <w:rFonts w:ascii="宋体" w:hAnsi="宋体" w:eastAsia="宋体" w:cs="宋体"/>
          <w:color w:val="auto"/>
          <w:sz w:val="22"/>
          <w:szCs w:val="22"/>
          <w:highlight w:val="none"/>
        </w:rPr>
        <w:t>但监理人随后应及时向委托人报告情况，并与委托人协商进一</w:t>
      </w:r>
      <w:r>
        <w:rPr>
          <w:rFonts w:ascii="宋体" w:hAnsi="宋体" w:eastAsia="宋体" w:cs="宋体"/>
          <w:color w:val="auto"/>
          <w:spacing w:val="-1"/>
          <w:sz w:val="22"/>
          <w:szCs w:val="22"/>
          <w:highlight w:val="none"/>
        </w:rPr>
        <w:t>步应采取的措施。</w:t>
      </w:r>
    </w:p>
    <w:p w14:paraId="7653DFB8">
      <w:pPr>
        <w:keepNext w:val="0"/>
        <w:keepLines w:val="0"/>
        <w:pageBreakBefore w:val="0"/>
        <w:widowControl/>
        <w:kinsoku w:val="0"/>
        <w:wordWrap/>
        <w:overflowPunct/>
        <w:topLinePunct w:val="0"/>
        <w:autoSpaceDE w:val="0"/>
        <w:autoSpaceDN w:val="0"/>
        <w:bidi w:val="0"/>
        <w:adjustRightInd w:val="0"/>
        <w:snapToGrid w:val="0"/>
        <w:spacing w:line="360" w:lineRule="auto"/>
        <w:ind w:left="450"/>
        <w:textAlignment w:val="baseline"/>
        <w:rPr>
          <w:rFonts w:ascii="宋体" w:hAnsi="宋体" w:eastAsia="宋体" w:cs="宋体"/>
          <w:color w:val="auto"/>
          <w:sz w:val="10"/>
          <w:szCs w:val="10"/>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5"/>
          <w:sz w:val="22"/>
          <w:szCs w:val="22"/>
          <w:highlight w:val="none"/>
        </w:rPr>
        <w:t xml:space="preserve"> </w:t>
      </w:r>
      <w:r>
        <w:rPr>
          <w:rFonts w:ascii="宋体" w:hAnsi="宋体" w:eastAsia="宋体" w:cs="宋体"/>
          <w:color w:val="auto"/>
          <w:spacing w:val="-3"/>
          <w:sz w:val="22"/>
          <w:szCs w:val="22"/>
          <w:highlight w:val="none"/>
        </w:rPr>
        <w:t>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项-5.12</w:t>
      </w:r>
      <w:r>
        <w:rPr>
          <w:rFonts w:ascii="宋体" w:hAnsi="宋体" w:eastAsia="宋体" w:cs="宋体"/>
          <w:color w:val="auto"/>
          <w:spacing w:val="-46"/>
          <w:sz w:val="22"/>
          <w:szCs w:val="22"/>
          <w:highlight w:val="none"/>
        </w:rPr>
        <w:t xml:space="preserve"> </w:t>
      </w:r>
      <w:r>
        <w:rPr>
          <w:rFonts w:ascii="宋体" w:hAnsi="宋体" w:eastAsia="宋体" w:cs="宋体"/>
          <w:color w:val="auto"/>
          <w:spacing w:val="-3"/>
          <w:sz w:val="22"/>
          <w:szCs w:val="22"/>
          <w:highlight w:val="none"/>
        </w:rPr>
        <w:t>款</w:t>
      </w:r>
    </w:p>
    <w:p w14:paraId="65F817F9">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5.8 监理驻地建设标准化</w:t>
      </w:r>
    </w:p>
    <w:p w14:paraId="792762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招标人对本项目采用标准化管理，监理人必须执行国家、广东省有关高速公路工程建</w:t>
      </w:r>
      <w:r>
        <w:rPr>
          <w:rFonts w:ascii="宋体" w:hAnsi="宋体" w:eastAsia="宋体" w:cs="宋体"/>
          <w:color w:val="auto"/>
          <w:sz w:val="22"/>
          <w:szCs w:val="22"/>
          <w:highlight w:val="none"/>
        </w:rPr>
        <w:t>设“双标</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”管理、品质公路、绿色公路的规定和要求。其相关文件资料有（包括但不限于</w:t>
      </w:r>
      <w:r>
        <w:rPr>
          <w:rFonts w:ascii="宋体" w:hAnsi="宋体" w:eastAsia="宋体" w:cs="宋体"/>
          <w:color w:val="auto"/>
          <w:spacing w:val="4"/>
          <w:sz w:val="22"/>
          <w:szCs w:val="22"/>
          <w:highlight w:val="none"/>
        </w:rPr>
        <w:t>）：</w:t>
      </w:r>
    </w:p>
    <w:p w14:paraId="38F164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3"/>
        <w:jc w:val="both"/>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①广东省公路工程施工标准化指南；②广东省高速公路优质工程管理办法；③广东省高速公路</w:t>
      </w:r>
      <w:r>
        <w:rPr>
          <w:rFonts w:ascii="宋体" w:hAnsi="宋体" w:eastAsia="宋体" w:cs="宋体"/>
          <w:color w:val="auto"/>
          <w:spacing w:val="-1"/>
          <w:sz w:val="22"/>
          <w:szCs w:val="22"/>
          <w:highlight w:val="none"/>
        </w:rPr>
        <w:t>工程优质优价和施工监理优监优酬实施意见</w:t>
      </w:r>
      <w:r>
        <w:rPr>
          <w:rFonts w:ascii="宋体" w:hAnsi="宋体" w:eastAsia="宋体" w:cs="宋体"/>
          <w:color w:val="auto"/>
          <w:spacing w:val="-1"/>
          <w:sz w:val="24"/>
          <w:szCs w:val="24"/>
          <w:highlight w:val="none"/>
        </w:rPr>
        <w:t>。</w:t>
      </w:r>
      <w:r>
        <w:rPr>
          <w:rFonts w:ascii="宋体" w:hAnsi="宋体" w:eastAsia="宋体" w:cs="宋体"/>
          <w:color w:val="auto"/>
          <w:spacing w:val="-1"/>
          <w:sz w:val="22"/>
          <w:szCs w:val="22"/>
          <w:highlight w:val="none"/>
        </w:rPr>
        <w:t>和招标人的要求。</w:t>
      </w:r>
    </w:p>
    <w:p w14:paraId="767FAAB9">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pacing w:val="-2"/>
          <w:sz w:val="22"/>
          <w:szCs w:val="22"/>
          <w:highlight w:val="none"/>
        </w:rPr>
      </w:pPr>
      <w:r>
        <w:rPr>
          <w:rFonts w:ascii="宋体" w:hAnsi="宋体" w:eastAsia="宋体" w:cs="宋体"/>
          <w:color w:val="auto"/>
          <w:spacing w:val="-2"/>
          <w:sz w:val="22"/>
          <w:szCs w:val="22"/>
          <w:highlight w:val="none"/>
        </w:rPr>
        <w:t>5.9 平安工地建设要求</w:t>
      </w:r>
    </w:p>
    <w:p w14:paraId="42F55380">
      <w:pPr>
        <w:keepNext w:val="0"/>
        <w:keepLines w:val="0"/>
        <w:pageBreakBefore w:val="0"/>
        <w:widowControl/>
        <w:kinsoku/>
        <w:wordWrap/>
        <w:overflowPunct/>
        <w:topLinePunct w:val="0"/>
        <w:autoSpaceDE w:val="0"/>
        <w:autoSpaceDN w:val="0"/>
        <w:bidi w:val="0"/>
        <w:adjustRightInd w:val="0"/>
        <w:snapToGrid w:val="0"/>
        <w:spacing w:line="360" w:lineRule="auto"/>
        <w:ind w:left="11" w:firstLine="43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本项目执行广东省交通运输厅“关于开展公路水运工程‘平安工地</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’考核评价工作的通知</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rPr>
        <w:t>（交质监发〔2012〕679 号）等文件有关施工监理的要求。</w:t>
      </w:r>
    </w:p>
    <w:p w14:paraId="2634AA65">
      <w:pPr>
        <w:keepNext w:val="0"/>
        <w:keepLines w:val="0"/>
        <w:pageBreakBefore w:val="0"/>
        <w:widowControl/>
        <w:kinsoku w:val="0"/>
        <w:wordWrap/>
        <w:overflowPunct/>
        <w:topLinePunct w:val="0"/>
        <w:autoSpaceDE w:val="0"/>
        <w:autoSpaceDN w:val="0"/>
        <w:bidi w:val="0"/>
        <w:adjustRightInd w:val="0"/>
        <w:snapToGrid w:val="0"/>
        <w:spacing w:line="360" w:lineRule="auto"/>
        <w:ind w:left="45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5.10 精细化管理</w:t>
      </w:r>
    </w:p>
    <w:p w14:paraId="3A51B591">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本项目执行《广东省公路工程施工标准化指南》《广东省公路工</w:t>
      </w:r>
      <w:r>
        <w:rPr>
          <w:rFonts w:ascii="宋体" w:hAnsi="宋体" w:eastAsia="宋体" w:cs="宋体"/>
          <w:color w:val="auto"/>
          <w:spacing w:val="-1"/>
          <w:sz w:val="22"/>
          <w:szCs w:val="22"/>
          <w:highlight w:val="none"/>
        </w:rPr>
        <w:t>程施工监理规范》和广东省交通运输厅发放的“广东省高速公路建设施工精细化管理规定</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”的有关规定及委托人根据以</w:t>
      </w:r>
      <w:r>
        <w:rPr>
          <w:rFonts w:ascii="宋体" w:hAnsi="宋体" w:eastAsia="宋体" w:cs="宋体"/>
          <w:color w:val="auto"/>
          <w:sz w:val="22"/>
          <w:szCs w:val="22"/>
          <w:highlight w:val="none"/>
        </w:rPr>
        <w:t>上规定制定的相关精细化管理指南，在项目建设过程中实行精细化管理</w:t>
      </w:r>
      <w:r>
        <w:rPr>
          <w:rFonts w:ascii="宋体" w:hAnsi="宋体" w:eastAsia="宋体" w:cs="宋体"/>
          <w:color w:val="auto"/>
          <w:spacing w:val="-1"/>
          <w:sz w:val="22"/>
          <w:szCs w:val="22"/>
          <w:highlight w:val="none"/>
        </w:rPr>
        <w:t>。相关规定如有更新</w:t>
      </w:r>
      <w:r>
        <w:rPr>
          <w:rFonts w:ascii="宋体" w:hAnsi="宋体" w:eastAsia="宋体" w:cs="宋体"/>
          <w:color w:val="auto"/>
          <w:sz w:val="22"/>
          <w:szCs w:val="22"/>
          <w:highlight w:val="none"/>
        </w:rPr>
        <w:t>，以新颁布的为准。</w:t>
      </w:r>
    </w:p>
    <w:p w14:paraId="6B0E5EDC">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5.11 建设“双标 ”管理活动</w:t>
      </w:r>
    </w:p>
    <w:p w14:paraId="4BEB98EA">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委托人将在项目建设全过程中，全面推行高速公路建设“双标管理 ”(标准化管理、标杆管理)。监理人应配合委托人力争本项目实现“优质精品工程 ”的目标。</w:t>
      </w:r>
    </w:p>
    <w:p w14:paraId="3BE37AF7">
      <w:pPr>
        <w:keepNext w:val="0"/>
        <w:keepLines w:val="0"/>
        <w:pageBreakBefore w:val="0"/>
        <w:widowControl/>
        <w:kinsoku w:val="0"/>
        <w:wordWrap/>
        <w:overflowPunct/>
        <w:topLinePunct w:val="0"/>
        <w:autoSpaceDE w:val="0"/>
        <w:autoSpaceDN w:val="0"/>
        <w:bidi w:val="0"/>
        <w:adjustRightInd w:val="0"/>
        <w:snapToGrid w:val="0"/>
        <w:spacing w:line="360" w:lineRule="auto"/>
        <w:ind w:left="9" w:right="330" w:firstLine="440"/>
        <w:textAlignment w:val="baseline"/>
        <w:rPr>
          <w:rFonts w:ascii="宋体" w:hAnsi="宋体" w:eastAsia="宋体" w:cs="宋体"/>
          <w:color w:val="auto"/>
          <w:sz w:val="22"/>
          <w:szCs w:val="22"/>
          <w:highlight w:val="none"/>
        </w:rPr>
      </w:pPr>
      <w:bookmarkStart w:id="675" w:name="bookmark145"/>
      <w:bookmarkEnd w:id="675"/>
      <w:r>
        <w:rPr>
          <w:rFonts w:ascii="宋体" w:hAnsi="宋体" w:eastAsia="宋体" w:cs="宋体"/>
          <w:color w:val="auto"/>
          <w:sz w:val="22"/>
          <w:szCs w:val="22"/>
          <w:highlight w:val="none"/>
        </w:rPr>
        <w:t>本项目严格广东省交通运输厅印发《广东省公路工程施工标准化指南》（粤交基[2021]239号），投标人应无条件支持配合。</w:t>
      </w:r>
    </w:p>
    <w:p w14:paraId="0BD93988">
      <w:pPr>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5.12 质量安全综合检查</w:t>
      </w:r>
    </w:p>
    <w:p w14:paraId="0233C000">
      <w:pPr>
        <w:keepNext w:val="0"/>
        <w:keepLines w:val="0"/>
        <w:pageBreakBefore w:val="0"/>
        <w:widowControl/>
        <w:kinsoku w:val="0"/>
        <w:wordWrap/>
        <w:overflowPunct/>
        <w:topLinePunct w:val="0"/>
        <w:autoSpaceDE w:val="0"/>
        <w:autoSpaceDN w:val="0"/>
        <w:bidi w:val="0"/>
        <w:adjustRightInd w:val="0"/>
        <w:snapToGrid w:val="0"/>
        <w:spacing w:line="360" w:lineRule="auto"/>
        <w:ind w:right="19" w:firstLine="445"/>
        <w:jc w:val="both"/>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为进一步加强高速公路工程质量监督力度，调动参建各方的</w:t>
      </w:r>
      <w:r>
        <w:rPr>
          <w:rFonts w:ascii="宋体" w:hAnsi="宋体" w:eastAsia="宋体" w:cs="宋体"/>
          <w:color w:val="auto"/>
          <w:spacing w:val="-1"/>
          <w:sz w:val="22"/>
          <w:szCs w:val="22"/>
          <w:highlight w:val="none"/>
        </w:rPr>
        <w:t>主观能动性，提高高速公路工</w:t>
      </w:r>
      <w:r>
        <w:rPr>
          <w:rFonts w:ascii="宋体" w:hAnsi="宋体" w:eastAsia="宋体" w:cs="宋体"/>
          <w:color w:val="auto"/>
          <w:spacing w:val="-2"/>
          <w:sz w:val="22"/>
          <w:szCs w:val="22"/>
          <w:highlight w:val="none"/>
        </w:rPr>
        <w:t>程质量精细化管理水平，监理人应积极参与委托人组织开展的“质量监督综合检查评比</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”活动，</w:t>
      </w:r>
      <w:r>
        <w:rPr>
          <w:rFonts w:ascii="宋体" w:hAnsi="宋体" w:eastAsia="宋体" w:cs="宋体"/>
          <w:color w:val="auto"/>
          <w:sz w:val="22"/>
          <w:szCs w:val="22"/>
          <w:highlight w:val="none"/>
        </w:rPr>
        <w:t>具体活动方案委托人将根据交通主管部门的有关</w:t>
      </w:r>
      <w:r>
        <w:rPr>
          <w:rFonts w:ascii="宋体" w:hAnsi="宋体" w:eastAsia="宋体" w:cs="宋体"/>
          <w:color w:val="auto"/>
          <w:spacing w:val="-1"/>
          <w:sz w:val="22"/>
          <w:szCs w:val="22"/>
          <w:highlight w:val="none"/>
        </w:rPr>
        <w:t>规定制订后发布。</w:t>
      </w:r>
    </w:p>
    <w:p w14:paraId="4F52FA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highlight w:val="none"/>
        </w:rPr>
      </w:pPr>
    </w:p>
    <w:p w14:paraId="5C370AEA">
      <w:pPr>
        <w:keepNext w:val="0"/>
        <w:keepLines w:val="0"/>
        <w:pageBreakBefore w:val="0"/>
        <w:widowControl/>
        <w:kinsoku w:val="0"/>
        <w:wordWrap/>
        <w:overflowPunct/>
        <w:topLinePunct w:val="0"/>
        <w:autoSpaceDE w:val="0"/>
        <w:autoSpaceDN w:val="0"/>
        <w:bidi w:val="0"/>
        <w:adjustRightInd w:val="0"/>
        <w:snapToGrid w:val="0"/>
        <w:spacing w:line="360" w:lineRule="auto"/>
        <w:ind w:left="3"/>
        <w:textAlignment w:val="baseline"/>
        <w:outlineLvl w:val="1"/>
        <w:rPr>
          <w:rFonts w:ascii="宋体" w:hAnsi="宋体" w:eastAsia="宋体" w:cs="宋体"/>
          <w:color w:val="auto"/>
          <w:sz w:val="24"/>
          <w:szCs w:val="24"/>
          <w:highlight w:val="none"/>
        </w:rPr>
      </w:pPr>
      <w:bookmarkStart w:id="676" w:name="_Toc26248"/>
      <w:bookmarkStart w:id="677" w:name="_Toc13580"/>
      <w:bookmarkStart w:id="678" w:name="_Toc3378"/>
      <w:bookmarkStart w:id="679" w:name="_Toc10088"/>
      <w:r>
        <w:rPr>
          <w:rFonts w:ascii="宋体" w:hAnsi="宋体" w:eastAsia="宋体" w:cs="宋体"/>
          <w:b/>
          <w:bCs/>
          <w:color w:val="auto"/>
          <w:spacing w:val="-3"/>
          <w:sz w:val="24"/>
          <w:szCs w:val="24"/>
          <w:highlight w:val="none"/>
        </w:rPr>
        <w:t>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开始监理和完成监理</w:t>
      </w:r>
      <w:bookmarkEnd w:id="676"/>
      <w:bookmarkEnd w:id="677"/>
      <w:bookmarkEnd w:id="678"/>
      <w:bookmarkEnd w:id="679"/>
    </w:p>
    <w:p w14:paraId="64F85BC0">
      <w:pPr>
        <w:spacing w:before="290" w:line="360" w:lineRule="auto"/>
        <w:ind w:left="3"/>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6.1</w:t>
      </w:r>
      <w:r>
        <w:rPr>
          <w:rFonts w:ascii="宋体" w:hAnsi="宋体" w:eastAsia="宋体" w:cs="宋体"/>
          <w:color w:val="auto"/>
          <w:spacing w:val="12"/>
          <w:sz w:val="24"/>
          <w:szCs w:val="24"/>
          <w:highlight w:val="none"/>
        </w:rPr>
        <w:t xml:space="preserve"> </w:t>
      </w:r>
      <w:r>
        <w:rPr>
          <w:rFonts w:ascii="宋体" w:hAnsi="宋体" w:eastAsia="宋体" w:cs="宋体"/>
          <w:b/>
          <w:bCs/>
          <w:color w:val="auto"/>
          <w:spacing w:val="-5"/>
          <w:sz w:val="24"/>
          <w:szCs w:val="24"/>
          <w:highlight w:val="none"/>
        </w:rPr>
        <w:t>开始监理</w:t>
      </w:r>
    </w:p>
    <w:p w14:paraId="6C1BD4DC">
      <w:pPr>
        <w:spacing w:before="179" w:line="360"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6.1.1 满足以下条件时，监理人应开始监理工作：</w:t>
      </w:r>
      <w:r>
        <w:rPr>
          <w:rFonts w:ascii="宋体" w:hAnsi="宋体" w:eastAsia="宋体" w:cs="宋体"/>
          <w:color w:val="auto"/>
          <w:spacing w:val="-1"/>
          <w:sz w:val="22"/>
          <w:szCs w:val="22"/>
          <w:highlight w:val="none"/>
          <w:u w:val="single" w:color="auto"/>
        </w:rPr>
        <w:t>以委托人发出开始监理的书面通知为准</w:t>
      </w:r>
      <w:r>
        <w:rPr>
          <w:rFonts w:ascii="宋体" w:hAnsi="宋体" w:eastAsia="宋体" w:cs="宋体"/>
          <w:color w:val="auto"/>
          <w:spacing w:val="-1"/>
          <w:sz w:val="22"/>
          <w:szCs w:val="22"/>
          <w:highlight w:val="none"/>
        </w:rPr>
        <w:t>。</w:t>
      </w:r>
    </w:p>
    <w:p w14:paraId="314536CA">
      <w:pPr>
        <w:spacing w:before="78" w:line="360"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监理周期延误</w:t>
      </w:r>
    </w:p>
    <w:p w14:paraId="496A7C9F">
      <w:pPr>
        <w:spacing w:before="165" w:line="360" w:lineRule="auto"/>
        <w:ind w:right="19" w:firstLine="445"/>
        <w:jc w:val="both"/>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由于非监理人责任造成监理服务期限延误的，延长监理服务期限的计算方法：根据具体的延误原因由发包人与监理人协商确定延长的服务期限；增加监理服务费用的计算方法如下：</w:t>
      </w:r>
    </w:p>
    <w:p w14:paraId="266C4BF8">
      <w:pPr>
        <w:spacing w:line="360" w:lineRule="auto"/>
        <w:ind w:firstLine="432" w:firstLineChars="200"/>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rPr>
        <w:t>（1）工程延期超过</w:t>
      </w:r>
      <w:r>
        <w:rPr>
          <w:rFonts w:hint="eastAsia" w:ascii="宋体" w:hAnsi="宋体" w:eastAsia="宋体" w:cs="宋体"/>
          <w:color w:val="auto"/>
          <w:spacing w:val="-2"/>
          <w:sz w:val="22"/>
          <w:szCs w:val="22"/>
          <w:highlight w:val="none"/>
          <w:u w:val="single"/>
        </w:rPr>
        <w:t xml:space="preserve"> 3</w:t>
      </w:r>
      <w:r>
        <w:rPr>
          <w:rFonts w:hint="eastAsia" w:ascii="宋体" w:hAnsi="宋体" w:eastAsia="宋体" w:cs="宋体"/>
          <w:color w:val="auto"/>
          <w:spacing w:val="-2"/>
          <w:sz w:val="22"/>
          <w:szCs w:val="22"/>
          <w:highlight w:val="none"/>
        </w:rPr>
        <w:t xml:space="preserve"> 个月以上时，委托人将按照合同工程量清单施工期中监理人员服务费、监理办公设施费、监理交通设施费、试验检测实施费、监理生活设施费施工期的报价，按实（扣除3 个月后）增加上述费用，其他费用不予增加。</w:t>
      </w:r>
      <w:r>
        <w:rPr>
          <w:rFonts w:hint="eastAsia" w:ascii="宋体" w:hAnsi="宋体" w:eastAsia="宋体" w:cs="宋体"/>
          <w:color w:val="auto"/>
          <w:spacing w:val="-2"/>
          <w:sz w:val="22"/>
          <w:szCs w:val="22"/>
          <w:highlight w:val="none"/>
          <w:lang w:eastAsia="zh-CN"/>
        </w:rPr>
        <w:t>因施工期监理服务时间的延长（</w:t>
      </w:r>
      <w:r>
        <w:rPr>
          <w:rFonts w:hint="eastAsia" w:ascii="宋体" w:hAnsi="宋体" w:eastAsia="宋体" w:cs="宋体"/>
          <w:color w:val="auto"/>
          <w:spacing w:val="-2"/>
          <w:sz w:val="22"/>
          <w:szCs w:val="22"/>
          <w:highlight w:val="none"/>
          <w:lang w:val="en-US" w:eastAsia="zh-CN"/>
        </w:rPr>
        <w:t>含建设期维护工程</w:t>
      </w:r>
      <w:r>
        <w:rPr>
          <w:rFonts w:hint="eastAsia" w:ascii="宋体" w:hAnsi="宋体" w:eastAsia="宋体" w:cs="宋体"/>
          <w:color w:val="auto"/>
          <w:spacing w:val="-2"/>
          <w:sz w:val="22"/>
          <w:szCs w:val="22"/>
          <w:highlight w:val="none"/>
          <w:lang w:eastAsia="zh-CN"/>
        </w:rPr>
        <w:t xml:space="preserve">）而补偿的费用不超过签约时的施工期监理服务费的15%，超过部分费用由监理人自行承担，发包人不再支付，且监理人必须继续按合同约定履行各项监理工作。延期期间，发包人要求监理人撤离现场的，不予补偿任何监理服务费。 </w:t>
      </w:r>
    </w:p>
    <w:p w14:paraId="6E40A3CF">
      <w:pPr>
        <w:spacing w:line="360" w:lineRule="auto"/>
        <w:ind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（2）工程缩短超过 3 个月以上时，委托人将按照合同工程量清单施工期中监理人员服务费、监理办公设施费、监理交通设施费、试验检测实施费、监理生活设施费施工期的报价，按实（扣除3 个月后）减少上述费用，其他费用不予减少。</w:t>
      </w:r>
    </w:p>
    <w:p w14:paraId="32413822">
      <w:pPr>
        <w:spacing w:before="165" w:line="360" w:lineRule="auto"/>
        <w:ind w:right="19" w:firstLine="445"/>
        <w:jc w:val="both"/>
        <w:rPr>
          <w:rFonts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（3）若因监理人的原因致使监理服务时间延长，延长时间增加费用由监理人承担，若影响工期的并按 11.1.3 款进行违约处理。</w:t>
      </w:r>
    </w:p>
    <w:p w14:paraId="7CEAF40B">
      <w:pPr>
        <w:spacing w:before="79" w:line="221" w:lineRule="auto"/>
        <w:ind w:left="2"/>
        <w:outlineLvl w:val="1"/>
        <w:rPr>
          <w:rFonts w:ascii="宋体" w:hAnsi="宋体" w:eastAsia="宋体" w:cs="宋体"/>
          <w:color w:val="auto"/>
          <w:sz w:val="24"/>
          <w:szCs w:val="24"/>
          <w:highlight w:val="none"/>
        </w:rPr>
      </w:pPr>
      <w:bookmarkStart w:id="680" w:name="_Toc20311"/>
      <w:bookmarkStart w:id="681" w:name="_Toc22038"/>
      <w:bookmarkStart w:id="682" w:name="_Toc23868"/>
      <w:bookmarkStart w:id="683" w:name="_Toc1368"/>
      <w:r>
        <w:rPr>
          <w:rFonts w:ascii="宋体" w:hAnsi="宋体" w:eastAsia="宋体" w:cs="宋体"/>
          <w:b/>
          <w:bCs/>
          <w:color w:val="auto"/>
          <w:spacing w:val="-6"/>
          <w:sz w:val="24"/>
          <w:szCs w:val="24"/>
          <w:highlight w:val="none"/>
        </w:rPr>
        <w:t>8.</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6"/>
          <w:sz w:val="24"/>
          <w:szCs w:val="24"/>
          <w:highlight w:val="none"/>
        </w:rPr>
        <w:t>合同变更</w:t>
      </w:r>
      <w:bookmarkEnd w:id="680"/>
      <w:bookmarkEnd w:id="681"/>
      <w:bookmarkEnd w:id="682"/>
      <w:bookmarkEnd w:id="683"/>
    </w:p>
    <w:p w14:paraId="76298149">
      <w:pPr>
        <w:spacing w:before="289" w:line="220" w:lineRule="auto"/>
        <w:ind w:left="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8.1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变更情形</w:t>
      </w:r>
    </w:p>
    <w:p w14:paraId="2B5AF642">
      <w:pPr>
        <w:spacing w:before="180" w:line="360" w:lineRule="auto"/>
        <w:ind w:left="1" w:right="19" w:firstLine="441"/>
        <w:rPr>
          <w:rFonts w:ascii="宋体" w:hAnsi="宋体" w:eastAsia="宋体" w:cs="宋体"/>
          <w:color w:val="auto"/>
          <w:sz w:val="22"/>
          <w:szCs w:val="22"/>
          <w:highlight w:val="none"/>
        </w:rPr>
      </w:pPr>
      <w:r>
        <w:rPr>
          <w:rFonts w:ascii="宋体" w:hAnsi="宋体" w:eastAsia="宋体" w:cs="宋体"/>
          <w:color w:val="auto"/>
          <w:sz w:val="22"/>
          <w:szCs w:val="22"/>
          <w:highlight w:val="none"/>
        </w:rPr>
        <w:t>8.1.1 合同变更时，监理服务期限的调整方法：</w:t>
      </w:r>
      <w:r>
        <w:rPr>
          <w:rFonts w:ascii="宋体" w:hAnsi="宋体" w:eastAsia="宋体" w:cs="宋体"/>
          <w:color w:val="auto"/>
          <w:sz w:val="22"/>
          <w:szCs w:val="22"/>
          <w:highlight w:val="none"/>
          <w:u w:val="single" w:color="auto"/>
        </w:rPr>
        <w:t>增加的监理服</w:t>
      </w:r>
      <w:r>
        <w:rPr>
          <w:rFonts w:ascii="宋体" w:hAnsi="宋体" w:eastAsia="宋体" w:cs="宋体"/>
          <w:color w:val="auto"/>
          <w:spacing w:val="-1"/>
          <w:sz w:val="22"/>
          <w:szCs w:val="22"/>
          <w:highlight w:val="none"/>
          <w:u w:val="single" w:color="auto"/>
        </w:rPr>
        <w:t>务期按6.2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1"/>
          <w:sz w:val="22"/>
          <w:szCs w:val="22"/>
          <w:highlight w:val="none"/>
          <w:u w:val="single" w:color="auto"/>
        </w:rPr>
        <w:t>款约定进行计算</w:t>
      </w:r>
      <w:r>
        <w:rPr>
          <w:rFonts w:ascii="宋体" w:hAnsi="宋体" w:eastAsia="宋体" w:cs="宋体"/>
          <w:color w:val="auto"/>
          <w:spacing w:val="-1"/>
          <w:sz w:val="22"/>
          <w:szCs w:val="22"/>
          <w:highlight w:val="none"/>
        </w:rPr>
        <w:t>；</w:t>
      </w:r>
      <w:r>
        <w:rPr>
          <w:rFonts w:ascii="宋体" w:hAnsi="宋体" w:eastAsia="宋体" w:cs="宋体"/>
          <w:color w:val="auto"/>
          <w:spacing w:val="2"/>
          <w:sz w:val="22"/>
          <w:szCs w:val="22"/>
          <w:highlight w:val="none"/>
        </w:rPr>
        <w:t>监理服务费用的调整方法：</w:t>
      </w:r>
      <w:r>
        <w:rPr>
          <w:rFonts w:ascii="宋体" w:hAnsi="宋体" w:eastAsia="宋体" w:cs="宋体"/>
          <w:color w:val="auto"/>
          <w:spacing w:val="2"/>
          <w:sz w:val="22"/>
          <w:szCs w:val="22"/>
          <w:highlight w:val="none"/>
          <w:u w:val="single" w:color="auto"/>
        </w:rPr>
        <w:t>增加的监理服务期内的费用按6.2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2"/>
          <w:sz w:val="22"/>
          <w:szCs w:val="22"/>
          <w:highlight w:val="none"/>
          <w:u w:val="single" w:color="auto"/>
        </w:rPr>
        <w:t>款约定进</w:t>
      </w:r>
      <w:r>
        <w:rPr>
          <w:rFonts w:ascii="宋体" w:hAnsi="宋体" w:eastAsia="宋体" w:cs="宋体"/>
          <w:color w:val="auto"/>
          <w:spacing w:val="1"/>
          <w:sz w:val="22"/>
          <w:szCs w:val="22"/>
          <w:highlight w:val="none"/>
          <w:u w:val="single" w:color="auto"/>
        </w:rPr>
        <w:t>行计算。</w:t>
      </w:r>
    </w:p>
    <w:p w14:paraId="500077CE">
      <w:pPr>
        <w:spacing w:before="241" w:line="220" w:lineRule="auto"/>
        <w:ind w:left="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8.2.2</w:t>
      </w:r>
      <w:r>
        <w:rPr>
          <w:rFonts w:ascii="宋体" w:hAnsi="宋体" w:eastAsia="宋体" w:cs="宋体"/>
          <w:color w:val="auto"/>
          <w:spacing w:val="-47"/>
          <w:sz w:val="24"/>
          <w:szCs w:val="24"/>
          <w:highlight w:val="none"/>
        </w:rPr>
        <w:t xml:space="preserve"> </w:t>
      </w:r>
      <w:r>
        <w:rPr>
          <w:rFonts w:ascii="宋体" w:hAnsi="宋体" w:eastAsia="宋体" w:cs="宋体"/>
          <w:b/>
          <w:bCs/>
          <w:color w:val="auto"/>
          <w:spacing w:val="-4"/>
          <w:sz w:val="24"/>
          <w:szCs w:val="24"/>
          <w:highlight w:val="none"/>
        </w:rPr>
        <w:t>合理化建议</w:t>
      </w:r>
    </w:p>
    <w:p w14:paraId="39438C04">
      <w:pPr>
        <w:spacing w:before="177" w:line="289" w:lineRule="auto"/>
        <w:ind w:left="2" w:right="138"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8.2.2 监理人提出的合理化建议降低了工程投资、缩短了施工期限或者提高了工程</w:t>
      </w:r>
      <w:r>
        <w:rPr>
          <w:rFonts w:ascii="宋体" w:hAnsi="宋体" w:eastAsia="宋体" w:cs="宋体"/>
          <w:color w:val="auto"/>
          <w:sz w:val="22"/>
          <w:szCs w:val="22"/>
          <w:highlight w:val="none"/>
        </w:rPr>
        <w:t>经济效益的，委托人给予监理人如下奖励：</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7F568196">
      <w:pPr>
        <w:spacing w:line="300" w:lineRule="auto"/>
        <w:rPr>
          <w:rFonts w:ascii="Arial"/>
          <w:color w:val="auto"/>
          <w:sz w:val="21"/>
          <w:highlight w:val="none"/>
        </w:rPr>
      </w:pPr>
    </w:p>
    <w:p w14:paraId="2C9041BD">
      <w:pPr>
        <w:spacing w:before="79" w:line="219" w:lineRule="auto"/>
        <w:ind w:left="2"/>
        <w:rPr>
          <w:rFonts w:ascii="宋体" w:hAnsi="宋体" w:eastAsia="宋体" w:cs="宋体"/>
          <w:b/>
          <w:bCs/>
          <w:color w:val="auto"/>
          <w:spacing w:val="-5"/>
          <w:sz w:val="24"/>
          <w:szCs w:val="24"/>
          <w:highlight w:val="none"/>
        </w:rPr>
      </w:pPr>
      <w:r>
        <w:rPr>
          <w:rFonts w:ascii="宋体" w:hAnsi="宋体" w:eastAsia="宋体" w:cs="宋体"/>
          <w:b/>
          <w:bCs/>
          <w:color w:val="auto"/>
          <w:spacing w:val="-5"/>
          <w:sz w:val="24"/>
          <w:szCs w:val="24"/>
          <w:highlight w:val="none"/>
        </w:rPr>
        <w:t>增加</w:t>
      </w:r>
      <w:r>
        <w:rPr>
          <w:rFonts w:ascii="宋体" w:hAnsi="宋体" w:eastAsia="宋体" w:cs="宋体"/>
          <w:color w:val="auto"/>
          <w:spacing w:val="-35"/>
          <w:sz w:val="24"/>
          <w:szCs w:val="24"/>
          <w:highlight w:val="none"/>
        </w:rPr>
        <w:t xml:space="preserve"> </w:t>
      </w:r>
      <w:r>
        <w:rPr>
          <w:rFonts w:ascii="宋体" w:hAnsi="宋体" w:eastAsia="宋体" w:cs="宋体"/>
          <w:b/>
          <w:bCs/>
          <w:color w:val="auto"/>
          <w:spacing w:val="-5"/>
          <w:sz w:val="24"/>
          <w:szCs w:val="24"/>
          <w:highlight w:val="none"/>
        </w:rPr>
        <w:t>8.3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5"/>
          <w:sz w:val="24"/>
          <w:szCs w:val="24"/>
          <w:highlight w:val="none"/>
        </w:rPr>
        <w:t>监理奖励和优监优酬</w:t>
      </w:r>
    </w:p>
    <w:p w14:paraId="65AA0D18">
      <w:pPr>
        <w:spacing w:before="79" w:line="219" w:lineRule="auto"/>
        <w:ind w:left="2"/>
        <w:rPr>
          <w:rFonts w:ascii="宋体" w:hAnsi="宋体" w:eastAsia="宋体" w:cs="宋体"/>
          <w:b/>
          <w:bCs/>
          <w:color w:val="auto"/>
          <w:spacing w:val="-5"/>
          <w:sz w:val="24"/>
          <w:szCs w:val="24"/>
          <w:highlight w:val="none"/>
        </w:rPr>
      </w:pPr>
    </w:p>
    <w:p w14:paraId="18CCAEB7">
      <w:pPr>
        <w:spacing w:before="48"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工程监理奖励和优监优酬</w:t>
      </w:r>
    </w:p>
    <w:p w14:paraId="758BD057">
      <w:pPr>
        <w:spacing w:before="177" w:line="220" w:lineRule="auto"/>
        <w:ind w:left="44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8.3.</w:t>
      </w:r>
      <w:r>
        <w:rPr>
          <w:rFonts w:ascii="宋体" w:hAnsi="宋体" w:eastAsia="宋体" w:cs="宋体"/>
          <w:color w:val="auto"/>
          <w:spacing w:val="35"/>
          <w:sz w:val="22"/>
          <w:szCs w:val="22"/>
          <w:highlight w:val="none"/>
        </w:rPr>
        <w:t xml:space="preserve"> </w:t>
      </w:r>
      <w:r>
        <w:rPr>
          <w:rFonts w:ascii="宋体" w:hAnsi="宋体" w:eastAsia="宋体" w:cs="宋体"/>
          <w:color w:val="auto"/>
          <w:spacing w:val="-5"/>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5"/>
          <w:sz w:val="22"/>
          <w:szCs w:val="22"/>
          <w:highlight w:val="none"/>
        </w:rPr>
        <w:t>工程监理奖励</w:t>
      </w:r>
    </w:p>
    <w:p w14:paraId="791AF861">
      <w:pPr>
        <w:spacing w:before="164" w:line="359" w:lineRule="auto"/>
        <w:ind w:right="2" w:firstLine="443"/>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工程监理奖励在“报价文件表</w:t>
      </w:r>
      <w:r>
        <w:rPr>
          <w:rFonts w:ascii="宋体" w:hAnsi="宋体" w:eastAsia="宋体" w:cs="宋体"/>
          <w:color w:val="auto"/>
          <w:spacing w:val="-23"/>
          <w:sz w:val="22"/>
          <w:szCs w:val="22"/>
          <w:highlight w:val="none"/>
        </w:rPr>
        <w:t xml:space="preserve"> </w:t>
      </w:r>
      <w:r>
        <w:rPr>
          <w:rFonts w:ascii="宋体" w:hAnsi="宋体" w:eastAsia="宋体" w:cs="宋体"/>
          <w:color w:val="auto"/>
          <w:spacing w:val="4"/>
          <w:sz w:val="22"/>
          <w:szCs w:val="22"/>
          <w:highlight w:val="none"/>
        </w:rPr>
        <w:t>1 监理服务费</w:t>
      </w:r>
      <w:r>
        <w:rPr>
          <w:rFonts w:ascii="宋体" w:hAnsi="宋体" w:eastAsia="宋体" w:cs="宋体"/>
          <w:color w:val="auto"/>
          <w:spacing w:val="3"/>
          <w:sz w:val="22"/>
          <w:szCs w:val="22"/>
          <w:highlight w:val="none"/>
        </w:rPr>
        <w:t>报价汇总表</w:t>
      </w:r>
      <w:r>
        <w:rPr>
          <w:rFonts w:ascii="宋体" w:hAnsi="宋体" w:eastAsia="宋体" w:cs="宋体"/>
          <w:color w:val="auto"/>
          <w:spacing w:val="-76"/>
          <w:sz w:val="22"/>
          <w:szCs w:val="22"/>
          <w:highlight w:val="none"/>
        </w:rPr>
        <w:t xml:space="preserve"> </w:t>
      </w:r>
      <w:r>
        <w:rPr>
          <w:rFonts w:ascii="宋体" w:hAnsi="宋体" w:eastAsia="宋体" w:cs="宋体"/>
          <w:color w:val="auto"/>
          <w:spacing w:val="3"/>
          <w:sz w:val="22"/>
          <w:szCs w:val="22"/>
          <w:highlight w:val="none"/>
        </w:rPr>
        <w:t>”中单列，该部分费用仅限于本</w:t>
      </w:r>
      <w:r>
        <w:rPr>
          <w:rFonts w:ascii="宋体" w:hAnsi="宋体" w:eastAsia="宋体" w:cs="宋体"/>
          <w:color w:val="auto"/>
          <w:spacing w:val="1"/>
          <w:sz w:val="22"/>
          <w:szCs w:val="22"/>
          <w:highlight w:val="none"/>
        </w:rPr>
        <w:t>合同段使用（或整个项目统筹使用，具体以评比方案为准</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主要</w:t>
      </w:r>
      <w:r>
        <w:rPr>
          <w:rFonts w:ascii="宋体" w:hAnsi="宋体" w:eastAsia="宋体" w:cs="宋体"/>
          <w:color w:val="auto"/>
          <w:sz w:val="22"/>
          <w:szCs w:val="22"/>
          <w:highlight w:val="none"/>
        </w:rPr>
        <w:t>用于工程建设期间委托人对</w:t>
      </w:r>
      <w:r>
        <w:rPr>
          <w:rFonts w:ascii="宋体" w:hAnsi="宋体" w:eastAsia="宋体" w:cs="宋体"/>
          <w:color w:val="auto"/>
          <w:spacing w:val="1"/>
          <w:sz w:val="22"/>
          <w:szCs w:val="22"/>
          <w:highlight w:val="none"/>
        </w:rPr>
        <w:t>现场监理人员的奖励。监理人获得支付的额度取决于其所监理标段对应施工承包人完成进度的</w:t>
      </w:r>
      <w:r>
        <w:rPr>
          <w:rFonts w:ascii="宋体" w:hAnsi="宋体" w:eastAsia="宋体" w:cs="宋体"/>
          <w:color w:val="auto"/>
          <w:sz w:val="22"/>
          <w:szCs w:val="22"/>
          <w:highlight w:val="none"/>
        </w:rPr>
        <w:t>情况及在评比中的名次。有关评比方案委托人将在监理</w:t>
      </w:r>
      <w:r>
        <w:rPr>
          <w:rFonts w:ascii="宋体" w:hAnsi="宋体" w:eastAsia="宋体" w:cs="宋体"/>
          <w:color w:val="auto"/>
          <w:spacing w:val="-1"/>
          <w:sz w:val="22"/>
          <w:szCs w:val="22"/>
          <w:highlight w:val="none"/>
        </w:rPr>
        <w:t>人进场后予以制定。</w:t>
      </w:r>
    </w:p>
    <w:p w14:paraId="0F8C84BE">
      <w:pPr>
        <w:spacing w:before="1" w:line="359" w:lineRule="auto"/>
        <w:ind w:left="1"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委托人对监理人的工程监理奖励，监理人除代扣缴法律法规规定的税金外，应全额落实到</w:t>
      </w:r>
      <w:r>
        <w:rPr>
          <w:rFonts w:ascii="宋体" w:hAnsi="宋体" w:eastAsia="宋体" w:cs="宋体"/>
          <w:color w:val="auto"/>
          <w:spacing w:val="-2"/>
          <w:sz w:val="22"/>
          <w:szCs w:val="22"/>
          <w:highlight w:val="none"/>
        </w:rPr>
        <w:t>现场监理人员中。</w:t>
      </w:r>
    </w:p>
    <w:p w14:paraId="3D5A8DAD">
      <w:pPr>
        <w:spacing w:before="1" w:line="218"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8.3.2</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优监优酬价款</w:t>
      </w:r>
    </w:p>
    <w:p w14:paraId="55BD3E65">
      <w:pPr>
        <w:spacing w:before="164" w:line="360" w:lineRule="auto"/>
        <w:ind w:left="3"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全面推行“双标管理</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”（标准化管理、标杆管理</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rPr>
        <w:t>建立工程施工监理优监优酬制度</w:t>
      </w:r>
      <w:r>
        <w:rPr>
          <w:rFonts w:ascii="宋体" w:hAnsi="宋体" w:eastAsia="宋体" w:cs="宋体"/>
          <w:color w:val="auto"/>
          <w:spacing w:val="-1"/>
          <w:sz w:val="22"/>
          <w:szCs w:val="22"/>
          <w:highlight w:val="none"/>
        </w:rPr>
        <w:t>，提</w:t>
      </w:r>
      <w:r>
        <w:rPr>
          <w:rFonts w:ascii="宋体" w:hAnsi="宋体" w:eastAsia="宋体" w:cs="宋体"/>
          <w:color w:val="auto"/>
          <w:spacing w:val="1"/>
          <w:sz w:val="22"/>
          <w:szCs w:val="22"/>
          <w:highlight w:val="none"/>
        </w:rPr>
        <w:t>高工程施工监理质量管理水平，本合同设立优监优酬价款，具体由委托人参照广东省交</w:t>
      </w:r>
      <w:r>
        <w:rPr>
          <w:rFonts w:ascii="宋体" w:hAnsi="宋体" w:eastAsia="宋体" w:cs="宋体"/>
          <w:color w:val="auto"/>
          <w:sz w:val="22"/>
          <w:szCs w:val="22"/>
          <w:highlight w:val="none"/>
        </w:rPr>
        <w:t>通运输</w:t>
      </w:r>
      <w:r>
        <w:rPr>
          <w:rFonts w:ascii="宋体" w:hAnsi="宋体" w:eastAsia="宋体" w:cs="宋体"/>
          <w:color w:val="auto"/>
          <w:spacing w:val="6"/>
          <w:sz w:val="22"/>
          <w:szCs w:val="22"/>
          <w:highlight w:val="none"/>
        </w:rPr>
        <w:t>厅《关于印发广东省高速公路工程优质优价和施工监理优监优酬实施意见的通知》（粤交基</w:t>
      </w:r>
      <w:r>
        <w:rPr>
          <w:rFonts w:ascii="宋体" w:hAnsi="宋体" w:eastAsia="宋体" w:cs="宋体"/>
          <w:color w:val="auto"/>
          <w:spacing w:val="-1"/>
          <w:sz w:val="22"/>
          <w:szCs w:val="22"/>
          <w:highlight w:val="none"/>
        </w:rPr>
        <w:t>〔2010〕1893</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号）等文件的规定制订的本项目实施细则执行。</w:t>
      </w:r>
    </w:p>
    <w:p w14:paraId="4392AC61">
      <w:pPr>
        <w:spacing w:before="1" w:line="359" w:lineRule="auto"/>
        <w:ind w:firstLine="439"/>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委托人将根据工程实际开展各项工程的质量评比和奖罚，项目（如项目采用分段管理，则按项目段计列）用于奖励的金额原则上不超过项目（或项目段）各监理合同段投标报价（中标</w:t>
      </w:r>
      <w:r>
        <w:rPr>
          <w:rFonts w:ascii="宋体" w:hAnsi="宋体" w:eastAsia="宋体" w:cs="宋体"/>
          <w:color w:val="auto"/>
          <w:spacing w:val="-1"/>
          <w:sz w:val="22"/>
          <w:szCs w:val="22"/>
          <w:highlight w:val="none"/>
        </w:rPr>
        <w:t>价）合计金额的</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02"/>
          <w:sz w:val="22"/>
          <w:szCs w:val="22"/>
          <w:highlight w:val="none"/>
        </w:rPr>
        <w:t xml:space="preserve"> </w:t>
      </w:r>
      <w:r>
        <w:rPr>
          <w:rFonts w:ascii="宋体" w:hAnsi="宋体" w:eastAsia="宋体" w:cs="宋体"/>
          <w:color w:val="auto"/>
          <w:spacing w:val="-1"/>
          <w:sz w:val="22"/>
          <w:szCs w:val="22"/>
          <w:highlight w:val="none"/>
        </w:rPr>
        <w:t>%（含税金）。</w:t>
      </w:r>
    </w:p>
    <w:p w14:paraId="2D8A4BEF">
      <w:pPr>
        <w:spacing w:before="78" w:line="218" w:lineRule="auto"/>
        <w:ind w:left="1"/>
        <w:outlineLvl w:val="1"/>
        <w:rPr>
          <w:rFonts w:ascii="宋体" w:hAnsi="宋体" w:eastAsia="宋体" w:cs="宋体"/>
          <w:color w:val="auto"/>
          <w:sz w:val="24"/>
          <w:szCs w:val="24"/>
          <w:highlight w:val="none"/>
        </w:rPr>
      </w:pPr>
      <w:bookmarkStart w:id="684" w:name="_Toc24358"/>
      <w:bookmarkStart w:id="685" w:name="_Toc32346"/>
      <w:bookmarkStart w:id="686" w:name="_Toc28219"/>
      <w:bookmarkStart w:id="687" w:name="_Toc967"/>
      <w:r>
        <w:rPr>
          <w:rFonts w:ascii="宋体" w:hAnsi="宋体" w:eastAsia="宋体" w:cs="宋体"/>
          <w:b/>
          <w:bCs/>
          <w:color w:val="auto"/>
          <w:spacing w:val="-3"/>
          <w:sz w:val="24"/>
          <w:szCs w:val="24"/>
          <w:highlight w:val="none"/>
        </w:rPr>
        <w:t>9.</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合同价格与支付</w:t>
      </w:r>
      <w:bookmarkEnd w:id="684"/>
      <w:bookmarkEnd w:id="685"/>
      <w:bookmarkEnd w:id="686"/>
      <w:bookmarkEnd w:id="687"/>
    </w:p>
    <w:p w14:paraId="53085DE6">
      <w:pPr>
        <w:spacing w:before="293" w:line="218" w:lineRule="auto"/>
        <w:ind w:left="1"/>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9.1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合同价格</w:t>
      </w:r>
    </w:p>
    <w:p w14:paraId="1BFD3E24">
      <w:pPr>
        <w:spacing w:before="181"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9.1.1 本合同的价款确定方式：</w:t>
      </w:r>
      <w:r>
        <w:rPr>
          <w:rFonts w:ascii="宋体" w:hAnsi="宋体" w:eastAsia="宋体" w:cs="宋体"/>
          <w:color w:val="auto"/>
          <w:spacing w:val="-1"/>
          <w:sz w:val="22"/>
          <w:szCs w:val="22"/>
          <w:highlight w:val="none"/>
          <w:u w:val="single" w:color="auto"/>
        </w:rPr>
        <w:t xml:space="preserve">  总价  </w:t>
      </w:r>
      <w:r>
        <w:rPr>
          <w:rFonts w:ascii="宋体" w:hAnsi="宋体" w:eastAsia="宋体" w:cs="宋体"/>
          <w:color w:val="auto"/>
          <w:spacing w:val="-1"/>
          <w:sz w:val="22"/>
          <w:szCs w:val="22"/>
          <w:highlight w:val="none"/>
        </w:rPr>
        <w:t>。</w:t>
      </w:r>
    </w:p>
    <w:p w14:paraId="7EA50690">
      <w:pPr>
        <w:spacing w:before="166" w:line="360" w:lineRule="auto"/>
        <w:ind w:firstLine="440"/>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本合同总价已包含监理人完成全部试验检测工作(含外委检测)所需的一切费用，监理人应 负责与选定的第三方检测机构结算并支付相关费用。</w:t>
      </w:r>
    </w:p>
    <w:p w14:paraId="6743D600">
      <w:pPr>
        <w:spacing w:before="166" w:line="360" w:lineRule="auto"/>
        <w:ind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在合同实施期间，由于人工、材料、设备等因素的市场价格变化导致本项目监理服务费用</w:t>
      </w:r>
      <w:r>
        <w:rPr>
          <w:rFonts w:ascii="宋体" w:hAnsi="宋体" w:eastAsia="宋体" w:cs="宋体"/>
          <w:color w:val="auto"/>
          <w:sz w:val="22"/>
          <w:szCs w:val="22"/>
          <w:highlight w:val="none"/>
        </w:rPr>
        <w:t>变化，合同价格的调整方式和风险范围划分：</w:t>
      </w:r>
      <w:r>
        <w:rPr>
          <w:rFonts w:ascii="宋体" w:hAnsi="宋体" w:eastAsia="宋体" w:cs="宋体"/>
          <w:color w:val="auto"/>
          <w:sz w:val="22"/>
          <w:szCs w:val="22"/>
          <w:highlight w:val="none"/>
          <w:u w:val="single" w:color="auto"/>
        </w:rPr>
        <w:t>监理服</w:t>
      </w:r>
      <w:r>
        <w:rPr>
          <w:rFonts w:ascii="宋体" w:hAnsi="宋体" w:eastAsia="宋体" w:cs="宋体"/>
          <w:color w:val="auto"/>
          <w:spacing w:val="-1"/>
          <w:sz w:val="22"/>
          <w:szCs w:val="22"/>
          <w:highlight w:val="none"/>
          <w:u w:val="single" w:color="auto"/>
        </w:rPr>
        <w:t>务费不进行调整</w:t>
      </w:r>
      <w:r>
        <w:rPr>
          <w:rFonts w:ascii="宋体" w:hAnsi="宋体" w:eastAsia="宋体" w:cs="宋体"/>
          <w:color w:val="auto"/>
          <w:spacing w:val="-1"/>
          <w:sz w:val="22"/>
          <w:szCs w:val="22"/>
          <w:highlight w:val="none"/>
        </w:rPr>
        <w:t>。</w:t>
      </w:r>
    </w:p>
    <w:p w14:paraId="30EEB28C">
      <w:pPr>
        <w:spacing w:before="243" w:line="219" w:lineRule="auto"/>
        <w:ind w:left="1"/>
        <w:rPr>
          <w:rFonts w:hint="eastAsia" w:ascii="宋体" w:hAnsi="宋体" w:eastAsia="宋体" w:cs="宋体"/>
          <w:b/>
          <w:bCs/>
          <w:color w:val="auto"/>
          <w:spacing w:val="-8"/>
          <w:sz w:val="24"/>
          <w:szCs w:val="24"/>
          <w:highlight w:val="none"/>
          <w:lang w:val="en-US" w:eastAsia="zh-CN"/>
        </w:rPr>
      </w:pPr>
      <w:r>
        <w:rPr>
          <w:rFonts w:ascii="宋体" w:hAnsi="宋体" w:eastAsia="宋体" w:cs="宋体"/>
          <w:b/>
          <w:bCs/>
          <w:color w:val="auto"/>
          <w:spacing w:val="-8"/>
          <w:sz w:val="24"/>
          <w:szCs w:val="24"/>
          <w:highlight w:val="none"/>
        </w:rPr>
        <w:t>9.</w:t>
      </w:r>
      <w:r>
        <w:rPr>
          <w:rFonts w:hint="eastAsia" w:ascii="宋体" w:hAnsi="宋体" w:eastAsia="宋体" w:cs="宋体"/>
          <w:b/>
          <w:bCs/>
          <w:color w:val="auto"/>
          <w:spacing w:val="-8"/>
          <w:sz w:val="24"/>
          <w:szCs w:val="24"/>
          <w:highlight w:val="none"/>
          <w:lang w:val="en-US" w:eastAsia="zh-CN"/>
        </w:rPr>
        <w:t>2</w:t>
      </w:r>
      <w:r>
        <w:rPr>
          <w:rFonts w:ascii="宋体" w:hAnsi="宋体" w:eastAsia="宋体" w:cs="宋体"/>
          <w:b/>
          <w:bCs/>
          <w:color w:val="auto"/>
          <w:spacing w:val="-8"/>
          <w:sz w:val="24"/>
          <w:szCs w:val="24"/>
          <w:highlight w:val="none"/>
        </w:rPr>
        <w:t xml:space="preserve"> </w:t>
      </w:r>
      <w:r>
        <w:rPr>
          <w:rFonts w:hint="eastAsia" w:ascii="宋体" w:hAnsi="宋体" w:eastAsia="宋体" w:cs="宋体"/>
          <w:b/>
          <w:bCs/>
          <w:color w:val="auto"/>
          <w:spacing w:val="-8"/>
          <w:sz w:val="24"/>
          <w:szCs w:val="24"/>
          <w:highlight w:val="none"/>
          <w:lang w:val="en-US" w:eastAsia="zh-CN"/>
        </w:rPr>
        <w:t>预付款</w:t>
      </w:r>
    </w:p>
    <w:p w14:paraId="5361047C">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为使监理服务能够及时开展，</w:t>
      </w:r>
      <w:r>
        <w:rPr>
          <w:rFonts w:hint="eastAsia" w:ascii="宋体" w:hAnsi="宋体" w:cs="Times New Roman"/>
          <w:color w:val="auto"/>
          <w:sz w:val="24"/>
          <w:highlight w:val="none"/>
          <w:lang w:val="en-US" w:eastAsia="zh-CN"/>
        </w:rPr>
        <w:t>合同签订后支付合同金额的0%作为监理的预付款，上述预付款支付以上级财政专项资金到位为前提。</w:t>
      </w:r>
    </w:p>
    <w:p w14:paraId="3E475114">
      <w:pPr>
        <w:spacing w:before="166" w:line="360" w:lineRule="auto"/>
        <w:ind w:firstLine="44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lang w:eastAsia="zh-CN"/>
        </w:rPr>
        <w:t>预付款在</w:t>
      </w:r>
      <w:r>
        <w:rPr>
          <w:rFonts w:hint="eastAsia" w:ascii="宋体" w:hAnsi="宋体" w:eastAsia="宋体" w:cs="宋体"/>
          <w:color w:val="auto"/>
          <w:spacing w:val="1"/>
          <w:sz w:val="22"/>
          <w:szCs w:val="22"/>
          <w:highlight w:val="none"/>
          <w:lang w:val="en-US" w:eastAsia="zh-CN"/>
        </w:rPr>
        <w:t>第一期</w:t>
      </w:r>
      <w:r>
        <w:rPr>
          <w:rFonts w:hint="eastAsia" w:ascii="宋体" w:hAnsi="宋体" w:eastAsia="宋体" w:cs="宋体"/>
          <w:color w:val="auto"/>
          <w:spacing w:val="1"/>
          <w:sz w:val="22"/>
          <w:szCs w:val="22"/>
          <w:highlight w:val="none"/>
          <w:lang w:eastAsia="zh-CN"/>
        </w:rPr>
        <w:t>监理服务费</w:t>
      </w:r>
      <w:r>
        <w:rPr>
          <w:rFonts w:hint="eastAsia" w:ascii="宋体" w:hAnsi="宋体" w:eastAsia="宋体" w:cs="宋体"/>
          <w:color w:val="auto"/>
          <w:spacing w:val="1"/>
          <w:sz w:val="22"/>
          <w:szCs w:val="22"/>
          <w:highlight w:val="none"/>
          <w:lang w:val="en-US" w:eastAsia="zh-CN"/>
        </w:rPr>
        <w:t>进度款中一次性扣回。</w:t>
      </w:r>
    </w:p>
    <w:p w14:paraId="3B812875">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预付款应专用于本工程的监理。监理人无须向委托人提交预付款保函，但监理人提交的履约保证金对预付款的正常使用承担保证责任。</w:t>
      </w:r>
    </w:p>
    <w:p w14:paraId="37EEC9FB">
      <w:pPr>
        <w:spacing w:before="243" w:line="219" w:lineRule="auto"/>
        <w:ind w:left="1"/>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9.3</w:t>
      </w:r>
      <w:r>
        <w:rPr>
          <w:rFonts w:ascii="宋体" w:hAnsi="宋体" w:eastAsia="宋体" w:cs="宋体"/>
          <w:color w:val="auto"/>
          <w:spacing w:val="34"/>
          <w:sz w:val="24"/>
          <w:szCs w:val="24"/>
          <w:highlight w:val="none"/>
        </w:rPr>
        <w:t xml:space="preserve"> </w:t>
      </w:r>
      <w:bookmarkStart w:id="688" w:name="OLE_LINK1"/>
      <w:r>
        <w:rPr>
          <w:rFonts w:ascii="宋体" w:hAnsi="宋体" w:eastAsia="宋体" w:cs="宋体"/>
          <w:b/>
          <w:bCs/>
          <w:color w:val="auto"/>
          <w:spacing w:val="-8"/>
          <w:sz w:val="24"/>
          <w:szCs w:val="24"/>
          <w:highlight w:val="none"/>
        </w:rPr>
        <w:t>中期支付</w:t>
      </w:r>
    </w:p>
    <w:p w14:paraId="629F8444">
      <w:pPr>
        <w:keepNext w:val="0"/>
        <w:keepLines w:val="0"/>
        <w:pageBreakBefore w:val="0"/>
        <w:widowControl/>
        <w:kinsoku w:val="0"/>
        <w:wordWrap/>
        <w:overflowPunct/>
        <w:topLinePunct w:val="0"/>
        <w:autoSpaceDE w:val="0"/>
        <w:autoSpaceDN w:val="0"/>
        <w:bidi w:val="0"/>
        <w:adjustRightInd w:val="0"/>
        <w:snapToGrid w:val="0"/>
        <w:spacing w:line="240" w:lineRule="exact"/>
        <w:ind w:left="11" w:leftChars="0" w:firstLine="444" w:firstLineChars="200"/>
        <w:textAlignment w:val="baseline"/>
        <w:rPr>
          <w:rFonts w:hint="eastAsia" w:ascii="宋体" w:hAnsi="宋体" w:eastAsia="宋体" w:cs="宋体"/>
          <w:color w:val="auto"/>
          <w:spacing w:val="1"/>
          <w:sz w:val="22"/>
          <w:szCs w:val="22"/>
          <w:highlight w:val="none"/>
        </w:rPr>
      </w:pPr>
    </w:p>
    <w:p w14:paraId="7A64B091">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本款细化为：</w:t>
      </w:r>
    </w:p>
    <w:p w14:paraId="002C11E5">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16"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6"/>
          <w:sz w:val="22"/>
          <w:szCs w:val="22"/>
          <w:highlight w:val="none"/>
        </w:rPr>
        <w:t>监理服务费的支付分为中期支付、结算支付和缺陷责任期满及竣工验收支付，中期支付是施工期的支付，将按季度分期支付，中期支付总额占监理服务费总额的80％（若发包人在完成监理范内部分施工招标后，统计或预测监理范围内实际的监理服务费与暂定的监理服务费有超过10％或以上偏差时，发包人有权调低中期支付比例）；结算支付为支付至监理服务费结算价的97％，按下述第二款执行；剩余3％为缺陷责任期满及竣工验收监理服务费，按下述第三款执行</w:t>
      </w:r>
      <w:r>
        <w:rPr>
          <w:rFonts w:hint="eastAsia" w:ascii="宋体" w:hAnsi="宋体" w:eastAsia="宋体" w:cs="宋体"/>
          <w:color w:val="auto"/>
          <w:spacing w:val="1"/>
          <w:sz w:val="22"/>
          <w:szCs w:val="22"/>
          <w:highlight w:val="none"/>
        </w:rPr>
        <w:t>。</w:t>
      </w:r>
    </w:p>
    <w:p w14:paraId="422A801F">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一、中期支付</w:t>
      </w:r>
    </w:p>
    <w:p w14:paraId="11FD5C91">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上一季度的监理服务费将在下一季度的第一个月上旬支付，监理人应在每季度未向招标人提交支付申请，招标人将根据支付申请审批支付，支付申请包括以下栏目：</w:t>
      </w:r>
    </w:p>
    <w:p w14:paraId="1295270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（1）正常常服务的费用</w:t>
      </w:r>
    </w:p>
    <w:p w14:paraId="2F0EAA62">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计算式：监理服务费总额×该季度监理管辖范围内各施工合同段承包人完成的工作量费用总额／承包人合同价总额×80％</w:t>
      </w:r>
    </w:p>
    <w:p w14:paraId="41542086">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lang w:val="en-US" w:eastAsia="zh-CN"/>
        </w:rPr>
        <w:t>（2）</w:t>
      </w:r>
      <w:r>
        <w:rPr>
          <w:rFonts w:hint="eastAsia" w:ascii="宋体" w:hAnsi="宋体" w:eastAsia="宋体" w:cs="宋体"/>
          <w:color w:val="auto"/>
          <w:spacing w:val="-6"/>
          <w:sz w:val="22"/>
          <w:szCs w:val="22"/>
          <w:highlight w:val="none"/>
          <w:lang w:val="en-US" w:eastAsia="zh-CN"/>
        </w:rPr>
        <w:t>监理服务费变更费用经双方协商确认后，在监理服务所对应工作期限内按季度支付或按双方签订的补充协议约定的支付方式进行支付。为保障监理人基本工作的开展，如本季度计量的监理服务费总额不足50万元，按50万元进行计量，超计量部分在下季度的计量款中予以扣回</w:t>
      </w:r>
      <w:r>
        <w:rPr>
          <w:rFonts w:hint="eastAsia" w:ascii="宋体" w:hAnsi="宋体" w:eastAsia="宋体" w:cs="宋体"/>
          <w:color w:val="auto"/>
          <w:spacing w:val="1"/>
          <w:sz w:val="22"/>
          <w:szCs w:val="22"/>
          <w:highlight w:val="none"/>
          <w:lang w:val="en-US" w:eastAsia="zh-CN"/>
        </w:rPr>
        <w:t>。</w:t>
      </w:r>
    </w:p>
    <w:p w14:paraId="102D38C9">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）按本监理合同条款的规定本季应得的奖励及证明资料；</w:t>
      </w:r>
    </w:p>
    <w:p w14:paraId="30B4E856">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）按合同规定本季应得的其他费用；</w:t>
      </w:r>
    </w:p>
    <w:p w14:paraId="354627D4">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lang w:val="en-US" w:eastAsia="zh-CN"/>
        </w:rPr>
        <w:t>5</w:t>
      </w:r>
      <w:r>
        <w:rPr>
          <w:rFonts w:hint="eastAsia" w:ascii="宋体" w:hAnsi="宋体" w:eastAsia="宋体" w:cs="宋体"/>
          <w:color w:val="auto"/>
          <w:spacing w:val="1"/>
          <w:sz w:val="22"/>
          <w:szCs w:val="22"/>
          <w:highlight w:val="none"/>
        </w:rPr>
        <w:t>）按本监理合同条款的规定本季应扣除的违约金以及赔偿金；</w:t>
      </w:r>
    </w:p>
    <w:p w14:paraId="474C545B">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中期支付的上限为监理服务费总额的80％（若发包人在完成监理范围内部分施工招标后，统计或预测监理范围内实际的监理服务费与暂定的监理服务费有超过10%或以上偏差时，发包人有权调低中期支付比例）。</w:t>
      </w:r>
    </w:p>
    <w:p w14:paraId="2F81A77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二、结算支付</w:t>
      </w:r>
    </w:p>
    <w:p w14:paraId="4902391B">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监理服务费的3％作为保留金，在监理范围内所有工程交工验收达到合同约定等级并且监理人完成结算手续办理、竣工资料整理移交后支付至结算监理服务费的97％，若交工验收不合格或者未按发包人书面通知规定时间内完成结算手续办理和竣工资料整理的不予支付。</w:t>
      </w:r>
    </w:p>
    <w:p w14:paraId="498355B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三、缺陷责任期满及竣工验收支付</w:t>
      </w:r>
    </w:p>
    <w:p w14:paraId="54894EE2">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在工程经验收合格且缺陷责任期满，发包人签发《工程缺陷责任终止证书》并且竣工决算（或财务决算）批复后28天内支付剩余结算监理服务费（扣除相关的缺陷责任修复费用，如果有），工程竣工验收之前，如果根据造价主管部门或政府审计部门审核结果须要扣回监理人相关合同款项的，监理人必须无条件按照发包人通知的时限和金额退回相关款项。</w:t>
      </w:r>
    </w:p>
    <w:p w14:paraId="07FED228">
      <w:pPr>
        <w:keepNext w:val="0"/>
        <w:keepLines w:val="0"/>
        <w:pageBreakBefore w:val="0"/>
        <w:widowControl/>
        <w:kinsoku w:val="0"/>
        <w:wordWrap/>
        <w:overflowPunct/>
        <w:topLinePunct w:val="0"/>
        <w:autoSpaceDE w:val="0"/>
        <w:autoSpaceDN w:val="0"/>
        <w:bidi w:val="0"/>
        <w:adjustRightInd w:val="0"/>
        <w:snapToGrid w:val="0"/>
        <w:spacing w:line="360" w:lineRule="auto"/>
        <w:ind w:left="11" w:leftChars="0" w:firstLine="444" w:firstLineChars="200"/>
        <w:textAlignment w:val="baseline"/>
        <w:rPr>
          <w:rFonts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9.3.5 最终结清付款涉及政府投资资金的，支付规定如下：按本专业条款缺陷责任期满及竣工验收支付规定执行。</w:t>
      </w:r>
    </w:p>
    <w:bookmarkEnd w:id="688"/>
    <w:p w14:paraId="3EE32649">
      <w:pPr>
        <w:spacing w:before="78" w:line="219" w:lineRule="auto"/>
        <w:ind w:left="9"/>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9.5</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6"/>
          <w:sz w:val="24"/>
          <w:szCs w:val="24"/>
          <w:highlight w:val="none"/>
        </w:rPr>
        <w:t>暂列金额</w:t>
      </w:r>
    </w:p>
    <w:p w14:paraId="2E638870">
      <w:pPr>
        <w:spacing w:before="144" w:line="393" w:lineRule="auto"/>
        <w:ind w:left="450"/>
        <w:rPr>
          <w:rFonts w:ascii="宋体" w:hAnsi="宋体" w:eastAsia="宋体" w:cs="宋体"/>
          <w:b/>
          <w:bCs/>
          <w:color w:val="auto"/>
          <w:spacing w:val="-10"/>
          <w:sz w:val="24"/>
          <w:szCs w:val="24"/>
          <w:highlight w:val="none"/>
        </w:rPr>
      </w:pPr>
      <w:r>
        <w:rPr>
          <w:rFonts w:ascii="宋体" w:hAnsi="宋体" w:eastAsia="宋体" w:cs="宋体"/>
          <w:color w:val="auto"/>
          <w:spacing w:val="-2"/>
          <w:sz w:val="22"/>
          <w:szCs w:val="22"/>
          <w:highlight w:val="none"/>
        </w:rPr>
        <w:t>本合同的暂列金额为监理服务费的</w:t>
      </w:r>
      <w:r>
        <w:rPr>
          <w:rFonts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val="en-US" w:eastAsia="zh-CN"/>
        </w:rPr>
        <w:t>/</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69"/>
          <w:sz w:val="22"/>
          <w:szCs w:val="22"/>
          <w:highlight w:val="none"/>
        </w:rPr>
        <w:t xml:space="preserve"> </w:t>
      </w:r>
      <w:r>
        <w:rPr>
          <w:rFonts w:ascii="宋体" w:hAnsi="宋体" w:eastAsia="宋体" w:cs="宋体"/>
          <w:color w:val="auto"/>
          <w:spacing w:val="-2"/>
          <w:sz w:val="22"/>
          <w:szCs w:val="22"/>
          <w:highlight w:val="none"/>
        </w:rPr>
        <w:t>％。</w:t>
      </w:r>
    </w:p>
    <w:p w14:paraId="2510F5E4">
      <w:pPr>
        <w:spacing w:before="78" w:line="224" w:lineRule="auto"/>
        <w:ind w:left="26"/>
        <w:outlineLvl w:val="1"/>
        <w:rPr>
          <w:rFonts w:ascii="宋体" w:hAnsi="宋体" w:eastAsia="宋体" w:cs="宋体"/>
          <w:color w:val="auto"/>
          <w:sz w:val="24"/>
          <w:szCs w:val="24"/>
          <w:highlight w:val="none"/>
        </w:rPr>
      </w:pPr>
      <w:bookmarkStart w:id="689" w:name="_Toc22891"/>
      <w:bookmarkStart w:id="690" w:name="_Toc1793"/>
      <w:bookmarkStart w:id="691" w:name="_Toc20827"/>
      <w:bookmarkStart w:id="692" w:name="_Toc8594"/>
      <w:r>
        <w:rPr>
          <w:rFonts w:ascii="宋体" w:hAnsi="宋体" w:eastAsia="宋体" w:cs="宋体"/>
          <w:b/>
          <w:bCs/>
          <w:color w:val="auto"/>
          <w:spacing w:val="-10"/>
          <w:sz w:val="24"/>
          <w:szCs w:val="24"/>
          <w:highlight w:val="none"/>
        </w:rPr>
        <w:t>11.</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违约</w:t>
      </w:r>
      <w:bookmarkEnd w:id="689"/>
      <w:bookmarkEnd w:id="690"/>
      <w:bookmarkEnd w:id="691"/>
      <w:bookmarkEnd w:id="692"/>
    </w:p>
    <w:p w14:paraId="20D54BC1">
      <w:pPr>
        <w:spacing w:before="285" w:line="222"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11.1</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监理人违约</w:t>
      </w:r>
    </w:p>
    <w:p w14:paraId="4C02EFF1">
      <w:pPr>
        <w:spacing w:before="173" w:line="221" w:lineRule="auto"/>
        <w:ind w:left="465"/>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11.1.2</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款细化如下：</w:t>
      </w:r>
    </w:p>
    <w:p w14:paraId="4169C7B2">
      <w:pPr>
        <w:spacing w:before="167" w:line="220" w:lineRule="auto"/>
        <w:ind w:left="46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11.1.2 监理人发生违约情况时，委托人有权向监理人课以违约金，具体约定如下：</w:t>
      </w:r>
    </w:p>
    <w:p w14:paraId="693CEFBA">
      <w:pPr>
        <w:rPr>
          <w:rFonts w:ascii="Arial"/>
          <w:color w:val="auto"/>
          <w:sz w:val="21"/>
          <w:highlight w:val="none"/>
        </w:rPr>
      </w:pPr>
    </w:p>
    <w:p w14:paraId="0971777A">
      <w:pPr>
        <w:spacing w:before="92" w:line="234" w:lineRule="auto"/>
        <w:ind w:left="3212"/>
        <w:rPr>
          <w:rFonts w:ascii="宋体" w:hAnsi="宋体" w:eastAsia="宋体" w:cs="宋体"/>
          <w:color w:val="auto"/>
          <w:sz w:val="13"/>
          <w:szCs w:val="13"/>
          <w:highlight w:val="none"/>
        </w:rPr>
      </w:pPr>
      <w:r>
        <w:rPr>
          <w:rFonts w:ascii="宋体" w:hAnsi="宋体" w:eastAsia="宋体" w:cs="宋体"/>
          <w:b/>
          <w:bCs/>
          <w:color w:val="auto"/>
          <w:spacing w:val="-3"/>
          <w:sz w:val="28"/>
          <w:szCs w:val="28"/>
          <w:highlight w:val="none"/>
        </w:rPr>
        <w:t>监理人违约金一览表</w:t>
      </w:r>
    </w:p>
    <w:p w14:paraId="2A1AC9AD">
      <w:pPr>
        <w:spacing w:line="229" w:lineRule="exact"/>
        <w:rPr>
          <w:color w:val="auto"/>
          <w:highlight w:val="none"/>
        </w:rPr>
      </w:pPr>
    </w:p>
    <w:tbl>
      <w:tblPr>
        <w:tblStyle w:val="22"/>
        <w:tblW w:w="0" w:type="auto"/>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845"/>
        <w:gridCol w:w="7366"/>
        <w:gridCol w:w="74"/>
      </w:tblGrid>
      <w:tr w14:paraId="0643C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10" w:type="dxa"/>
            <w:textDirection w:val="tbRlV"/>
            <w:vAlign w:val="top"/>
          </w:tcPr>
          <w:p w14:paraId="4A64DEB9">
            <w:pPr>
              <w:pStyle w:val="23"/>
              <w:spacing w:before="193" w:line="216" w:lineRule="auto"/>
              <w:ind w:left="193"/>
              <w:rPr>
                <w:color w:val="auto"/>
                <w:highlight w:val="none"/>
              </w:rPr>
            </w:pPr>
            <w:r>
              <w:rPr>
                <w:b/>
                <w:bCs/>
                <w:color w:val="auto"/>
                <w:spacing w:val="6"/>
                <w:highlight w:val="none"/>
              </w:rPr>
              <w:t>类</w:t>
            </w:r>
            <w:r>
              <w:rPr>
                <w:color w:val="auto"/>
                <w:spacing w:val="-7"/>
                <w:highlight w:val="none"/>
              </w:rPr>
              <w:t xml:space="preserve"> </w:t>
            </w:r>
            <w:r>
              <w:rPr>
                <w:b/>
                <w:bCs/>
                <w:color w:val="auto"/>
                <w:spacing w:val="6"/>
                <w:highlight w:val="none"/>
              </w:rPr>
              <w:t>别</w:t>
            </w:r>
          </w:p>
        </w:tc>
        <w:tc>
          <w:tcPr>
            <w:tcW w:w="845" w:type="dxa"/>
            <w:vAlign w:val="top"/>
          </w:tcPr>
          <w:p w14:paraId="2B1A01B7">
            <w:pPr>
              <w:spacing w:line="249" w:lineRule="auto"/>
              <w:rPr>
                <w:rFonts w:ascii="Arial"/>
                <w:color w:val="auto"/>
                <w:sz w:val="21"/>
                <w:highlight w:val="none"/>
              </w:rPr>
            </w:pPr>
          </w:p>
          <w:p w14:paraId="2F6B7756">
            <w:pPr>
              <w:pStyle w:val="23"/>
              <w:spacing w:before="65" w:line="229" w:lineRule="auto"/>
              <w:ind w:left="222"/>
              <w:rPr>
                <w:color w:val="auto"/>
                <w:highlight w:val="none"/>
              </w:rPr>
            </w:pPr>
            <w:r>
              <w:rPr>
                <w:b/>
                <w:bCs/>
                <w:color w:val="auto"/>
                <w:spacing w:val="4"/>
                <w:highlight w:val="none"/>
              </w:rPr>
              <w:t>序号</w:t>
            </w:r>
          </w:p>
        </w:tc>
        <w:tc>
          <w:tcPr>
            <w:tcW w:w="7440" w:type="dxa"/>
            <w:gridSpan w:val="2"/>
            <w:vAlign w:val="top"/>
          </w:tcPr>
          <w:p w14:paraId="5A3A2128">
            <w:pPr>
              <w:spacing w:line="249" w:lineRule="auto"/>
              <w:rPr>
                <w:rFonts w:ascii="Arial"/>
                <w:color w:val="auto"/>
                <w:sz w:val="21"/>
                <w:highlight w:val="none"/>
              </w:rPr>
            </w:pPr>
          </w:p>
          <w:p w14:paraId="11C90CCD">
            <w:pPr>
              <w:pStyle w:val="23"/>
              <w:spacing w:before="65" w:line="228" w:lineRule="auto"/>
              <w:ind w:left="3033"/>
              <w:rPr>
                <w:color w:val="auto"/>
                <w:highlight w:val="none"/>
              </w:rPr>
            </w:pPr>
            <w:r>
              <w:rPr>
                <w:b/>
                <w:bCs/>
                <w:color w:val="auto"/>
                <w:spacing w:val="6"/>
                <w:highlight w:val="none"/>
              </w:rPr>
              <w:t>违约项目</w:t>
            </w:r>
          </w:p>
        </w:tc>
      </w:tr>
      <w:tr w14:paraId="78F78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610" w:type="dxa"/>
            <w:vMerge w:val="restart"/>
            <w:textDirection w:val="tbRlV"/>
            <w:vAlign w:val="top"/>
          </w:tcPr>
          <w:p w14:paraId="2021EA7A">
            <w:pPr>
              <w:pStyle w:val="23"/>
              <w:spacing w:before="194" w:line="216" w:lineRule="auto"/>
              <w:ind w:left="2473"/>
              <w:rPr>
                <w:color w:val="auto"/>
                <w:highlight w:val="none"/>
              </w:rPr>
            </w:pPr>
            <w:r>
              <w:rPr>
                <w:b/>
                <w:bCs/>
                <w:color w:val="auto"/>
                <w:spacing w:val="6"/>
                <w:highlight w:val="none"/>
              </w:rPr>
              <w:t>职</w:t>
            </w:r>
            <w:r>
              <w:rPr>
                <w:color w:val="auto"/>
                <w:spacing w:val="-5"/>
                <w:highlight w:val="none"/>
              </w:rPr>
              <w:t xml:space="preserve"> </w:t>
            </w:r>
            <w:r>
              <w:rPr>
                <w:b/>
                <w:bCs/>
                <w:color w:val="auto"/>
                <w:spacing w:val="6"/>
                <w:highlight w:val="none"/>
              </w:rPr>
              <w:t>业</w:t>
            </w:r>
            <w:r>
              <w:rPr>
                <w:color w:val="auto"/>
                <w:spacing w:val="-6"/>
                <w:highlight w:val="none"/>
              </w:rPr>
              <w:t xml:space="preserve"> </w:t>
            </w:r>
            <w:r>
              <w:rPr>
                <w:b/>
                <w:bCs/>
                <w:color w:val="auto"/>
                <w:spacing w:val="6"/>
                <w:highlight w:val="none"/>
              </w:rPr>
              <w:t>操</w:t>
            </w:r>
            <w:r>
              <w:rPr>
                <w:color w:val="auto"/>
                <w:spacing w:val="-9"/>
                <w:highlight w:val="none"/>
              </w:rPr>
              <w:t xml:space="preserve"> </w:t>
            </w:r>
            <w:r>
              <w:rPr>
                <w:b/>
                <w:bCs/>
                <w:color w:val="auto"/>
                <w:spacing w:val="6"/>
                <w:highlight w:val="none"/>
              </w:rPr>
              <w:t>守</w:t>
            </w:r>
          </w:p>
        </w:tc>
        <w:tc>
          <w:tcPr>
            <w:tcW w:w="845" w:type="dxa"/>
            <w:vAlign w:val="top"/>
          </w:tcPr>
          <w:p w14:paraId="2D27FA73">
            <w:pPr>
              <w:spacing w:line="243" w:lineRule="auto"/>
              <w:rPr>
                <w:rFonts w:ascii="Arial"/>
                <w:color w:val="auto"/>
                <w:sz w:val="21"/>
                <w:highlight w:val="none"/>
              </w:rPr>
            </w:pPr>
          </w:p>
          <w:p w14:paraId="36F0C154">
            <w:pPr>
              <w:spacing w:line="244" w:lineRule="auto"/>
              <w:rPr>
                <w:rFonts w:ascii="Arial"/>
                <w:color w:val="auto"/>
                <w:sz w:val="21"/>
                <w:highlight w:val="none"/>
              </w:rPr>
            </w:pPr>
          </w:p>
          <w:p w14:paraId="29986EB2">
            <w:pPr>
              <w:spacing w:line="244" w:lineRule="auto"/>
              <w:rPr>
                <w:rFonts w:ascii="Arial"/>
                <w:color w:val="auto"/>
                <w:sz w:val="21"/>
                <w:highlight w:val="none"/>
              </w:rPr>
            </w:pPr>
          </w:p>
          <w:p w14:paraId="4B53E29C">
            <w:pPr>
              <w:spacing w:before="58" w:line="195" w:lineRule="auto"/>
              <w:ind w:left="39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1</w:t>
            </w:r>
          </w:p>
        </w:tc>
        <w:tc>
          <w:tcPr>
            <w:tcW w:w="7440" w:type="dxa"/>
            <w:gridSpan w:val="2"/>
            <w:vAlign w:val="top"/>
          </w:tcPr>
          <w:p w14:paraId="2D71EA4E">
            <w:pPr>
              <w:pStyle w:val="23"/>
              <w:spacing w:before="116" w:line="279" w:lineRule="auto"/>
              <w:ind w:left="116" w:right="101" w:firstLine="2"/>
              <w:jc w:val="both"/>
              <w:rPr>
                <w:color w:val="auto"/>
                <w:highlight w:val="none"/>
              </w:rPr>
            </w:pPr>
            <w:r>
              <w:rPr>
                <w:color w:val="auto"/>
                <w:spacing w:val="12"/>
                <w:highlight w:val="none"/>
              </w:rPr>
              <w:t>监理工程师如在质量及安全管理、计量和变更设计工作中弄虚作假，包括但不仅限于存在质量不合格项目或承包人未实施的项目进入月度计量的情况，每发</w:t>
            </w:r>
            <w:r>
              <w:rPr>
                <w:color w:val="auto"/>
                <w:spacing w:val="5"/>
                <w:highlight w:val="none"/>
              </w:rPr>
              <w:t>现一次：</w:t>
            </w:r>
          </w:p>
          <w:p w14:paraId="69396814">
            <w:pPr>
              <w:pStyle w:val="23"/>
              <w:spacing w:before="2" w:line="228" w:lineRule="auto"/>
              <w:ind w:left="122"/>
              <w:rPr>
                <w:color w:val="auto"/>
                <w:highlight w:val="none"/>
              </w:rPr>
            </w:pPr>
            <w:r>
              <w:rPr>
                <w:color w:val="auto"/>
                <w:sz w:val="18"/>
                <w:szCs w:val="18"/>
                <w:highlight w:val="none"/>
              </w:rPr>
              <w:t xml:space="preserve">（1） </w:t>
            </w:r>
            <w:r>
              <w:rPr>
                <w:color w:val="auto"/>
                <w:highlight w:val="none"/>
              </w:rPr>
              <w:t>扣除监理服务费</w:t>
            </w:r>
            <w:r>
              <w:rPr>
                <w:color w:val="auto"/>
                <w:spacing w:val="-43"/>
                <w:highlight w:val="none"/>
              </w:rPr>
              <w:t xml:space="preserve"> </w:t>
            </w:r>
            <w:r>
              <w:rPr>
                <w:rFonts w:ascii="Times New Roman" w:hAnsi="Times New Roman" w:eastAsia="Times New Roman" w:cs="Times New Roman"/>
                <w:color w:val="auto"/>
                <w:highlight w:val="none"/>
                <w:u w:val="single" w:color="auto"/>
              </w:rPr>
              <w:t>5</w:t>
            </w:r>
            <w:r>
              <w:rPr>
                <w:rFonts w:ascii="Times New Roman" w:hAnsi="Times New Roman" w:eastAsia="Times New Roman" w:cs="Times New Roman"/>
                <w:color w:val="auto"/>
                <w:highlight w:val="none"/>
              </w:rPr>
              <w:t xml:space="preserve"> </w:t>
            </w:r>
            <w:r>
              <w:rPr>
                <w:color w:val="auto"/>
                <w:highlight w:val="none"/>
              </w:rPr>
              <w:t>万元，同时替换该监理工程师；</w:t>
            </w:r>
          </w:p>
          <w:p w14:paraId="57666D29">
            <w:pPr>
              <w:pStyle w:val="23"/>
              <w:spacing w:before="55" w:line="227" w:lineRule="auto"/>
              <w:ind w:left="122"/>
              <w:rPr>
                <w:color w:val="auto"/>
                <w:highlight w:val="none"/>
              </w:rPr>
            </w:pPr>
            <w:r>
              <w:rPr>
                <w:color w:val="auto"/>
                <w:spacing w:val="8"/>
                <w:sz w:val="18"/>
                <w:szCs w:val="18"/>
                <w:highlight w:val="none"/>
              </w:rPr>
              <w:t>（2）</w:t>
            </w:r>
            <w:r>
              <w:rPr>
                <w:color w:val="auto"/>
                <w:spacing w:val="-11"/>
                <w:sz w:val="18"/>
                <w:szCs w:val="18"/>
                <w:highlight w:val="none"/>
              </w:rPr>
              <w:t xml:space="preserve"> </w:t>
            </w:r>
            <w:r>
              <w:rPr>
                <w:color w:val="auto"/>
                <w:spacing w:val="8"/>
                <w:highlight w:val="none"/>
              </w:rPr>
              <w:t>如给委托人造成重大损失、情节严重的将移交司法机关处理。</w:t>
            </w:r>
          </w:p>
        </w:tc>
      </w:tr>
      <w:tr w14:paraId="2E4ED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610" w:type="dxa"/>
            <w:vMerge w:val="continue"/>
            <w:textDirection w:val="tbRlV"/>
            <w:vAlign w:val="top"/>
          </w:tcPr>
          <w:p w14:paraId="6A5672BC">
            <w:pPr>
              <w:rPr>
                <w:rFonts w:ascii="Arial"/>
                <w:color w:val="auto"/>
                <w:sz w:val="21"/>
                <w:highlight w:val="none"/>
              </w:rPr>
            </w:pPr>
          </w:p>
        </w:tc>
        <w:tc>
          <w:tcPr>
            <w:tcW w:w="845" w:type="dxa"/>
            <w:vAlign w:val="top"/>
          </w:tcPr>
          <w:p w14:paraId="79AF463E">
            <w:pPr>
              <w:spacing w:line="328" w:lineRule="auto"/>
              <w:rPr>
                <w:rFonts w:ascii="Arial"/>
                <w:color w:val="auto"/>
                <w:sz w:val="21"/>
                <w:highlight w:val="none"/>
              </w:rPr>
            </w:pPr>
          </w:p>
          <w:p w14:paraId="1F5F53B9">
            <w:pPr>
              <w:spacing w:line="328" w:lineRule="auto"/>
              <w:rPr>
                <w:rFonts w:ascii="Arial"/>
                <w:color w:val="auto"/>
                <w:sz w:val="21"/>
                <w:highlight w:val="none"/>
              </w:rPr>
            </w:pPr>
          </w:p>
          <w:p w14:paraId="13552410">
            <w:pPr>
              <w:spacing w:before="58" w:line="195" w:lineRule="auto"/>
              <w:ind w:left="37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2</w:t>
            </w:r>
          </w:p>
        </w:tc>
        <w:tc>
          <w:tcPr>
            <w:tcW w:w="7440" w:type="dxa"/>
            <w:gridSpan w:val="2"/>
            <w:vAlign w:val="top"/>
          </w:tcPr>
          <w:p w14:paraId="652A5641">
            <w:pPr>
              <w:pStyle w:val="23"/>
              <w:spacing w:before="118" w:line="280" w:lineRule="auto"/>
              <w:ind w:left="119" w:right="187" w:hanging="1"/>
              <w:rPr>
                <w:color w:val="auto"/>
                <w:highlight w:val="none"/>
              </w:rPr>
            </w:pPr>
            <w:r>
              <w:rPr>
                <w:color w:val="auto"/>
                <w:spacing w:val="10"/>
                <w:highlight w:val="none"/>
              </w:rPr>
              <w:t>监理工程师不得借职务之便违规向承包人介绍分</w:t>
            </w:r>
            <w:r>
              <w:rPr>
                <w:color w:val="auto"/>
                <w:spacing w:val="9"/>
                <w:highlight w:val="none"/>
              </w:rPr>
              <w:t>包队伍、推销原材料、介绍务</w:t>
            </w:r>
            <w:r>
              <w:rPr>
                <w:color w:val="auto"/>
                <w:spacing w:val="7"/>
                <w:highlight w:val="none"/>
              </w:rPr>
              <w:t>工人员，如有发生：</w:t>
            </w:r>
          </w:p>
          <w:p w14:paraId="1090B5CB">
            <w:pPr>
              <w:pStyle w:val="23"/>
              <w:spacing w:line="227" w:lineRule="auto"/>
              <w:ind w:left="122"/>
              <w:rPr>
                <w:color w:val="auto"/>
                <w:highlight w:val="none"/>
              </w:rPr>
            </w:pPr>
            <w:r>
              <w:rPr>
                <w:color w:val="auto"/>
                <w:spacing w:val="-2"/>
                <w:sz w:val="18"/>
                <w:szCs w:val="18"/>
                <w:highlight w:val="none"/>
              </w:rPr>
              <w:t xml:space="preserve">（1） </w:t>
            </w:r>
            <w:r>
              <w:rPr>
                <w:color w:val="auto"/>
                <w:spacing w:val="-2"/>
                <w:highlight w:val="none"/>
              </w:rPr>
              <w:t>扣除监理服务费</w:t>
            </w:r>
            <w:r>
              <w:rPr>
                <w:color w:val="auto"/>
                <w:spacing w:val="-43"/>
                <w:highlight w:val="none"/>
              </w:rPr>
              <w:t xml:space="preserve"> </w:t>
            </w:r>
            <w:r>
              <w:rPr>
                <w:rFonts w:ascii="Times New Roman" w:hAnsi="Times New Roman" w:eastAsia="Times New Roman" w:cs="Times New Roman"/>
                <w:color w:val="auto"/>
                <w:spacing w:val="-2"/>
                <w:highlight w:val="none"/>
                <w:u w:val="single" w:color="auto"/>
              </w:rPr>
              <w:t>5</w:t>
            </w:r>
            <w:r>
              <w:rPr>
                <w:rFonts w:ascii="Times New Roman" w:hAnsi="Times New Roman" w:eastAsia="Times New Roman" w:cs="Times New Roman"/>
                <w:color w:val="auto"/>
                <w:spacing w:val="-2"/>
                <w:highlight w:val="none"/>
              </w:rPr>
              <w:t xml:space="preserve"> </w:t>
            </w:r>
            <w:r>
              <w:rPr>
                <w:color w:val="auto"/>
                <w:spacing w:val="-2"/>
                <w:highlight w:val="none"/>
              </w:rPr>
              <w:t>万元；</w:t>
            </w:r>
          </w:p>
          <w:p w14:paraId="0411A4F8">
            <w:pPr>
              <w:pStyle w:val="23"/>
              <w:spacing w:before="58" w:line="227" w:lineRule="auto"/>
              <w:ind w:left="122"/>
              <w:rPr>
                <w:color w:val="auto"/>
                <w:highlight w:val="none"/>
              </w:rPr>
            </w:pPr>
            <w:r>
              <w:rPr>
                <w:color w:val="auto"/>
                <w:spacing w:val="8"/>
                <w:sz w:val="18"/>
                <w:szCs w:val="18"/>
                <w:highlight w:val="none"/>
              </w:rPr>
              <w:t>（2）</w:t>
            </w:r>
            <w:r>
              <w:rPr>
                <w:color w:val="auto"/>
                <w:spacing w:val="-7"/>
                <w:sz w:val="18"/>
                <w:szCs w:val="18"/>
                <w:highlight w:val="none"/>
              </w:rPr>
              <w:t xml:space="preserve"> </w:t>
            </w:r>
            <w:r>
              <w:rPr>
                <w:color w:val="auto"/>
                <w:spacing w:val="8"/>
                <w:highlight w:val="none"/>
              </w:rPr>
              <w:t>撤换该监理工程师并将分包队伍、材料供应商及有关人员清除出场。</w:t>
            </w:r>
          </w:p>
        </w:tc>
      </w:tr>
      <w:tr w14:paraId="176B5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8" w:hRule="atLeast"/>
        </w:trPr>
        <w:tc>
          <w:tcPr>
            <w:tcW w:w="610" w:type="dxa"/>
            <w:vMerge w:val="continue"/>
            <w:textDirection w:val="tbRlV"/>
            <w:vAlign w:val="top"/>
          </w:tcPr>
          <w:p w14:paraId="443F1FAB">
            <w:pPr>
              <w:rPr>
                <w:rFonts w:ascii="Arial"/>
                <w:color w:val="auto"/>
                <w:sz w:val="21"/>
                <w:highlight w:val="none"/>
              </w:rPr>
            </w:pPr>
          </w:p>
        </w:tc>
        <w:tc>
          <w:tcPr>
            <w:tcW w:w="845" w:type="dxa"/>
            <w:vAlign w:val="top"/>
          </w:tcPr>
          <w:p w14:paraId="2B47C8A8">
            <w:pPr>
              <w:spacing w:line="330" w:lineRule="auto"/>
              <w:rPr>
                <w:rFonts w:ascii="Arial"/>
                <w:color w:val="auto"/>
                <w:sz w:val="21"/>
                <w:highlight w:val="none"/>
              </w:rPr>
            </w:pPr>
          </w:p>
          <w:p w14:paraId="5F741B37">
            <w:pPr>
              <w:spacing w:line="330" w:lineRule="auto"/>
              <w:rPr>
                <w:rFonts w:ascii="Arial"/>
                <w:color w:val="auto"/>
                <w:sz w:val="21"/>
                <w:highlight w:val="none"/>
              </w:rPr>
            </w:pPr>
          </w:p>
          <w:p w14:paraId="7BD75CBA">
            <w:pPr>
              <w:spacing w:before="57"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w:t>
            </w:r>
          </w:p>
        </w:tc>
        <w:tc>
          <w:tcPr>
            <w:tcW w:w="7440" w:type="dxa"/>
            <w:gridSpan w:val="2"/>
            <w:vAlign w:val="top"/>
          </w:tcPr>
          <w:p w14:paraId="3E49D492">
            <w:pPr>
              <w:pStyle w:val="23"/>
              <w:spacing w:before="135" w:line="280" w:lineRule="auto"/>
              <w:ind w:left="117" w:right="91" w:firstLine="1"/>
              <w:jc w:val="both"/>
              <w:rPr>
                <w:color w:val="auto"/>
                <w:highlight w:val="none"/>
              </w:rPr>
            </w:pPr>
            <w:r>
              <w:rPr>
                <w:color w:val="auto"/>
                <w:spacing w:val="19"/>
                <w:highlight w:val="none"/>
              </w:rPr>
              <w:t>监理工程师在监理工作中发生越权审批或肢解变更</w:t>
            </w:r>
            <w:r>
              <w:rPr>
                <w:color w:val="auto"/>
                <w:spacing w:val="18"/>
                <w:highlight w:val="none"/>
              </w:rPr>
              <w:t>项目、变相越权审批等行</w:t>
            </w:r>
            <w:r>
              <w:rPr>
                <w:color w:val="auto"/>
                <w:spacing w:val="6"/>
                <w:highlight w:val="none"/>
              </w:rPr>
              <w:t>为，每次处以</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w:t>
            </w:r>
            <w:r>
              <w:rPr>
                <w:rFonts w:ascii="Times New Roman" w:hAnsi="Times New Roman" w:eastAsia="Times New Roman" w:cs="Times New Roman"/>
                <w:color w:val="auto"/>
                <w:spacing w:val="6"/>
                <w:highlight w:val="none"/>
              </w:rPr>
              <w:t xml:space="preserve"> </w:t>
            </w:r>
            <w:r>
              <w:rPr>
                <w:color w:val="auto"/>
                <w:spacing w:val="6"/>
                <w:highlight w:val="none"/>
              </w:rPr>
              <w:t>万元的违约金，情节特别严重的处以</w:t>
            </w:r>
            <w:r>
              <w:rPr>
                <w:color w:val="auto"/>
                <w:spacing w:val="-50"/>
                <w:highlight w:val="none"/>
              </w:rPr>
              <w:t xml:space="preserve"> </w:t>
            </w:r>
            <w:r>
              <w:rPr>
                <w:rFonts w:ascii="Times New Roman" w:hAnsi="Times New Roman" w:eastAsia="Times New Roman" w:cs="Times New Roman"/>
                <w:color w:val="auto"/>
                <w:spacing w:val="6"/>
                <w:highlight w:val="none"/>
                <w:u w:val="single" w:color="auto"/>
              </w:rPr>
              <w:t>3</w:t>
            </w:r>
            <w:r>
              <w:rPr>
                <w:rFonts w:ascii="Times New Roman" w:hAnsi="Times New Roman" w:eastAsia="Times New Roman" w:cs="Times New Roman"/>
                <w:color w:val="auto"/>
                <w:spacing w:val="6"/>
                <w:highlight w:val="none"/>
              </w:rPr>
              <w:t xml:space="preserve"> </w:t>
            </w:r>
            <w:r>
              <w:rPr>
                <w:color w:val="auto"/>
                <w:spacing w:val="5"/>
                <w:highlight w:val="none"/>
              </w:rPr>
              <w:t>万元的违约金，给委托人</w:t>
            </w:r>
            <w:r>
              <w:rPr>
                <w:color w:val="auto"/>
                <w:spacing w:val="4"/>
                <w:highlight w:val="none"/>
              </w:rPr>
              <w:t>造成经济损失的，监理人应以损失额的</w:t>
            </w:r>
            <w:r>
              <w:rPr>
                <w:color w:val="auto"/>
                <w:spacing w:val="-40"/>
                <w:highlight w:val="none"/>
              </w:rPr>
              <w:t xml:space="preserve"> </w:t>
            </w:r>
            <w:r>
              <w:rPr>
                <w:rFonts w:ascii="Times New Roman" w:hAnsi="Times New Roman" w:eastAsia="Times New Roman" w:cs="Times New Roman"/>
                <w:color w:val="auto"/>
                <w:spacing w:val="4"/>
                <w:highlight w:val="none"/>
                <w:u w:val="single" w:color="auto"/>
              </w:rPr>
              <w:t>30</w:t>
            </w:r>
            <w:r>
              <w:rPr>
                <w:rFonts w:ascii="Calibri" w:hAnsi="Calibri" w:eastAsia="Calibri" w:cs="Calibri"/>
                <w:color w:val="auto"/>
                <w:spacing w:val="4"/>
                <w:highlight w:val="none"/>
              </w:rPr>
              <w:t>%</w:t>
            </w:r>
            <w:r>
              <w:rPr>
                <w:color w:val="auto"/>
                <w:spacing w:val="4"/>
                <w:highlight w:val="none"/>
              </w:rPr>
              <w:t>（在合同条款</w:t>
            </w:r>
            <w:r>
              <w:rPr>
                <w:color w:val="auto"/>
                <w:spacing w:val="-35"/>
                <w:highlight w:val="none"/>
              </w:rPr>
              <w:t xml:space="preserve"> </w:t>
            </w:r>
            <w:r>
              <w:rPr>
                <w:rFonts w:ascii="Times New Roman" w:hAnsi="Times New Roman" w:eastAsia="Times New Roman" w:cs="Times New Roman"/>
                <w:color w:val="auto"/>
                <w:spacing w:val="4"/>
                <w:highlight w:val="none"/>
              </w:rPr>
              <w:t>11</w:t>
            </w:r>
            <w:r>
              <w:rPr>
                <w:rFonts w:ascii="Calibri" w:hAnsi="Calibri" w:eastAsia="Calibri" w:cs="Calibri"/>
                <w:color w:val="auto"/>
                <w:spacing w:val="4"/>
                <w:highlight w:val="none"/>
              </w:rPr>
              <w:t>.</w:t>
            </w:r>
            <w:r>
              <w:rPr>
                <w:rFonts w:ascii="Times New Roman" w:hAnsi="Times New Roman" w:eastAsia="Times New Roman" w:cs="Times New Roman"/>
                <w:color w:val="auto"/>
                <w:spacing w:val="4"/>
                <w:highlight w:val="none"/>
              </w:rPr>
              <w:t xml:space="preserve">5 </w:t>
            </w:r>
            <w:r>
              <w:rPr>
                <w:color w:val="auto"/>
                <w:spacing w:val="4"/>
                <w:highlight w:val="none"/>
              </w:rPr>
              <w:t>款规定的赔偿限额</w:t>
            </w:r>
            <w:r>
              <w:rPr>
                <w:color w:val="auto"/>
                <w:spacing w:val="1"/>
                <w:highlight w:val="none"/>
              </w:rPr>
              <w:t>内）赔付给委托人，同</w:t>
            </w:r>
            <w:r>
              <w:rPr>
                <w:color w:val="auto"/>
                <w:spacing w:val="-48"/>
                <w:highlight w:val="none"/>
              </w:rPr>
              <w:t xml:space="preserve"> </w:t>
            </w:r>
            <w:r>
              <w:rPr>
                <w:color w:val="auto"/>
                <w:spacing w:val="1"/>
                <w:highlight w:val="none"/>
              </w:rPr>
              <w:t>时该人员必须被撤换。</w:t>
            </w:r>
          </w:p>
        </w:tc>
      </w:tr>
      <w:tr w14:paraId="2DB5B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10" w:type="dxa"/>
            <w:vMerge w:val="continue"/>
            <w:textDirection w:val="tbRlV"/>
            <w:vAlign w:val="top"/>
          </w:tcPr>
          <w:p w14:paraId="67D267F9">
            <w:pPr>
              <w:rPr>
                <w:rFonts w:ascii="Arial"/>
                <w:color w:val="auto"/>
                <w:sz w:val="21"/>
                <w:highlight w:val="none"/>
              </w:rPr>
            </w:pPr>
          </w:p>
        </w:tc>
        <w:tc>
          <w:tcPr>
            <w:tcW w:w="845" w:type="dxa"/>
            <w:vAlign w:val="top"/>
          </w:tcPr>
          <w:p w14:paraId="212FDC41">
            <w:pPr>
              <w:spacing w:line="278" w:lineRule="auto"/>
              <w:rPr>
                <w:rFonts w:ascii="Arial"/>
                <w:color w:val="auto"/>
                <w:sz w:val="21"/>
                <w:highlight w:val="none"/>
              </w:rPr>
            </w:pPr>
          </w:p>
          <w:p w14:paraId="0086EF11">
            <w:pPr>
              <w:spacing w:line="279" w:lineRule="auto"/>
              <w:rPr>
                <w:rFonts w:ascii="Arial"/>
                <w:color w:val="auto"/>
                <w:sz w:val="21"/>
                <w:highlight w:val="none"/>
              </w:rPr>
            </w:pPr>
          </w:p>
          <w:p w14:paraId="14583FAF">
            <w:pPr>
              <w:spacing w:before="58" w:line="195" w:lineRule="auto"/>
              <w:ind w:left="37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4</w:t>
            </w:r>
          </w:p>
        </w:tc>
        <w:tc>
          <w:tcPr>
            <w:tcW w:w="7440" w:type="dxa"/>
            <w:gridSpan w:val="2"/>
            <w:vAlign w:val="top"/>
          </w:tcPr>
          <w:p w14:paraId="7DA16BA7">
            <w:pPr>
              <w:pStyle w:val="23"/>
              <w:spacing w:before="35" w:line="227" w:lineRule="auto"/>
              <w:ind w:left="121"/>
              <w:rPr>
                <w:color w:val="auto"/>
                <w:highlight w:val="none"/>
              </w:rPr>
            </w:pPr>
            <w:r>
              <w:rPr>
                <w:color w:val="auto"/>
                <w:spacing w:val="9"/>
                <w:highlight w:val="none"/>
              </w:rPr>
              <w:t>如发现监理人的投标文件中所报业绩资料有弄虚作假的：</w:t>
            </w:r>
          </w:p>
          <w:p w14:paraId="75AD6351">
            <w:pPr>
              <w:pStyle w:val="23"/>
              <w:spacing w:before="53" w:line="228" w:lineRule="auto"/>
              <w:ind w:left="128"/>
              <w:rPr>
                <w:color w:val="auto"/>
                <w:highlight w:val="none"/>
              </w:rPr>
            </w:pPr>
            <w:r>
              <w:rPr>
                <w:color w:val="auto"/>
                <w:spacing w:val="7"/>
                <w:highlight w:val="none"/>
              </w:rPr>
              <w:t>（</w:t>
            </w:r>
            <w:r>
              <w:rPr>
                <w:rFonts w:ascii="Times New Roman" w:hAnsi="Times New Roman" w:eastAsia="Times New Roman" w:cs="Times New Roman"/>
                <w:color w:val="auto"/>
                <w:spacing w:val="7"/>
                <w:highlight w:val="none"/>
              </w:rPr>
              <w:t>1</w:t>
            </w:r>
            <w:r>
              <w:rPr>
                <w:color w:val="auto"/>
                <w:spacing w:val="7"/>
                <w:highlight w:val="none"/>
              </w:rPr>
              <w:t>）发现一项处以监理服务费</w:t>
            </w:r>
            <w:r>
              <w:rPr>
                <w:rFonts w:ascii="Times New Roman" w:hAnsi="Times New Roman" w:eastAsia="Times New Roman" w:cs="Times New Roman"/>
                <w:color w:val="auto"/>
                <w:spacing w:val="7"/>
                <w:highlight w:val="none"/>
                <w:u w:val="single" w:color="auto"/>
              </w:rPr>
              <w:t xml:space="preserve"> 5 </w:t>
            </w:r>
            <w:r>
              <w:rPr>
                <w:color w:val="auto"/>
                <w:spacing w:val="7"/>
                <w:highlight w:val="none"/>
              </w:rPr>
              <w:t>万元的违约金；</w:t>
            </w:r>
          </w:p>
          <w:p w14:paraId="68C907DA">
            <w:pPr>
              <w:pStyle w:val="23"/>
              <w:spacing w:before="55" w:line="254" w:lineRule="auto"/>
              <w:ind w:left="118" w:right="98" w:firstLine="9"/>
              <w:rPr>
                <w:color w:val="auto"/>
                <w:highlight w:val="none"/>
              </w:rPr>
            </w:pPr>
            <w:r>
              <w:rPr>
                <w:color w:val="auto"/>
                <w:spacing w:val="15"/>
                <w:highlight w:val="none"/>
              </w:rPr>
              <w:t>（</w:t>
            </w:r>
            <w:r>
              <w:rPr>
                <w:rFonts w:ascii="Times New Roman" w:hAnsi="Times New Roman" w:eastAsia="Times New Roman" w:cs="Times New Roman"/>
                <w:color w:val="auto"/>
                <w:spacing w:val="15"/>
                <w:highlight w:val="none"/>
              </w:rPr>
              <w:t>2</w:t>
            </w:r>
            <w:r>
              <w:rPr>
                <w:color w:val="auto"/>
                <w:spacing w:val="15"/>
                <w:highlight w:val="none"/>
              </w:rPr>
              <w:t>）情况恶劣的，委托人有权单方面终止监理合同，并没收监理人的</w:t>
            </w:r>
            <w:r>
              <w:rPr>
                <w:color w:val="auto"/>
                <w:spacing w:val="14"/>
                <w:highlight w:val="none"/>
              </w:rPr>
              <w:t>履约担</w:t>
            </w:r>
            <w:r>
              <w:rPr>
                <w:color w:val="auto"/>
                <w:spacing w:val="2"/>
                <w:highlight w:val="none"/>
              </w:rPr>
              <w:t>保金。</w:t>
            </w:r>
          </w:p>
        </w:tc>
      </w:tr>
      <w:tr w14:paraId="141AA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610" w:type="dxa"/>
            <w:vMerge w:val="continue"/>
            <w:textDirection w:val="tbRlV"/>
            <w:vAlign w:val="top"/>
          </w:tcPr>
          <w:p w14:paraId="4A50BC0C">
            <w:pPr>
              <w:rPr>
                <w:rFonts w:ascii="Arial"/>
                <w:color w:val="auto"/>
                <w:sz w:val="21"/>
                <w:highlight w:val="none"/>
              </w:rPr>
            </w:pPr>
          </w:p>
        </w:tc>
        <w:tc>
          <w:tcPr>
            <w:tcW w:w="845" w:type="dxa"/>
            <w:vAlign w:val="top"/>
          </w:tcPr>
          <w:p w14:paraId="5017AD3F">
            <w:pPr>
              <w:spacing w:line="386" w:lineRule="auto"/>
              <w:rPr>
                <w:rFonts w:ascii="Arial"/>
                <w:color w:val="auto"/>
                <w:sz w:val="21"/>
                <w:highlight w:val="none"/>
              </w:rPr>
            </w:pPr>
          </w:p>
          <w:p w14:paraId="045FA483">
            <w:pPr>
              <w:spacing w:before="57" w:line="192" w:lineRule="auto"/>
              <w:ind w:left="38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w:t>
            </w:r>
          </w:p>
        </w:tc>
        <w:tc>
          <w:tcPr>
            <w:tcW w:w="7440" w:type="dxa"/>
            <w:gridSpan w:val="2"/>
            <w:vAlign w:val="top"/>
          </w:tcPr>
          <w:p w14:paraId="1D43A369">
            <w:pPr>
              <w:pStyle w:val="23"/>
              <w:spacing w:before="138" w:line="227" w:lineRule="auto"/>
              <w:ind w:left="120"/>
              <w:rPr>
                <w:color w:val="auto"/>
                <w:highlight w:val="none"/>
              </w:rPr>
            </w:pPr>
            <w:r>
              <w:rPr>
                <w:color w:val="auto"/>
                <w:spacing w:val="9"/>
                <w:highlight w:val="none"/>
              </w:rPr>
              <w:t>投标文件中所报主要监理人员中的工作经历或证件有弄虚作假的：</w:t>
            </w:r>
          </w:p>
          <w:p w14:paraId="47D252DC">
            <w:pPr>
              <w:pStyle w:val="23"/>
              <w:spacing w:before="56" w:line="228" w:lineRule="auto"/>
              <w:ind w:left="122"/>
              <w:rPr>
                <w:color w:val="auto"/>
                <w:highlight w:val="none"/>
              </w:rPr>
            </w:pPr>
            <w:r>
              <w:rPr>
                <w:color w:val="auto"/>
                <w:spacing w:val="1"/>
                <w:sz w:val="18"/>
                <w:szCs w:val="18"/>
                <w:highlight w:val="none"/>
              </w:rPr>
              <w:t xml:space="preserve">（1） </w:t>
            </w:r>
            <w:r>
              <w:rPr>
                <w:color w:val="auto"/>
                <w:spacing w:val="1"/>
                <w:highlight w:val="none"/>
              </w:rPr>
              <w:t>发现一人处以监理服务费</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1"/>
                <w:highlight w:val="none"/>
                <w:u w:val="single" w:color="auto"/>
              </w:rPr>
              <w:t>1</w:t>
            </w:r>
            <w:r>
              <w:rPr>
                <w:rFonts w:ascii="Times New Roman" w:hAnsi="Times New Roman" w:eastAsia="Times New Roman" w:cs="Times New Roman"/>
                <w:color w:val="auto"/>
                <w:spacing w:val="1"/>
                <w:highlight w:val="none"/>
              </w:rPr>
              <w:t xml:space="preserve"> </w:t>
            </w:r>
            <w:r>
              <w:rPr>
                <w:color w:val="auto"/>
                <w:spacing w:val="1"/>
                <w:highlight w:val="none"/>
              </w:rPr>
              <w:t>万元</w:t>
            </w:r>
            <w:r>
              <w:rPr>
                <w:color w:val="auto"/>
                <w:highlight w:val="none"/>
              </w:rPr>
              <w:t>的违约金；</w:t>
            </w:r>
          </w:p>
          <w:p w14:paraId="24F47B40">
            <w:pPr>
              <w:pStyle w:val="23"/>
              <w:spacing w:before="55" w:line="228" w:lineRule="auto"/>
              <w:ind w:left="122"/>
              <w:rPr>
                <w:color w:val="auto"/>
                <w:highlight w:val="none"/>
              </w:rPr>
            </w:pPr>
            <w:r>
              <w:rPr>
                <w:color w:val="auto"/>
                <w:spacing w:val="2"/>
                <w:sz w:val="18"/>
                <w:szCs w:val="18"/>
                <w:highlight w:val="none"/>
              </w:rPr>
              <w:t xml:space="preserve">（2） </w:t>
            </w:r>
            <w:r>
              <w:rPr>
                <w:color w:val="auto"/>
                <w:spacing w:val="2"/>
                <w:highlight w:val="none"/>
              </w:rPr>
              <w:t>情节恶劣的，委托人有权要求更换该人员。</w:t>
            </w:r>
          </w:p>
        </w:tc>
      </w:tr>
      <w:tr w14:paraId="6576F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1" w:hRule="atLeast"/>
        </w:trPr>
        <w:tc>
          <w:tcPr>
            <w:tcW w:w="610" w:type="dxa"/>
            <w:vMerge w:val="continue"/>
            <w:vAlign w:val="top"/>
          </w:tcPr>
          <w:p w14:paraId="4CA6BFBB">
            <w:pPr>
              <w:rPr>
                <w:rFonts w:ascii="Arial"/>
                <w:color w:val="auto"/>
                <w:sz w:val="21"/>
                <w:highlight w:val="none"/>
              </w:rPr>
            </w:pPr>
          </w:p>
        </w:tc>
        <w:tc>
          <w:tcPr>
            <w:tcW w:w="845" w:type="dxa"/>
            <w:vAlign w:val="top"/>
          </w:tcPr>
          <w:p w14:paraId="289B8D1A">
            <w:pPr>
              <w:spacing w:line="245" w:lineRule="auto"/>
              <w:rPr>
                <w:rFonts w:ascii="Arial"/>
                <w:color w:val="auto"/>
                <w:sz w:val="21"/>
                <w:highlight w:val="none"/>
              </w:rPr>
            </w:pPr>
          </w:p>
          <w:p w14:paraId="65FB922A">
            <w:pPr>
              <w:spacing w:line="245" w:lineRule="auto"/>
              <w:rPr>
                <w:rFonts w:ascii="Arial"/>
                <w:color w:val="auto"/>
                <w:sz w:val="21"/>
                <w:highlight w:val="none"/>
              </w:rPr>
            </w:pPr>
          </w:p>
          <w:p w14:paraId="24BF2AB4">
            <w:pPr>
              <w:spacing w:line="245" w:lineRule="auto"/>
              <w:rPr>
                <w:rFonts w:ascii="Arial"/>
                <w:color w:val="auto"/>
                <w:sz w:val="21"/>
                <w:highlight w:val="none"/>
              </w:rPr>
            </w:pPr>
          </w:p>
          <w:p w14:paraId="2AB1DADD">
            <w:pPr>
              <w:spacing w:before="57"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6</w:t>
            </w:r>
          </w:p>
        </w:tc>
        <w:tc>
          <w:tcPr>
            <w:tcW w:w="7440" w:type="dxa"/>
            <w:gridSpan w:val="2"/>
            <w:vAlign w:val="top"/>
          </w:tcPr>
          <w:p w14:paraId="271D8303">
            <w:pPr>
              <w:pStyle w:val="23"/>
              <w:spacing w:before="190" w:line="279" w:lineRule="auto"/>
              <w:ind w:left="117" w:right="177" w:firstLine="2"/>
              <w:rPr>
                <w:color w:val="auto"/>
                <w:highlight w:val="none"/>
              </w:rPr>
            </w:pPr>
            <w:r>
              <w:rPr>
                <w:color w:val="auto"/>
                <w:spacing w:val="7"/>
                <w:highlight w:val="none"/>
              </w:rPr>
              <w:t>投标时列报的人员不能满足</w:t>
            </w:r>
            <w:r>
              <w:rPr>
                <w:color w:val="auto"/>
                <w:spacing w:val="-33"/>
                <w:highlight w:val="none"/>
              </w:rPr>
              <w:t xml:space="preserve"> </w:t>
            </w:r>
            <w:r>
              <w:rPr>
                <w:rFonts w:ascii="Times New Roman" w:hAnsi="Times New Roman" w:eastAsia="Times New Roman" w:cs="Times New Roman"/>
                <w:color w:val="auto"/>
                <w:spacing w:val="7"/>
                <w:highlight w:val="none"/>
              </w:rPr>
              <w:t>5</w:t>
            </w:r>
            <w:r>
              <w:rPr>
                <w:rFonts w:ascii="Times New Roman" w:hAnsi="Times New Roman" w:eastAsia="Times New Roman" w:cs="Times New Roman"/>
                <w:color w:val="auto"/>
                <w:spacing w:val="7"/>
                <w:highlight w:val="none"/>
                <w:u w:val="single" w:color="auto"/>
              </w:rPr>
              <w:t>0</w:t>
            </w:r>
            <w:r>
              <w:rPr>
                <w:rFonts w:ascii="Calibri" w:hAnsi="Calibri" w:eastAsia="Calibri" w:cs="Calibri"/>
                <w:color w:val="auto"/>
                <w:spacing w:val="7"/>
                <w:highlight w:val="none"/>
              </w:rPr>
              <w:t>%</w:t>
            </w:r>
            <w:r>
              <w:rPr>
                <w:color w:val="auto"/>
                <w:spacing w:val="7"/>
                <w:highlight w:val="none"/>
              </w:rPr>
              <w:t>为本单位自有人员的（</w:t>
            </w:r>
            <w:r>
              <w:rPr>
                <w:color w:val="auto"/>
                <w:spacing w:val="-20"/>
                <w:highlight w:val="none"/>
              </w:rPr>
              <w:t xml:space="preserve"> </w:t>
            </w:r>
            <w:r>
              <w:rPr>
                <w:color w:val="auto"/>
                <w:spacing w:val="7"/>
                <w:highlight w:val="none"/>
              </w:rPr>
              <w:t>自有人员是指为监理人</w:t>
            </w:r>
            <w:r>
              <w:rPr>
                <w:color w:val="auto"/>
                <w:spacing w:val="4"/>
                <w:highlight w:val="none"/>
              </w:rPr>
              <w:t>服务年限不少于</w:t>
            </w:r>
            <w:r>
              <w:rPr>
                <w:color w:val="auto"/>
                <w:spacing w:val="-48"/>
                <w:highlight w:val="none"/>
              </w:rPr>
              <w:t xml:space="preserve"> </w:t>
            </w:r>
            <w:r>
              <w:rPr>
                <w:rFonts w:ascii="Times New Roman" w:hAnsi="Times New Roman" w:eastAsia="Times New Roman" w:cs="Times New Roman"/>
                <w:color w:val="auto"/>
                <w:spacing w:val="4"/>
                <w:highlight w:val="none"/>
              </w:rPr>
              <w:t xml:space="preserve">3 </w:t>
            </w:r>
            <w:r>
              <w:rPr>
                <w:color w:val="auto"/>
                <w:spacing w:val="4"/>
                <w:highlight w:val="none"/>
              </w:rPr>
              <w:t>年的人员</w:t>
            </w:r>
            <w:r>
              <w:rPr>
                <w:color w:val="auto"/>
                <w:spacing w:val="17"/>
                <w:highlight w:val="none"/>
              </w:rPr>
              <w:t>），</w:t>
            </w:r>
            <w:r>
              <w:rPr>
                <w:color w:val="auto"/>
                <w:spacing w:val="4"/>
                <w:highlight w:val="none"/>
              </w:rPr>
              <w:t>按下列条款处理：</w:t>
            </w:r>
          </w:p>
          <w:p w14:paraId="3E0EA25E">
            <w:pPr>
              <w:pStyle w:val="23"/>
              <w:spacing w:line="228" w:lineRule="auto"/>
              <w:ind w:left="122"/>
              <w:rPr>
                <w:color w:val="auto"/>
                <w:highlight w:val="none"/>
              </w:rPr>
            </w:pPr>
            <w:r>
              <w:rPr>
                <w:color w:val="auto"/>
                <w:spacing w:val="-1"/>
                <w:sz w:val="18"/>
                <w:szCs w:val="18"/>
                <w:highlight w:val="none"/>
              </w:rPr>
              <w:t xml:space="preserve">（1） </w:t>
            </w:r>
            <w:r>
              <w:rPr>
                <w:color w:val="auto"/>
                <w:spacing w:val="-1"/>
                <w:highlight w:val="none"/>
              </w:rPr>
              <w:t>处以</w:t>
            </w:r>
            <w:r>
              <w:rPr>
                <w:rFonts w:ascii="Times New Roman" w:hAnsi="Times New Roman" w:eastAsia="Times New Roman" w:cs="Times New Roman"/>
                <w:color w:val="auto"/>
                <w:spacing w:val="-1"/>
                <w:highlight w:val="none"/>
                <w:u w:val="single" w:color="auto"/>
              </w:rPr>
              <w:t>5</w:t>
            </w:r>
            <w:r>
              <w:rPr>
                <w:rFonts w:ascii="Times New Roman" w:hAnsi="Times New Roman" w:eastAsia="Times New Roman" w:cs="Times New Roman"/>
                <w:color w:val="auto"/>
                <w:spacing w:val="-1"/>
                <w:highlight w:val="none"/>
              </w:rPr>
              <w:t xml:space="preserve"> </w:t>
            </w:r>
            <w:r>
              <w:rPr>
                <w:color w:val="auto"/>
                <w:spacing w:val="-1"/>
                <w:highlight w:val="none"/>
              </w:rPr>
              <w:t>万元的违约金；</w:t>
            </w:r>
          </w:p>
          <w:p w14:paraId="6C7266F8">
            <w:pPr>
              <w:pStyle w:val="23"/>
              <w:spacing w:before="22" w:line="284" w:lineRule="auto"/>
              <w:ind w:left="109" w:right="317" w:firstLine="12"/>
              <w:rPr>
                <w:color w:val="auto"/>
                <w:highlight w:val="none"/>
              </w:rPr>
            </w:pPr>
            <w:r>
              <w:rPr>
                <w:color w:val="auto"/>
                <w:spacing w:val="6"/>
                <w:sz w:val="18"/>
                <w:szCs w:val="18"/>
                <w:highlight w:val="none"/>
              </w:rPr>
              <w:t xml:space="preserve">（2） </w:t>
            </w:r>
            <w:r>
              <w:rPr>
                <w:color w:val="auto"/>
                <w:spacing w:val="6"/>
                <w:highlight w:val="none"/>
              </w:rPr>
              <w:t>同时须按要求补足至最低限度要求，如不执行，委托人将处以</w:t>
            </w:r>
            <w:r>
              <w:rPr>
                <w:color w:val="auto"/>
                <w:spacing w:val="-46"/>
                <w:highlight w:val="none"/>
              </w:rPr>
              <w:t xml:space="preserve"> </w:t>
            </w:r>
            <w:r>
              <w:rPr>
                <w:rFonts w:ascii="Times New Roman" w:hAnsi="Times New Roman" w:eastAsia="Times New Roman" w:cs="Times New Roman"/>
                <w:color w:val="auto"/>
                <w:spacing w:val="6"/>
                <w:highlight w:val="none"/>
                <w:u w:val="single" w:color="auto"/>
              </w:rPr>
              <w:t>500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r>
              <w:rPr>
                <w:rFonts w:ascii="Calibri" w:hAnsi="Calibri" w:eastAsia="Calibri" w:cs="Calibri"/>
                <w:color w:val="auto"/>
                <w:spacing w:val="9"/>
                <w:highlight w:val="none"/>
              </w:rPr>
              <w:t>/</w:t>
            </w:r>
            <w:r>
              <w:rPr>
                <w:color w:val="auto"/>
                <w:spacing w:val="9"/>
                <w:highlight w:val="none"/>
              </w:rPr>
              <w:t>人的违约金直至监理人纠正至满足要求为止。</w:t>
            </w:r>
          </w:p>
        </w:tc>
      </w:tr>
      <w:tr w14:paraId="5B43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vAlign w:val="top"/>
          </w:tcPr>
          <w:p w14:paraId="4D5D2555">
            <w:pPr>
              <w:rPr>
                <w:rFonts w:ascii="Arial"/>
                <w:color w:val="auto"/>
                <w:sz w:val="21"/>
                <w:highlight w:val="none"/>
              </w:rPr>
            </w:pPr>
          </w:p>
        </w:tc>
        <w:tc>
          <w:tcPr>
            <w:tcW w:w="845" w:type="dxa"/>
            <w:vAlign w:val="top"/>
          </w:tcPr>
          <w:p w14:paraId="5DED0895">
            <w:pPr>
              <w:spacing w:line="260" w:lineRule="auto"/>
              <w:rPr>
                <w:rFonts w:ascii="Arial"/>
                <w:color w:val="auto"/>
                <w:sz w:val="21"/>
                <w:highlight w:val="none"/>
              </w:rPr>
            </w:pPr>
          </w:p>
          <w:p w14:paraId="29E0B99D">
            <w:pPr>
              <w:spacing w:before="58" w:line="192"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440" w:type="dxa"/>
            <w:gridSpan w:val="2"/>
            <w:vAlign w:val="top"/>
          </w:tcPr>
          <w:p w14:paraId="22AB9DD2">
            <w:pPr>
              <w:pStyle w:val="23"/>
              <w:spacing w:before="130" w:line="267" w:lineRule="auto"/>
              <w:ind w:left="120" w:right="187" w:hanging="2"/>
              <w:rPr>
                <w:color w:val="auto"/>
                <w:highlight w:val="none"/>
              </w:rPr>
            </w:pPr>
            <w:r>
              <w:rPr>
                <w:color w:val="auto"/>
                <w:spacing w:val="10"/>
                <w:highlight w:val="none"/>
              </w:rPr>
              <w:t>监理人或监理人员不得以任何名义向承包人索要</w:t>
            </w:r>
            <w:r>
              <w:rPr>
                <w:color w:val="auto"/>
                <w:spacing w:val="9"/>
                <w:highlight w:val="none"/>
              </w:rPr>
              <w:t>各种费用、物品或器具等，每</w:t>
            </w:r>
            <w:r>
              <w:rPr>
                <w:color w:val="auto"/>
                <w:spacing w:val="7"/>
                <w:highlight w:val="none"/>
              </w:rPr>
              <w:t>发现一次处以监理服务费</w:t>
            </w:r>
            <w:r>
              <w:rPr>
                <w:color w:val="auto"/>
                <w:spacing w:val="-42"/>
                <w:highlight w:val="none"/>
              </w:rPr>
              <w:t xml:space="preserve"> </w:t>
            </w:r>
            <w:r>
              <w:rPr>
                <w:rFonts w:ascii="Times New Roman" w:hAnsi="Times New Roman" w:eastAsia="Times New Roman" w:cs="Times New Roman"/>
                <w:color w:val="auto"/>
                <w:spacing w:val="-24"/>
                <w:highlight w:val="none"/>
                <w:u w:val="single" w:color="auto"/>
              </w:rPr>
              <w:t xml:space="preserve"> </w:t>
            </w:r>
            <w:r>
              <w:rPr>
                <w:rFonts w:ascii="Times New Roman" w:hAnsi="Times New Roman" w:eastAsia="Times New Roman" w:cs="Times New Roman"/>
                <w:color w:val="auto"/>
                <w:spacing w:val="7"/>
                <w:highlight w:val="none"/>
                <w:u w:val="single" w:color="auto"/>
              </w:rPr>
              <w:t>10</w:t>
            </w:r>
            <w:r>
              <w:rPr>
                <w:rFonts w:ascii="Times New Roman" w:hAnsi="Times New Roman" w:eastAsia="Times New Roman" w:cs="Times New Roman"/>
                <w:color w:val="auto"/>
                <w:spacing w:val="7"/>
                <w:highlight w:val="none"/>
              </w:rPr>
              <w:t xml:space="preserve"> </w:t>
            </w:r>
            <w:r>
              <w:rPr>
                <w:color w:val="auto"/>
                <w:spacing w:val="7"/>
                <w:highlight w:val="none"/>
              </w:rPr>
              <w:t>万元的违约金，并撤换该人员。</w:t>
            </w:r>
          </w:p>
        </w:tc>
      </w:tr>
      <w:tr w14:paraId="219EE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10" w:type="dxa"/>
            <w:vMerge w:val="continue"/>
            <w:vAlign w:val="top"/>
          </w:tcPr>
          <w:p w14:paraId="15DA0C27">
            <w:pPr>
              <w:rPr>
                <w:rFonts w:ascii="Arial"/>
                <w:color w:val="auto"/>
                <w:sz w:val="21"/>
                <w:highlight w:val="none"/>
              </w:rPr>
            </w:pPr>
          </w:p>
        </w:tc>
        <w:tc>
          <w:tcPr>
            <w:tcW w:w="845" w:type="dxa"/>
            <w:vAlign w:val="top"/>
          </w:tcPr>
          <w:p w14:paraId="2E234F5B">
            <w:pPr>
              <w:spacing w:line="256" w:lineRule="auto"/>
              <w:rPr>
                <w:rFonts w:ascii="Arial"/>
                <w:color w:val="auto"/>
                <w:sz w:val="21"/>
                <w:highlight w:val="none"/>
              </w:rPr>
            </w:pPr>
          </w:p>
          <w:p w14:paraId="40A4F087">
            <w:pPr>
              <w:spacing w:before="57" w:line="195" w:lineRule="auto"/>
              <w:ind w:left="38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440" w:type="dxa"/>
            <w:gridSpan w:val="2"/>
            <w:vAlign w:val="top"/>
          </w:tcPr>
          <w:p w14:paraId="34AC0328">
            <w:pPr>
              <w:pStyle w:val="23"/>
              <w:spacing w:before="129" w:line="267" w:lineRule="auto"/>
              <w:ind w:left="117" w:right="187" w:firstLine="1"/>
              <w:rPr>
                <w:color w:val="auto"/>
                <w:highlight w:val="none"/>
              </w:rPr>
            </w:pPr>
            <w:r>
              <w:rPr>
                <w:color w:val="auto"/>
                <w:spacing w:val="10"/>
                <w:highlight w:val="none"/>
              </w:rPr>
              <w:t>监理人违反监理合同的规定，将监理服务的任何</w:t>
            </w:r>
            <w:r>
              <w:rPr>
                <w:color w:val="auto"/>
                <w:spacing w:val="9"/>
                <w:highlight w:val="none"/>
              </w:rPr>
              <w:t>部分转让或分包的，委托人有权单方面终止监理合同，并没收监理人的履约担保金。</w:t>
            </w:r>
          </w:p>
        </w:tc>
      </w:tr>
      <w:tr w14:paraId="22912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610" w:type="dxa"/>
            <w:vMerge w:val="continue"/>
            <w:vAlign w:val="top"/>
          </w:tcPr>
          <w:p w14:paraId="0453D9B1">
            <w:pPr>
              <w:rPr>
                <w:rFonts w:ascii="Arial"/>
                <w:color w:val="auto"/>
                <w:sz w:val="21"/>
                <w:highlight w:val="none"/>
              </w:rPr>
            </w:pPr>
          </w:p>
        </w:tc>
        <w:tc>
          <w:tcPr>
            <w:tcW w:w="845" w:type="dxa"/>
            <w:vAlign w:val="top"/>
          </w:tcPr>
          <w:p w14:paraId="39B6FF24">
            <w:pPr>
              <w:spacing w:before="216"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440" w:type="dxa"/>
            <w:gridSpan w:val="2"/>
            <w:vAlign w:val="top"/>
          </w:tcPr>
          <w:p w14:paraId="4F0F7A32">
            <w:pPr>
              <w:pStyle w:val="23"/>
              <w:spacing w:before="118" w:line="279" w:lineRule="auto"/>
              <w:ind w:left="134" w:right="187" w:hanging="16"/>
              <w:rPr>
                <w:color w:val="auto"/>
                <w:highlight w:val="none"/>
              </w:rPr>
            </w:pPr>
            <w:r>
              <w:rPr>
                <w:color w:val="auto"/>
                <w:spacing w:val="10"/>
                <w:highlight w:val="none"/>
              </w:rPr>
              <w:t>监理人不履行职责，造成工程质量、安全事故或</w:t>
            </w:r>
            <w:r>
              <w:rPr>
                <w:color w:val="auto"/>
                <w:spacing w:val="9"/>
                <w:highlight w:val="none"/>
              </w:rPr>
              <w:t>与承包人串通损害委托人利益</w:t>
            </w:r>
            <w:r>
              <w:rPr>
                <w:color w:val="auto"/>
                <w:spacing w:val="7"/>
                <w:highlight w:val="none"/>
              </w:rPr>
              <w:t>的，委托人有权采取以下措施：</w:t>
            </w:r>
          </w:p>
          <w:p w14:paraId="10421C49">
            <w:pPr>
              <w:pStyle w:val="23"/>
              <w:spacing w:before="1" w:line="254" w:lineRule="auto"/>
              <w:ind w:left="118" w:right="391" w:firstLine="4"/>
              <w:rPr>
                <w:color w:val="auto"/>
                <w:highlight w:val="none"/>
              </w:rPr>
            </w:pPr>
            <w:r>
              <w:rPr>
                <w:color w:val="auto"/>
                <w:spacing w:val="6"/>
                <w:sz w:val="18"/>
                <w:szCs w:val="18"/>
                <w:highlight w:val="none"/>
              </w:rPr>
              <w:t xml:space="preserve">（1） </w:t>
            </w:r>
            <w:r>
              <w:rPr>
                <w:color w:val="auto"/>
                <w:spacing w:val="6"/>
                <w:highlight w:val="none"/>
              </w:rPr>
              <w:t>处以</w:t>
            </w:r>
            <w:r>
              <w:rPr>
                <w:rFonts w:ascii="Times New Roman" w:hAnsi="Times New Roman" w:eastAsia="Times New Roman" w:cs="Times New Roman"/>
                <w:color w:val="auto"/>
                <w:spacing w:val="6"/>
                <w:highlight w:val="none"/>
                <w:u w:val="single" w:color="auto"/>
              </w:rPr>
              <w:t>2</w:t>
            </w:r>
            <w:r>
              <w:rPr>
                <w:rFonts w:ascii="Times New Roman" w:hAnsi="Times New Roman" w:eastAsia="Times New Roman" w:cs="Times New Roman"/>
                <w:color w:val="auto"/>
                <w:spacing w:val="6"/>
                <w:highlight w:val="none"/>
              </w:rPr>
              <w:t xml:space="preserve"> </w:t>
            </w:r>
            <w:r>
              <w:rPr>
                <w:color w:val="auto"/>
                <w:spacing w:val="6"/>
                <w:highlight w:val="none"/>
              </w:rPr>
              <w:t>万元的违约金。给委托人造成经济损失的，监理人应以损失额的</w:t>
            </w:r>
            <w:r>
              <w:rPr>
                <w:rFonts w:ascii="Times New Roman" w:hAnsi="Times New Roman" w:eastAsia="Times New Roman" w:cs="Times New Roman"/>
                <w:color w:val="auto"/>
                <w:spacing w:val="7"/>
                <w:highlight w:val="none"/>
                <w:u w:val="single" w:color="auto"/>
              </w:rPr>
              <w:t>30</w:t>
            </w:r>
            <w:r>
              <w:rPr>
                <w:rFonts w:ascii="Calibri" w:hAnsi="Calibri" w:eastAsia="Calibri" w:cs="Calibri"/>
                <w:color w:val="auto"/>
                <w:spacing w:val="7"/>
                <w:highlight w:val="none"/>
              </w:rPr>
              <w:t>%</w:t>
            </w:r>
            <w:r>
              <w:rPr>
                <w:color w:val="auto"/>
                <w:spacing w:val="7"/>
                <w:highlight w:val="none"/>
              </w:rPr>
              <w:t>（在合同条款</w:t>
            </w:r>
            <w:r>
              <w:rPr>
                <w:color w:val="auto"/>
                <w:spacing w:val="-26"/>
                <w:highlight w:val="none"/>
              </w:rPr>
              <w:t xml:space="preserve"> </w:t>
            </w:r>
            <w:r>
              <w:rPr>
                <w:rFonts w:ascii="Calibri" w:hAnsi="Calibri" w:eastAsia="Calibri" w:cs="Calibri"/>
                <w:color w:val="auto"/>
                <w:spacing w:val="7"/>
                <w:highlight w:val="none"/>
              </w:rPr>
              <w:t>11.5</w:t>
            </w:r>
            <w:r>
              <w:rPr>
                <w:rFonts w:ascii="Calibri" w:hAnsi="Calibri" w:eastAsia="Calibri" w:cs="Calibri"/>
                <w:color w:val="auto"/>
                <w:spacing w:val="14"/>
                <w:highlight w:val="none"/>
              </w:rPr>
              <w:t xml:space="preserve"> </w:t>
            </w:r>
            <w:r>
              <w:rPr>
                <w:color w:val="auto"/>
                <w:spacing w:val="7"/>
                <w:highlight w:val="none"/>
              </w:rPr>
              <w:t>款规定的赔偿限额内）赔付给委托人。</w:t>
            </w:r>
          </w:p>
          <w:p w14:paraId="19915FFC">
            <w:pPr>
              <w:pStyle w:val="23"/>
              <w:spacing w:before="55" w:line="254" w:lineRule="auto"/>
              <w:ind w:left="118" w:right="463" w:firstLine="6"/>
              <w:rPr>
                <w:color w:val="auto"/>
                <w:highlight w:val="none"/>
              </w:rPr>
            </w:pPr>
            <w:r>
              <w:rPr>
                <w:color w:val="auto"/>
                <w:spacing w:val="9"/>
                <w:sz w:val="18"/>
                <w:szCs w:val="18"/>
                <w:highlight w:val="none"/>
              </w:rPr>
              <w:t xml:space="preserve">（2） </w:t>
            </w:r>
            <w:r>
              <w:rPr>
                <w:color w:val="auto"/>
                <w:spacing w:val="9"/>
                <w:highlight w:val="none"/>
              </w:rPr>
              <w:t>情节严重的，委托人将单方面终止监理合同，并没收监理人的履约担</w:t>
            </w:r>
            <w:r>
              <w:rPr>
                <w:color w:val="auto"/>
                <w:highlight w:val="none"/>
              </w:rPr>
              <w:t>保。</w:t>
            </w:r>
          </w:p>
        </w:tc>
      </w:tr>
      <w:tr w14:paraId="5202B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vMerge w:val="restart"/>
            <w:tcBorders>
              <w:bottom w:val="nil"/>
            </w:tcBorders>
            <w:textDirection w:val="tbRlV"/>
            <w:vAlign w:val="top"/>
          </w:tcPr>
          <w:p w14:paraId="019A3ACC">
            <w:pPr>
              <w:pStyle w:val="23"/>
              <w:spacing w:before="194" w:line="217" w:lineRule="auto"/>
              <w:ind w:left="3274"/>
              <w:rPr>
                <w:color w:val="auto"/>
                <w:highlight w:val="none"/>
              </w:rPr>
            </w:pPr>
            <w:r>
              <w:rPr>
                <w:b/>
                <w:bCs/>
                <w:color w:val="auto"/>
                <w:spacing w:val="6"/>
                <w:highlight w:val="none"/>
              </w:rPr>
              <w:t>工</w:t>
            </w:r>
            <w:r>
              <w:rPr>
                <w:color w:val="auto"/>
                <w:spacing w:val="-8"/>
                <w:highlight w:val="none"/>
              </w:rPr>
              <w:t xml:space="preserve"> </w:t>
            </w:r>
            <w:r>
              <w:rPr>
                <w:b/>
                <w:bCs/>
                <w:color w:val="auto"/>
                <w:spacing w:val="6"/>
                <w:highlight w:val="none"/>
              </w:rPr>
              <w:t>作</w:t>
            </w:r>
            <w:r>
              <w:rPr>
                <w:color w:val="auto"/>
                <w:spacing w:val="-6"/>
                <w:highlight w:val="none"/>
              </w:rPr>
              <w:t xml:space="preserve"> </w:t>
            </w:r>
            <w:r>
              <w:rPr>
                <w:b/>
                <w:bCs/>
                <w:color w:val="auto"/>
                <w:spacing w:val="6"/>
                <w:highlight w:val="none"/>
              </w:rPr>
              <w:t>态</w:t>
            </w:r>
            <w:r>
              <w:rPr>
                <w:color w:val="auto"/>
                <w:spacing w:val="-6"/>
                <w:highlight w:val="none"/>
              </w:rPr>
              <w:t xml:space="preserve"> </w:t>
            </w:r>
            <w:r>
              <w:rPr>
                <w:b/>
                <w:bCs/>
                <w:color w:val="auto"/>
                <w:spacing w:val="6"/>
                <w:highlight w:val="none"/>
              </w:rPr>
              <w:t>度</w:t>
            </w:r>
          </w:p>
        </w:tc>
        <w:tc>
          <w:tcPr>
            <w:tcW w:w="845" w:type="dxa"/>
            <w:vAlign w:val="top"/>
          </w:tcPr>
          <w:p w14:paraId="0D4A16A5">
            <w:pPr>
              <w:spacing w:line="382" w:lineRule="auto"/>
              <w:rPr>
                <w:rFonts w:ascii="Arial"/>
                <w:color w:val="auto"/>
                <w:sz w:val="21"/>
                <w:highlight w:val="none"/>
              </w:rPr>
            </w:pPr>
          </w:p>
          <w:p w14:paraId="7B7135C6">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440" w:type="dxa"/>
            <w:gridSpan w:val="2"/>
            <w:vAlign w:val="top"/>
          </w:tcPr>
          <w:p w14:paraId="2CB66E20">
            <w:pPr>
              <w:pStyle w:val="23"/>
              <w:spacing w:before="131" w:line="270" w:lineRule="auto"/>
              <w:ind w:left="117" w:right="79" w:firstLine="2"/>
              <w:jc w:val="both"/>
              <w:rPr>
                <w:color w:val="auto"/>
                <w:highlight w:val="none"/>
              </w:rPr>
            </w:pPr>
            <w:r>
              <w:rPr>
                <w:color w:val="auto"/>
                <w:spacing w:val="7"/>
                <w:highlight w:val="none"/>
              </w:rPr>
              <w:t>最新《公路工程施工监理规范》</w:t>
            </w:r>
            <w:r>
              <w:rPr>
                <w:color w:val="auto"/>
                <w:spacing w:val="4"/>
                <w:highlight w:val="none"/>
              </w:rPr>
              <w:t xml:space="preserve"> </w:t>
            </w:r>
            <w:r>
              <w:rPr>
                <w:color w:val="auto"/>
                <w:spacing w:val="7"/>
                <w:highlight w:val="none"/>
              </w:rPr>
              <w:t>附录</w:t>
            </w:r>
            <w:r>
              <w:rPr>
                <w:color w:val="auto"/>
                <w:spacing w:val="-48"/>
                <w:highlight w:val="none"/>
              </w:rPr>
              <w:t xml:space="preserve"> </w:t>
            </w:r>
            <w:r>
              <w:rPr>
                <w:rFonts w:ascii="Times New Roman" w:hAnsi="Times New Roman" w:eastAsia="Times New Roman" w:cs="Times New Roman"/>
                <w:color w:val="auto"/>
                <w:spacing w:val="7"/>
                <w:highlight w:val="none"/>
              </w:rPr>
              <w:t>A</w:t>
            </w:r>
            <w:r>
              <w:rPr>
                <w:rFonts w:ascii="Times New Roman" w:hAnsi="Times New Roman" w:eastAsia="Times New Roman" w:cs="Times New Roman"/>
                <w:color w:val="auto"/>
                <w:spacing w:val="26"/>
                <w:highlight w:val="none"/>
              </w:rPr>
              <w:t xml:space="preserve"> </w:t>
            </w:r>
            <w:r>
              <w:rPr>
                <w:color w:val="auto"/>
                <w:spacing w:val="7"/>
                <w:highlight w:val="none"/>
              </w:rPr>
              <w:t>中规定的工序、部位必须进行旁站，隐</w:t>
            </w:r>
            <w:r>
              <w:rPr>
                <w:color w:val="auto"/>
                <w:spacing w:val="16"/>
                <w:highlight w:val="none"/>
              </w:rPr>
              <w:t>蔽工程必须全过程旁站。若发现无旁站时，每发现一次给予监理人</w:t>
            </w:r>
            <w:r>
              <w:rPr>
                <w:color w:val="auto"/>
                <w:spacing w:val="-24"/>
                <w:highlight w:val="none"/>
              </w:rPr>
              <w:t xml:space="preserve"> </w:t>
            </w:r>
            <w:r>
              <w:rPr>
                <w:rFonts w:ascii="Times New Roman" w:hAnsi="Times New Roman" w:eastAsia="Times New Roman" w:cs="Times New Roman"/>
                <w:color w:val="auto"/>
                <w:spacing w:val="16"/>
                <w:highlight w:val="none"/>
                <w:u w:val="single" w:color="auto"/>
              </w:rPr>
              <w:t>3000</w:t>
            </w:r>
            <w:r>
              <w:rPr>
                <w:color w:val="auto"/>
                <w:spacing w:val="16"/>
                <w:highlight w:val="none"/>
              </w:rPr>
              <w:t>元的</w:t>
            </w:r>
            <w:r>
              <w:rPr>
                <w:color w:val="auto"/>
                <w:spacing w:val="5"/>
                <w:highlight w:val="none"/>
              </w:rPr>
              <w:t>违约金。</w:t>
            </w:r>
          </w:p>
        </w:tc>
      </w:tr>
      <w:tr w14:paraId="12BB9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610" w:type="dxa"/>
            <w:vMerge w:val="continue"/>
            <w:tcBorders>
              <w:top w:val="nil"/>
              <w:bottom w:val="nil"/>
            </w:tcBorders>
            <w:textDirection w:val="tbRlV"/>
            <w:vAlign w:val="top"/>
          </w:tcPr>
          <w:p w14:paraId="53B402F8">
            <w:pPr>
              <w:rPr>
                <w:rFonts w:ascii="Arial"/>
                <w:color w:val="auto"/>
                <w:sz w:val="21"/>
                <w:highlight w:val="none"/>
              </w:rPr>
            </w:pPr>
          </w:p>
        </w:tc>
        <w:tc>
          <w:tcPr>
            <w:tcW w:w="845" w:type="dxa"/>
            <w:vAlign w:val="top"/>
          </w:tcPr>
          <w:p w14:paraId="0ECD1CF4">
            <w:pPr>
              <w:spacing w:line="259" w:lineRule="auto"/>
              <w:rPr>
                <w:rFonts w:ascii="Arial"/>
                <w:color w:val="auto"/>
                <w:sz w:val="21"/>
                <w:highlight w:val="none"/>
              </w:rPr>
            </w:pPr>
          </w:p>
          <w:p w14:paraId="79BBA5C2">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11</w:t>
            </w:r>
          </w:p>
        </w:tc>
        <w:tc>
          <w:tcPr>
            <w:tcW w:w="7440" w:type="dxa"/>
            <w:gridSpan w:val="2"/>
            <w:vAlign w:val="top"/>
          </w:tcPr>
          <w:p w14:paraId="7BF2D552">
            <w:pPr>
              <w:pStyle w:val="23"/>
              <w:spacing w:before="187" w:line="286" w:lineRule="auto"/>
              <w:ind w:left="118"/>
              <w:rPr>
                <w:color w:val="auto"/>
                <w:highlight w:val="none"/>
              </w:rPr>
            </w:pPr>
            <w:r>
              <w:rPr>
                <w:color w:val="auto"/>
                <w:spacing w:val="8"/>
                <w:highlight w:val="none"/>
              </w:rPr>
              <w:t>监理人员必须及时检查和签认现场资料，如违反处以</w:t>
            </w:r>
            <w:r>
              <w:rPr>
                <w:color w:val="auto"/>
                <w:spacing w:val="-44"/>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w:t>
            </w:r>
          </w:p>
        </w:tc>
      </w:tr>
      <w:tr w14:paraId="3A82C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2B2A5EE8">
            <w:pPr>
              <w:rPr>
                <w:rFonts w:ascii="Arial"/>
                <w:color w:val="auto"/>
                <w:sz w:val="21"/>
                <w:highlight w:val="none"/>
              </w:rPr>
            </w:pPr>
          </w:p>
        </w:tc>
        <w:tc>
          <w:tcPr>
            <w:tcW w:w="845" w:type="dxa"/>
            <w:vAlign w:val="top"/>
          </w:tcPr>
          <w:p w14:paraId="6FA743E5">
            <w:pPr>
              <w:spacing w:line="256" w:lineRule="auto"/>
              <w:rPr>
                <w:rFonts w:ascii="Arial"/>
                <w:color w:val="auto"/>
                <w:sz w:val="21"/>
                <w:highlight w:val="none"/>
              </w:rPr>
            </w:pPr>
          </w:p>
          <w:p w14:paraId="43C31F8E">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12</w:t>
            </w:r>
          </w:p>
        </w:tc>
        <w:tc>
          <w:tcPr>
            <w:tcW w:w="7440" w:type="dxa"/>
            <w:gridSpan w:val="2"/>
            <w:vAlign w:val="top"/>
          </w:tcPr>
          <w:p w14:paraId="6F90103E">
            <w:pPr>
              <w:pStyle w:val="23"/>
              <w:spacing w:before="132" w:line="266" w:lineRule="auto"/>
              <w:ind w:left="140" w:right="187" w:hanging="22"/>
              <w:rPr>
                <w:color w:val="auto"/>
                <w:highlight w:val="none"/>
              </w:rPr>
            </w:pPr>
            <w:r>
              <w:rPr>
                <w:color w:val="auto"/>
                <w:spacing w:val="10"/>
                <w:highlight w:val="none"/>
              </w:rPr>
              <w:t>监理人员未发现施工现场严重违规作业或发现但</w:t>
            </w:r>
            <w:r>
              <w:rPr>
                <w:color w:val="auto"/>
                <w:spacing w:val="9"/>
                <w:highlight w:val="none"/>
              </w:rPr>
              <w:t>没有采取有效措施制止的，处</w:t>
            </w:r>
            <w:r>
              <w:rPr>
                <w:color w:val="auto"/>
                <w:spacing w:val="5"/>
                <w:highlight w:val="none"/>
              </w:rPr>
              <w:t>以</w:t>
            </w:r>
            <w:r>
              <w:rPr>
                <w:color w:val="auto"/>
                <w:spacing w:val="-33"/>
                <w:highlight w:val="none"/>
              </w:rPr>
              <w:t xml:space="preserve"> </w:t>
            </w:r>
            <w:r>
              <w:rPr>
                <w:rFonts w:ascii="Times New Roman" w:hAnsi="Times New Roman" w:eastAsia="Times New Roman" w:cs="Times New Roman"/>
                <w:color w:val="auto"/>
                <w:spacing w:val="5"/>
                <w:highlight w:val="none"/>
                <w:u w:val="single" w:color="auto"/>
              </w:rPr>
              <w:t>5000</w:t>
            </w:r>
            <w:r>
              <w:rPr>
                <w:rFonts w:ascii="Times New Roman" w:hAnsi="Times New Roman" w:eastAsia="Times New Roman" w:cs="Times New Roman"/>
                <w:color w:val="auto"/>
                <w:spacing w:val="5"/>
                <w:highlight w:val="none"/>
              </w:rPr>
              <w:t xml:space="preserve"> </w:t>
            </w:r>
            <w:r>
              <w:rPr>
                <w:color w:val="auto"/>
                <w:spacing w:val="5"/>
                <w:highlight w:val="none"/>
              </w:rPr>
              <w:t>元</w:t>
            </w:r>
            <w:r>
              <w:rPr>
                <w:rFonts w:ascii="Calibri" w:hAnsi="Calibri" w:eastAsia="Calibri" w:cs="Calibri"/>
                <w:color w:val="auto"/>
                <w:spacing w:val="5"/>
                <w:highlight w:val="none"/>
              </w:rPr>
              <w:t>/</w:t>
            </w:r>
            <w:r>
              <w:rPr>
                <w:color w:val="auto"/>
                <w:spacing w:val="5"/>
                <w:highlight w:val="none"/>
              </w:rPr>
              <w:t>次的违约金，撤换有关人员。</w:t>
            </w:r>
          </w:p>
        </w:tc>
      </w:tr>
      <w:tr w14:paraId="7BB19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33FED517">
            <w:pPr>
              <w:rPr>
                <w:rFonts w:ascii="Arial"/>
                <w:color w:val="auto"/>
                <w:sz w:val="21"/>
                <w:highlight w:val="none"/>
              </w:rPr>
            </w:pPr>
          </w:p>
        </w:tc>
        <w:tc>
          <w:tcPr>
            <w:tcW w:w="845" w:type="dxa"/>
            <w:vAlign w:val="top"/>
          </w:tcPr>
          <w:p w14:paraId="515629B8">
            <w:pPr>
              <w:spacing w:line="445" w:lineRule="auto"/>
              <w:rPr>
                <w:rFonts w:ascii="Arial"/>
                <w:color w:val="auto"/>
                <w:sz w:val="21"/>
                <w:highlight w:val="none"/>
              </w:rPr>
            </w:pPr>
          </w:p>
          <w:p w14:paraId="4B2F6E0C">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13</w:t>
            </w:r>
          </w:p>
        </w:tc>
        <w:tc>
          <w:tcPr>
            <w:tcW w:w="7440" w:type="dxa"/>
            <w:gridSpan w:val="2"/>
            <w:vAlign w:val="top"/>
          </w:tcPr>
          <w:p w14:paraId="39D1E5A7">
            <w:pPr>
              <w:pStyle w:val="23"/>
              <w:spacing w:before="134" w:line="265" w:lineRule="auto"/>
              <w:ind w:left="117" w:right="201"/>
              <w:rPr>
                <w:color w:val="auto"/>
                <w:highlight w:val="none"/>
              </w:rPr>
            </w:pPr>
            <w:r>
              <w:rPr>
                <w:color w:val="auto"/>
                <w:spacing w:val="9"/>
                <w:highlight w:val="none"/>
              </w:rPr>
              <w:t>监理工程师抽验频率达不到</w:t>
            </w:r>
            <w:r>
              <w:rPr>
                <w:color w:val="auto"/>
                <w:spacing w:val="-45"/>
                <w:highlight w:val="none"/>
              </w:rPr>
              <w:t xml:space="preserve"> </w:t>
            </w:r>
            <w:r>
              <w:rPr>
                <w:rFonts w:ascii="Times New Roman" w:hAnsi="Times New Roman" w:eastAsia="Times New Roman" w:cs="Times New Roman"/>
                <w:color w:val="auto"/>
                <w:spacing w:val="9"/>
                <w:highlight w:val="none"/>
              </w:rPr>
              <w:t>20</w:t>
            </w:r>
            <w:r>
              <w:rPr>
                <w:rFonts w:ascii="Calibri" w:hAnsi="Calibri" w:eastAsia="Calibri" w:cs="Calibri"/>
                <w:color w:val="auto"/>
                <w:spacing w:val="9"/>
                <w:highlight w:val="none"/>
              </w:rPr>
              <w:t>%</w:t>
            </w:r>
            <w:r>
              <w:rPr>
                <w:color w:val="auto"/>
                <w:spacing w:val="9"/>
                <w:highlight w:val="none"/>
              </w:rPr>
              <w:t>或规范规定的频率的：按被检项目单元每少一</w:t>
            </w:r>
            <w:r>
              <w:rPr>
                <w:color w:val="auto"/>
                <w:spacing w:val="8"/>
                <w:highlight w:val="none"/>
              </w:rPr>
              <w:t>个百分点给予</w:t>
            </w:r>
            <w:r>
              <w:rPr>
                <w:color w:val="auto"/>
                <w:spacing w:val="-43"/>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元的违约金，同时视实际情</w:t>
            </w:r>
            <w:r>
              <w:rPr>
                <w:color w:val="auto"/>
                <w:spacing w:val="7"/>
                <w:highlight w:val="none"/>
              </w:rPr>
              <w:t>况进行补检；</w:t>
            </w:r>
          </w:p>
        </w:tc>
      </w:tr>
      <w:tr w14:paraId="78B48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2221BEFE">
            <w:pPr>
              <w:rPr>
                <w:rFonts w:ascii="Arial"/>
                <w:color w:val="auto"/>
                <w:sz w:val="21"/>
                <w:highlight w:val="none"/>
              </w:rPr>
            </w:pPr>
          </w:p>
        </w:tc>
        <w:tc>
          <w:tcPr>
            <w:tcW w:w="845" w:type="dxa"/>
            <w:vAlign w:val="top"/>
          </w:tcPr>
          <w:p w14:paraId="3BBBA7AE">
            <w:pPr>
              <w:spacing w:before="233"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14</w:t>
            </w:r>
          </w:p>
        </w:tc>
        <w:tc>
          <w:tcPr>
            <w:tcW w:w="7440" w:type="dxa"/>
            <w:gridSpan w:val="2"/>
            <w:vAlign w:val="top"/>
          </w:tcPr>
          <w:p w14:paraId="2004A07A">
            <w:pPr>
              <w:pStyle w:val="23"/>
              <w:spacing w:before="132" w:line="266" w:lineRule="auto"/>
              <w:ind w:left="118" w:right="187"/>
              <w:rPr>
                <w:color w:val="auto"/>
                <w:highlight w:val="none"/>
              </w:rPr>
            </w:pPr>
            <w:r>
              <w:rPr>
                <w:color w:val="auto"/>
                <w:spacing w:val="10"/>
                <w:highlight w:val="none"/>
              </w:rPr>
              <w:t>监理工程师不得利用承包人的试验室和不得使用</w:t>
            </w:r>
            <w:r>
              <w:rPr>
                <w:color w:val="auto"/>
                <w:spacing w:val="9"/>
                <w:highlight w:val="none"/>
              </w:rPr>
              <w:t>承包人仪器设备或采取旁站的</w:t>
            </w:r>
            <w:r>
              <w:rPr>
                <w:color w:val="auto"/>
                <w:spacing w:val="7"/>
                <w:highlight w:val="none"/>
              </w:rPr>
              <w:t>方式采集抽验数据，发现一次给予</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元的违</w:t>
            </w:r>
            <w:r>
              <w:rPr>
                <w:color w:val="auto"/>
                <w:spacing w:val="6"/>
                <w:highlight w:val="none"/>
              </w:rPr>
              <w:t>约金。</w:t>
            </w:r>
          </w:p>
        </w:tc>
      </w:tr>
      <w:tr w14:paraId="5075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668154A2">
            <w:pPr>
              <w:rPr>
                <w:rFonts w:ascii="Arial"/>
                <w:color w:val="auto"/>
                <w:sz w:val="21"/>
                <w:highlight w:val="none"/>
              </w:rPr>
            </w:pPr>
          </w:p>
        </w:tc>
        <w:tc>
          <w:tcPr>
            <w:tcW w:w="845" w:type="dxa"/>
            <w:vAlign w:val="top"/>
          </w:tcPr>
          <w:p w14:paraId="39DFB22B">
            <w:pPr>
              <w:spacing w:line="292" w:lineRule="auto"/>
              <w:rPr>
                <w:rFonts w:ascii="Arial"/>
                <w:color w:val="auto"/>
                <w:sz w:val="21"/>
                <w:highlight w:val="none"/>
              </w:rPr>
            </w:pPr>
          </w:p>
          <w:p w14:paraId="43D46E5F">
            <w:pPr>
              <w:spacing w:line="292" w:lineRule="auto"/>
              <w:rPr>
                <w:rFonts w:ascii="Arial"/>
                <w:color w:val="auto"/>
                <w:sz w:val="21"/>
                <w:highlight w:val="none"/>
              </w:rPr>
            </w:pPr>
          </w:p>
          <w:p w14:paraId="5A0BEF28">
            <w:pPr>
              <w:spacing w:line="292" w:lineRule="auto"/>
              <w:rPr>
                <w:rFonts w:ascii="Arial"/>
                <w:color w:val="auto"/>
                <w:sz w:val="21"/>
                <w:highlight w:val="none"/>
              </w:rPr>
            </w:pPr>
          </w:p>
          <w:p w14:paraId="3D6189B4">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15</w:t>
            </w:r>
          </w:p>
        </w:tc>
        <w:tc>
          <w:tcPr>
            <w:tcW w:w="7440" w:type="dxa"/>
            <w:gridSpan w:val="2"/>
            <w:vAlign w:val="top"/>
          </w:tcPr>
          <w:p w14:paraId="6AE3BE45">
            <w:pPr>
              <w:pStyle w:val="23"/>
              <w:spacing w:before="189" w:line="274" w:lineRule="auto"/>
              <w:ind w:left="149" w:right="101"/>
              <w:jc w:val="both"/>
              <w:rPr>
                <w:color w:val="auto"/>
                <w:highlight w:val="none"/>
              </w:rPr>
            </w:pPr>
            <w:r>
              <w:rPr>
                <w:color w:val="auto"/>
                <w:spacing w:val="11"/>
                <w:highlight w:val="none"/>
              </w:rPr>
              <w:t>经监理工程师审核后上报的计划统计报表、计量支付报表及工程变更资料，如</w:t>
            </w:r>
            <w:r>
              <w:rPr>
                <w:color w:val="auto"/>
                <w:spacing w:val="8"/>
                <w:highlight w:val="none"/>
              </w:rPr>
              <w:t>出现未按规定时间报送</w:t>
            </w:r>
            <w:r>
              <w:rPr>
                <w:rFonts w:ascii="Calibri" w:hAnsi="Calibri" w:eastAsia="Calibri" w:cs="Calibri"/>
                <w:color w:val="auto"/>
                <w:spacing w:val="8"/>
                <w:highlight w:val="none"/>
              </w:rPr>
              <w:t>,</w:t>
            </w:r>
            <w:r>
              <w:rPr>
                <w:color w:val="auto"/>
                <w:spacing w:val="8"/>
                <w:highlight w:val="none"/>
              </w:rPr>
              <w:t>处以</w:t>
            </w:r>
            <w:r>
              <w:rPr>
                <w:color w:val="auto"/>
                <w:spacing w:val="-58"/>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次的违约金；出现人为错漏、不负责任</w:t>
            </w:r>
            <w:r>
              <w:rPr>
                <w:color w:val="auto"/>
                <w:spacing w:val="23"/>
                <w:highlight w:val="none"/>
              </w:rPr>
              <w:t>乱签字、不按合同条款规定计量导致出现偏差且单项偏差</w:t>
            </w:r>
            <w:r>
              <w:rPr>
                <w:color w:val="auto"/>
                <w:spacing w:val="22"/>
                <w:highlight w:val="none"/>
              </w:rPr>
              <w:t>达到</w:t>
            </w:r>
            <w:r>
              <w:rPr>
                <w:color w:val="auto"/>
                <w:spacing w:val="-19"/>
                <w:highlight w:val="none"/>
              </w:rPr>
              <w:t xml:space="preserve"> </w:t>
            </w:r>
            <w:r>
              <w:rPr>
                <w:rFonts w:ascii="Times New Roman" w:hAnsi="Times New Roman" w:eastAsia="Times New Roman" w:cs="Times New Roman"/>
                <w:color w:val="auto"/>
                <w:spacing w:val="22"/>
                <w:highlight w:val="none"/>
              </w:rPr>
              <w:t>20</w:t>
            </w:r>
            <w:r>
              <w:rPr>
                <w:rFonts w:ascii="Calibri" w:hAnsi="Calibri" w:eastAsia="Calibri" w:cs="Calibri"/>
                <w:color w:val="auto"/>
                <w:spacing w:val="22"/>
                <w:highlight w:val="none"/>
              </w:rPr>
              <w:t>%</w:t>
            </w:r>
            <w:r>
              <w:rPr>
                <w:color w:val="auto"/>
                <w:spacing w:val="22"/>
                <w:highlight w:val="none"/>
              </w:rPr>
              <w:t>或以上</w:t>
            </w:r>
            <w:r>
              <w:rPr>
                <w:color w:val="auto"/>
                <w:spacing w:val="8"/>
                <w:highlight w:val="none"/>
              </w:rPr>
              <w:t>的，处以</w:t>
            </w:r>
            <w:r>
              <w:rPr>
                <w:rFonts w:ascii="Times New Roman" w:hAnsi="Times New Roman" w:eastAsia="Times New Roman" w:cs="Times New Roman"/>
                <w:color w:val="auto"/>
                <w:spacing w:val="8"/>
                <w:highlight w:val="none"/>
                <w:u w:val="single" w:color="auto"/>
              </w:rPr>
              <w:t>3000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次的违约金，撤换有关人员。</w:t>
            </w:r>
          </w:p>
        </w:tc>
      </w:tr>
      <w:tr w14:paraId="5EB2A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234EB542">
            <w:pPr>
              <w:rPr>
                <w:rFonts w:ascii="Arial"/>
                <w:color w:val="auto"/>
                <w:sz w:val="21"/>
                <w:highlight w:val="none"/>
              </w:rPr>
            </w:pPr>
          </w:p>
        </w:tc>
        <w:tc>
          <w:tcPr>
            <w:tcW w:w="845" w:type="dxa"/>
            <w:vAlign w:val="top"/>
          </w:tcPr>
          <w:p w14:paraId="6BA54D86">
            <w:pPr>
              <w:spacing w:line="257" w:lineRule="auto"/>
              <w:rPr>
                <w:rFonts w:ascii="Arial"/>
                <w:color w:val="auto"/>
                <w:sz w:val="21"/>
                <w:highlight w:val="none"/>
              </w:rPr>
            </w:pPr>
          </w:p>
          <w:p w14:paraId="60AC242D">
            <w:pPr>
              <w:spacing w:line="257" w:lineRule="auto"/>
              <w:rPr>
                <w:rFonts w:ascii="Arial"/>
                <w:color w:val="auto"/>
                <w:sz w:val="21"/>
                <w:highlight w:val="none"/>
              </w:rPr>
            </w:pPr>
          </w:p>
          <w:p w14:paraId="6621258A">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16</w:t>
            </w:r>
          </w:p>
        </w:tc>
        <w:tc>
          <w:tcPr>
            <w:tcW w:w="7440" w:type="dxa"/>
            <w:gridSpan w:val="2"/>
            <w:vAlign w:val="top"/>
          </w:tcPr>
          <w:p w14:paraId="5F20035C">
            <w:pPr>
              <w:pStyle w:val="23"/>
              <w:spacing w:before="191" w:line="281" w:lineRule="auto"/>
              <w:ind w:left="117" w:right="187"/>
              <w:rPr>
                <w:color w:val="auto"/>
                <w:highlight w:val="none"/>
              </w:rPr>
            </w:pPr>
            <w:r>
              <w:rPr>
                <w:color w:val="auto"/>
                <w:spacing w:val="10"/>
                <w:highlight w:val="none"/>
              </w:rPr>
              <w:t>监理人未按要求建立有关台账及整理有关资料的</w:t>
            </w:r>
            <w:r>
              <w:rPr>
                <w:color w:val="auto"/>
                <w:spacing w:val="9"/>
                <w:highlight w:val="none"/>
              </w:rPr>
              <w:t>，或台账及资料反映的内容与</w:t>
            </w:r>
            <w:r>
              <w:rPr>
                <w:color w:val="auto"/>
                <w:spacing w:val="8"/>
                <w:highlight w:val="none"/>
              </w:rPr>
              <w:t>工程实施进展脱节的，发现一次给予</w:t>
            </w:r>
            <w:r>
              <w:rPr>
                <w:color w:val="auto"/>
                <w:spacing w:val="-25"/>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元的违约金；监理人未按委托人要求提供有关资料及工程汇报材料，或未及时提供的，发现一次处以</w:t>
            </w:r>
            <w:r>
              <w:rPr>
                <w:color w:val="auto"/>
                <w:spacing w:val="-27"/>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w:t>
            </w:r>
            <w:r>
              <w:rPr>
                <w:color w:val="auto"/>
                <w:spacing w:val="5"/>
                <w:highlight w:val="none"/>
              </w:rPr>
              <w:t>违约金。</w:t>
            </w:r>
          </w:p>
        </w:tc>
      </w:tr>
      <w:tr w14:paraId="3BCF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610" w:type="dxa"/>
            <w:vMerge w:val="continue"/>
            <w:tcBorders>
              <w:top w:val="nil"/>
            </w:tcBorders>
            <w:textDirection w:val="tbRlV"/>
            <w:vAlign w:val="top"/>
          </w:tcPr>
          <w:p w14:paraId="41E931C7">
            <w:pPr>
              <w:rPr>
                <w:rFonts w:ascii="Arial"/>
                <w:color w:val="auto"/>
                <w:sz w:val="21"/>
                <w:highlight w:val="none"/>
              </w:rPr>
            </w:pPr>
          </w:p>
        </w:tc>
        <w:tc>
          <w:tcPr>
            <w:tcW w:w="845" w:type="dxa"/>
            <w:vAlign w:val="top"/>
          </w:tcPr>
          <w:p w14:paraId="2A681214">
            <w:pPr>
              <w:spacing w:line="259" w:lineRule="auto"/>
              <w:rPr>
                <w:rFonts w:ascii="Arial"/>
                <w:color w:val="auto"/>
                <w:sz w:val="21"/>
                <w:highlight w:val="none"/>
              </w:rPr>
            </w:pPr>
          </w:p>
          <w:p w14:paraId="2D72D5D6">
            <w:pPr>
              <w:spacing w:line="260" w:lineRule="auto"/>
              <w:rPr>
                <w:rFonts w:ascii="Arial"/>
                <w:color w:val="auto"/>
                <w:sz w:val="21"/>
                <w:highlight w:val="none"/>
              </w:rPr>
            </w:pPr>
          </w:p>
          <w:p w14:paraId="73B6CD64">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17</w:t>
            </w:r>
          </w:p>
        </w:tc>
        <w:tc>
          <w:tcPr>
            <w:tcW w:w="7440" w:type="dxa"/>
            <w:gridSpan w:val="2"/>
            <w:vAlign w:val="top"/>
          </w:tcPr>
          <w:p w14:paraId="2B19FB7A">
            <w:pPr>
              <w:pStyle w:val="23"/>
              <w:spacing w:before="192" w:line="280" w:lineRule="auto"/>
              <w:ind w:left="118" w:right="101"/>
              <w:jc w:val="both"/>
              <w:rPr>
                <w:color w:val="auto"/>
                <w:highlight w:val="none"/>
              </w:rPr>
            </w:pPr>
            <w:r>
              <w:rPr>
                <w:color w:val="auto"/>
                <w:spacing w:val="12"/>
                <w:highlight w:val="none"/>
              </w:rPr>
              <w:t>监理人应负责编制竣工档案与结算文件的一致性，重点审查竣工图工程量与结算工程量的一致性，若发现竣工图工程量与结算工程量不一致，每发现一违约</w:t>
            </w:r>
            <w:r>
              <w:rPr>
                <w:color w:val="auto"/>
                <w:spacing w:val="2"/>
                <w:highlight w:val="none"/>
              </w:rPr>
              <w:t>金款</w:t>
            </w:r>
            <w:r>
              <w:rPr>
                <w:color w:val="auto"/>
                <w:spacing w:val="-40"/>
                <w:highlight w:val="none"/>
              </w:rPr>
              <w:t xml:space="preserve"> </w:t>
            </w:r>
            <w:r>
              <w:rPr>
                <w:rFonts w:ascii="Times New Roman" w:hAnsi="Times New Roman" w:eastAsia="Times New Roman" w:cs="Times New Roman"/>
                <w:color w:val="auto"/>
                <w:spacing w:val="2"/>
                <w:highlight w:val="none"/>
                <w:u w:val="single" w:color="auto"/>
              </w:rPr>
              <w:t>500</w:t>
            </w:r>
            <w:r>
              <w:rPr>
                <w:rFonts w:ascii="Times New Roman" w:hAnsi="Times New Roman" w:eastAsia="Times New Roman" w:cs="Times New Roman"/>
                <w:color w:val="auto"/>
                <w:spacing w:val="2"/>
                <w:highlight w:val="none"/>
              </w:rPr>
              <w:t xml:space="preserve"> </w:t>
            </w:r>
            <w:r>
              <w:rPr>
                <w:color w:val="auto"/>
                <w:spacing w:val="2"/>
                <w:highlight w:val="none"/>
              </w:rPr>
              <w:t>元。</w:t>
            </w:r>
          </w:p>
        </w:tc>
      </w:tr>
      <w:tr w14:paraId="29E4B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610" w:type="dxa"/>
            <w:vMerge w:val="restart"/>
            <w:tcBorders>
              <w:bottom w:val="nil"/>
            </w:tcBorders>
            <w:textDirection w:val="tbRlV"/>
            <w:vAlign w:val="top"/>
          </w:tcPr>
          <w:p w14:paraId="0E8E43B4">
            <w:pPr>
              <w:pStyle w:val="23"/>
              <w:spacing w:before="194" w:line="215" w:lineRule="auto"/>
              <w:ind w:left="2114"/>
              <w:rPr>
                <w:color w:val="auto"/>
                <w:highlight w:val="none"/>
              </w:rPr>
            </w:pPr>
            <w:r>
              <w:rPr>
                <w:b/>
                <w:bCs/>
                <w:color w:val="auto"/>
                <w:spacing w:val="6"/>
                <w:highlight w:val="none"/>
              </w:rPr>
              <w:t>人</w:t>
            </w:r>
            <w:r>
              <w:rPr>
                <w:color w:val="auto"/>
                <w:spacing w:val="-7"/>
                <w:highlight w:val="none"/>
              </w:rPr>
              <w:t xml:space="preserve"> </w:t>
            </w:r>
            <w:r>
              <w:rPr>
                <w:b/>
                <w:bCs/>
                <w:color w:val="auto"/>
                <w:spacing w:val="6"/>
                <w:highlight w:val="none"/>
              </w:rPr>
              <w:t>员</w:t>
            </w:r>
          </w:p>
        </w:tc>
        <w:tc>
          <w:tcPr>
            <w:tcW w:w="845" w:type="dxa"/>
            <w:vAlign w:val="top"/>
          </w:tcPr>
          <w:p w14:paraId="263B6EDD">
            <w:pPr>
              <w:spacing w:line="253" w:lineRule="auto"/>
              <w:rPr>
                <w:rFonts w:ascii="Arial"/>
                <w:color w:val="auto"/>
                <w:sz w:val="21"/>
                <w:highlight w:val="none"/>
              </w:rPr>
            </w:pPr>
          </w:p>
          <w:p w14:paraId="074058A8">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18</w:t>
            </w:r>
          </w:p>
        </w:tc>
        <w:tc>
          <w:tcPr>
            <w:tcW w:w="7440" w:type="dxa"/>
            <w:gridSpan w:val="2"/>
            <w:vAlign w:val="top"/>
          </w:tcPr>
          <w:p w14:paraId="76DE6FF4">
            <w:pPr>
              <w:pStyle w:val="23"/>
              <w:spacing w:before="177" w:line="286" w:lineRule="auto"/>
              <w:ind w:left="118"/>
              <w:rPr>
                <w:color w:val="auto"/>
                <w:highlight w:val="none"/>
              </w:rPr>
            </w:pPr>
            <w:r>
              <w:rPr>
                <w:color w:val="auto"/>
                <w:spacing w:val="9"/>
                <w:highlight w:val="none"/>
              </w:rPr>
              <w:t>监理人未经委托人同意擅自更换档案管理人员</w:t>
            </w:r>
            <w:r>
              <w:rPr>
                <w:color w:val="auto"/>
                <w:spacing w:val="8"/>
                <w:highlight w:val="none"/>
              </w:rPr>
              <w:t>的，处以</w:t>
            </w:r>
            <w:r>
              <w:rPr>
                <w:color w:val="auto"/>
                <w:spacing w:val="-48"/>
                <w:highlight w:val="none"/>
              </w:rPr>
              <w:t xml:space="preserve"> </w:t>
            </w:r>
            <w:r>
              <w:rPr>
                <w:rFonts w:ascii="Times New Roman" w:hAnsi="Times New Roman" w:eastAsia="Times New Roman" w:cs="Times New Roman"/>
                <w:color w:val="auto"/>
                <w:spacing w:val="8"/>
                <w:highlight w:val="none"/>
                <w:u w:val="single" w:color="auto"/>
              </w:rPr>
              <w:t>2</w:t>
            </w:r>
            <w:r>
              <w:rPr>
                <w:rFonts w:ascii="Times New Roman" w:hAnsi="Times New Roman" w:eastAsia="Times New Roman" w:cs="Times New Roman"/>
                <w:color w:val="auto"/>
                <w:spacing w:val="8"/>
                <w:highlight w:val="none"/>
              </w:rPr>
              <w:t xml:space="preserve"> </w:t>
            </w:r>
            <w:r>
              <w:rPr>
                <w:color w:val="auto"/>
                <w:spacing w:val="8"/>
                <w:highlight w:val="none"/>
              </w:rPr>
              <w:t>万元</w:t>
            </w:r>
            <w:r>
              <w:rPr>
                <w:rFonts w:ascii="Calibri" w:hAnsi="Calibri" w:eastAsia="Calibri" w:cs="Calibri"/>
                <w:color w:val="auto"/>
                <w:spacing w:val="8"/>
                <w:highlight w:val="none"/>
              </w:rPr>
              <w:t>/</w:t>
            </w:r>
            <w:r>
              <w:rPr>
                <w:color w:val="auto"/>
                <w:spacing w:val="8"/>
                <w:highlight w:val="none"/>
              </w:rPr>
              <w:t>人的违约金。</w:t>
            </w:r>
          </w:p>
        </w:tc>
      </w:tr>
      <w:tr w14:paraId="0DABD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trPr>
        <w:tc>
          <w:tcPr>
            <w:tcW w:w="610" w:type="dxa"/>
            <w:vMerge w:val="continue"/>
            <w:tcBorders>
              <w:top w:val="nil"/>
              <w:bottom w:val="nil"/>
            </w:tcBorders>
            <w:textDirection w:val="tbRlV"/>
            <w:vAlign w:val="top"/>
          </w:tcPr>
          <w:p w14:paraId="603908BB">
            <w:pPr>
              <w:rPr>
                <w:rFonts w:ascii="Arial"/>
                <w:color w:val="auto"/>
                <w:sz w:val="21"/>
                <w:highlight w:val="none"/>
              </w:rPr>
            </w:pPr>
          </w:p>
        </w:tc>
        <w:tc>
          <w:tcPr>
            <w:tcW w:w="845" w:type="dxa"/>
            <w:vAlign w:val="top"/>
          </w:tcPr>
          <w:p w14:paraId="531010E7">
            <w:pPr>
              <w:spacing w:line="338" w:lineRule="auto"/>
              <w:rPr>
                <w:rFonts w:ascii="Arial"/>
                <w:color w:val="auto"/>
                <w:sz w:val="21"/>
                <w:highlight w:val="none"/>
              </w:rPr>
            </w:pPr>
          </w:p>
          <w:p w14:paraId="0C89CE9B">
            <w:pPr>
              <w:spacing w:line="339" w:lineRule="auto"/>
              <w:rPr>
                <w:rFonts w:ascii="Arial"/>
                <w:color w:val="auto"/>
                <w:sz w:val="21"/>
                <w:highlight w:val="none"/>
              </w:rPr>
            </w:pPr>
          </w:p>
          <w:p w14:paraId="63AB9B63">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19</w:t>
            </w:r>
          </w:p>
        </w:tc>
        <w:tc>
          <w:tcPr>
            <w:tcW w:w="7440" w:type="dxa"/>
            <w:gridSpan w:val="2"/>
            <w:vAlign w:val="top"/>
          </w:tcPr>
          <w:p w14:paraId="5AED8378">
            <w:pPr>
              <w:pStyle w:val="23"/>
              <w:spacing w:before="157" w:line="236" w:lineRule="auto"/>
              <w:ind w:left="121" w:right="187" w:hanging="4"/>
              <w:rPr>
                <w:color w:val="auto"/>
                <w:highlight w:val="none"/>
              </w:rPr>
            </w:pPr>
            <w:r>
              <w:rPr>
                <w:color w:val="auto"/>
                <w:spacing w:val="10"/>
                <w:highlight w:val="none"/>
              </w:rPr>
              <w:t>委托人要求核查的监理人员的证件原件（执业资格证</w:t>
            </w:r>
            <w:r>
              <w:rPr>
                <w:color w:val="auto"/>
                <w:spacing w:val="9"/>
                <w:highlight w:val="none"/>
              </w:rPr>
              <w:t>、职称证等）不能提供或</w:t>
            </w:r>
            <w:r>
              <w:rPr>
                <w:color w:val="auto"/>
                <w:spacing w:val="8"/>
                <w:highlight w:val="none"/>
              </w:rPr>
              <w:t>不能按时提供的，按下列条款处理：</w:t>
            </w:r>
          </w:p>
          <w:p w14:paraId="0645E7CE">
            <w:pPr>
              <w:pStyle w:val="23"/>
              <w:spacing w:line="282" w:lineRule="auto"/>
              <w:ind w:left="128"/>
              <w:rPr>
                <w:color w:val="auto"/>
                <w:highlight w:val="none"/>
              </w:rPr>
            </w:pPr>
            <w:r>
              <w:rPr>
                <w:color w:val="auto"/>
                <w:spacing w:val="4"/>
                <w:highlight w:val="none"/>
              </w:rPr>
              <w:t>（</w:t>
            </w:r>
            <w:r>
              <w:rPr>
                <w:rFonts w:ascii="Times New Roman" w:hAnsi="Times New Roman" w:eastAsia="Times New Roman" w:cs="Times New Roman"/>
                <w:color w:val="auto"/>
                <w:spacing w:val="4"/>
                <w:highlight w:val="none"/>
              </w:rPr>
              <w:t>1</w:t>
            </w:r>
            <w:r>
              <w:rPr>
                <w:color w:val="auto"/>
                <w:spacing w:val="4"/>
                <w:highlight w:val="none"/>
              </w:rPr>
              <w:t>）处以</w:t>
            </w:r>
            <w:r>
              <w:rPr>
                <w:rFonts w:ascii="Times New Roman" w:hAnsi="Times New Roman" w:eastAsia="Times New Roman" w:cs="Times New Roman"/>
                <w:color w:val="auto"/>
                <w:spacing w:val="37"/>
                <w:highlight w:val="none"/>
                <w:u w:val="single" w:color="auto"/>
              </w:rPr>
              <w:t xml:space="preserve"> </w:t>
            </w:r>
            <w:r>
              <w:rPr>
                <w:rFonts w:ascii="Times New Roman" w:hAnsi="Times New Roman" w:eastAsia="Times New Roman" w:cs="Times New Roman"/>
                <w:color w:val="auto"/>
                <w:spacing w:val="4"/>
                <w:highlight w:val="none"/>
                <w:u w:val="single" w:color="auto"/>
              </w:rPr>
              <w:t xml:space="preserve">1 </w:t>
            </w:r>
            <w:r>
              <w:rPr>
                <w:color w:val="auto"/>
                <w:spacing w:val="4"/>
                <w:highlight w:val="none"/>
              </w:rPr>
              <w:t>万元</w:t>
            </w:r>
            <w:r>
              <w:rPr>
                <w:rFonts w:ascii="Calibri" w:hAnsi="Calibri" w:eastAsia="Calibri" w:cs="Calibri"/>
                <w:color w:val="auto"/>
                <w:spacing w:val="4"/>
                <w:highlight w:val="none"/>
              </w:rPr>
              <w:t>/</w:t>
            </w:r>
            <w:r>
              <w:rPr>
                <w:color w:val="auto"/>
                <w:spacing w:val="4"/>
                <w:highlight w:val="none"/>
              </w:rPr>
              <w:t>人次的违约金；</w:t>
            </w:r>
          </w:p>
          <w:p w14:paraId="55C1E372">
            <w:pPr>
              <w:pStyle w:val="23"/>
              <w:spacing w:line="25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天的违约金直至监理人更换为止。</w:t>
            </w:r>
          </w:p>
        </w:tc>
      </w:tr>
      <w:tr w14:paraId="34615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10" w:type="dxa"/>
            <w:vMerge w:val="continue"/>
            <w:tcBorders>
              <w:top w:val="nil"/>
              <w:bottom w:val="nil"/>
            </w:tcBorders>
            <w:textDirection w:val="tbRlV"/>
            <w:vAlign w:val="top"/>
          </w:tcPr>
          <w:p w14:paraId="6975FC9D">
            <w:pPr>
              <w:rPr>
                <w:rFonts w:ascii="Arial"/>
                <w:color w:val="auto"/>
                <w:sz w:val="21"/>
                <w:highlight w:val="none"/>
              </w:rPr>
            </w:pPr>
          </w:p>
        </w:tc>
        <w:tc>
          <w:tcPr>
            <w:tcW w:w="845" w:type="dxa"/>
            <w:vAlign w:val="top"/>
          </w:tcPr>
          <w:p w14:paraId="04499542">
            <w:pPr>
              <w:spacing w:line="254" w:lineRule="auto"/>
              <w:rPr>
                <w:rFonts w:ascii="Arial"/>
                <w:color w:val="auto"/>
                <w:sz w:val="21"/>
                <w:highlight w:val="none"/>
              </w:rPr>
            </w:pPr>
          </w:p>
          <w:p w14:paraId="0D6C9C28">
            <w:pPr>
              <w:spacing w:line="254" w:lineRule="auto"/>
              <w:rPr>
                <w:rFonts w:ascii="Arial"/>
                <w:color w:val="auto"/>
                <w:sz w:val="21"/>
                <w:highlight w:val="none"/>
              </w:rPr>
            </w:pPr>
          </w:p>
          <w:p w14:paraId="54B6B3FF">
            <w:pPr>
              <w:spacing w:line="255" w:lineRule="auto"/>
              <w:rPr>
                <w:rFonts w:ascii="Arial"/>
                <w:color w:val="auto"/>
                <w:sz w:val="21"/>
                <w:highlight w:val="none"/>
              </w:rPr>
            </w:pPr>
          </w:p>
          <w:p w14:paraId="1EA04A3B">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20</w:t>
            </w:r>
          </w:p>
        </w:tc>
        <w:tc>
          <w:tcPr>
            <w:tcW w:w="7440" w:type="dxa"/>
            <w:gridSpan w:val="2"/>
            <w:vAlign w:val="top"/>
          </w:tcPr>
          <w:p w14:paraId="03EF9BB1">
            <w:pPr>
              <w:pStyle w:val="23"/>
              <w:spacing w:before="35"/>
              <w:ind w:left="120" w:right="187" w:hanging="3"/>
              <w:jc w:val="both"/>
              <w:rPr>
                <w:color w:val="auto"/>
                <w:highlight w:val="none"/>
              </w:rPr>
            </w:pPr>
            <w:r>
              <w:rPr>
                <w:color w:val="auto"/>
                <w:spacing w:val="10"/>
                <w:highlight w:val="none"/>
              </w:rPr>
              <w:t>委托人发现监理人在投标时列报的监理人员不完全满</w:t>
            </w:r>
            <w:r>
              <w:rPr>
                <w:color w:val="auto"/>
                <w:spacing w:val="9"/>
                <w:highlight w:val="none"/>
              </w:rPr>
              <w:t>足相应岗位资格要求（如</w:t>
            </w:r>
            <w:r>
              <w:rPr>
                <w:color w:val="auto"/>
                <w:spacing w:val="10"/>
                <w:highlight w:val="none"/>
              </w:rPr>
              <w:t>工作经验，工作能力、监理服务年限、年龄</w:t>
            </w:r>
            <w:r>
              <w:rPr>
                <w:color w:val="auto"/>
                <w:spacing w:val="9"/>
                <w:highlight w:val="none"/>
              </w:rPr>
              <w:t>、执业资格证等）的，按下列条款</w:t>
            </w:r>
            <w:r>
              <w:rPr>
                <w:color w:val="auto"/>
                <w:spacing w:val="2"/>
                <w:highlight w:val="none"/>
              </w:rPr>
              <w:t>处理：</w:t>
            </w:r>
          </w:p>
          <w:p w14:paraId="27895B92">
            <w:pPr>
              <w:pStyle w:val="23"/>
              <w:spacing w:line="282" w:lineRule="auto"/>
              <w:ind w:left="128"/>
              <w:rPr>
                <w:color w:val="auto"/>
                <w:highlight w:val="none"/>
              </w:rPr>
            </w:pPr>
            <w:r>
              <w:rPr>
                <w:color w:val="auto"/>
                <w:spacing w:val="5"/>
                <w:highlight w:val="none"/>
              </w:rPr>
              <w:t>（</w:t>
            </w:r>
            <w:r>
              <w:rPr>
                <w:rFonts w:ascii="Times New Roman" w:hAnsi="Times New Roman" w:eastAsia="Times New Roman" w:cs="Times New Roman"/>
                <w:color w:val="auto"/>
                <w:spacing w:val="5"/>
                <w:highlight w:val="none"/>
              </w:rPr>
              <w:t>1</w:t>
            </w:r>
            <w:r>
              <w:rPr>
                <w:color w:val="auto"/>
                <w:spacing w:val="5"/>
                <w:highlight w:val="none"/>
              </w:rPr>
              <w:t>）处以</w:t>
            </w:r>
            <w:r>
              <w:rPr>
                <w:rFonts w:ascii="Times New Roman" w:hAnsi="Times New Roman" w:eastAsia="Times New Roman" w:cs="Times New Roman"/>
                <w:color w:val="auto"/>
                <w:spacing w:val="5"/>
                <w:highlight w:val="none"/>
                <w:u w:val="single" w:color="auto"/>
              </w:rPr>
              <w:t xml:space="preserve"> 3 </w:t>
            </w:r>
            <w:r>
              <w:rPr>
                <w:color w:val="auto"/>
                <w:spacing w:val="5"/>
                <w:highlight w:val="none"/>
              </w:rPr>
              <w:t>万元</w:t>
            </w:r>
            <w:r>
              <w:rPr>
                <w:rFonts w:ascii="Calibri" w:hAnsi="Calibri" w:eastAsia="Calibri" w:cs="Calibri"/>
                <w:color w:val="auto"/>
                <w:spacing w:val="5"/>
                <w:highlight w:val="none"/>
              </w:rPr>
              <w:t>/</w:t>
            </w:r>
            <w:r>
              <w:rPr>
                <w:color w:val="auto"/>
                <w:spacing w:val="5"/>
                <w:highlight w:val="none"/>
              </w:rPr>
              <w:t>人的违约金；</w:t>
            </w:r>
          </w:p>
          <w:p w14:paraId="19D62809">
            <w:pPr>
              <w:pStyle w:val="23"/>
              <w:spacing w:before="1" w:line="23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w:t>
            </w:r>
            <w:r>
              <w:rPr>
                <w:rFonts w:ascii="Calibri" w:hAnsi="Calibri" w:eastAsia="Calibri" w:cs="Calibri"/>
                <w:color w:val="auto"/>
                <w:spacing w:val="8"/>
                <w:highlight w:val="none"/>
              </w:rPr>
              <w:t>/</w:t>
            </w:r>
            <w:r>
              <w:rPr>
                <w:color w:val="auto"/>
                <w:spacing w:val="8"/>
                <w:highlight w:val="none"/>
              </w:rPr>
              <w:t>人的违约金直至监理人更换为止。</w:t>
            </w:r>
          </w:p>
        </w:tc>
      </w:tr>
      <w:tr w14:paraId="20DC6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610" w:type="dxa"/>
            <w:vMerge w:val="continue"/>
            <w:tcBorders>
              <w:top w:val="nil"/>
            </w:tcBorders>
            <w:textDirection w:val="tbRlV"/>
            <w:vAlign w:val="top"/>
          </w:tcPr>
          <w:p w14:paraId="101B8D6C">
            <w:pPr>
              <w:rPr>
                <w:rFonts w:ascii="Arial"/>
                <w:color w:val="auto"/>
                <w:sz w:val="21"/>
                <w:highlight w:val="none"/>
              </w:rPr>
            </w:pPr>
          </w:p>
        </w:tc>
        <w:tc>
          <w:tcPr>
            <w:tcW w:w="845" w:type="dxa"/>
            <w:vAlign w:val="top"/>
          </w:tcPr>
          <w:p w14:paraId="0420B6D6">
            <w:pPr>
              <w:spacing w:line="259" w:lineRule="auto"/>
              <w:rPr>
                <w:rFonts w:ascii="Arial"/>
                <w:color w:val="auto"/>
                <w:sz w:val="21"/>
                <w:highlight w:val="none"/>
              </w:rPr>
            </w:pPr>
          </w:p>
          <w:p w14:paraId="4AED845F">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21</w:t>
            </w:r>
          </w:p>
        </w:tc>
        <w:tc>
          <w:tcPr>
            <w:tcW w:w="7440" w:type="dxa"/>
            <w:gridSpan w:val="2"/>
            <w:vAlign w:val="top"/>
          </w:tcPr>
          <w:p w14:paraId="2ACA8F66">
            <w:pPr>
              <w:spacing w:line="241" w:lineRule="auto"/>
              <w:rPr>
                <w:rFonts w:ascii="Arial"/>
                <w:color w:val="auto"/>
                <w:sz w:val="21"/>
                <w:highlight w:val="none"/>
              </w:rPr>
            </w:pPr>
          </w:p>
          <w:p w14:paraId="03A2165E">
            <w:pPr>
              <w:pStyle w:val="23"/>
              <w:spacing w:before="65" w:line="269" w:lineRule="auto"/>
              <w:ind w:left="124" w:right="238" w:hanging="7"/>
              <w:rPr>
                <w:color w:val="auto"/>
                <w:highlight w:val="none"/>
              </w:rPr>
            </w:pPr>
            <w:r>
              <w:rPr>
                <w:color w:val="auto"/>
                <w:spacing w:val="8"/>
                <w:highlight w:val="none"/>
              </w:rPr>
              <w:t>委托人有权根据工程进展和工程建设需要增加监理人员，监理人应配合解决，</w:t>
            </w:r>
            <w:r>
              <w:rPr>
                <w:color w:val="auto"/>
                <w:spacing w:val="7"/>
                <w:highlight w:val="none"/>
              </w:rPr>
              <w:t>否则处以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w:t>
            </w:r>
            <w:r>
              <w:rPr>
                <w:rFonts w:ascii="Calibri" w:hAnsi="Calibri" w:eastAsia="Calibri" w:cs="Calibri"/>
                <w:color w:val="auto"/>
                <w:spacing w:val="7"/>
                <w:highlight w:val="none"/>
              </w:rPr>
              <w:t>/</w:t>
            </w:r>
            <w:r>
              <w:rPr>
                <w:color w:val="auto"/>
                <w:spacing w:val="7"/>
                <w:highlight w:val="none"/>
              </w:rPr>
              <w:t>人的违约金直</w:t>
            </w:r>
            <w:r>
              <w:rPr>
                <w:color w:val="auto"/>
                <w:spacing w:val="6"/>
                <w:highlight w:val="none"/>
              </w:rPr>
              <w:t>至监理人员到位为止。</w:t>
            </w:r>
          </w:p>
        </w:tc>
      </w:tr>
      <w:tr w14:paraId="1BD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8" w:hRule="atLeast"/>
        </w:trPr>
        <w:tc>
          <w:tcPr>
            <w:tcW w:w="610" w:type="dxa"/>
            <w:vMerge w:val="restart"/>
            <w:tcBorders>
              <w:bottom w:val="nil"/>
            </w:tcBorders>
            <w:vAlign w:val="top"/>
          </w:tcPr>
          <w:p w14:paraId="11298CB6">
            <w:pPr>
              <w:rPr>
                <w:rFonts w:ascii="Arial"/>
                <w:color w:val="auto"/>
                <w:sz w:val="21"/>
                <w:highlight w:val="none"/>
              </w:rPr>
            </w:pPr>
          </w:p>
        </w:tc>
        <w:tc>
          <w:tcPr>
            <w:tcW w:w="845" w:type="dxa"/>
            <w:vAlign w:val="top"/>
          </w:tcPr>
          <w:p w14:paraId="79A999A9">
            <w:pPr>
              <w:spacing w:line="256" w:lineRule="auto"/>
              <w:rPr>
                <w:rFonts w:ascii="Arial"/>
                <w:color w:val="auto"/>
                <w:sz w:val="21"/>
                <w:highlight w:val="none"/>
              </w:rPr>
            </w:pPr>
          </w:p>
          <w:p w14:paraId="0605A3D7">
            <w:pPr>
              <w:spacing w:line="256" w:lineRule="auto"/>
              <w:rPr>
                <w:rFonts w:ascii="Arial"/>
                <w:color w:val="auto"/>
                <w:sz w:val="21"/>
                <w:highlight w:val="none"/>
              </w:rPr>
            </w:pPr>
          </w:p>
          <w:p w14:paraId="45B640A8">
            <w:pPr>
              <w:spacing w:line="256" w:lineRule="auto"/>
              <w:rPr>
                <w:rFonts w:ascii="Arial"/>
                <w:color w:val="auto"/>
                <w:sz w:val="21"/>
                <w:highlight w:val="none"/>
              </w:rPr>
            </w:pPr>
          </w:p>
          <w:p w14:paraId="471F0A84">
            <w:pPr>
              <w:spacing w:line="257" w:lineRule="auto"/>
              <w:rPr>
                <w:rFonts w:ascii="Arial"/>
                <w:color w:val="auto"/>
                <w:sz w:val="21"/>
                <w:highlight w:val="none"/>
              </w:rPr>
            </w:pPr>
          </w:p>
          <w:p w14:paraId="70DE53E7">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22</w:t>
            </w:r>
          </w:p>
        </w:tc>
        <w:tc>
          <w:tcPr>
            <w:tcW w:w="7440" w:type="dxa"/>
            <w:gridSpan w:val="2"/>
            <w:vAlign w:val="top"/>
          </w:tcPr>
          <w:p w14:paraId="6EB42BF5">
            <w:pPr>
              <w:pStyle w:val="23"/>
              <w:spacing w:before="125" w:line="277" w:lineRule="auto"/>
              <w:ind w:left="118" w:right="120"/>
              <w:rPr>
                <w:color w:val="auto"/>
                <w:highlight w:val="none"/>
              </w:rPr>
            </w:pPr>
            <w:r>
              <w:rPr>
                <w:color w:val="auto"/>
                <w:spacing w:val="12"/>
                <w:highlight w:val="none"/>
              </w:rPr>
              <w:t>监理人拟投入本项目的总监（驻地）、专业监</w:t>
            </w:r>
            <w:r>
              <w:rPr>
                <w:color w:val="auto"/>
                <w:spacing w:val="11"/>
                <w:highlight w:val="none"/>
              </w:rPr>
              <w:t>理工程师等必须为本项目专职人</w:t>
            </w:r>
            <w:r>
              <w:rPr>
                <w:color w:val="auto"/>
                <w:spacing w:val="10"/>
                <w:highlight w:val="none"/>
              </w:rPr>
              <w:t>员，不得兼任其他项目监理职务；必须保证每月</w:t>
            </w:r>
            <w:r>
              <w:rPr>
                <w:rFonts w:ascii="Times New Roman" w:hAnsi="Times New Roman" w:eastAsia="Times New Roman" w:cs="Times New Roman"/>
                <w:color w:val="auto"/>
                <w:spacing w:val="10"/>
                <w:highlight w:val="none"/>
              </w:rPr>
              <w:t xml:space="preserve">22 </w:t>
            </w:r>
            <w:r>
              <w:rPr>
                <w:color w:val="auto"/>
                <w:spacing w:val="10"/>
                <w:highlight w:val="none"/>
              </w:rPr>
              <w:t>天以上留在施工现场；离</w:t>
            </w:r>
            <w:r>
              <w:rPr>
                <w:color w:val="auto"/>
                <w:spacing w:val="8"/>
                <w:highlight w:val="none"/>
              </w:rPr>
              <w:t>开施工现场超过</w:t>
            </w:r>
            <w:r>
              <w:rPr>
                <w:color w:val="auto"/>
                <w:spacing w:val="-47"/>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天（含</w:t>
            </w:r>
            <w:r>
              <w:rPr>
                <w:color w:val="auto"/>
                <w:spacing w:val="-48"/>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天）时间须经委托</w:t>
            </w:r>
            <w:r>
              <w:rPr>
                <w:color w:val="auto"/>
                <w:spacing w:val="7"/>
                <w:highlight w:val="none"/>
              </w:rPr>
              <w:t>人批准。如违反：</w:t>
            </w:r>
          </w:p>
          <w:p w14:paraId="452DFDC6">
            <w:pPr>
              <w:pStyle w:val="23"/>
              <w:spacing w:before="1" w:line="269" w:lineRule="auto"/>
              <w:ind w:left="119" w:right="142" w:firstLine="5"/>
              <w:rPr>
                <w:color w:val="auto"/>
                <w:highlight w:val="none"/>
              </w:rPr>
            </w:pPr>
            <w:r>
              <w:rPr>
                <w:color w:val="auto"/>
                <w:spacing w:val="4"/>
                <w:sz w:val="18"/>
                <w:szCs w:val="18"/>
                <w:highlight w:val="none"/>
              </w:rPr>
              <w:t xml:space="preserve">（1） </w:t>
            </w:r>
            <w:r>
              <w:rPr>
                <w:color w:val="auto"/>
                <w:spacing w:val="4"/>
                <w:highlight w:val="none"/>
              </w:rPr>
              <w:t>兼任其他项目监理职务的，处以</w:t>
            </w:r>
            <w:r>
              <w:rPr>
                <w:color w:val="auto"/>
                <w:spacing w:val="-50"/>
                <w:highlight w:val="none"/>
              </w:rPr>
              <w:t xml:space="preserve"> </w:t>
            </w:r>
            <w:r>
              <w:rPr>
                <w:rFonts w:ascii="Times New Roman" w:hAnsi="Times New Roman" w:eastAsia="Times New Roman" w:cs="Times New Roman"/>
                <w:color w:val="auto"/>
                <w:spacing w:val="4"/>
                <w:highlight w:val="none"/>
                <w:u w:val="single" w:color="auto"/>
              </w:rPr>
              <w:t>5</w:t>
            </w:r>
            <w:r>
              <w:rPr>
                <w:rFonts w:ascii="Times New Roman" w:hAnsi="Times New Roman" w:eastAsia="Times New Roman" w:cs="Times New Roman"/>
                <w:color w:val="auto"/>
                <w:spacing w:val="4"/>
                <w:highlight w:val="none"/>
              </w:rPr>
              <w:t xml:space="preserve"> </w:t>
            </w:r>
            <w:r>
              <w:rPr>
                <w:color w:val="auto"/>
                <w:spacing w:val="4"/>
                <w:highlight w:val="none"/>
              </w:rPr>
              <w:t>万元</w:t>
            </w:r>
            <w:r>
              <w:rPr>
                <w:rFonts w:ascii="Calibri" w:hAnsi="Calibri" w:eastAsia="Calibri" w:cs="Calibri"/>
                <w:color w:val="auto"/>
                <w:spacing w:val="3"/>
                <w:highlight w:val="none"/>
              </w:rPr>
              <w:t>/</w:t>
            </w:r>
            <w:r>
              <w:rPr>
                <w:color w:val="auto"/>
                <w:spacing w:val="3"/>
                <w:highlight w:val="none"/>
              </w:rPr>
              <w:t>人的违约金，同时处以</w:t>
            </w:r>
            <w:r>
              <w:rPr>
                <w:color w:val="auto"/>
                <w:spacing w:val="-51"/>
                <w:highlight w:val="none"/>
              </w:rPr>
              <w:t xml:space="preserve"> </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3"/>
                <w:highlight w:val="none"/>
              </w:rPr>
              <w:t>/</w:t>
            </w:r>
            <w:r>
              <w:rPr>
                <w:color w:val="auto"/>
                <w:spacing w:val="3"/>
                <w:highlight w:val="none"/>
              </w:rPr>
              <w:t>天</w:t>
            </w:r>
            <w:r>
              <w:rPr>
                <w:rFonts w:ascii="Calibri" w:hAnsi="Calibri" w:eastAsia="Calibri" w:cs="Calibri"/>
                <w:color w:val="auto"/>
                <w:spacing w:val="3"/>
                <w:highlight w:val="none"/>
              </w:rPr>
              <w:t>/</w:t>
            </w:r>
            <w:r>
              <w:rPr>
                <w:color w:val="auto"/>
                <w:spacing w:val="8"/>
                <w:highlight w:val="none"/>
              </w:rPr>
              <w:t>人次的违约金直至监理人纠正为止；</w:t>
            </w:r>
          </w:p>
          <w:p w14:paraId="005C9B49">
            <w:pPr>
              <w:pStyle w:val="23"/>
              <w:spacing w:before="23" w:line="286" w:lineRule="auto"/>
              <w:ind w:left="122"/>
              <w:rPr>
                <w:color w:val="auto"/>
                <w:highlight w:val="none"/>
              </w:rPr>
            </w:pPr>
            <w:r>
              <w:rPr>
                <w:color w:val="auto"/>
                <w:spacing w:val="6"/>
                <w:sz w:val="18"/>
                <w:szCs w:val="18"/>
                <w:highlight w:val="none"/>
              </w:rPr>
              <w:t>（2）</w:t>
            </w:r>
            <w:r>
              <w:rPr>
                <w:color w:val="auto"/>
                <w:spacing w:val="-2"/>
                <w:sz w:val="18"/>
                <w:szCs w:val="18"/>
                <w:highlight w:val="none"/>
              </w:rPr>
              <w:t xml:space="preserve"> </w:t>
            </w:r>
            <w:r>
              <w:rPr>
                <w:color w:val="auto"/>
                <w:spacing w:val="6"/>
                <w:highlight w:val="none"/>
              </w:rPr>
              <w:t>不足</w:t>
            </w:r>
            <w:r>
              <w:rPr>
                <w:rFonts w:ascii="Times New Roman" w:hAnsi="Times New Roman" w:eastAsia="Times New Roman" w:cs="Times New Roman"/>
                <w:color w:val="auto"/>
                <w:spacing w:val="6"/>
                <w:highlight w:val="none"/>
              </w:rPr>
              <w:t>22</w:t>
            </w:r>
            <w:r>
              <w:rPr>
                <w:rFonts w:ascii="Times New Roman" w:hAnsi="Times New Roman" w:eastAsia="Times New Roman" w:cs="Times New Roman"/>
                <w:color w:val="auto"/>
                <w:spacing w:val="-17"/>
                <w:highlight w:val="none"/>
              </w:rPr>
              <w:t xml:space="preserve"> </w:t>
            </w:r>
            <w:r>
              <w:rPr>
                <w:color w:val="auto"/>
                <w:spacing w:val="6"/>
                <w:highlight w:val="none"/>
              </w:rPr>
              <w:t>天</w:t>
            </w:r>
            <w:r>
              <w:rPr>
                <w:rFonts w:ascii="Calibri" w:hAnsi="Calibri" w:eastAsia="Calibri" w:cs="Calibri"/>
                <w:color w:val="auto"/>
                <w:spacing w:val="6"/>
                <w:highlight w:val="none"/>
              </w:rPr>
              <w:t>/</w:t>
            </w:r>
            <w:r>
              <w:rPr>
                <w:color w:val="auto"/>
                <w:spacing w:val="6"/>
                <w:highlight w:val="none"/>
              </w:rPr>
              <w:t>月留在现场的，同时处以不足天数的违约金：</w:t>
            </w:r>
            <w:r>
              <w:rPr>
                <w:rFonts w:ascii="Times New Roman" w:hAnsi="Times New Roman" w:eastAsia="Times New Roman" w:cs="Times New Roman"/>
                <w:color w:val="auto"/>
                <w:spacing w:val="6"/>
                <w:highlight w:val="none"/>
                <w:u w:val="single" w:color="auto"/>
              </w:rPr>
              <w:t>5000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p>
          <w:p w14:paraId="49438B53">
            <w:pPr>
              <w:pStyle w:val="23"/>
              <w:spacing w:before="24" w:line="249" w:lineRule="auto"/>
              <w:ind w:left="109" w:right="429" w:firstLine="12"/>
              <w:rPr>
                <w:color w:val="auto"/>
                <w:highlight w:val="none"/>
              </w:rPr>
            </w:pPr>
            <w:r>
              <w:rPr>
                <w:color w:val="auto"/>
                <w:spacing w:val="4"/>
                <w:sz w:val="18"/>
                <w:szCs w:val="18"/>
                <w:highlight w:val="none"/>
              </w:rPr>
              <w:t xml:space="preserve">（3） </w:t>
            </w:r>
            <w:r>
              <w:rPr>
                <w:color w:val="auto"/>
                <w:spacing w:val="4"/>
                <w:highlight w:val="none"/>
              </w:rPr>
              <w:t>未经委托人同意擅自离开现场超过</w:t>
            </w:r>
            <w:r>
              <w:rPr>
                <w:color w:val="auto"/>
                <w:spacing w:val="-55"/>
                <w:highlight w:val="none"/>
              </w:rPr>
              <w:t xml:space="preserve"> </w:t>
            </w:r>
            <w:r>
              <w:rPr>
                <w:rFonts w:ascii="Times New Roman" w:hAnsi="Times New Roman" w:eastAsia="Times New Roman" w:cs="Times New Roman"/>
                <w:color w:val="auto"/>
                <w:spacing w:val="4"/>
                <w:highlight w:val="none"/>
              </w:rPr>
              <w:t xml:space="preserve">2 </w:t>
            </w:r>
            <w:r>
              <w:rPr>
                <w:color w:val="auto"/>
                <w:spacing w:val="4"/>
                <w:highlight w:val="none"/>
              </w:rPr>
              <w:t>天时间的，按超过天数处</w:t>
            </w:r>
            <w:r>
              <w:rPr>
                <w:color w:val="auto"/>
                <w:spacing w:val="3"/>
                <w:highlight w:val="none"/>
              </w:rPr>
              <w:t>以</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7"/>
                <w:highlight w:val="none"/>
              </w:rPr>
              <w:t>/</w:t>
            </w:r>
            <w:r>
              <w:rPr>
                <w:color w:val="auto"/>
                <w:spacing w:val="7"/>
                <w:highlight w:val="none"/>
              </w:rPr>
              <w:t>天的违约金。</w:t>
            </w:r>
          </w:p>
        </w:tc>
      </w:tr>
      <w:tr w14:paraId="30097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610" w:type="dxa"/>
            <w:vMerge w:val="continue"/>
            <w:tcBorders>
              <w:top w:val="nil"/>
            </w:tcBorders>
            <w:vAlign w:val="top"/>
          </w:tcPr>
          <w:p w14:paraId="177235B0">
            <w:pPr>
              <w:rPr>
                <w:rFonts w:ascii="Arial"/>
                <w:color w:val="auto"/>
                <w:sz w:val="21"/>
                <w:highlight w:val="none"/>
              </w:rPr>
            </w:pPr>
          </w:p>
        </w:tc>
        <w:tc>
          <w:tcPr>
            <w:tcW w:w="845" w:type="dxa"/>
            <w:vAlign w:val="top"/>
          </w:tcPr>
          <w:p w14:paraId="42D6E4A0">
            <w:pPr>
              <w:spacing w:line="259" w:lineRule="auto"/>
              <w:rPr>
                <w:rFonts w:ascii="Arial"/>
                <w:color w:val="auto"/>
                <w:sz w:val="21"/>
                <w:highlight w:val="none"/>
              </w:rPr>
            </w:pPr>
          </w:p>
          <w:p w14:paraId="67B957E9">
            <w:pPr>
              <w:spacing w:line="260" w:lineRule="auto"/>
              <w:rPr>
                <w:rFonts w:ascii="Arial"/>
                <w:color w:val="auto"/>
                <w:sz w:val="21"/>
                <w:highlight w:val="none"/>
              </w:rPr>
            </w:pPr>
          </w:p>
          <w:p w14:paraId="33108B8E">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23</w:t>
            </w:r>
          </w:p>
        </w:tc>
        <w:tc>
          <w:tcPr>
            <w:tcW w:w="7440" w:type="dxa"/>
            <w:gridSpan w:val="2"/>
            <w:vAlign w:val="top"/>
          </w:tcPr>
          <w:p w14:paraId="63CEA50F">
            <w:pPr>
              <w:pStyle w:val="23"/>
              <w:spacing w:before="128" w:line="272" w:lineRule="auto"/>
              <w:ind w:left="117" w:right="101"/>
              <w:jc w:val="both"/>
              <w:rPr>
                <w:color w:val="auto"/>
                <w:highlight w:val="none"/>
              </w:rPr>
            </w:pPr>
            <w:r>
              <w:rPr>
                <w:color w:val="auto"/>
                <w:spacing w:val="12"/>
                <w:highlight w:val="none"/>
              </w:rPr>
              <w:t>监理人应按合同规定自行配备试验、检测等必要设备并要按合同规定的规格保质保量按时到位投入使用，否则按不到位仪器设备清单价格或市场价格（如无</w:t>
            </w:r>
            <w:r>
              <w:rPr>
                <w:color w:val="auto"/>
                <w:spacing w:val="6"/>
                <w:highlight w:val="none"/>
              </w:rPr>
              <w:t>清单价格）</w:t>
            </w:r>
            <w:r>
              <w:rPr>
                <w:color w:val="auto"/>
                <w:spacing w:val="-55"/>
                <w:highlight w:val="none"/>
              </w:rPr>
              <w:t xml:space="preserve"> </w:t>
            </w:r>
            <w:r>
              <w:rPr>
                <w:color w:val="auto"/>
                <w:spacing w:val="6"/>
                <w:highlight w:val="none"/>
              </w:rPr>
              <w:t>的两倍从监理服务费总额中予以扣除，并处以</w:t>
            </w:r>
            <w:r>
              <w:rPr>
                <w:color w:val="auto"/>
                <w:spacing w:val="-57"/>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天的违约金直</w:t>
            </w:r>
            <w:r>
              <w:rPr>
                <w:color w:val="auto"/>
                <w:spacing w:val="9"/>
                <w:highlight w:val="none"/>
              </w:rPr>
              <w:t>至该仪器或设备到位为止</w:t>
            </w:r>
          </w:p>
        </w:tc>
      </w:tr>
      <w:tr w14:paraId="6D1F4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textDirection w:val="tbRlV"/>
            <w:vAlign w:val="top"/>
          </w:tcPr>
          <w:p w14:paraId="0C5BC5E1">
            <w:pPr>
              <w:pStyle w:val="23"/>
              <w:spacing w:before="194" w:line="215" w:lineRule="auto"/>
              <w:ind w:left="259"/>
              <w:rPr>
                <w:color w:val="auto"/>
                <w:highlight w:val="none"/>
              </w:rPr>
            </w:pPr>
            <w:r>
              <w:rPr>
                <w:b/>
                <w:bCs/>
                <w:color w:val="auto"/>
                <w:spacing w:val="6"/>
                <w:highlight w:val="none"/>
              </w:rPr>
              <w:t>设</w:t>
            </w:r>
            <w:r>
              <w:rPr>
                <w:color w:val="auto"/>
                <w:spacing w:val="-7"/>
                <w:highlight w:val="none"/>
              </w:rPr>
              <w:t xml:space="preserve"> </w:t>
            </w:r>
            <w:r>
              <w:rPr>
                <w:b/>
                <w:bCs/>
                <w:color w:val="auto"/>
                <w:spacing w:val="6"/>
                <w:highlight w:val="none"/>
              </w:rPr>
              <w:t>备</w:t>
            </w:r>
          </w:p>
        </w:tc>
        <w:tc>
          <w:tcPr>
            <w:tcW w:w="845" w:type="dxa"/>
            <w:vAlign w:val="top"/>
          </w:tcPr>
          <w:p w14:paraId="5DD65A71">
            <w:pPr>
              <w:spacing w:line="384" w:lineRule="auto"/>
              <w:rPr>
                <w:rFonts w:ascii="Arial"/>
                <w:color w:val="auto"/>
                <w:sz w:val="21"/>
                <w:highlight w:val="none"/>
              </w:rPr>
            </w:pPr>
          </w:p>
          <w:p w14:paraId="18B48EE0">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24</w:t>
            </w:r>
          </w:p>
        </w:tc>
        <w:tc>
          <w:tcPr>
            <w:tcW w:w="7440" w:type="dxa"/>
            <w:gridSpan w:val="2"/>
            <w:vAlign w:val="top"/>
          </w:tcPr>
          <w:p w14:paraId="25361CD9">
            <w:pPr>
              <w:pStyle w:val="23"/>
              <w:spacing w:before="134" w:line="269" w:lineRule="auto"/>
              <w:ind w:left="117" w:right="101"/>
              <w:jc w:val="both"/>
              <w:rPr>
                <w:color w:val="auto"/>
                <w:highlight w:val="none"/>
              </w:rPr>
            </w:pPr>
            <w:r>
              <w:rPr>
                <w:color w:val="auto"/>
                <w:spacing w:val="12"/>
                <w:highlight w:val="none"/>
              </w:rPr>
              <w:t>根据工程实际需要，委托人有权要求监理人增加仪器、设备的数量或新增部分仪器或设备，如监理人拒绝执行，委托人将按书面通知要求到位的最后期限起</w:t>
            </w:r>
            <w:r>
              <w:rPr>
                <w:color w:val="auto"/>
                <w:spacing w:val="7"/>
                <w:highlight w:val="none"/>
              </w:rPr>
              <w:t>算，处以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天的违约金直至该仪器或设备到位为止。</w:t>
            </w:r>
          </w:p>
        </w:tc>
      </w:tr>
      <w:tr w14:paraId="0545A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610" w:type="dxa"/>
            <w:textDirection w:val="tbRlV"/>
            <w:vAlign w:val="center"/>
          </w:tcPr>
          <w:p w14:paraId="30E88AE6">
            <w:pPr>
              <w:pStyle w:val="2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b/>
                <w:bCs/>
                <w:color w:val="auto"/>
                <w:highlight w:val="none"/>
              </w:rPr>
            </w:pPr>
            <w:r>
              <w:rPr>
                <w:b/>
                <w:bCs/>
                <w:color w:val="auto"/>
                <w:spacing w:val="6"/>
                <w:highlight w:val="none"/>
              </w:rPr>
              <w:t>工</w:t>
            </w:r>
            <w:r>
              <w:rPr>
                <w:b/>
                <w:bCs/>
                <w:color w:val="auto"/>
                <w:spacing w:val="-9"/>
                <w:highlight w:val="none"/>
              </w:rPr>
              <w:t xml:space="preserve"> </w:t>
            </w:r>
            <w:r>
              <w:rPr>
                <w:b/>
                <w:bCs/>
                <w:color w:val="auto"/>
                <w:spacing w:val="6"/>
                <w:highlight w:val="none"/>
              </w:rPr>
              <w:t>期</w:t>
            </w:r>
          </w:p>
        </w:tc>
        <w:tc>
          <w:tcPr>
            <w:tcW w:w="845" w:type="dxa"/>
            <w:vAlign w:val="top"/>
          </w:tcPr>
          <w:p w14:paraId="22001B4D">
            <w:pPr>
              <w:spacing w:line="384" w:lineRule="auto"/>
              <w:rPr>
                <w:rFonts w:ascii="Arial"/>
                <w:color w:val="auto"/>
                <w:sz w:val="21"/>
                <w:highlight w:val="none"/>
              </w:rPr>
            </w:pPr>
          </w:p>
          <w:p w14:paraId="02810E18">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25</w:t>
            </w:r>
          </w:p>
        </w:tc>
        <w:tc>
          <w:tcPr>
            <w:tcW w:w="7440" w:type="dxa"/>
            <w:gridSpan w:val="2"/>
            <w:vAlign w:val="top"/>
          </w:tcPr>
          <w:p w14:paraId="070A07E5">
            <w:pPr>
              <w:pStyle w:val="23"/>
              <w:spacing w:before="133" w:line="269" w:lineRule="auto"/>
              <w:ind w:left="119" w:right="101" w:firstLine="14"/>
              <w:jc w:val="both"/>
              <w:rPr>
                <w:color w:val="auto"/>
                <w:highlight w:val="none"/>
              </w:rPr>
            </w:pPr>
            <w:r>
              <w:rPr>
                <w:color w:val="auto"/>
                <w:spacing w:val="11"/>
                <w:highlight w:val="none"/>
              </w:rPr>
              <w:t>因监理原因整个工程未按期完工（包括任何一个合同段没有按期完工</w:t>
            </w:r>
            <w:r>
              <w:rPr>
                <w:color w:val="auto"/>
                <w:spacing w:val="2"/>
                <w:highlight w:val="none"/>
              </w:rPr>
              <w:t>）</w:t>
            </w:r>
            <w:r>
              <w:rPr>
                <w:color w:val="auto"/>
                <w:spacing w:val="-58"/>
                <w:highlight w:val="none"/>
              </w:rPr>
              <w:t xml:space="preserve"> </w:t>
            </w:r>
            <w:r>
              <w:rPr>
                <w:color w:val="auto"/>
                <w:spacing w:val="2"/>
                <w:highlight w:val="none"/>
              </w:rPr>
              <w:t>，</w:t>
            </w:r>
            <w:r>
              <w:rPr>
                <w:color w:val="auto"/>
                <w:spacing w:val="11"/>
                <w:highlight w:val="none"/>
              </w:rPr>
              <w:t>监理</w:t>
            </w:r>
            <w:r>
              <w:rPr>
                <w:color w:val="auto"/>
                <w:spacing w:val="12"/>
                <w:highlight w:val="none"/>
              </w:rPr>
              <w:t>人须承担以下责任：每拖延一天，委托人按未按期完工合同段承包人的拖期损</w:t>
            </w:r>
            <w:r>
              <w:rPr>
                <w:color w:val="auto"/>
                <w:spacing w:val="7"/>
                <w:highlight w:val="none"/>
              </w:rPr>
              <w:t>失赔偿金的</w:t>
            </w:r>
            <w:r>
              <w:rPr>
                <w:rFonts w:ascii="Times New Roman" w:hAnsi="Times New Roman" w:eastAsia="Times New Roman" w:cs="Times New Roman"/>
                <w:color w:val="auto"/>
                <w:spacing w:val="7"/>
                <w:highlight w:val="none"/>
                <w:u w:val="single" w:color="auto"/>
              </w:rPr>
              <w:t>5</w:t>
            </w:r>
            <w:r>
              <w:rPr>
                <w:rFonts w:ascii="Calibri" w:hAnsi="Calibri" w:eastAsia="Calibri" w:cs="Calibri"/>
                <w:color w:val="auto"/>
                <w:spacing w:val="7"/>
                <w:highlight w:val="none"/>
                <w:u w:val="single" w:color="auto"/>
              </w:rPr>
              <w:t>%</w:t>
            </w:r>
            <w:r>
              <w:rPr>
                <w:color w:val="auto"/>
                <w:spacing w:val="7"/>
                <w:highlight w:val="none"/>
              </w:rPr>
              <w:t>计罚。</w:t>
            </w:r>
          </w:p>
        </w:tc>
      </w:tr>
      <w:tr w14:paraId="56811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10" w:type="dxa"/>
            <w:vMerge w:val="restart"/>
            <w:textDirection w:val="tbLrV"/>
            <w:vAlign w:val="center"/>
          </w:tcPr>
          <w:p w14:paraId="669DB2DD">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rFonts w:hint="eastAsia"/>
                <w:b/>
                <w:bCs/>
                <w:color w:val="auto"/>
                <w:highlight w:val="none"/>
                <w:lang w:val="en-US" w:eastAsia="zh-CN"/>
              </w:rPr>
            </w:pPr>
            <w:r>
              <w:rPr>
                <w:rFonts w:hint="eastAsia"/>
                <w:b/>
                <w:bCs/>
                <w:color w:val="auto"/>
                <w:highlight w:val="none"/>
                <w:lang w:val="en-US" w:eastAsia="zh-CN"/>
              </w:rPr>
              <w:t>其他</w:t>
            </w:r>
          </w:p>
        </w:tc>
        <w:tc>
          <w:tcPr>
            <w:tcW w:w="845" w:type="dxa"/>
            <w:vAlign w:val="top"/>
          </w:tcPr>
          <w:p w14:paraId="5F20617E">
            <w:pPr>
              <w:spacing w:line="384" w:lineRule="auto"/>
              <w:rPr>
                <w:rFonts w:ascii="Arial"/>
                <w:color w:val="auto"/>
                <w:sz w:val="21"/>
                <w:highlight w:val="none"/>
              </w:rPr>
            </w:pPr>
          </w:p>
          <w:p w14:paraId="0AC6D76F">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26</w:t>
            </w:r>
          </w:p>
        </w:tc>
        <w:tc>
          <w:tcPr>
            <w:tcW w:w="7440" w:type="dxa"/>
            <w:gridSpan w:val="2"/>
            <w:vAlign w:val="top"/>
          </w:tcPr>
          <w:p w14:paraId="12BD20A4">
            <w:pPr>
              <w:pStyle w:val="23"/>
              <w:spacing w:before="131" w:line="270" w:lineRule="auto"/>
              <w:ind w:left="117" w:right="101" w:firstLine="3"/>
              <w:jc w:val="both"/>
              <w:rPr>
                <w:color w:val="auto"/>
                <w:highlight w:val="none"/>
              </w:rPr>
            </w:pPr>
            <w:r>
              <w:rPr>
                <w:color w:val="auto"/>
                <w:spacing w:val="12"/>
                <w:highlight w:val="none"/>
              </w:rPr>
              <w:t>未按照《广东省公路施工标准化指南》和《广东省高速公路工程施工组织设计和施工方案标准化管理指南》有关规定进行管理或开展监理工作的，每次处以</w:t>
            </w:r>
            <w:r>
              <w:rPr>
                <w:color w:val="auto"/>
                <w:spacing w:val="3"/>
                <w:highlight w:val="none"/>
              </w:rPr>
              <w:t>违约金</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3"/>
                <w:highlight w:val="none"/>
                <w:u w:val="single" w:color="auto"/>
              </w:rPr>
              <w:t>1</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10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Times New Roman" w:hAnsi="Times New Roman" w:eastAsia="Times New Roman" w:cs="Times New Roman"/>
                <w:color w:val="auto"/>
                <w:spacing w:val="3"/>
                <w:highlight w:val="none"/>
              </w:rPr>
              <w:t xml:space="preserve"> </w:t>
            </w:r>
            <w:r>
              <w:rPr>
                <w:color w:val="auto"/>
                <w:spacing w:val="3"/>
                <w:highlight w:val="none"/>
              </w:rPr>
              <w:t>元。</w:t>
            </w:r>
          </w:p>
        </w:tc>
      </w:tr>
      <w:tr w14:paraId="44AEF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610" w:type="dxa"/>
            <w:vMerge w:val="continue"/>
            <w:textDirection w:val="tbLrV"/>
            <w:vAlign w:val="center"/>
          </w:tcPr>
          <w:p w14:paraId="2895B62B">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3884E5D8">
            <w:pPr>
              <w:spacing w:line="447" w:lineRule="auto"/>
              <w:rPr>
                <w:rFonts w:ascii="Arial"/>
                <w:color w:val="auto"/>
                <w:sz w:val="21"/>
                <w:highlight w:val="none"/>
              </w:rPr>
            </w:pPr>
          </w:p>
          <w:p w14:paraId="53A9C01B">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27</w:t>
            </w:r>
          </w:p>
        </w:tc>
        <w:tc>
          <w:tcPr>
            <w:tcW w:w="7440" w:type="dxa"/>
            <w:gridSpan w:val="2"/>
            <w:vAlign w:val="top"/>
          </w:tcPr>
          <w:p w14:paraId="03BDB8DC">
            <w:pPr>
              <w:pStyle w:val="23"/>
              <w:spacing w:before="284" w:line="278" w:lineRule="auto"/>
              <w:ind w:left="118" w:right="152"/>
              <w:rPr>
                <w:color w:val="auto"/>
                <w:highlight w:val="none"/>
              </w:rPr>
            </w:pPr>
            <w:r>
              <w:rPr>
                <w:color w:val="auto"/>
                <w:spacing w:val="11"/>
                <w:highlight w:val="none"/>
              </w:rPr>
              <w:t>监理人中标法人单位未按合同约定或发包人要求，</w:t>
            </w:r>
            <w:r>
              <w:rPr>
                <w:color w:val="auto"/>
                <w:spacing w:val="10"/>
                <w:highlight w:val="none"/>
              </w:rPr>
              <w:t>对总监办进行监管和支持，</w:t>
            </w:r>
            <w:r>
              <w:rPr>
                <w:color w:val="auto"/>
                <w:spacing w:val="7"/>
                <w:highlight w:val="none"/>
              </w:rPr>
              <w:t>重要事项未提级管理，每次处以违约金</w:t>
            </w:r>
            <w:r>
              <w:rPr>
                <w:color w:val="auto"/>
                <w:spacing w:val="-27"/>
                <w:highlight w:val="none"/>
              </w:rPr>
              <w:t xml:space="preserve"> </w:t>
            </w:r>
            <w:r>
              <w:rPr>
                <w:rFonts w:ascii="Calibri" w:hAnsi="Calibri" w:eastAsia="Calibri" w:cs="Calibri"/>
                <w:color w:val="auto"/>
                <w:spacing w:val="7"/>
                <w:highlight w:val="none"/>
                <w:u w:val="single" w:color="auto"/>
              </w:rPr>
              <w:t>5</w:t>
            </w:r>
            <w:r>
              <w:rPr>
                <w:rFonts w:ascii="Calibri" w:hAnsi="Calibri" w:eastAsia="Calibri" w:cs="Calibri"/>
                <w:color w:val="auto"/>
                <w:spacing w:val="23"/>
                <w:w w:val="101"/>
                <w:highlight w:val="none"/>
                <w:u w:val="single" w:color="auto"/>
              </w:rPr>
              <w:t xml:space="preserve"> </w:t>
            </w:r>
            <w:r>
              <w:rPr>
                <w:color w:val="auto"/>
                <w:spacing w:val="7"/>
                <w:highlight w:val="none"/>
              </w:rPr>
              <w:t>万元。</w:t>
            </w:r>
          </w:p>
        </w:tc>
      </w:tr>
      <w:tr w14:paraId="41C4E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134" w:hRule="atLeast"/>
        </w:trPr>
        <w:tc>
          <w:tcPr>
            <w:tcW w:w="610" w:type="dxa"/>
            <w:vMerge w:val="continue"/>
            <w:textDirection w:val="tbLrV"/>
            <w:vAlign w:val="center"/>
          </w:tcPr>
          <w:p w14:paraId="37354D2F">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26A5FE54">
            <w:pPr>
              <w:spacing w:line="281" w:lineRule="auto"/>
              <w:rPr>
                <w:rFonts w:ascii="Arial"/>
                <w:color w:val="auto"/>
                <w:sz w:val="21"/>
                <w:highlight w:val="none"/>
              </w:rPr>
            </w:pPr>
          </w:p>
          <w:p w14:paraId="75FDAB72">
            <w:pPr>
              <w:spacing w:before="58"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28</w:t>
            </w:r>
          </w:p>
        </w:tc>
        <w:tc>
          <w:tcPr>
            <w:tcW w:w="7366" w:type="dxa"/>
            <w:vAlign w:val="top"/>
          </w:tcPr>
          <w:p w14:paraId="34F46C71">
            <w:pPr>
              <w:pStyle w:val="23"/>
              <w:spacing w:before="117" w:line="262" w:lineRule="auto"/>
              <w:ind w:left="121" w:right="114" w:hanging="4"/>
              <w:rPr>
                <w:color w:val="auto"/>
                <w:highlight w:val="none"/>
              </w:rPr>
            </w:pPr>
            <w:r>
              <w:rPr>
                <w:color w:val="auto"/>
                <w:spacing w:val="13"/>
                <w:highlight w:val="none"/>
              </w:rPr>
              <w:t>监理人未按合同约定或发包人要求组织监理人员适岗培训，每次处以违约金</w:t>
            </w:r>
            <w:r>
              <w:rPr>
                <w:color w:val="auto"/>
                <w:spacing w:val="-32"/>
                <w:highlight w:val="none"/>
              </w:rPr>
              <w:t xml:space="preserve"> </w:t>
            </w:r>
            <w:r>
              <w:rPr>
                <w:rFonts w:ascii="Calibri" w:hAnsi="Calibri" w:eastAsia="Calibri" w:cs="Calibri"/>
                <w:color w:val="auto"/>
                <w:spacing w:val="13"/>
                <w:highlight w:val="none"/>
                <w:u w:val="single" w:color="auto"/>
              </w:rPr>
              <w:t>5</w:t>
            </w:r>
            <w:r>
              <w:rPr>
                <w:color w:val="auto"/>
                <w:spacing w:val="1"/>
                <w:highlight w:val="none"/>
              </w:rPr>
              <w:t>万元。</w:t>
            </w:r>
          </w:p>
        </w:tc>
      </w:tr>
      <w:tr w14:paraId="695F4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134" w:hRule="atLeast"/>
        </w:trPr>
        <w:tc>
          <w:tcPr>
            <w:tcW w:w="610" w:type="dxa"/>
            <w:vMerge w:val="continue"/>
            <w:textDirection w:val="tbLrV"/>
            <w:vAlign w:val="center"/>
          </w:tcPr>
          <w:p w14:paraId="05CBB6AD">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4061D809">
            <w:pPr>
              <w:spacing w:before="181"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29</w:t>
            </w:r>
          </w:p>
        </w:tc>
        <w:tc>
          <w:tcPr>
            <w:tcW w:w="7366" w:type="dxa"/>
            <w:vAlign w:val="top"/>
          </w:tcPr>
          <w:p w14:paraId="38D0CDDC">
            <w:pPr>
              <w:pStyle w:val="23"/>
              <w:spacing w:before="126" w:line="266" w:lineRule="auto"/>
              <w:ind w:left="121" w:right="114"/>
              <w:rPr>
                <w:color w:val="auto"/>
                <w:highlight w:val="none"/>
              </w:rPr>
            </w:pPr>
            <w:r>
              <w:rPr>
                <w:color w:val="auto"/>
                <w:spacing w:val="13"/>
                <w:highlight w:val="none"/>
              </w:rPr>
              <w:t>总监办未按合同约定工作内容，积极协助发包人进行管理，每次处</w:t>
            </w:r>
            <w:r>
              <w:rPr>
                <w:color w:val="auto"/>
                <w:spacing w:val="12"/>
                <w:highlight w:val="none"/>
              </w:rPr>
              <w:t>以违约金</w:t>
            </w:r>
            <w:r>
              <w:rPr>
                <w:color w:val="auto"/>
                <w:spacing w:val="-32"/>
                <w:highlight w:val="none"/>
              </w:rPr>
              <w:t xml:space="preserve"> </w:t>
            </w:r>
            <w:r>
              <w:rPr>
                <w:rFonts w:ascii="Calibri" w:hAnsi="Calibri" w:eastAsia="Calibri" w:cs="Calibri"/>
                <w:color w:val="auto"/>
                <w:spacing w:val="12"/>
                <w:highlight w:val="none"/>
              </w:rPr>
              <w:t>5</w:t>
            </w:r>
            <w:r>
              <w:rPr>
                <w:color w:val="auto"/>
                <w:spacing w:val="1"/>
                <w:highlight w:val="none"/>
              </w:rPr>
              <w:t>万元。</w:t>
            </w:r>
          </w:p>
        </w:tc>
      </w:tr>
      <w:tr w14:paraId="0FF30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90" w:hRule="atLeast"/>
        </w:trPr>
        <w:tc>
          <w:tcPr>
            <w:tcW w:w="610" w:type="dxa"/>
            <w:vMerge w:val="continue"/>
            <w:textDirection w:val="tbLrV"/>
            <w:vAlign w:val="center"/>
          </w:tcPr>
          <w:p w14:paraId="2B7C0C4A">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b/>
                <w:bCs/>
                <w:color w:val="auto"/>
                <w:highlight w:val="none"/>
              </w:rPr>
            </w:pPr>
          </w:p>
        </w:tc>
        <w:tc>
          <w:tcPr>
            <w:tcW w:w="845" w:type="dxa"/>
            <w:vAlign w:val="top"/>
          </w:tcPr>
          <w:p w14:paraId="56638DB0">
            <w:pPr>
              <w:spacing w:line="336" w:lineRule="auto"/>
              <w:rPr>
                <w:rFonts w:ascii="Arial"/>
                <w:color w:val="auto"/>
                <w:sz w:val="21"/>
                <w:highlight w:val="none"/>
              </w:rPr>
            </w:pPr>
          </w:p>
          <w:p w14:paraId="361886AB">
            <w:pPr>
              <w:spacing w:line="337" w:lineRule="auto"/>
              <w:rPr>
                <w:rFonts w:ascii="Arial"/>
                <w:color w:val="auto"/>
                <w:sz w:val="21"/>
                <w:highlight w:val="none"/>
              </w:rPr>
            </w:pPr>
          </w:p>
          <w:p w14:paraId="76497FB9">
            <w:pPr>
              <w:spacing w:before="58" w:line="195" w:lineRule="auto"/>
              <w:ind w:left="33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30</w:t>
            </w:r>
          </w:p>
        </w:tc>
        <w:tc>
          <w:tcPr>
            <w:tcW w:w="7366" w:type="dxa"/>
            <w:vAlign w:val="top"/>
          </w:tcPr>
          <w:p w14:paraId="2631F976">
            <w:pPr>
              <w:pStyle w:val="23"/>
              <w:spacing w:before="117" w:line="282" w:lineRule="auto"/>
              <w:ind w:left="118" w:right="114" w:hanging="2"/>
              <w:rPr>
                <w:color w:val="auto"/>
                <w:highlight w:val="none"/>
              </w:rPr>
            </w:pPr>
            <w:r>
              <w:rPr>
                <w:color w:val="auto"/>
                <w:spacing w:val="11"/>
                <w:highlight w:val="none"/>
              </w:rPr>
              <w:t>对施工单位的《项目管理方案》审查不到位，视情况处每次</w:t>
            </w:r>
            <w:r>
              <w:rPr>
                <w:color w:val="auto"/>
                <w:spacing w:val="-10"/>
                <w:highlight w:val="none"/>
              </w:rPr>
              <w:t xml:space="preserve"> </w:t>
            </w:r>
            <w:r>
              <w:rPr>
                <w:rFonts w:ascii="Calibri" w:hAnsi="Calibri" w:eastAsia="Calibri" w:cs="Calibri"/>
                <w:color w:val="auto"/>
                <w:spacing w:val="11"/>
                <w:highlight w:val="none"/>
              </w:rPr>
              <w:t>1</w:t>
            </w:r>
            <w:r>
              <w:rPr>
                <w:rFonts w:ascii="Calibri" w:hAnsi="Calibri" w:eastAsia="Calibri" w:cs="Calibri"/>
                <w:color w:val="auto"/>
                <w:spacing w:val="28"/>
                <w:w w:val="101"/>
                <w:highlight w:val="none"/>
              </w:rPr>
              <w:t xml:space="preserve"> </w:t>
            </w:r>
            <w:r>
              <w:rPr>
                <w:color w:val="auto"/>
                <w:spacing w:val="11"/>
                <w:highlight w:val="none"/>
              </w:rPr>
              <w:t>万—</w:t>
            </w:r>
            <w:r>
              <w:rPr>
                <w:rFonts w:ascii="Calibri" w:hAnsi="Calibri" w:eastAsia="Calibri" w:cs="Calibri"/>
                <w:color w:val="auto"/>
                <w:spacing w:val="11"/>
                <w:highlight w:val="none"/>
              </w:rPr>
              <w:t>2</w:t>
            </w:r>
            <w:r>
              <w:rPr>
                <w:rFonts w:ascii="Calibri" w:hAnsi="Calibri" w:eastAsia="Calibri" w:cs="Calibri"/>
                <w:color w:val="auto"/>
                <w:spacing w:val="27"/>
                <w:w w:val="101"/>
                <w:highlight w:val="none"/>
              </w:rPr>
              <w:t xml:space="preserve"> </w:t>
            </w:r>
            <w:r>
              <w:rPr>
                <w:color w:val="auto"/>
                <w:spacing w:val="11"/>
                <w:highlight w:val="none"/>
              </w:rPr>
              <w:t>万元违约</w:t>
            </w:r>
            <w:r>
              <w:rPr>
                <w:color w:val="auto"/>
                <w:spacing w:val="-1"/>
                <w:highlight w:val="none"/>
              </w:rPr>
              <w:t>金。</w:t>
            </w:r>
          </w:p>
          <w:p w14:paraId="54881148">
            <w:pPr>
              <w:pStyle w:val="23"/>
              <w:spacing w:before="78" w:line="228" w:lineRule="auto"/>
              <w:ind w:left="120"/>
              <w:rPr>
                <w:color w:val="auto"/>
                <w:highlight w:val="none"/>
              </w:rPr>
            </w:pPr>
            <w:r>
              <w:rPr>
                <w:color w:val="auto"/>
                <w:spacing w:val="5"/>
                <w:highlight w:val="none"/>
              </w:rPr>
              <w:t>未按时检查处以违约金</w:t>
            </w:r>
            <w:r>
              <w:rPr>
                <w:color w:val="auto"/>
                <w:spacing w:val="-31"/>
                <w:highlight w:val="none"/>
              </w:rPr>
              <w:t xml:space="preserve"> </w:t>
            </w:r>
            <w:r>
              <w:rPr>
                <w:rFonts w:ascii="Calibri" w:hAnsi="Calibri" w:eastAsia="Calibri" w:cs="Calibri"/>
                <w:color w:val="auto"/>
                <w:spacing w:val="5"/>
                <w:highlight w:val="none"/>
              </w:rPr>
              <w:t>0.5</w:t>
            </w:r>
            <w:r>
              <w:rPr>
                <w:rFonts w:ascii="Calibri" w:hAnsi="Calibri" w:eastAsia="Calibri" w:cs="Calibri"/>
                <w:color w:val="auto"/>
                <w:spacing w:val="26"/>
                <w:highlight w:val="none"/>
              </w:rPr>
              <w:t xml:space="preserve"> </w:t>
            </w:r>
            <w:r>
              <w:rPr>
                <w:color w:val="auto"/>
                <w:spacing w:val="5"/>
                <w:highlight w:val="none"/>
              </w:rPr>
              <w:t>万—</w:t>
            </w:r>
            <w:r>
              <w:rPr>
                <w:rFonts w:ascii="Calibri" w:hAnsi="Calibri" w:eastAsia="Calibri" w:cs="Calibri"/>
                <w:color w:val="auto"/>
                <w:spacing w:val="5"/>
                <w:highlight w:val="none"/>
              </w:rPr>
              <w:t>1</w:t>
            </w:r>
            <w:r>
              <w:rPr>
                <w:rFonts w:ascii="Calibri" w:hAnsi="Calibri" w:eastAsia="Calibri" w:cs="Calibri"/>
                <w:color w:val="auto"/>
                <w:spacing w:val="23"/>
                <w:highlight w:val="none"/>
              </w:rPr>
              <w:t xml:space="preserve"> </w:t>
            </w:r>
            <w:r>
              <w:rPr>
                <w:color w:val="auto"/>
                <w:spacing w:val="5"/>
                <w:highlight w:val="none"/>
              </w:rPr>
              <w:t>万元。</w:t>
            </w:r>
          </w:p>
          <w:p w14:paraId="08749DBA">
            <w:pPr>
              <w:pStyle w:val="23"/>
              <w:spacing w:before="149" w:line="211" w:lineRule="auto"/>
              <w:ind w:left="116"/>
              <w:rPr>
                <w:color w:val="auto"/>
                <w:sz w:val="22"/>
                <w:szCs w:val="22"/>
                <w:highlight w:val="none"/>
              </w:rPr>
            </w:pPr>
            <w:r>
              <w:rPr>
                <w:color w:val="auto"/>
                <w:spacing w:val="7"/>
                <w:highlight w:val="none"/>
              </w:rPr>
              <w:t>检查不到位，没有及时督促整改处以违约金</w:t>
            </w:r>
            <w:r>
              <w:rPr>
                <w:color w:val="auto"/>
                <w:spacing w:val="-37"/>
                <w:highlight w:val="none"/>
              </w:rPr>
              <w:t xml:space="preserve"> </w:t>
            </w:r>
            <w:r>
              <w:rPr>
                <w:rFonts w:ascii="Calibri" w:hAnsi="Calibri" w:eastAsia="Calibri" w:cs="Calibri"/>
                <w:color w:val="auto"/>
                <w:spacing w:val="7"/>
                <w:highlight w:val="none"/>
              </w:rPr>
              <w:t>0.5</w:t>
            </w:r>
            <w:r>
              <w:rPr>
                <w:rFonts w:ascii="Calibri" w:hAnsi="Calibri" w:eastAsia="Calibri" w:cs="Calibri"/>
                <w:color w:val="auto"/>
                <w:spacing w:val="23"/>
                <w:highlight w:val="none"/>
              </w:rPr>
              <w:t xml:space="preserve"> </w:t>
            </w:r>
            <w:r>
              <w:rPr>
                <w:color w:val="auto"/>
                <w:spacing w:val="7"/>
                <w:highlight w:val="none"/>
              </w:rPr>
              <w:t>万—</w:t>
            </w:r>
            <w:r>
              <w:rPr>
                <w:rFonts w:ascii="Calibri" w:hAnsi="Calibri" w:eastAsia="Calibri" w:cs="Calibri"/>
                <w:color w:val="auto"/>
                <w:spacing w:val="7"/>
                <w:highlight w:val="none"/>
              </w:rPr>
              <w:t>1</w:t>
            </w:r>
            <w:r>
              <w:rPr>
                <w:rFonts w:ascii="Calibri" w:hAnsi="Calibri" w:eastAsia="Calibri" w:cs="Calibri"/>
                <w:color w:val="auto"/>
                <w:spacing w:val="25"/>
                <w:w w:val="101"/>
                <w:highlight w:val="none"/>
              </w:rPr>
              <w:t xml:space="preserve"> </w:t>
            </w:r>
            <w:r>
              <w:rPr>
                <w:color w:val="auto"/>
                <w:spacing w:val="7"/>
                <w:highlight w:val="none"/>
              </w:rPr>
              <w:t>万元</w:t>
            </w:r>
            <w:r>
              <w:rPr>
                <w:color w:val="auto"/>
                <w:spacing w:val="7"/>
                <w:sz w:val="22"/>
                <w:szCs w:val="22"/>
                <w:highlight w:val="none"/>
              </w:rPr>
              <w:t>。</w:t>
            </w:r>
          </w:p>
        </w:tc>
      </w:tr>
      <w:tr w14:paraId="1F10F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90" w:hRule="atLeast"/>
        </w:trPr>
        <w:tc>
          <w:tcPr>
            <w:tcW w:w="610" w:type="dxa"/>
            <w:vMerge w:val="restart"/>
            <w:textDirection w:val="tbLrV"/>
            <w:vAlign w:val="center"/>
          </w:tcPr>
          <w:p w14:paraId="7EAAF78E">
            <w:pPr>
              <w:pStyle w:val="23"/>
              <w:keepNext w:val="0"/>
              <w:keepLines w:val="0"/>
              <w:pageBreakBefore w:val="0"/>
              <w:widowControl/>
              <w:kinsoku w:val="0"/>
              <w:wordWrap/>
              <w:overflowPunct/>
              <w:topLinePunct w:val="0"/>
              <w:autoSpaceDE w:val="0"/>
              <w:autoSpaceDN w:val="0"/>
              <w:bidi w:val="0"/>
              <w:adjustRightInd/>
              <w:snapToGrid/>
              <w:spacing w:line="240" w:lineRule="auto"/>
              <w:ind w:left="113" w:right="113" w:rightChars="0"/>
              <w:jc w:val="center"/>
              <w:textAlignment w:val="baseline"/>
              <w:rPr>
                <w:rFonts w:ascii="Calibri" w:hAnsi="Calibri" w:eastAsia="Calibri" w:cs="Calibri"/>
                <w:b/>
                <w:bCs/>
                <w:color w:val="auto"/>
                <w:spacing w:val="7"/>
                <w:highlight w:val="none"/>
                <w:u w:val="single" w:color="auto"/>
              </w:rPr>
            </w:pPr>
            <w:r>
              <w:rPr>
                <w:rFonts w:hint="eastAsia"/>
                <w:b/>
                <w:bCs/>
                <w:color w:val="auto"/>
                <w:highlight w:val="none"/>
                <w:lang w:val="en-US" w:eastAsia="zh-CN"/>
              </w:rPr>
              <w:t>安全罚款</w:t>
            </w:r>
          </w:p>
        </w:tc>
        <w:tc>
          <w:tcPr>
            <w:tcW w:w="845" w:type="dxa"/>
            <w:vAlign w:val="top"/>
          </w:tcPr>
          <w:p w14:paraId="47737E52">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1</w:t>
            </w:r>
          </w:p>
        </w:tc>
        <w:tc>
          <w:tcPr>
            <w:tcW w:w="7366" w:type="dxa"/>
            <w:vAlign w:val="top"/>
          </w:tcPr>
          <w:p w14:paraId="5CCB0CF3">
            <w:pPr>
              <w:pStyle w:val="23"/>
              <w:spacing w:before="130" w:line="221" w:lineRule="auto"/>
              <w:ind w:left="223"/>
              <w:rPr>
                <w:rFonts w:ascii="Times New Roman" w:hAnsi="Times New Roman" w:eastAsia="Times New Roman" w:cs="Times New Roman"/>
                <w:color w:val="auto"/>
                <w:highlight w:val="none"/>
              </w:rPr>
            </w:pPr>
            <w:r>
              <w:rPr>
                <w:color w:val="auto"/>
                <w:spacing w:val="8"/>
                <w:highlight w:val="none"/>
              </w:rPr>
              <w:t>监理人员违反施工现场安全管理规定的，每人次罚款</w:t>
            </w:r>
            <w:r>
              <w:rPr>
                <w:color w:val="auto"/>
                <w:spacing w:val="-37"/>
                <w:highlight w:val="none"/>
              </w:rPr>
              <w:t xml:space="preserve"> </w:t>
            </w:r>
            <w:r>
              <w:rPr>
                <w:rFonts w:ascii="Times New Roman" w:hAnsi="Times New Roman" w:eastAsia="Times New Roman" w:cs="Times New Roman"/>
                <w:color w:val="auto"/>
                <w:spacing w:val="8"/>
                <w:highlight w:val="none"/>
              </w:rPr>
              <w:t>5</w:t>
            </w:r>
            <w:r>
              <w:rPr>
                <w:rFonts w:ascii="Times New Roman" w:hAnsi="Times New Roman" w:eastAsia="Times New Roman" w:cs="Times New Roman"/>
                <w:color w:val="auto"/>
                <w:spacing w:val="7"/>
                <w:highlight w:val="none"/>
              </w:rPr>
              <w:t xml:space="preserve">00 </w:t>
            </w:r>
            <w:r>
              <w:rPr>
                <w:color w:val="auto"/>
                <w:spacing w:val="7"/>
                <w:highlight w:val="none"/>
              </w:rPr>
              <w:t>元</w:t>
            </w:r>
            <w:r>
              <w:rPr>
                <w:rFonts w:ascii="Times New Roman" w:hAnsi="Times New Roman" w:eastAsia="Times New Roman" w:cs="Times New Roman"/>
                <w:color w:val="auto"/>
                <w:spacing w:val="7"/>
                <w:highlight w:val="none"/>
              </w:rPr>
              <w:t>;</w:t>
            </w:r>
          </w:p>
        </w:tc>
      </w:tr>
      <w:tr w14:paraId="7B53C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7" w:hRule="atLeast"/>
        </w:trPr>
        <w:tc>
          <w:tcPr>
            <w:tcW w:w="610" w:type="dxa"/>
            <w:vMerge w:val="continue"/>
            <w:textDirection w:val="tbRlV"/>
            <w:vAlign w:val="top"/>
          </w:tcPr>
          <w:p w14:paraId="07773B0B">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6CEE628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12CC86FF">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2</w:t>
            </w:r>
          </w:p>
        </w:tc>
        <w:tc>
          <w:tcPr>
            <w:tcW w:w="7366" w:type="dxa"/>
            <w:vAlign w:val="top"/>
          </w:tcPr>
          <w:p w14:paraId="32B9754F">
            <w:pPr>
              <w:pStyle w:val="23"/>
              <w:spacing w:before="121" w:line="261" w:lineRule="auto"/>
              <w:ind w:left="225" w:right="301" w:hanging="4"/>
              <w:rPr>
                <w:rFonts w:ascii="Times New Roman" w:hAnsi="Times New Roman" w:eastAsia="Times New Roman" w:cs="Times New Roman"/>
                <w:color w:val="auto"/>
                <w:highlight w:val="none"/>
              </w:rPr>
            </w:pPr>
            <w:r>
              <w:rPr>
                <w:color w:val="auto"/>
                <w:spacing w:val="10"/>
                <w:highlight w:val="none"/>
              </w:rPr>
              <w:t>施工现场存在严重安全隐患，监理人未及时发现或发</w:t>
            </w:r>
            <w:r>
              <w:rPr>
                <w:color w:val="auto"/>
                <w:spacing w:val="9"/>
                <w:highlight w:val="none"/>
              </w:rPr>
              <w:t>现后未采取措施的，每</w:t>
            </w:r>
            <w:r>
              <w:rPr>
                <w:color w:val="auto"/>
                <w:spacing w:val="3"/>
                <w:highlight w:val="none"/>
              </w:rPr>
              <w:t>项罚款</w:t>
            </w:r>
            <w:r>
              <w:rPr>
                <w:color w:val="auto"/>
                <w:spacing w:val="-37"/>
                <w:highlight w:val="none"/>
              </w:rPr>
              <w:t xml:space="preserve"> </w:t>
            </w:r>
            <w:r>
              <w:rPr>
                <w:rFonts w:ascii="Times New Roman" w:hAnsi="Times New Roman" w:eastAsia="Times New Roman" w:cs="Times New Roman"/>
                <w:color w:val="auto"/>
                <w:spacing w:val="3"/>
                <w:highlight w:val="none"/>
              </w:rPr>
              <w:t xml:space="preserve">3000 </w:t>
            </w:r>
            <w:r>
              <w:rPr>
                <w:color w:val="auto"/>
                <w:spacing w:val="3"/>
                <w:highlight w:val="none"/>
              </w:rPr>
              <w:t>元</w:t>
            </w:r>
            <w:r>
              <w:rPr>
                <w:rFonts w:ascii="Times New Roman" w:hAnsi="Times New Roman" w:eastAsia="Times New Roman" w:cs="Times New Roman"/>
                <w:color w:val="auto"/>
                <w:spacing w:val="3"/>
                <w:highlight w:val="none"/>
              </w:rPr>
              <w:t>;</w:t>
            </w:r>
          </w:p>
        </w:tc>
      </w:tr>
      <w:tr w14:paraId="2DB3C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7" w:hRule="atLeast"/>
        </w:trPr>
        <w:tc>
          <w:tcPr>
            <w:tcW w:w="610" w:type="dxa"/>
            <w:vMerge w:val="continue"/>
            <w:textDirection w:val="tbRlV"/>
            <w:vAlign w:val="top"/>
          </w:tcPr>
          <w:p w14:paraId="33989E6C">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5EC2DDD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7E33C4B3">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3</w:t>
            </w:r>
          </w:p>
        </w:tc>
        <w:tc>
          <w:tcPr>
            <w:tcW w:w="7366" w:type="dxa"/>
            <w:vAlign w:val="top"/>
          </w:tcPr>
          <w:p w14:paraId="5145CD70">
            <w:pPr>
              <w:pStyle w:val="23"/>
              <w:spacing w:before="121" w:line="261" w:lineRule="auto"/>
              <w:ind w:left="230" w:right="301" w:hanging="9"/>
              <w:rPr>
                <w:rFonts w:ascii="Times New Roman" w:hAnsi="Times New Roman" w:eastAsia="Times New Roman" w:cs="Times New Roman"/>
                <w:color w:val="auto"/>
                <w:highlight w:val="none"/>
              </w:rPr>
            </w:pPr>
            <w:r>
              <w:rPr>
                <w:color w:val="auto"/>
                <w:spacing w:val="10"/>
                <w:highlight w:val="none"/>
              </w:rPr>
              <w:t>施工单位未按规定整改期限及时整改安全隐患，监理</w:t>
            </w:r>
            <w:r>
              <w:rPr>
                <w:color w:val="auto"/>
                <w:spacing w:val="9"/>
                <w:highlight w:val="none"/>
              </w:rPr>
              <w:t>人未采取措施的，每项</w:t>
            </w:r>
            <w:r>
              <w:rPr>
                <w:color w:val="auto"/>
                <w:highlight w:val="none"/>
              </w:rPr>
              <w:t>罚款</w:t>
            </w:r>
            <w:r>
              <w:rPr>
                <w:color w:val="auto"/>
                <w:spacing w:val="-23"/>
                <w:highlight w:val="none"/>
              </w:rPr>
              <w:t xml:space="preserve"> </w:t>
            </w:r>
            <w:r>
              <w:rPr>
                <w:rFonts w:ascii="Times New Roman" w:hAnsi="Times New Roman" w:eastAsia="Times New Roman" w:cs="Times New Roman"/>
                <w:color w:val="auto"/>
                <w:highlight w:val="none"/>
              </w:rPr>
              <w:t xml:space="preserve">1000 </w:t>
            </w:r>
            <w:r>
              <w:rPr>
                <w:color w:val="auto"/>
                <w:highlight w:val="none"/>
              </w:rPr>
              <w:t>元</w:t>
            </w:r>
            <w:r>
              <w:rPr>
                <w:rFonts w:ascii="Times New Roman" w:hAnsi="Times New Roman" w:eastAsia="Times New Roman" w:cs="Times New Roman"/>
                <w:color w:val="auto"/>
                <w:highlight w:val="none"/>
              </w:rPr>
              <w:t>;</w:t>
            </w:r>
          </w:p>
        </w:tc>
      </w:tr>
      <w:tr w14:paraId="16ACB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3726" w:hRule="atLeast"/>
        </w:trPr>
        <w:tc>
          <w:tcPr>
            <w:tcW w:w="610" w:type="dxa"/>
            <w:vMerge w:val="continue"/>
            <w:textDirection w:val="tbRlV"/>
            <w:vAlign w:val="top"/>
          </w:tcPr>
          <w:p w14:paraId="33AF195A">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33B41BB0">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FB02EF3">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5E0DA5A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6746598B">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2A134637">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4C6340BE">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692BA7F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27CACE58">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4</w:t>
            </w:r>
          </w:p>
        </w:tc>
        <w:tc>
          <w:tcPr>
            <w:tcW w:w="7366" w:type="dxa"/>
            <w:vAlign w:val="top"/>
          </w:tcPr>
          <w:p w14:paraId="7FF7221F">
            <w:pPr>
              <w:pStyle w:val="23"/>
              <w:spacing w:before="119" w:line="227" w:lineRule="auto"/>
              <w:ind w:left="221"/>
              <w:rPr>
                <w:color w:val="auto"/>
                <w:highlight w:val="none"/>
              </w:rPr>
            </w:pPr>
            <w:r>
              <w:rPr>
                <w:color w:val="auto"/>
                <w:spacing w:val="8"/>
                <w:highlight w:val="none"/>
              </w:rPr>
              <w:t>施工单位存在下列情况，监理人未采取措施的，每项罚款</w:t>
            </w:r>
            <w:r>
              <w:rPr>
                <w:color w:val="auto"/>
                <w:spacing w:val="-43"/>
                <w:highlight w:val="none"/>
              </w:rPr>
              <w:t xml:space="preserve"> </w:t>
            </w:r>
            <w:r>
              <w:rPr>
                <w:rFonts w:ascii="Times New Roman" w:hAnsi="Times New Roman" w:eastAsia="Times New Roman" w:cs="Times New Roman"/>
                <w:color w:val="auto"/>
                <w:spacing w:val="8"/>
                <w:highlight w:val="none"/>
              </w:rPr>
              <w:t xml:space="preserve">2000 </w:t>
            </w:r>
            <w:r>
              <w:rPr>
                <w:color w:val="auto"/>
                <w:spacing w:val="8"/>
                <w:highlight w:val="none"/>
              </w:rPr>
              <w:t>元：</w:t>
            </w:r>
          </w:p>
          <w:p w14:paraId="009A6D2D">
            <w:pPr>
              <w:pStyle w:val="23"/>
              <w:spacing w:before="143" w:line="226" w:lineRule="auto"/>
              <w:ind w:left="232"/>
              <w:rPr>
                <w:color w:val="auto"/>
                <w:highlight w:val="none"/>
              </w:rPr>
            </w:pPr>
            <w:r>
              <w:rPr>
                <w:color w:val="auto"/>
                <w:spacing w:val="8"/>
                <w:highlight w:val="none"/>
              </w:rPr>
              <w:t>（一）未按规定开展桥梁隧道工程施工安全风险评估的。</w:t>
            </w:r>
          </w:p>
          <w:p w14:paraId="7E48FD20">
            <w:pPr>
              <w:pStyle w:val="23"/>
              <w:spacing w:before="145" w:line="254" w:lineRule="auto"/>
              <w:ind w:left="223" w:right="205" w:firstLine="9"/>
              <w:rPr>
                <w:color w:val="auto"/>
                <w:highlight w:val="none"/>
              </w:rPr>
            </w:pPr>
            <w:r>
              <w:rPr>
                <w:color w:val="auto"/>
                <w:spacing w:val="12"/>
                <w:highlight w:val="none"/>
              </w:rPr>
              <w:t>（二）未按规定完成专项施工安全技术方案的编制、论证、审核、审批手续</w:t>
            </w:r>
            <w:r>
              <w:rPr>
                <w:color w:val="auto"/>
                <w:spacing w:val="6"/>
                <w:highlight w:val="none"/>
              </w:rPr>
              <w:t>而擅自施工的。</w:t>
            </w:r>
          </w:p>
          <w:p w14:paraId="05A64D08">
            <w:pPr>
              <w:pStyle w:val="23"/>
              <w:spacing w:before="141" w:line="228" w:lineRule="auto"/>
              <w:ind w:left="232"/>
              <w:rPr>
                <w:color w:val="auto"/>
                <w:highlight w:val="none"/>
              </w:rPr>
            </w:pPr>
            <w:r>
              <w:rPr>
                <w:color w:val="auto"/>
                <w:spacing w:val="8"/>
                <w:highlight w:val="none"/>
              </w:rPr>
              <w:t>（三）未按已审批专项方案的安全技术要求施工的。</w:t>
            </w:r>
          </w:p>
          <w:p w14:paraId="40282AE7">
            <w:pPr>
              <w:pStyle w:val="23"/>
              <w:spacing w:before="144" w:line="228" w:lineRule="auto"/>
              <w:ind w:left="232"/>
              <w:rPr>
                <w:color w:val="auto"/>
                <w:highlight w:val="none"/>
              </w:rPr>
            </w:pPr>
            <w:r>
              <w:rPr>
                <w:color w:val="auto"/>
                <w:spacing w:val="9"/>
                <w:highlight w:val="none"/>
              </w:rPr>
              <w:t>（四）危险性较大分部分项工程未经组织验收而擅自开展下一步施工的。</w:t>
            </w:r>
          </w:p>
          <w:p w14:paraId="04C486A5">
            <w:pPr>
              <w:pStyle w:val="23"/>
              <w:spacing w:before="142" w:line="252" w:lineRule="auto"/>
              <w:ind w:left="222" w:right="205" w:firstLine="10"/>
              <w:rPr>
                <w:color w:val="auto"/>
                <w:highlight w:val="none"/>
              </w:rPr>
            </w:pPr>
            <w:r>
              <w:rPr>
                <w:color w:val="auto"/>
                <w:spacing w:val="12"/>
                <w:highlight w:val="none"/>
              </w:rPr>
              <w:t>（五）未按规定办理爆破工程施工、涉石油天燃气管道施工、跨路施工、交</w:t>
            </w:r>
            <w:r>
              <w:rPr>
                <w:color w:val="auto"/>
                <w:spacing w:val="9"/>
                <w:highlight w:val="none"/>
              </w:rPr>
              <w:t>通管制及水上水下作业的相关安全许可手续而擅自施工的。</w:t>
            </w:r>
          </w:p>
          <w:p w14:paraId="70D65695">
            <w:pPr>
              <w:pStyle w:val="23"/>
              <w:spacing w:before="145" w:line="227" w:lineRule="auto"/>
              <w:ind w:left="232"/>
              <w:rPr>
                <w:color w:val="auto"/>
                <w:highlight w:val="none"/>
              </w:rPr>
            </w:pPr>
            <w:r>
              <w:rPr>
                <w:color w:val="auto"/>
                <w:spacing w:val="9"/>
                <w:highlight w:val="none"/>
              </w:rPr>
              <w:t>（六）所使用的特种设备未经生产许可或未经专业检测机构检验合格的。</w:t>
            </w:r>
          </w:p>
          <w:p w14:paraId="1B64D2E3">
            <w:pPr>
              <w:pStyle w:val="23"/>
              <w:spacing w:before="142" w:line="228" w:lineRule="auto"/>
              <w:ind w:left="232"/>
              <w:rPr>
                <w:color w:val="auto"/>
                <w:highlight w:val="none"/>
              </w:rPr>
            </w:pPr>
            <w:r>
              <w:rPr>
                <w:color w:val="auto"/>
                <w:spacing w:val="8"/>
                <w:highlight w:val="none"/>
              </w:rPr>
              <w:t>（七）未按照上级文件要求贯彻落实实名制系统。</w:t>
            </w:r>
          </w:p>
        </w:tc>
      </w:tr>
      <w:tr w14:paraId="707D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866" w:hRule="atLeast"/>
        </w:trPr>
        <w:tc>
          <w:tcPr>
            <w:tcW w:w="610" w:type="dxa"/>
            <w:vMerge w:val="continue"/>
            <w:textDirection w:val="tbRlV"/>
            <w:vAlign w:val="top"/>
          </w:tcPr>
          <w:p w14:paraId="2405FBFD">
            <w:pPr>
              <w:pStyle w:val="23"/>
              <w:spacing w:before="133" w:line="269" w:lineRule="auto"/>
              <w:ind w:left="119" w:right="101" w:firstLine="14"/>
              <w:jc w:val="both"/>
              <w:rPr>
                <w:rFonts w:ascii="Calibri" w:hAnsi="Calibri" w:eastAsia="Calibri" w:cs="Calibri"/>
                <w:color w:val="auto"/>
                <w:spacing w:val="7"/>
                <w:highlight w:val="none"/>
                <w:u w:val="single" w:color="auto"/>
              </w:rPr>
            </w:pPr>
          </w:p>
        </w:tc>
        <w:tc>
          <w:tcPr>
            <w:tcW w:w="845" w:type="dxa"/>
            <w:vAlign w:val="top"/>
          </w:tcPr>
          <w:p w14:paraId="2A966D85">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42D19148">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80AF22A">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p>
          <w:p w14:paraId="0241A179">
            <w:pPr>
              <w:pStyle w:val="23"/>
              <w:spacing w:before="133" w:line="269" w:lineRule="auto"/>
              <w:ind w:left="119" w:right="101" w:firstLine="14"/>
              <w:jc w:val="center"/>
              <w:rPr>
                <w:rFonts w:ascii="Calibri" w:hAnsi="Calibri" w:eastAsia="Calibri" w:cs="Calibri"/>
                <w:strike w:val="0"/>
                <w:dstrike w:val="0"/>
                <w:color w:val="auto"/>
                <w:spacing w:val="7"/>
                <w:highlight w:val="none"/>
                <w:u w:val="none" w:color="auto"/>
              </w:rPr>
            </w:pPr>
            <w:r>
              <w:rPr>
                <w:rFonts w:ascii="Calibri" w:hAnsi="Calibri" w:eastAsia="Calibri" w:cs="Calibri"/>
                <w:strike w:val="0"/>
                <w:dstrike w:val="0"/>
                <w:color w:val="auto"/>
                <w:spacing w:val="7"/>
                <w:highlight w:val="none"/>
                <w:u w:val="none" w:color="auto"/>
              </w:rPr>
              <w:t>5</w:t>
            </w:r>
          </w:p>
        </w:tc>
        <w:tc>
          <w:tcPr>
            <w:tcW w:w="7366" w:type="dxa"/>
            <w:vAlign w:val="top"/>
          </w:tcPr>
          <w:p w14:paraId="3A0A5DD5">
            <w:pPr>
              <w:pStyle w:val="23"/>
              <w:spacing w:before="123"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2000 </w:t>
            </w:r>
            <w:r>
              <w:rPr>
                <w:color w:val="auto"/>
                <w:spacing w:val="6"/>
                <w:highlight w:val="none"/>
              </w:rPr>
              <w:t>元：</w:t>
            </w:r>
          </w:p>
          <w:p w14:paraId="3ADE449C">
            <w:pPr>
              <w:pStyle w:val="23"/>
              <w:spacing w:before="142" w:line="227" w:lineRule="auto"/>
              <w:ind w:left="232"/>
              <w:rPr>
                <w:color w:val="auto"/>
                <w:highlight w:val="none"/>
              </w:rPr>
            </w:pPr>
            <w:r>
              <w:rPr>
                <w:color w:val="auto"/>
                <w:spacing w:val="9"/>
                <w:highlight w:val="none"/>
              </w:rPr>
              <w:t>（一）未按规定制定安全管理规章制度、安全监理规（计）</w:t>
            </w:r>
            <w:r>
              <w:rPr>
                <w:color w:val="auto"/>
                <w:spacing w:val="8"/>
                <w:highlight w:val="none"/>
              </w:rPr>
              <w:t>划的；</w:t>
            </w:r>
          </w:p>
          <w:p w14:paraId="4F15E03A">
            <w:pPr>
              <w:pStyle w:val="23"/>
              <w:keepNext w:val="0"/>
              <w:keepLines w:val="0"/>
              <w:pageBreakBefore w:val="0"/>
              <w:widowControl/>
              <w:kinsoku/>
              <w:wordWrap/>
              <w:overflowPunct/>
              <w:topLinePunct w:val="0"/>
              <w:autoSpaceDE w:val="0"/>
              <w:autoSpaceDN w:val="0"/>
              <w:bidi w:val="0"/>
              <w:adjustRightInd w:val="0"/>
              <w:snapToGrid w:val="0"/>
              <w:spacing w:before="143" w:line="252" w:lineRule="auto"/>
              <w:ind w:left="221" w:right="204" w:firstLine="11"/>
              <w:textAlignment w:val="baseline"/>
              <w:rPr>
                <w:color w:val="auto"/>
                <w:highlight w:val="none"/>
              </w:rPr>
            </w:pPr>
            <w:r>
              <w:rPr>
                <w:color w:val="auto"/>
                <w:spacing w:val="12"/>
                <w:highlight w:val="none"/>
              </w:rPr>
              <w:t>（二）未按制定的安全管理规章制度、安全监理规（计）划的要求开展安全</w:t>
            </w:r>
            <w:r>
              <w:rPr>
                <w:color w:val="auto"/>
                <w:spacing w:val="8"/>
                <w:highlight w:val="none"/>
              </w:rPr>
              <w:t>检查、安全会议、教育培训、安全技术交底、</w:t>
            </w:r>
            <w:r>
              <w:rPr>
                <w:color w:val="auto"/>
                <w:spacing w:val="-50"/>
                <w:highlight w:val="none"/>
              </w:rPr>
              <w:t xml:space="preserve"> </w:t>
            </w:r>
            <w:r>
              <w:rPr>
                <w:color w:val="auto"/>
                <w:spacing w:val="8"/>
                <w:highlight w:val="none"/>
              </w:rPr>
              <w:t>自我考评、建立</w:t>
            </w:r>
            <w:r>
              <w:rPr>
                <w:color w:val="auto"/>
                <w:spacing w:val="7"/>
                <w:highlight w:val="none"/>
              </w:rPr>
              <w:t>管理台账的；</w:t>
            </w:r>
          </w:p>
          <w:p w14:paraId="022B23BE">
            <w:pPr>
              <w:pStyle w:val="23"/>
              <w:spacing w:before="142" w:line="228" w:lineRule="auto"/>
              <w:ind w:left="232"/>
              <w:rPr>
                <w:color w:val="auto"/>
                <w:highlight w:val="none"/>
              </w:rPr>
            </w:pPr>
            <w:r>
              <w:rPr>
                <w:color w:val="auto"/>
                <w:spacing w:val="8"/>
                <w:highlight w:val="none"/>
              </w:rPr>
              <w:t>（三）未按规定报送安全管理资料的。</w:t>
            </w:r>
          </w:p>
        </w:tc>
      </w:tr>
      <w:tr w14:paraId="3F88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777" w:hRule="atLeast"/>
        </w:trPr>
        <w:tc>
          <w:tcPr>
            <w:tcW w:w="610" w:type="dxa"/>
            <w:vMerge w:val="continue"/>
            <w:textDirection w:val="tbRlV"/>
            <w:vAlign w:val="top"/>
          </w:tcPr>
          <w:p w14:paraId="323442BF">
            <w:pPr>
              <w:rPr>
                <w:rFonts w:ascii="Arial"/>
                <w:color w:val="auto"/>
                <w:sz w:val="21"/>
                <w:highlight w:val="none"/>
              </w:rPr>
            </w:pPr>
          </w:p>
        </w:tc>
        <w:tc>
          <w:tcPr>
            <w:tcW w:w="845" w:type="dxa"/>
            <w:vAlign w:val="top"/>
          </w:tcPr>
          <w:p w14:paraId="348DC4A1">
            <w:pPr>
              <w:spacing w:line="277" w:lineRule="auto"/>
              <w:jc w:val="center"/>
              <w:rPr>
                <w:rFonts w:ascii="Arial"/>
                <w:strike w:val="0"/>
                <w:dstrike w:val="0"/>
                <w:color w:val="auto"/>
                <w:sz w:val="21"/>
                <w:highlight w:val="none"/>
                <w:u w:val="none" w:color="auto"/>
              </w:rPr>
            </w:pPr>
          </w:p>
          <w:p w14:paraId="5D2A120A">
            <w:pPr>
              <w:spacing w:line="277" w:lineRule="auto"/>
              <w:jc w:val="center"/>
              <w:rPr>
                <w:rFonts w:ascii="Arial"/>
                <w:strike w:val="0"/>
                <w:dstrike w:val="0"/>
                <w:color w:val="auto"/>
                <w:sz w:val="21"/>
                <w:highlight w:val="none"/>
                <w:u w:val="none" w:color="auto"/>
              </w:rPr>
            </w:pPr>
          </w:p>
          <w:p w14:paraId="79E4C519">
            <w:pPr>
              <w:spacing w:line="278" w:lineRule="auto"/>
              <w:jc w:val="center"/>
              <w:rPr>
                <w:rFonts w:ascii="Arial"/>
                <w:strike w:val="0"/>
                <w:dstrike w:val="0"/>
                <w:color w:val="auto"/>
                <w:sz w:val="21"/>
                <w:highlight w:val="none"/>
                <w:u w:val="none" w:color="auto"/>
              </w:rPr>
            </w:pPr>
          </w:p>
          <w:p w14:paraId="1EE3C01F">
            <w:pPr>
              <w:spacing w:before="57" w:line="195" w:lineRule="auto"/>
              <w:ind w:left="377"/>
              <w:jc w:val="both"/>
              <w:rPr>
                <w:rFonts w:ascii="Times New Roman" w:hAnsi="Times New Roman" w:eastAsia="Times New Roman" w:cs="Times New Roman"/>
                <w:strike w:val="0"/>
                <w:dstrike w:val="0"/>
                <w:color w:val="auto"/>
                <w:sz w:val="20"/>
                <w:szCs w:val="20"/>
                <w:highlight w:val="none"/>
                <w:u w:val="none" w:color="auto"/>
              </w:rPr>
            </w:pPr>
            <w:r>
              <w:rPr>
                <w:rFonts w:ascii="Times New Roman" w:hAnsi="Times New Roman" w:eastAsia="Times New Roman" w:cs="Times New Roman"/>
                <w:strike w:val="0"/>
                <w:dstrike w:val="0"/>
                <w:color w:val="auto"/>
                <w:sz w:val="20"/>
                <w:szCs w:val="20"/>
                <w:highlight w:val="none"/>
                <w:u w:val="none" w:color="auto"/>
              </w:rPr>
              <w:t>6</w:t>
            </w:r>
          </w:p>
        </w:tc>
        <w:tc>
          <w:tcPr>
            <w:tcW w:w="7366" w:type="dxa"/>
            <w:vAlign w:val="top"/>
          </w:tcPr>
          <w:p w14:paraId="15273F56">
            <w:pPr>
              <w:pStyle w:val="23"/>
              <w:spacing w:before="121" w:line="228" w:lineRule="auto"/>
              <w:ind w:left="228"/>
              <w:rPr>
                <w:color w:val="auto"/>
                <w:highlight w:val="none"/>
              </w:rPr>
            </w:pPr>
            <w:r>
              <w:rPr>
                <w:color w:val="auto"/>
                <w:spacing w:val="6"/>
                <w:highlight w:val="none"/>
              </w:rPr>
              <w:t>总监办存在下列情况的，每次罚款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3000 </w:t>
            </w:r>
            <w:r>
              <w:rPr>
                <w:color w:val="auto"/>
                <w:spacing w:val="6"/>
                <w:highlight w:val="none"/>
              </w:rPr>
              <w:t>元：</w:t>
            </w:r>
          </w:p>
          <w:p w14:paraId="5FFAB652">
            <w:pPr>
              <w:pStyle w:val="23"/>
              <w:spacing w:before="143" w:line="253" w:lineRule="auto"/>
              <w:ind w:left="225" w:right="205" w:firstLine="6"/>
              <w:rPr>
                <w:color w:val="auto"/>
                <w:highlight w:val="none"/>
              </w:rPr>
            </w:pPr>
            <w:r>
              <w:rPr>
                <w:color w:val="auto"/>
                <w:spacing w:val="12"/>
                <w:highlight w:val="none"/>
              </w:rPr>
              <w:t>（一）总监办安全负责人及专职安全监理未经请假批准，未参加建设单位组</w:t>
            </w:r>
            <w:r>
              <w:rPr>
                <w:color w:val="auto"/>
                <w:spacing w:val="8"/>
                <w:highlight w:val="none"/>
              </w:rPr>
              <w:t>织的安全生产管理活动的。</w:t>
            </w:r>
          </w:p>
          <w:p w14:paraId="1F2CF3D4">
            <w:pPr>
              <w:pStyle w:val="23"/>
              <w:spacing w:before="144" w:line="252" w:lineRule="auto"/>
              <w:ind w:left="225" w:right="205" w:firstLine="7"/>
              <w:rPr>
                <w:color w:val="auto"/>
                <w:highlight w:val="none"/>
              </w:rPr>
            </w:pPr>
            <w:r>
              <w:rPr>
                <w:color w:val="auto"/>
                <w:spacing w:val="12"/>
                <w:highlight w:val="none"/>
              </w:rPr>
              <w:t>（二）爆破作业、预制梁吊装、大型构件吊装、大型设备拼装、挂篮移篮施</w:t>
            </w:r>
            <w:r>
              <w:rPr>
                <w:color w:val="auto"/>
                <w:spacing w:val="9"/>
                <w:highlight w:val="none"/>
              </w:rPr>
              <w:t>工、架桥机或移动模架移机施工现场无监理人员监督管理的。</w:t>
            </w:r>
          </w:p>
        </w:tc>
      </w:tr>
      <w:tr w14:paraId="74CFA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786" w:hRule="atLeast"/>
        </w:trPr>
        <w:tc>
          <w:tcPr>
            <w:tcW w:w="610" w:type="dxa"/>
            <w:vMerge w:val="continue"/>
            <w:textDirection w:val="tbRlV"/>
            <w:vAlign w:val="top"/>
          </w:tcPr>
          <w:p w14:paraId="6BC95352">
            <w:pPr>
              <w:rPr>
                <w:rFonts w:ascii="Arial"/>
                <w:color w:val="auto"/>
                <w:sz w:val="21"/>
                <w:highlight w:val="none"/>
              </w:rPr>
            </w:pPr>
          </w:p>
        </w:tc>
        <w:tc>
          <w:tcPr>
            <w:tcW w:w="845" w:type="dxa"/>
            <w:vAlign w:val="top"/>
          </w:tcPr>
          <w:p w14:paraId="49078E0E">
            <w:pPr>
              <w:spacing w:line="342" w:lineRule="auto"/>
              <w:rPr>
                <w:rFonts w:ascii="Arial"/>
                <w:color w:val="auto"/>
                <w:sz w:val="21"/>
                <w:highlight w:val="none"/>
              </w:rPr>
            </w:pPr>
          </w:p>
          <w:p w14:paraId="4221C934">
            <w:pPr>
              <w:spacing w:before="57" w:line="192" w:lineRule="auto"/>
              <w:ind w:left="376"/>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366" w:type="dxa"/>
            <w:vAlign w:val="top"/>
          </w:tcPr>
          <w:p w14:paraId="764D15E4">
            <w:pPr>
              <w:pStyle w:val="23"/>
              <w:spacing w:before="122"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5000 </w:t>
            </w:r>
            <w:r>
              <w:rPr>
                <w:color w:val="auto"/>
                <w:spacing w:val="6"/>
                <w:highlight w:val="none"/>
              </w:rPr>
              <w:t>元：</w:t>
            </w:r>
          </w:p>
          <w:p w14:paraId="42DEBE92">
            <w:pPr>
              <w:pStyle w:val="23"/>
              <w:spacing w:before="141" w:line="228" w:lineRule="auto"/>
              <w:ind w:left="232"/>
              <w:rPr>
                <w:color w:val="auto"/>
                <w:spacing w:val="12"/>
                <w:highlight w:val="none"/>
              </w:rPr>
            </w:pPr>
            <w:r>
              <w:rPr>
                <w:color w:val="auto"/>
                <w:spacing w:val="12"/>
                <w:highlight w:val="none"/>
              </w:rPr>
              <w:t>（一）未按规定及时审批施工组织设计、临时用电方案、专项施工安全技术</w:t>
            </w:r>
          </w:p>
          <w:p w14:paraId="61CA11B6">
            <w:pPr>
              <w:pStyle w:val="23"/>
              <w:spacing w:before="36" w:line="228" w:lineRule="auto"/>
              <w:ind w:left="221"/>
              <w:rPr>
                <w:color w:val="auto"/>
                <w:highlight w:val="none"/>
              </w:rPr>
            </w:pPr>
            <w:r>
              <w:rPr>
                <w:color w:val="auto"/>
                <w:spacing w:val="4"/>
                <w:highlight w:val="none"/>
              </w:rPr>
              <w:t>方案的。</w:t>
            </w:r>
          </w:p>
          <w:p w14:paraId="18BD187A">
            <w:pPr>
              <w:pStyle w:val="23"/>
              <w:spacing w:before="141" w:line="254" w:lineRule="auto"/>
              <w:ind w:left="221" w:right="205" w:firstLine="9"/>
              <w:rPr>
                <w:color w:val="auto"/>
                <w:highlight w:val="none"/>
              </w:rPr>
            </w:pPr>
            <w:r>
              <w:rPr>
                <w:color w:val="auto"/>
                <w:spacing w:val="12"/>
                <w:highlight w:val="none"/>
              </w:rPr>
              <w:t>（二）审批的施工组织设计、临时用电方案、专项施工安全技术方案存在严</w:t>
            </w:r>
            <w:r>
              <w:rPr>
                <w:color w:val="auto"/>
                <w:spacing w:val="5"/>
                <w:highlight w:val="none"/>
              </w:rPr>
              <w:t>重错漏的。</w:t>
            </w:r>
          </w:p>
          <w:p w14:paraId="6FD5A57C">
            <w:pPr>
              <w:pStyle w:val="23"/>
              <w:spacing w:before="140" w:line="228" w:lineRule="auto"/>
              <w:ind w:left="230"/>
              <w:rPr>
                <w:color w:val="auto"/>
                <w:highlight w:val="none"/>
              </w:rPr>
            </w:pPr>
            <w:r>
              <w:rPr>
                <w:color w:val="auto"/>
                <w:spacing w:val="7"/>
                <w:highlight w:val="none"/>
              </w:rPr>
              <w:t>（三）</w:t>
            </w:r>
            <w:r>
              <w:rPr>
                <w:color w:val="auto"/>
                <w:spacing w:val="-14"/>
                <w:highlight w:val="none"/>
              </w:rPr>
              <w:t xml:space="preserve"> </w:t>
            </w:r>
            <w:r>
              <w:rPr>
                <w:color w:val="auto"/>
                <w:spacing w:val="7"/>
                <w:highlight w:val="none"/>
              </w:rPr>
              <w:t>未按照上级文件要求贯彻落实实名制系统。</w:t>
            </w:r>
          </w:p>
        </w:tc>
      </w:tr>
      <w:tr w14:paraId="2C538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696" w:hRule="atLeast"/>
        </w:trPr>
        <w:tc>
          <w:tcPr>
            <w:tcW w:w="610" w:type="dxa"/>
            <w:vMerge w:val="continue"/>
            <w:vAlign w:val="top"/>
          </w:tcPr>
          <w:p w14:paraId="4BFFB479">
            <w:pPr>
              <w:rPr>
                <w:rFonts w:ascii="Arial"/>
                <w:color w:val="auto"/>
                <w:sz w:val="21"/>
                <w:highlight w:val="none"/>
              </w:rPr>
            </w:pPr>
          </w:p>
        </w:tc>
        <w:tc>
          <w:tcPr>
            <w:tcW w:w="845" w:type="dxa"/>
            <w:vAlign w:val="top"/>
          </w:tcPr>
          <w:p w14:paraId="08E5248B">
            <w:pPr>
              <w:spacing w:line="294" w:lineRule="auto"/>
              <w:rPr>
                <w:rFonts w:ascii="Arial"/>
                <w:color w:val="auto"/>
                <w:sz w:val="21"/>
                <w:highlight w:val="none"/>
              </w:rPr>
            </w:pPr>
          </w:p>
          <w:p w14:paraId="6A9959F5">
            <w:pPr>
              <w:spacing w:before="57" w:line="195" w:lineRule="auto"/>
              <w:ind w:left="38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366" w:type="dxa"/>
            <w:vAlign w:val="top"/>
          </w:tcPr>
          <w:p w14:paraId="2E3F620A">
            <w:pPr>
              <w:pStyle w:val="23"/>
              <w:spacing w:before="120" w:line="261" w:lineRule="auto"/>
              <w:ind w:left="221" w:right="493" w:hanging="2"/>
              <w:rPr>
                <w:color w:val="auto"/>
                <w:highlight w:val="none"/>
              </w:rPr>
            </w:pPr>
            <w:r>
              <w:rPr>
                <w:color w:val="auto"/>
                <w:spacing w:val="8"/>
                <w:highlight w:val="none"/>
              </w:rPr>
              <w:t>在各级单位开展的</w:t>
            </w:r>
            <w:r>
              <w:rPr>
                <w:color w:val="auto"/>
                <w:spacing w:val="-34"/>
                <w:highlight w:val="none"/>
              </w:rPr>
              <w:t xml:space="preserve"> </w:t>
            </w:r>
            <w:r>
              <w:rPr>
                <w:rFonts w:ascii="Times New Roman" w:hAnsi="Times New Roman" w:eastAsia="Times New Roman" w:cs="Times New Roman"/>
                <w:color w:val="auto"/>
                <w:spacing w:val="8"/>
                <w:highlight w:val="none"/>
              </w:rPr>
              <w:t>“</w:t>
            </w:r>
            <w:r>
              <w:rPr>
                <w:color w:val="auto"/>
                <w:spacing w:val="8"/>
                <w:highlight w:val="none"/>
              </w:rPr>
              <w:t>平安工地</w:t>
            </w:r>
            <w:r>
              <w:rPr>
                <w:rFonts w:ascii="Times New Roman" w:hAnsi="Times New Roman" w:eastAsia="Times New Roman" w:cs="Times New Roman"/>
                <w:color w:val="auto"/>
                <w:spacing w:val="8"/>
                <w:highlight w:val="none"/>
              </w:rPr>
              <w:t>”</w:t>
            </w:r>
            <w:r>
              <w:rPr>
                <w:color w:val="auto"/>
                <w:spacing w:val="8"/>
                <w:highlight w:val="none"/>
              </w:rPr>
              <w:t>考核中，考核等级不合格的，每次罚款</w:t>
            </w:r>
            <w:r>
              <w:rPr>
                <w:color w:val="auto"/>
                <w:spacing w:val="-37"/>
                <w:highlight w:val="none"/>
              </w:rPr>
              <w:t xml:space="preserve"> </w:t>
            </w:r>
            <w:r>
              <w:rPr>
                <w:rFonts w:ascii="Times New Roman" w:hAnsi="Times New Roman" w:eastAsia="Times New Roman" w:cs="Times New Roman"/>
                <w:color w:val="auto"/>
                <w:spacing w:val="8"/>
                <w:highlight w:val="none"/>
              </w:rPr>
              <w:t xml:space="preserve">5 </w:t>
            </w:r>
            <w:r>
              <w:rPr>
                <w:color w:val="auto"/>
                <w:spacing w:val="8"/>
                <w:highlight w:val="none"/>
              </w:rPr>
              <w:t>万</w:t>
            </w:r>
            <w:r>
              <w:rPr>
                <w:color w:val="auto"/>
                <w:spacing w:val="-1"/>
                <w:highlight w:val="none"/>
              </w:rPr>
              <w:t>元。</w:t>
            </w:r>
          </w:p>
        </w:tc>
      </w:tr>
      <w:tr w14:paraId="4DE6A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424" w:hRule="atLeast"/>
        </w:trPr>
        <w:tc>
          <w:tcPr>
            <w:tcW w:w="610" w:type="dxa"/>
            <w:vMerge w:val="continue"/>
            <w:vAlign w:val="top"/>
          </w:tcPr>
          <w:p w14:paraId="1AFE3989">
            <w:pPr>
              <w:rPr>
                <w:rFonts w:ascii="Arial"/>
                <w:color w:val="auto"/>
                <w:sz w:val="21"/>
                <w:highlight w:val="none"/>
              </w:rPr>
            </w:pPr>
          </w:p>
        </w:tc>
        <w:tc>
          <w:tcPr>
            <w:tcW w:w="845" w:type="dxa"/>
            <w:vAlign w:val="top"/>
          </w:tcPr>
          <w:p w14:paraId="472A912C">
            <w:pPr>
              <w:spacing w:before="219"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366" w:type="dxa"/>
            <w:vAlign w:val="top"/>
          </w:tcPr>
          <w:p w14:paraId="77BFDD6A">
            <w:pPr>
              <w:pStyle w:val="23"/>
              <w:spacing w:before="122" w:line="228" w:lineRule="auto"/>
              <w:ind w:left="223"/>
              <w:rPr>
                <w:color w:val="auto"/>
                <w:highlight w:val="none"/>
              </w:rPr>
            </w:pPr>
            <w:r>
              <w:rPr>
                <w:color w:val="auto"/>
                <w:spacing w:val="10"/>
                <w:highlight w:val="none"/>
              </w:rPr>
              <w:t>未通过开工前安全生产条件核查而影响工程开工的，处罚</w:t>
            </w:r>
            <w:r>
              <w:rPr>
                <w:rFonts w:ascii="Times New Roman" w:hAnsi="Times New Roman" w:eastAsia="Times New Roman" w:cs="Times New Roman"/>
                <w:color w:val="auto"/>
                <w:spacing w:val="10"/>
                <w:highlight w:val="none"/>
              </w:rPr>
              <w:t xml:space="preserve">2 </w:t>
            </w:r>
            <w:r>
              <w:rPr>
                <w:color w:val="auto"/>
                <w:spacing w:val="10"/>
                <w:highlight w:val="none"/>
              </w:rPr>
              <w:t>万元。</w:t>
            </w:r>
          </w:p>
        </w:tc>
      </w:tr>
      <w:tr w14:paraId="4ED47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4" w:type="dxa"/>
          <w:trHeight w:val="1002" w:hRule="atLeast"/>
        </w:trPr>
        <w:tc>
          <w:tcPr>
            <w:tcW w:w="610" w:type="dxa"/>
            <w:vMerge w:val="continue"/>
            <w:vAlign w:val="top"/>
          </w:tcPr>
          <w:p w14:paraId="3E47C984">
            <w:pPr>
              <w:rPr>
                <w:rFonts w:ascii="Arial"/>
                <w:color w:val="auto"/>
                <w:sz w:val="21"/>
                <w:highlight w:val="none"/>
              </w:rPr>
            </w:pPr>
          </w:p>
        </w:tc>
        <w:tc>
          <w:tcPr>
            <w:tcW w:w="845" w:type="dxa"/>
            <w:vAlign w:val="top"/>
          </w:tcPr>
          <w:p w14:paraId="2462AEF1">
            <w:pPr>
              <w:spacing w:line="445" w:lineRule="auto"/>
              <w:rPr>
                <w:rFonts w:ascii="Arial"/>
                <w:color w:val="auto"/>
                <w:sz w:val="21"/>
                <w:highlight w:val="none"/>
              </w:rPr>
            </w:pPr>
          </w:p>
          <w:p w14:paraId="2C322356">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366" w:type="dxa"/>
            <w:vAlign w:val="top"/>
          </w:tcPr>
          <w:p w14:paraId="43F2803F">
            <w:pPr>
              <w:pStyle w:val="23"/>
              <w:spacing w:before="124" w:line="267" w:lineRule="auto"/>
              <w:ind w:left="230" w:right="205" w:hanging="4"/>
              <w:rPr>
                <w:color w:val="auto"/>
                <w:highlight w:val="none"/>
              </w:rPr>
            </w:pPr>
            <w:r>
              <w:rPr>
                <w:color w:val="auto"/>
                <w:spacing w:val="12"/>
                <w:highlight w:val="none"/>
              </w:rPr>
              <w:t>总监办存在其他违反有关安全生产法律、法规、规章、规范、标准以及本项</w:t>
            </w:r>
            <w:r>
              <w:rPr>
                <w:color w:val="auto"/>
                <w:spacing w:val="10"/>
                <w:highlight w:val="none"/>
              </w:rPr>
              <w:t>目建设工程安全生产管理办法规定的，视情节轻重，罚款</w:t>
            </w:r>
            <w:r>
              <w:rPr>
                <w:color w:val="auto"/>
                <w:spacing w:val="-21"/>
                <w:highlight w:val="none"/>
              </w:rPr>
              <w:t xml:space="preserve"> </w:t>
            </w:r>
            <w:r>
              <w:rPr>
                <w:rFonts w:ascii="Times New Roman" w:hAnsi="Times New Roman" w:eastAsia="Times New Roman" w:cs="Times New Roman"/>
                <w:color w:val="auto"/>
                <w:spacing w:val="10"/>
                <w:highlight w:val="none"/>
              </w:rPr>
              <w:t xml:space="preserve">1 </w:t>
            </w:r>
            <w:r>
              <w:rPr>
                <w:color w:val="auto"/>
                <w:spacing w:val="10"/>
                <w:highlight w:val="none"/>
              </w:rPr>
              <w:t>千元</w:t>
            </w:r>
            <w:r>
              <w:rPr>
                <w:color w:val="auto"/>
                <w:spacing w:val="9"/>
                <w:highlight w:val="none"/>
              </w:rPr>
              <w:t>至</w:t>
            </w:r>
            <w:r>
              <w:rPr>
                <w:color w:val="auto"/>
                <w:spacing w:val="-18"/>
                <w:highlight w:val="none"/>
              </w:rPr>
              <w:t xml:space="preserve"> </w:t>
            </w:r>
            <w:r>
              <w:rPr>
                <w:rFonts w:ascii="Times New Roman" w:hAnsi="Times New Roman" w:eastAsia="Times New Roman" w:cs="Times New Roman"/>
                <w:color w:val="auto"/>
                <w:spacing w:val="9"/>
                <w:highlight w:val="none"/>
              </w:rPr>
              <w:t xml:space="preserve">1 </w:t>
            </w:r>
            <w:r>
              <w:rPr>
                <w:color w:val="auto"/>
                <w:spacing w:val="9"/>
                <w:highlight w:val="none"/>
              </w:rPr>
              <w:t>万元。</w:t>
            </w:r>
            <w:r>
              <w:rPr>
                <w:color w:val="auto"/>
                <w:spacing w:val="8"/>
                <w:highlight w:val="none"/>
              </w:rPr>
              <w:t>多次发生同类存在问题，可加倍处罚。</w:t>
            </w:r>
          </w:p>
        </w:tc>
      </w:tr>
    </w:tbl>
    <w:p w14:paraId="72C57A81">
      <w:pPr>
        <w:spacing w:line="305" w:lineRule="auto"/>
        <w:rPr>
          <w:rFonts w:ascii="Arial"/>
          <w:color w:val="auto"/>
          <w:sz w:val="21"/>
          <w:highlight w:val="none"/>
        </w:rPr>
      </w:pPr>
    </w:p>
    <w:p w14:paraId="6E3ED8C4">
      <w:pPr>
        <w:spacing w:before="78" w:line="221" w:lineRule="auto"/>
        <w:ind w:left="13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委托人违约</w:t>
      </w:r>
    </w:p>
    <w:p w14:paraId="6F597240">
      <w:pPr>
        <w:spacing w:before="174" w:line="302" w:lineRule="auto"/>
        <w:ind w:left="4235" w:right="820" w:hanging="3657"/>
        <w:rPr>
          <w:rFonts w:ascii="宋体" w:hAnsi="宋体" w:eastAsia="宋体" w:cs="宋体"/>
          <w:color w:val="auto"/>
          <w:sz w:val="28"/>
          <w:szCs w:val="28"/>
          <w:highlight w:val="none"/>
        </w:rPr>
      </w:pPr>
      <w:r>
        <w:rPr>
          <w:rFonts w:ascii="宋体" w:hAnsi="宋体" w:eastAsia="宋体" w:cs="宋体"/>
          <w:color w:val="auto"/>
          <w:spacing w:val="-2"/>
          <w:sz w:val="22"/>
          <w:szCs w:val="22"/>
          <w:highlight w:val="none"/>
        </w:rPr>
        <w:t>11.2.2</w:t>
      </w:r>
      <w:r>
        <w:rPr>
          <w:rFonts w:ascii="宋体" w:hAnsi="宋体" w:eastAsia="宋体" w:cs="宋体"/>
          <w:color w:val="auto"/>
          <w:spacing w:val="-47"/>
          <w:sz w:val="22"/>
          <w:szCs w:val="22"/>
          <w:highlight w:val="none"/>
        </w:rPr>
        <w:t xml:space="preserve"> </w:t>
      </w:r>
      <w:r>
        <w:rPr>
          <w:rFonts w:ascii="宋体" w:hAnsi="宋体" w:eastAsia="宋体" w:cs="宋体"/>
          <w:color w:val="auto"/>
          <w:spacing w:val="-2"/>
          <w:sz w:val="22"/>
          <w:szCs w:val="22"/>
          <w:highlight w:val="none"/>
        </w:rPr>
        <w:t>委托人发生违约情况时，监理人有权向委托人课以违约金，</w:t>
      </w:r>
      <w:r>
        <w:rPr>
          <w:rFonts w:ascii="宋体" w:hAnsi="宋体" w:eastAsia="宋体" w:cs="宋体"/>
          <w:color w:val="auto"/>
          <w:spacing w:val="-3"/>
          <w:sz w:val="22"/>
          <w:szCs w:val="22"/>
          <w:highlight w:val="none"/>
        </w:rPr>
        <w:t>具体约定如下</w:t>
      </w:r>
      <w:r>
        <w:rPr>
          <w:rFonts w:hint="eastAsia" w:ascii="宋体" w:hAnsi="宋体" w:eastAsia="宋体" w:cs="宋体"/>
          <w:color w:val="auto"/>
          <w:spacing w:val="-3"/>
          <w:sz w:val="22"/>
          <w:szCs w:val="22"/>
          <w:highlight w:val="none"/>
          <w:lang w:eastAsia="zh-CN"/>
        </w:rPr>
        <w:t>：</w:t>
      </w:r>
      <w:r>
        <w:rPr>
          <w:rFonts w:ascii="宋体" w:hAnsi="宋体" w:eastAsia="宋体" w:cs="宋体"/>
          <w:b/>
          <w:bCs/>
          <w:color w:val="auto"/>
          <w:spacing w:val="-5"/>
          <w:sz w:val="28"/>
          <w:szCs w:val="28"/>
          <w:highlight w:val="none"/>
        </w:rPr>
        <w:t>违约一览表</w:t>
      </w:r>
    </w:p>
    <w:tbl>
      <w:tblPr>
        <w:tblStyle w:val="2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6913"/>
      </w:tblGrid>
      <w:tr w14:paraId="08541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2379" w:type="dxa"/>
            <w:vAlign w:val="top"/>
          </w:tcPr>
          <w:p w14:paraId="08D06E18">
            <w:pPr>
              <w:pStyle w:val="23"/>
              <w:spacing w:before="160" w:line="228" w:lineRule="auto"/>
              <w:ind w:left="983"/>
              <w:rPr>
                <w:color w:val="auto"/>
                <w:highlight w:val="none"/>
              </w:rPr>
            </w:pPr>
            <w:r>
              <w:rPr>
                <w:b/>
                <w:bCs/>
                <w:color w:val="auto"/>
                <w:spacing w:val="3"/>
                <w:highlight w:val="none"/>
              </w:rPr>
              <w:t>类别</w:t>
            </w:r>
          </w:p>
        </w:tc>
        <w:tc>
          <w:tcPr>
            <w:tcW w:w="6913" w:type="dxa"/>
            <w:vAlign w:val="top"/>
          </w:tcPr>
          <w:p w14:paraId="586AD700">
            <w:pPr>
              <w:pStyle w:val="23"/>
              <w:spacing w:before="143" w:line="265" w:lineRule="exact"/>
              <w:ind w:left="2987"/>
              <w:rPr>
                <w:color w:val="auto"/>
                <w:sz w:val="10"/>
                <w:szCs w:val="10"/>
                <w:highlight w:val="none"/>
              </w:rPr>
            </w:pPr>
            <w:r>
              <w:rPr>
                <w:b/>
                <w:bCs/>
                <w:color w:val="auto"/>
                <w:spacing w:val="6"/>
                <w:highlight w:val="none"/>
              </w:rPr>
              <w:t>违约项目</w:t>
            </w:r>
          </w:p>
        </w:tc>
      </w:tr>
      <w:tr w14:paraId="6664E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9" w:type="dxa"/>
            <w:vAlign w:val="top"/>
          </w:tcPr>
          <w:p w14:paraId="3FEF215F">
            <w:pPr>
              <w:pStyle w:val="23"/>
              <w:spacing w:before="31" w:line="272" w:lineRule="auto"/>
              <w:ind w:left="671" w:right="138" w:hanging="526"/>
              <w:rPr>
                <w:color w:val="auto"/>
                <w:highlight w:val="none"/>
              </w:rPr>
            </w:pPr>
            <w:r>
              <w:rPr>
                <w:color w:val="auto"/>
                <w:spacing w:val="9"/>
                <w:highlight w:val="none"/>
              </w:rPr>
              <w:t>委托人未按合同约定支</w:t>
            </w:r>
            <w:r>
              <w:rPr>
                <w:color w:val="auto"/>
                <w:spacing w:val="8"/>
                <w:highlight w:val="none"/>
              </w:rPr>
              <w:t>付监理报酬</w:t>
            </w:r>
          </w:p>
        </w:tc>
        <w:tc>
          <w:tcPr>
            <w:tcW w:w="6913" w:type="dxa"/>
            <w:vAlign w:val="center"/>
          </w:tcPr>
          <w:p w14:paraId="7B269F97">
            <w:pPr>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w:t>
            </w:r>
          </w:p>
        </w:tc>
      </w:tr>
      <w:tr w14:paraId="06BDA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691EF480">
            <w:pPr>
              <w:pStyle w:val="23"/>
              <w:spacing w:before="31" w:line="228" w:lineRule="auto"/>
              <w:ind w:left="145"/>
              <w:rPr>
                <w:color w:val="auto"/>
                <w:spacing w:val="9"/>
                <w:highlight w:val="none"/>
              </w:rPr>
            </w:pPr>
            <w:r>
              <w:rPr>
                <w:color w:val="auto"/>
                <w:spacing w:val="9"/>
                <w:highlight w:val="none"/>
              </w:rPr>
              <w:t>委托人原因造成监理</w:t>
            </w:r>
          </w:p>
          <w:p w14:paraId="114DCCCE">
            <w:pPr>
              <w:pStyle w:val="23"/>
              <w:spacing w:before="31" w:line="228" w:lineRule="auto"/>
              <w:ind w:left="145"/>
              <w:jc w:val="center"/>
              <w:rPr>
                <w:color w:val="auto"/>
                <w:highlight w:val="none"/>
              </w:rPr>
            </w:pPr>
            <w:r>
              <w:rPr>
                <w:color w:val="auto"/>
                <w:spacing w:val="9"/>
                <w:highlight w:val="none"/>
              </w:rPr>
              <w:t>停</w:t>
            </w:r>
            <w:r>
              <w:rPr>
                <w:color w:val="auto"/>
                <w:spacing w:val="4"/>
                <w:highlight w:val="none"/>
              </w:rPr>
              <w:t>止的</w:t>
            </w:r>
          </w:p>
        </w:tc>
        <w:tc>
          <w:tcPr>
            <w:tcW w:w="6913" w:type="dxa"/>
            <w:vAlign w:val="center"/>
          </w:tcPr>
          <w:p w14:paraId="4BA0B69A">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64162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02B8ACF2">
            <w:pPr>
              <w:pStyle w:val="23"/>
              <w:spacing w:before="32" w:line="271" w:lineRule="auto"/>
              <w:ind w:left="777" w:right="138" w:hanging="632"/>
              <w:rPr>
                <w:color w:val="auto"/>
                <w:highlight w:val="none"/>
              </w:rPr>
            </w:pPr>
            <w:r>
              <w:rPr>
                <w:color w:val="auto"/>
                <w:spacing w:val="9"/>
                <w:highlight w:val="none"/>
              </w:rPr>
              <w:t>委托人无法履行或停止</w:t>
            </w:r>
            <w:r>
              <w:rPr>
                <w:color w:val="auto"/>
                <w:spacing w:val="6"/>
                <w:highlight w:val="none"/>
              </w:rPr>
              <w:t>履行合同</w:t>
            </w:r>
          </w:p>
        </w:tc>
        <w:tc>
          <w:tcPr>
            <w:tcW w:w="6913" w:type="dxa"/>
            <w:vAlign w:val="center"/>
          </w:tcPr>
          <w:p w14:paraId="52B151F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72B07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9" w:type="dxa"/>
            <w:vAlign w:val="top"/>
          </w:tcPr>
          <w:p w14:paraId="2D1B3FE0">
            <w:pPr>
              <w:pStyle w:val="23"/>
              <w:spacing w:before="35" w:line="272" w:lineRule="auto"/>
              <w:ind w:left="688" w:right="138" w:hanging="543"/>
              <w:rPr>
                <w:color w:val="auto"/>
                <w:highlight w:val="none"/>
              </w:rPr>
            </w:pPr>
            <w:r>
              <w:rPr>
                <w:color w:val="auto"/>
                <w:spacing w:val="9"/>
                <w:highlight w:val="none"/>
              </w:rPr>
              <w:t>委托人不履行合同约定</w:t>
            </w:r>
            <w:r>
              <w:rPr>
                <w:color w:val="auto"/>
                <w:spacing w:val="4"/>
                <w:highlight w:val="none"/>
              </w:rPr>
              <w:t>的其他义务</w:t>
            </w:r>
          </w:p>
        </w:tc>
        <w:tc>
          <w:tcPr>
            <w:tcW w:w="6913" w:type="dxa"/>
            <w:vAlign w:val="center"/>
          </w:tcPr>
          <w:p w14:paraId="2E2F1BD5">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bl>
    <w:p w14:paraId="2F88B935">
      <w:pPr>
        <w:spacing w:line="258" w:lineRule="auto"/>
        <w:rPr>
          <w:rFonts w:ascii="Arial"/>
          <w:color w:val="auto"/>
          <w:sz w:val="21"/>
          <w:highlight w:val="none"/>
        </w:rPr>
      </w:pPr>
    </w:p>
    <w:p w14:paraId="78BFB4F6">
      <w:pPr>
        <w:spacing w:before="78" w:line="219" w:lineRule="auto"/>
        <w:ind w:left="138"/>
        <w:outlineLvl w:val="1"/>
        <w:rPr>
          <w:rFonts w:ascii="宋体" w:hAnsi="宋体" w:eastAsia="宋体" w:cs="宋体"/>
          <w:color w:val="auto"/>
          <w:sz w:val="24"/>
          <w:szCs w:val="24"/>
          <w:highlight w:val="none"/>
        </w:rPr>
      </w:pPr>
      <w:bookmarkStart w:id="693" w:name="_Toc27634"/>
      <w:bookmarkStart w:id="694" w:name="_Toc10306"/>
      <w:bookmarkStart w:id="695" w:name="_Toc17325"/>
      <w:bookmarkStart w:id="696" w:name="_Toc22633"/>
      <w:r>
        <w:rPr>
          <w:rFonts w:ascii="宋体" w:hAnsi="宋体" w:eastAsia="宋体" w:cs="宋体"/>
          <w:b/>
          <w:bCs/>
          <w:color w:val="auto"/>
          <w:spacing w:val="-7"/>
          <w:sz w:val="24"/>
          <w:szCs w:val="24"/>
          <w:highlight w:val="none"/>
        </w:rPr>
        <w:t>12.</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7"/>
          <w:sz w:val="24"/>
          <w:szCs w:val="24"/>
          <w:highlight w:val="none"/>
        </w:rPr>
        <w:t>争议的解决</w:t>
      </w:r>
      <w:bookmarkEnd w:id="693"/>
      <w:bookmarkEnd w:id="694"/>
      <w:bookmarkEnd w:id="695"/>
      <w:bookmarkEnd w:id="696"/>
    </w:p>
    <w:p w14:paraId="4260BF77">
      <w:pPr>
        <w:spacing w:before="48" w:line="220" w:lineRule="auto"/>
        <w:ind w:left="566"/>
        <w:rPr>
          <w:rFonts w:ascii="宋体" w:hAnsi="宋体" w:eastAsia="宋体" w:cs="宋体"/>
          <w:color w:val="auto"/>
          <w:spacing w:val="-1"/>
          <w:sz w:val="22"/>
          <w:szCs w:val="22"/>
          <w:highlight w:val="none"/>
        </w:rPr>
      </w:pPr>
    </w:p>
    <w:p w14:paraId="451B69CA">
      <w:pPr>
        <w:spacing w:before="48" w:line="220" w:lineRule="auto"/>
        <w:ind w:left="56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争议的最终解决方式：</w:t>
      </w:r>
      <w:r>
        <w:rPr>
          <w:rFonts w:ascii="宋体" w:hAnsi="宋体" w:eastAsia="宋体" w:cs="宋体"/>
          <w:color w:val="auto"/>
          <w:spacing w:val="-1"/>
          <w:sz w:val="22"/>
          <w:szCs w:val="22"/>
          <w:highlight w:val="none"/>
          <w:u w:val="single" w:color="auto"/>
        </w:rPr>
        <w:t xml:space="preserve">  诉讼  </w:t>
      </w:r>
    </w:p>
    <w:p w14:paraId="7E6D7637">
      <w:pPr>
        <w:spacing w:before="166" w:line="219" w:lineRule="auto"/>
        <w:ind w:left="5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如采用诉讼，诉讼机构名称：</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韶关市人民</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1"/>
          <w:sz w:val="22"/>
          <w:szCs w:val="22"/>
          <w:highlight w:val="none"/>
        </w:rPr>
        <w:t>法院。</w:t>
      </w:r>
    </w:p>
    <w:p w14:paraId="0F9683DA">
      <w:pPr>
        <w:spacing w:line="259" w:lineRule="auto"/>
        <w:rPr>
          <w:rFonts w:ascii="Arial"/>
          <w:color w:val="auto"/>
          <w:sz w:val="21"/>
          <w:highlight w:val="none"/>
        </w:rPr>
      </w:pPr>
    </w:p>
    <w:p w14:paraId="31B720C8">
      <w:pPr>
        <w:spacing w:before="78" w:line="220" w:lineRule="auto"/>
        <w:ind w:left="138"/>
        <w:outlineLvl w:val="1"/>
        <w:rPr>
          <w:rFonts w:ascii="宋体" w:hAnsi="宋体" w:eastAsia="宋体" w:cs="宋体"/>
          <w:color w:val="auto"/>
          <w:sz w:val="24"/>
          <w:szCs w:val="24"/>
          <w:highlight w:val="none"/>
        </w:rPr>
      </w:pPr>
      <w:bookmarkStart w:id="697" w:name="bookmark149"/>
      <w:bookmarkEnd w:id="697"/>
      <w:bookmarkStart w:id="698" w:name="_Toc8829"/>
      <w:bookmarkStart w:id="699" w:name="_Toc14259"/>
      <w:bookmarkStart w:id="700" w:name="_Toc17589"/>
      <w:bookmarkStart w:id="701" w:name="_Toc23211"/>
      <w:r>
        <w:rPr>
          <w:rFonts w:ascii="宋体" w:hAnsi="宋体" w:eastAsia="宋体" w:cs="宋体"/>
          <w:b/>
          <w:bCs/>
          <w:color w:val="auto"/>
          <w:spacing w:val="-8"/>
          <w:sz w:val="24"/>
          <w:szCs w:val="24"/>
          <w:highlight w:val="none"/>
        </w:rPr>
        <w:t>13.其他</w:t>
      </w:r>
      <w:bookmarkEnd w:id="698"/>
      <w:bookmarkEnd w:id="699"/>
      <w:bookmarkEnd w:id="700"/>
      <w:bookmarkEnd w:id="701"/>
    </w:p>
    <w:p w14:paraId="212CD913">
      <w:pPr>
        <w:keepNext w:val="0"/>
        <w:keepLines w:val="0"/>
        <w:pageBreakBefore w:val="0"/>
        <w:widowControl/>
        <w:kinsoku w:val="0"/>
        <w:wordWrap/>
        <w:overflowPunct/>
        <w:topLinePunct w:val="0"/>
        <w:autoSpaceDE w:val="0"/>
        <w:autoSpaceDN w:val="0"/>
        <w:bidi w:val="0"/>
        <w:adjustRightInd w:val="0"/>
        <w:snapToGrid w:val="0"/>
        <w:spacing w:line="362" w:lineRule="auto"/>
        <w:ind w:left="121" w:right="113" w:firstLine="497"/>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13.1</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本项目建设期间临时用地严禁占用基本农田，严格控制占用耕地、林地；如</w:t>
      </w:r>
      <w:r>
        <w:rPr>
          <w:rFonts w:ascii="宋体" w:hAnsi="宋体" w:eastAsia="宋体" w:cs="宋体"/>
          <w:color w:val="auto"/>
          <w:spacing w:val="5"/>
          <w:sz w:val="22"/>
          <w:szCs w:val="22"/>
          <w:highlight w:val="none"/>
        </w:rPr>
        <w:t>确需占用耕地、林地的，必须按规定到当地主管部门办理相关手续。预制场</w:t>
      </w:r>
      <w:r>
        <w:rPr>
          <w:rFonts w:ascii="宋体" w:hAnsi="宋体" w:eastAsia="宋体" w:cs="宋体"/>
          <w:color w:val="auto"/>
          <w:spacing w:val="4"/>
          <w:sz w:val="22"/>
          <w:szCs w:val="22"/>
          <w:highlight w:val="none"/>
        </w:rPr>
        <w:t>、搅拌场</w:t>
      </w:r>
      <w:r>
        <w:rPr>
          <w:rFonts w:ascii="宋体" w:hAnsi="宋体" w:eastAsia="宋体" w:cs="宋体"/>
          <w:color w:val="auto"/>
          <w:spacing w:val="5"/>
          <w:sz w:val="22"/>
          <w:szCs w:val="22"/>
          <w:highlight w:val="none"/>
        </w:rPr>
        <w:t>等容易造成永久性破坏的临时用地一般不得占用耕地；取土场应选址在</w:t>
      </w:r>
      <w:r>
        <w:rPr>
          <w:rFonts w:ascii="宋体" w:hAnsi="宋体" w:eastAsia="宋体" w:cs="宋体"/>
          <w:color w:val="auto"/>
          <w:spacing w:val="4"/>
          <w:sz w:val="22"/>
          <w:szCs w:val="22"/>
          <w:highlight w:val="none"/>
        </w:rPr>
        <w:t>荒山、荒坡等</w:t>
      </w:r>
      <w:r>
        <w:rPr>
          <w:rFonts w:ascii="宋体" w:hAnsi="宋体" w:eastAsia="宋体" w:cs="宋体"/>
          <w:color w:val="auto"/>
          <w:spacing w:val="5"/>
          <w:sz w:val="22"/>
          <w:szCs w:val="22"/>
          <w:highlight w:val="none"/>
        </w:rPr>
        <w:t>劣质地，合理设计控制取土深度，严禁在基本农田范围内取土；弃（土</w:t>
      </w:r>
      <w:r>
        <w:rPr>
          <w:rFonts w:ascii="宋体" w:hAnsi="宋体" w:eastAsia="宋体" w:cs="宋体"/>
          <w:color w:val="auto"/>
          <w:spacing w:val="4"/>
          <w:sz w:val="22"/>
          <w:szCs w:val="22"/>
          <w:highlight w:val="none"/>
        </w:rPr>
        <w:t>）渣场不得占</w:t>
      </w:r>
      <w:r>
        <w:rPr>
          <w:rFonts w:ascii="宋体" w:hAnsi="宋体" w:eastAsia="宋体" w:cs="宋体"/>
          <w:color w:val="auto"/>
          <w:spacing w:val="5"/>
          <w:sz w:val="22"/>
          <w:szCs w:val="22"/>
          <w:highlight w:val="none"/>
        </w:rPr>
        <w:t>用耕地，要充分考虑永久性征收与临时用地相结合，合理划定弃（土）</w:t>
      </w:r>
      <w:r>
        <w:rPr>
          <w:rFonts w:ascii="宋体" w:hAnsi="宋体" w:eastAsia="宋体" w:cs="宋体"/>
          <w:color w:val="auto"/>
          <w:spacing w:val="4"/>
          <w:sz w:val="22"/>
          <w:szCs w:val="22"/>
          <w:highlight w:val="none"/>
        </w:rPr>
        <w:t>渣场范围；租</w:t>
      </w:r>
      <w:r>
        <w:rPr>
          <w:rFonts w:ascii="宋体" w:hAnsi="宋体" w:eastAsia="宋体" w:cs="宋体"/>
          <w:color w:val="auto"/>
          <w:spacing w:val="-1"/>
          <w:sz w:val="22"/>
          <w:szCs w:val="22"/>
          <w:highlight w:val="none"/>
        </w:rPr>
        <w:t>用临时用地协议必须有复垦条款。</w:t>
      </w:r>
    </w:p>
    <w:p w14:paraId="67ED63ED">
      <w:pPr>
        <w:keepNext w:val="0"/>
        <w:keepLines w:val="0"/>
        <w:pageBreakBefore w:val="0"/>
        <w:widowControl/>
        <w:kinsoku w:val="0"/>
        <w:wordWrap/>
        <w:overflowPunct/>
        <w:topLinePunct w:val="0"/>
        <w:autoSpaceDE w:val="0"/>
        <w:autoSpaceDN w:val="0"/>
        <w:bidi w:val="0"/>
        <w:adjustRightInd w:val="0"/>
        <w:snapToGrid w:val="0"/>
        <w:spacing w:line="360" w:lineRule="auto"/>
        <w:ind w:right="2" w:firstLine="498"/>
        <w:jc w:val="both"/>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13.2</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监理人应按照《广东省水利厅广东省交通运输厅关于进一步加强交通建设项</w:t>
      </w:r>
      <w:r>
        <w:rPr>
          <w:rFonts w:ascii="宋体" w:hAnsi="宋体" w:eastAsia="宋体" w:cs="宋体"/>
          <w:color w:val="auto"/>
          <w:sz w:val="22"/>
          <w:szCs w:val="22"/>
          <w:highlight w:val="none"/>
        </w:rPr>
        <w:t>目水土保持工作的通知》（粤水水保〔2020〕2</w:t>
      </w:r>
      <w:r>
        <w:rPr>
          <w:rFonts w:ascii="宋体" w:hAnsi="宋体" w:eastAsia="宋体" w:cs="宋体"/>
          <w:color w:val="auto"/>
          <w:spacing w:val="-45"/>
          <w:sz w:val="22"/>
          <w:szCs w:val="22"/>
          <w:highlight w:val="none"/>
        </w:rPr>
        <w:t xml:space="preserve"> </w:t>
      </w:r>
      <w:r>
        <w:rPr>
          <w:rFonts w:ascii="宋体" w:hAnsi="宋体" w:eastAsia="宋体" w:cs="宋体"/>
          <w:color w:val="auto"/>
          <w:sz w:val="22"/>
          <w:szCs w:val="22"/>
          <w:highlight w:val="none"/>
        </w:rPr>
        <w:t>号）的要</w:t>
      </w:r>
      <w:r>
        <w:rPr>
          <w:rFonts w:ascii="宋体" w:hAnsi="宋体" w:eastAsia="宋体" w:cs="宋体"/>
          <w:color w:val="auto"/>
          <w:spacing w:val="-1"/>
          <w:sz w:val="22"/>
          <w:szCs w:val="22"/>
          <w:highlight w:val="none"/>
        </w:rPr>
        <w:t>求开展水土保持监理工作，为</w:t>
      </w:r>
      <w:r>
        <w:rPr>
          <w:rFonts w:ascii="宋体" w:hAnsi="宋体" w:eastAsia="宋体" w:cs="宋体"/>
          <w:color w:val="auto"/>
          <w:spacing w:val="5"/>
          <w:sz w:val="22"/>
          <w:szCs w:val="22"/>
          <w:highlight w:val="none"/>
        </w:rPr>
        <w:t>在项目交工验收后及时完成水保验收工作，各监理人应负责协调、配合水土保</w:t>
      </w:r>
      <w:r>
        <w:rPr>
          <w:rFonts w:ascii="宋体" w:hAnsi="宋体" w:eastAsia="宋体" w:cs="宋体"/>
          <w:color w:val="auto"/>
          <w:spacing w:val="4"/>
          <w:sz w:val="22"/>
          <w:szCs w:val="22"/>
          <w:highlight w:val="none"/>
        </w:rPr>
        <w:t>持设施</w:t>
      </w:r>
      <w:r>
        <w:rPr>
          <w:rFonts w:ascii="宋体" w:hAnsi="宋体" w:eastAsia="宋体" w:cs="宋体"/>
          <w:color w:val="auto"/>
          <w:spacing w:val="5"/>
          <w:sz w:val="22"/>
          <w:szCs w:val="22"/>
          <w:highlight w:val="none"/>
        </w:rPr>
        <w:t>竣工验收技术报告编制的单位（含施工期水土流失监测、技术评估等工作）开</w:t>
      </w:r>
      <w:r>
        <w:rPr>
          <w:rFonts w:ascii="宋体" w:hAnsi="宋体" w:eastAsia="宋体" w:cs="宋体"/>
          <w:color w:val="auto"/>
          <w:spacing w:val="4"/>
          <w:sz w:val="22"/>
          <w:szCs w:val="22"/>
          <w:highlight w:val="none"/>
        </w:rPr>
        <w:t>展相关</w:t>
      </w:r>
      <w:r>
        <w:rPr>
          <w:rFonts w:ascii="宋体" w:hAnsi="宋体" w:eastAsia="宋体" w:cs="宋体"/>
          <w:color w:val="auto"/>
          <w:spacing w:val="5"/>
          <w:sz w:val="22"/>
          <w:szCs w:val="22"/>
          <w:highlight w:val="none"/>
        </w:rPr>
        <w:t>工作，并且按水土保持设施竣工验收技术报告编制单位提交的检测方案安排相</w:t>
      </w:r>
      <w:r>
        <w:rPr>
          <w:rFonts w:ascii="宋体" w:hAnsi="宋体" w:eastAsia="宋体" w:cs="宋体"/>
          <w:color w:val="auto"/>
          <w:spacing w:val="4"/>
          <w:sz w:val="22"/>
          <w:szCs w:val="22"/>
          <w:highlight w:val="none"/>
        </w:rPr>
        <w:t>关的水</w:t>
      </w:r>
      <w:r>
        <w:rPr>
          <w:rFonts w:ascii="宋体" w:hAnsi="宋体" w:eastAsia="宋体" w:cs="宋体"/>
          <w:color w:val="auto"/>
          <w:spacing w:val="-1"/>
          <w:sz w:val="22"/>
          <w:szCs w:val="22"/>
          <w:highlight w:val="none"/>
        </w:rPr>
        <w:t>土保持监理工作。水土保持监理具体工作为：</w:t>
      </w:r>
    </w:p>
    <w:p w14:paraId="32C040DB">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13.2.1</w:t>
      </w:r>
      <w:r>
        <w:rPr>
          <w:rFonts w:ascii="宋体" w:hAnsi="宋体" w:eastAsia="宋体" w:cs="宋体"/>
          <w:color w:val="auto"/>
          <w:spacing w:val="-41"/>
          <w:sz w:val="22"/>
          <w:szCs w:val="22"/>
          <w:highlight w:val="none"/>
        </w:rPr>
        <w:t xml:space="preserve"> </w:t>
      </w:r>
      <w:r>
        <w:rPr>
          <w:rFonts w:ascii="宋体" w:hAnsi="宋体" w:eastAsia="宋体" w:cs="宋体"/>
          <w:b/>
          <w:bCs/>
          <w:color w:val="auto"/>
          <w:spacing w:val="-4"/>
          <w:sz w:val="22"/>
          <w:szCs w:val="22"/>
          <w:highlight w:val="none"/>
        </w:rPr>
        <w:t>施工准备阶段的水土保持监理工作</w:t>
      </w:r>
    </w:p>
    <w:p w14:paraId="17BFC198">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(1)成立水保监理领导小组，明确职责分工。</w:t>
      </w:r>
    </w:p>
    <w:p w14:paraId="272C505E">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(2)熟悉和学习设计图纸和水土保持方案报告和相关文件、法律法规。</w:t>
      </w:r>
    </w:p>
    <w:p w14:paraId="7DD56B11">
      <w:pPr>
        <w:keepNext w:val="0"/>
        <w:keepLines w:val="0"/>
        <w:pageBreakBefore w:val="0"/>
        <w:widowControl/>
        <w:kinsoku w:val="0"/>
        <w:wordWrap/>
        <w:overflowPunct/>
        <w:topLinePunct w:val="0"/>
        <w:autoSpaceDE w:val="0"/>
        <w:autoSpaceDN w:val="0"/>
        <w:bidi w:val="0"/>
        <w:adjustRightInd w:val="0"/>
        <w:snapToGrid w:val="0"/>
        <w:spacing w:line="360" w:lineRule="auto"/>
        <w:ind w:left="13" w:right="2" w:firstLine="51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(3)编制水保监理计划和单位工程水保监</w:t>
      </w:r>
      <w:r>
        <w:rPr>
          <w:rFonts w:ascii="宋体" w:hAnsi="宋体" w:eastAsia="宋体" w:cs="宋体"/>
          <w:color w:val="auto"/>
          <w:sz w:val="22"/>
          <w:szCs w:val="22"/>
          <w:highlight w:val="none"/>
        </w:rPr>
        <w:t>理实施细则，明确工程水土保持监理的重</w:t>
      </w:r>
      <w:r>
        <w:rPr>
          <w:rFonts w:ascii="宋体" w:hAnsi="宋体" w:eastAsia="宋体" w:cs="宋体"/>
          <w:color w:val="auto"/>
          <w:spacing w:val="-2"/>
          <w:sz w:val="22"/>
          <w:szCs w:val="22"/>
          <w:highlight w:val="none"/>
        </w:rPr>
        <w:t>点，难点、具体要求及监理的方法步骤等。</w:t>
      </w:r>
    </w:p>
    <w:p w14:paraId="163D7652">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(4)督促施工单位建立水保管理体系。</w:t>
      </w:r>
    </w:p>
    <w:p w14:paraId="3E66C173">
      <w:pPr>
        <w:keepNext w:val="0"/>
        <w:keepLines w:val="0"/>
        <w:pageBreakBefore w:val="0"/>
        <w:widowControl/>
        <w:kinsoku w:val="0"/>
        <w:wordWrap/>
        <w:overflowPunct/>
        <w:topLinePunct w:val="0"/>
        <w:autoSpaceDE w:val="0"/>
        <w:autoSpaceDN w:val="0"/>
        <w:bidi w:val="0"/>
        <w:adjustRightInd w:val="0"/>
        <w:snapToGrid w:val="0"/>
        <w:spacing w:line="360" w:lineRule="auto"/>
        <w:ind w:left="3" w:right="2" w:firstLine="519"/>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(5)审查承包人编制的《施工组织设计》</w:t>
      </w:r>
      <w:r>
        <w:rPr>
          <w:rFonts w:ascii="宋体" w:hAnsi="宋体" w:eastAsia="宋体" w:cs="宋体"/>
          <w:color w:val="auto"/>
          <w:sz w:val="22"/>
          <w:szCs w:val="22"/>
          <w:highlight w:val="none"/>
        </w:rPr>
        <w:t>中边坡防护、取弃土场、临建设施、排水</w:t>
      </w:r>
      <w:r>
        <w:rPr>
          <w:rFonts w:ascii="宋体" w:hAnsi="宋体" w:eastAsia="宋体" w:cs="宋体"/>
          <w:color w:val="auto"/>
          <w:spacing w:val="-1"/>
          <w:sz w:val="22"/>
          <w:szCs w:val="22"/>
          <w:highlight w:val="none"/>
        </w:rPr>
        <w:t>工程、临时防护等分项工程技术方案和措施是否可行。</w:t>
      </w:r>
    </w:p>
    <w:p w14:paraId="51D48AAF">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施工阶段的水土保持监理工作</w:t>
      </w:r>
    </w:p>
    <w:p w14:paraId="4B3CEDFD">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审查开工报告中涉及水保工作内容的方案和措施是否可行。</w:t>
      </w:r>
    </w:p>
    <w:p w14:paraId="1BC53ED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(2)水保监理巡视和检查</w:t>
      </w:r>
    </w:p>
    <w:p w14:paraId="7411F8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监理工程师在巡视、旁站中，应随时检查施工单位制订的水保措施的落实情况，</w:t>
      </w:r>
      <w:r>
        <w:rPr>
          <w:rFonts w:ascii="宋体" w:hAnsi="宋体" w:eastAsia="宋体" w:cs="宋体"/>
          <w:color w:val="auto"/>
          <w:spacing w:val="4"/>
          <w:sz w:val="22"/>
          <w:szCs w:val="22"/>
          <w:highlight w:val="none"/>
        </w:rPr>
        <w:t>检查的主要内容有：a. 水保管理体系。b. 水保教育。c.临建设施和施工便道排水和</w:t>
      </w:r>
      <w:r>
        <w:rPr>
          <w:rFonts w:ascii="宋体" w:hAnsi="宋体" w:eastAsia="宋体" w:cs="宋体"/>
          <w:color w:val="auto"/>
          <w:spacing w:val="2"/>
          <w:sz w:val="22"/>
          <w:szCs w:val="22"/>
          <w:highlight w:val="none"/>
        </w:rPr>
        <w:t>防护是否符合要求。d. 边坡防护是否及时进行防护</w:t>
      </w:r>
      <w:r>
        <w:rPr>
          <w:rFonts w:ascii="宋体" w:hAnsi="宋体" w:eastAsia="宋体" w:cs="宋体"/>
          <w:color w:val="auto"/>
          <w:spacing w:val="1"/>
          <w:sz w:val="22"/>
          <w:szCs w:val="22"/>
          <w:highlight w:val="none"/>
        </w:rPr>
        <w:t>，检查绿化工程成活率，是否做到了边坡无雨水冲刷、水土流失现象。e. 排水工程施工质量（包括路基临时排水设施）</w:t>
      </w:r>
      <w:r>
        <w:rPr>
          <w:rFonts w:ascii="宋体" w:hAnsi="宋体" w:eastAsia="宋体" w:cs="宋体"/>
          <w:color w:val="auto"/>
          <w:spacing w:val="5"/>
          <w:sz w:val="22"/>
          <w:szCs w:val="22"/>
          <w:highlight w:val="none"/>
        </w:rPr>
        <w:t>和连通情况，是否将地面水及地下水排入相应的涵洞，从而保证水土不</w:t>
      </w:r>
      <w:r>
        <w:rPr>
          <w:rFonts w:ascii="宋体" w:hAnsi="宋体" w:eastAsia="宋体" w:cs="宋体"/>
          <w:color w:val="auto"/>
          <w:spacing w:val="4"/>
          <w:sz w:val="22"/>
          <w:szCs w:val="22"/>
          <w:highlight w:val="none"/>
        </w:rPr>
        <w:t>流失。f.取、</w:t>
      </w:r>
      <w:r>
        <w:rPr>
          <w:rFonts w:ascii="宋体" w:hAnsi="宋体" w:eastAsia="宋体" w:cs="宋体"/>
          <w:color w:val="auto"/>
          <w:spacing w:val="5"/>
          <w:sz w:val="22"/>
          <w:szCs w:val="22"/>
          <w:highlight w:val="none"/>
        </w:rPr>
        <w:t>弃土场排水和防护措施是否符合要求。g. 桥</w:t>
      </w:r>
      <w:r>
        <w:rPr>
          <w:rFonts w:ascii="宋体" w:hAnsi="宋体" w:eastAsia="宋体" w:cs="宋体"/>
          <w:color w:val="auto"/>
          <w:spacing w:val="4"/>
          <w:sz w:val="22"/>
          <w:szCs w:val="22"/>
          <w:highlight w:val="none"/>
        </w:rPr>
        <w:t>梁桩基泥浆处理是否符合要求。h. 涉江</w:t>
      </w:r>
      <w:r>
        <w:rPr>
          <w:rFonts w:ascii="宋体" w:hAnsi="宋体" w:eastAsia="宋体" w:cs="宋体"/>
          <w:color w:val="auto"/>
          <w:spacing w:val="2"/>
          <w:sz w:val="22"/>
          <w:szCs w:val="22"/>
          <w:highlight w:val="none"/>
        </w:rPr>
        <w:t>涉河工程和生态敏感区水土保持措施是否符合要求</w:t>
      </w:r>
      <w:r>
        <w:rPr>
          <w:rFonts w:ascii="宋体" w:hAnsi="宋体" w:eastAsia="宋体" w:cs="宋体"/>
          <w:color w:val="auto"/>
          <w:spacing w:val="1"/>
          <w:sz w:val="22"/>
          <w:szCs w:val="22"/>
          <w:highlight w:val="none"/>
        </w:rPr>
        <w:t>。i. 如发现施工中存在违反有关水</w:t>
      </w:r>
      <w:r>
        <w:rPr>
          <w:rFonts w:ascii="宋体" w:hAnsi="宋体" w:eastAsia="宋体" w:cs="宋体"/>
          <w:color w:val="auto"/>
          <w:sz w:val="22"/>
          <w:szCs w:val="22"/>
          <w:highlight w:val="none"/>
        </w:rPr>
        <w:t>保规定、未按合同要求落实水保措施的情况，监理工程师应</w:t>
      </w:r>
      <w:r>
        <w:rPr>
          <w:rFonts w:ascii="宋体" w:hAnsi="宋体" w:eastAsia="宋体" w:cs="宋体"/>
          <w:color w:val="auto"/>
          <w:spacing w:val="-1"/>
          <w:sz w:val="22"/>
          <w:szCs w:val="22"/>
          <w:highlight w:val="none"/>
        </w:rPr>
        <w:t>书面指令施工单位整改。</w:t>
      </w:r>
    </w:p>
    <w:p w14:paraId="20B18C9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(3)协调水保监测</w:t>
      </w:r>
    </w:p>
    <w:p w14:paraId="3A846611">
      <w:pPr>
        <w:keepNext w:val="0"/>
        <w:keepLines w:val="0"/>
        <w:pageBreakBefore w:val="0"/>
        <w:widowControl/>
        <w:kinsoku w:val="0"/>
        <w:wordWrap/>
        <w:overflowPunct/>
        <w:topLinePunct w:val="0"/>
        <w:autoSpaceDE w:val="0"/>
        <w:autoSpaceDN w:val="0"/>
        <w:bidi w:val="0"/>
        <w:adjustRightInd w:val="0"/>
        <w:snapToGrid w:val="0"/>
        <w:spacing w:line="360" w:lineRule="auto"/>
        <w:ind w:left="3" w:firstLine="477"/>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根据施工过程中的重点和施工进度，协调外部监督监测单位进行相关监测工作。定时收集外部监督监测单位的水保监测报告，根据监测报告判断水保</w:t>
      </w:r>
      <w:r>
        <w:rPr>
          <w:rFonts w:ascii="宋体" w:hAnsi="宋体" w:eastAsia="宋体" w:cs="宋体"/>
          <w:color w:val="auto"/>
          <w:spacing w:val="4"/>
          <w:sz w:val="22"/>
          <w:szCs w:val="22"/>
          <w:highlight w:val="none"/>
        </w:rPr>
        <w:t>措施执行效果并</w:t>
      </w:r>
      <w:r>
        <w:rPr>
          <w:rFonts w:ascii="宋体" w:hAnsi="宋体" w:eastAsia="宋体" w:cs="宋体"/>
          <w:color w:val="auto"/>
          <w:spacing w:val="-1"/>
          <w:sz w:val="22"/>
          <w:szCs w:val="22"/>
          <w:highlight w:val="none"/>
        </w:rPr>
        <w:t>指导后续各项水保措施修订和落实工作。</w:t>
      </w:r>
    </w:p>
    <w:p w14:paraId="430AD604">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协助水保主管部门和建设单位处理突发水保事件。</w:t>
      </w:r>
    </w:p>
    <w:p w14:paraId="3364AB68">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(5) 建立、保管水保监理资料档案及影像资料。</w:t>
      </w:r>
    </w:p>
    <w:p w14:paraId="000D8E29">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交、竣工阶段及缺陷责任期的水土保持监理工作</w:t>
      </w:r>
    </w:p>
    <w:p w14:paraId="3F213677">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 交工验收水保监理工作内容</w:t>
      </w:r>
    </w:p>
    <w:p w14:paraId="781A23DD">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7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组织交工验收前的水保工作内容初验，审查施工单位水保遗留问题的处理方</w:t>
      </w:r>
      <w:r>
        <w:rPr>
          <w:rFonts w:ascii="宋体" w:hAnsi="宋体" w:eastAsia="宋体" w:cs="宋体"/>
          <w:color w:val="auto"/>
          <w:spacing w:val="-1"/>
          <w:sz w:val="22"/>
          <w:szCs w:val="22"/>
          <w:highlight w:val="none"/>
        </w:rPr>
        <w:t>案和实施计划，并督促落实。b. 整理水保监理资料，并归档。</w:t>
      </w:r>
    </w:p>
    <w:p w14:paraId="57D095BE">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交(竣)工验收及缺陷责任期内水保监理的工作内容。</w:t>
      </w:r>
    </w:p>
    <w:p w14:paraId="70448E7D">
      <w:pPr>
        <w:keepNext w:val="0"/>
        <w:keepLines w:val="0"/>
        <w:pageBreakBefore w:val="0"/>
        <w:widowControl/>
        <w:kinsoku w:val="0"/>
        <w:wordWrap/>
        <w:overflowPunct/>
        <w:topLinePunct w:val="0"/>
        <w:autoSpaceDE w:val="0"/>
        <w:autoSpaceDN w:val="0"/>
        <w:bidi w:val="0"/>
        <w:adjustRightInd w:val="0"/>
        <w:snapToGrid w:val="0"/>
        <w:spacing w:line="360" w:lineRule="auto"/>
        <w:ind w:firstLine="481"/>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定期检查现场水保缺陷问题，审查施工单位水保缺陷问题的处理方案和实施计</w:t>
      </w:r>
      <w:r>
        <w:rPr>
          <w:rFonts w:ascii="宋体" w:hAnsi="宋体" w:eastAsia="宋体" w:cs="宋体"/>
          <w:color w:val="auto"/>
          <w:spacing w:val="-2"/>
          <w:sz w:val="22"/>
          <w:szCs w:val="22"/>
          <w:highlight w:val="none"/>
        </w:rPr>
        <w:t>划，并督促落实。</w:t>
      </w:r>
    </w:p>
    <w:p w14:paraId="7DB5477C">
      <w:pPr>
        <w:keepNext w:val="0"/>
        <w:keepLines w:val="0"/>
        <w:pageBreakBefore w:val="0"/>
        <w:widowControl/>
        <w:kinsoku w:val="0"/>
        <w:wordWrap/>
        <w:overflowPunct/>
        <w:topLinePunct w:val="0"/>
        <w:autoSpaceDE w:val="0"/>
        <w:autoSpaceDN w:val="0"/>
        <w:bidi w:val="0"/>
        <w:adjustRightInd w:val="0"/>
        <w:snapToGrid w:val="0"/>
        <w:spacing w:line="360" w:lineRule="auto"/>
        <w:ind w:left="47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对项目水保修复工程的施工进行现场监理。</w:t>
      </w:r>
    </w:p>
    <w:p w14:paraId="2F6AEDC2">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8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督促各施工单位按合同及有关规定完成水保竣工资料的整理、归档，编写水保工</w:t>
      </w:r>
      <w:r>
        <w:rPr>
          <w:rFonts w:ascii="宋体" w:hAnsi="宋体" w:eastAsia="宋体" w:cs="宋体"/>
          <w:color w:val="auto"/>
          <w:spacing w:val="-2"/>
          <w:sz w:val="22"/>
          <w:szCs w:val="22"/>
          <w:highlight w:val="none"/>
        </w:rPr>
        <w:t>作总结报告。</w:t>
      </w:r>
    </w:p>
    <w:p w14:paraId="16CCDF1C">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整理和完善水保监理竣工资料，并编写水保监理工作总结报告。</w:t>
      </w:r>
    </w:p>
    <w:p w14:paraId="74BEF63D">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w:t>
      </w:r>
      <w:r>
        <w:rPr>
          <w:rFonts w:ascii="宋体" w:hAnsi="宋体" w:eastAsia="宋体" w:cs="宋体"/>
          <w:color w:val="auto"/>
          <w:spacing w:val="-47"/>
          <w:sz w:val="22"/>
          <w:szCs w:val="22"/>
          <w:highlight w:val="none"/>
        </w:rPr>
        <w:t xml:space="preserve"> </w:t>
      </w:r>
      <w:r>
        <w:rPr>
          <w:rFonts w:ascii="宋体" w:hAnsi="宋体" w:eastAsia="宋体" w:cs="宋体"/>
          <w:color w:val="auto"/>
          <w:spacing w:val="-3"/>
          <w:sz w:val="22"/>
          <w:szCs w:val="22"/>
          <w:highlight w:val="none"/>
        </w:rPr>
        <w:t>协助竣工水保验收。</w:t>
      </w:r>
    </w:p>
    <w:p w14:paraId="1B3FEE39">
      <w:pPr>
        <w:keepNext w:val="0"/>
        <w:keepLines w:val="0"/>
        <w:pageBreakBefore w:val="0"/>
        <w:widowControl/>
        <w:kinsoku w:val="0"/>
        <w:wordWrap/>
        <w:overflowPunct/>
        <w:topLinePunct w:val="0"/>
        <w:autoSpaceDE w:val="0"/>
        <w:autoSpaceDN w:val="0"/>
        <w:bidi w:val="0"/>
        <w:adjustRightInd w:val="0"/>
        <w:snapToGrid w:val="0"/>
        <w:spacing w:line="360" w:lineRule="auto"/>
        <w:ind w:firstLine="483"/>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f</w:t>
      </w:r>
      <w:r>
        <w:rPr>
          <w:rFonts w:ascii="宋体" w:hAnsi="宋体" w:eastAsia="宋体" w:cs="宋体"/>
          <w:color w:val="auto"/>
          <w:spacing w:val="-51"/>
          <w:sz w:val="22"/>
          <w:szCs w:val="22"/>
          <w:highlight w:val="none"/>
        </w:rPr>
        <w:t xml:space="preserve"> </w:t>
      </w:r>
      <w:r>
        <w:rPr>
          <w:rFonts w:ascii="宋体" w:hAnsi="宋体" w:eastAsia="宋体" w:cs="宋体"/>
          <w:color w:val="auto"/>
          <w:sz w:val="22"/>
          <w:szCs w:val="22"/>
          <w:highlight w:val="none"/>
        </w:rPr>
        <w:t>缺陷责任期内环水保监测、水保验收工作由委托人承</w:t>
      </w:r>
      <w:r>
        <w:rPr>
          <w:rFonts w:ascii="宋体" w:hAnsi="宋体" w:eastAsia="宋体" w:cs="宋体"/>
          <w:color w:val="auto"/>
          <w:spacing w:val="-1"/>
          <w:sz w:val="22"/>
          <w:szCs w:val="22"/>
          <w:highlight w:val="none"/>
        </w:rPr>
        <w:t>担，总监办协助委托人做好</w:t>
      </w:r>
      <w:r>
        <w:rPr>
          <w:rFonts w:ascii="宋体" w:hAnsi="宋体" w:eastAsia="宋体" w:cs="宋体"/>
          <w:color w:val="auto"/>
          <w:spacing w:val="-2"/>
          <w:sz w:val="22"/>
          <w:szCs w:val="22"/>
          <w:highlight w:val="none"/>
        </w:rPr>
        <w:t>相关工作。</w:t>
      </w:r>
    </w:p>
    <w:p w14:paraId="7C30793C">
      <w:pPr>
        <w:keepNext w:val="0"/>
        <w:keepLines w:val="0"/>
        <w:pageBreakBefore w:val="0"/>
        <w:widowControl/>
        <w:kinsoku w:val="0"/>
        <w:wordWrap/>
        <w:overflowPunct/>
        <w:topLinePunct w:val="0"/>
        <w:autoSpaceDE w:val="0"/>
        <w:autoSpaceDN w:val="0"/>
        <w:bidi w:val="0"/>
        <w:adjustRightInd w:val="0"/>
        <w:snapToGrid w:val="0"/>
        <w:spacing w:line="360" w:lineRule="auto"/>
        <w:ind w:firstLine="498"/>
        <w:jc w:val="both"/>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13.3</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为在项目交工验收后及时完成项目竣工环境保护验收工作，各监理人应负责</w:t>
      </w:r>
      <w:r>
        <w:rPr>
          <w:rFonts w:ascii="宋体" w:hAnsi="宋体" w:eastAsia="宋体" w:cs="宋体"/>
          <w:color w:val="auto"/>
          <w:spacing w:val="5"/>
          <w:sz w:val="22"/>
          <w:szCs w:val="22"/>
          <w:highlight w:val="none"/>
        </w:rPr>
        <w:t>协调、配合环境保护验收监测（调查）报告编制单位开展相关工作，并且按环</w:t>
      </w:r>
      <w:r>
        <w:rPr>
          <w:rFonts w:ascii="宋体" w:hAnsi="宋体" w:eastAsia="宋体" w:cs="宋体"/>
          <w:color w:val="auto"/>
          <w:spacing w:val="4"/>
          <w:sz w:val="22"/>
          <w:szCs w:val="22"/>
          <w:highlight w:val="none"/>
        </w:rPr>
        <w:t>境保护</w:t>
      </w:r>
      <w:r>
        <w:rPr>
          <w:rFonts w:ascii="宋体" w:hAnsi="宋体" w:eastAsia="宋体" w:cs="宋体"/>
          <w:color w:val="auto"/>
          <w:spacing w:val="5"/>
          <w:sz w:val="22"/>
          <w:szCs w:val="22"/>
          <w:highlight w:val="none"/>
        </w:rPr>
        <w:t>验收监测（调查）报告单位提交的保护方案安排相关的环境监理工作。环保监</w:t>
      </w:r>
      <w:r>
        <w:rPr>
          <w:rFonts w:ascii="宋体" w:hAnsi="宋体" w:eastAsia="宋体" w:cs="宋体"/>
          <w:color w:val="auto"/>
          <w:spacing w:val="4"/>
          <w:sz w:val="22"/>
          <w:szCs w:val="22"/>
          <w:highlight w:val="none"/>
        </w:rPr>
        <w:t>理具体</w:t>
      </w:r>
      <w:r>
        <w:rPr>
          <w:rFonts w:ascii="宋体" w:hAnsi="宋体" w:eastAsia="宋体" w:cs="宋体"/>
          <w:color w:val="auto"/>
          <w:spacing w:val="-3"/>
          <w:sz w:val="22"/>
          <w:szCs w:val="22"/>
          <w:highlight w:val="none"/>
        </w:rPr>
        <w:t>工作为：</w:t>
      </w:r>
    </w:p>
    <w:p w14:paraId="1D012927">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13.3.1</w:t>
      </w:r>
      <w:r>
        <w:rPr>
          <w:rFonts w:ascii="宋体" w:hAnsi="宋体" w:eastAsia="宋体" w:cs="宋体"/>
          <w:color w:val="auto"/>
          <w:spacing w:val="-38"/>
          <w:sz w:val="22"/>
          <w:szCs w:val="22"/>
          <w:highlight w:val="none"/>
        </w:rPr>
        <w:t xml:space="preserve"> </w:t>
      </w:r>
      <w:r>
        <w:rPr>
          <w:rFonts w:ascii="宋体" w:hAnsi="宋体" w:eastAsia="宋体" w:cs="宋体"/>
          <w:b/>
          <w:bCs/>
          <w:color w:val="auto"/>
          <w:spacing w:val="-4"/>
          <w:sz w:val="22"/>
          <w:szCs w:val="22"/>
          <w:highlight w:val="none"/>
        </w:rPr>
        <w:t>施工准备阶段的环境保护监理工作</w:t>
      </w:r>
    </w:p>
    <w:p w14:paraId="16EBBFC0">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(1)成立环保监理领导小组，明确职责分工。</w:t>
      </w:r>
    </w:p>
    <w:p w14:paraId="2378F456">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(2)熟悉环评报告和设计文件，掌握工程</w:t>
      </w:r>
      <w:r>
        <w:rPr>
          <w:rFonts w:ascii="宋体" w:hAnsi="宋体" w:eastAsia="宋体" w:cs="宋体"/>
          <w:color w:val="auto"/>
          <w:spacing w:val="-3"/>
          <w:sz w:val="22"/>
          <w:szCs w:val="22"/>
          <w:highlight w:val="none"/>
        </w:rPr>
        <w:t>整体情况。</w:t>
      </w:r>
    </w:p>
    <w:p w14:paraId="17C189B9">
      <w:pPr>
        <w:keepNext w:val="0"/>
        <w:keepLines w:val="0"/>
        <w:pageBreakBefore w:val="0"/>
        <w:widowControl/>
        <w:kinsoku w:val="0"/>
        <w:wordWrap/>
        <w:overflowPunct/>
        <w:topLinePunct w:val="0"/>
        <w:autoSpaceDE w:val="0"/>
        <w:autoSpaceDN w:val="0"/>
        <w:bidi w:val="0"/>
        <w:adjustRightInd w:val="0"/>
        <w:snapToGrid w:val="0"/>
        <w:spacing w:line="360" w:lineRule="auto"/>
        <w:ind w:left="13" w:firstLine="51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(3)对照设计文件、环境影响评价文件，</w:t>
      </w:r>
      <w:r>
        <w:rPr>
          <w:rFonts w:ascii="宋体" w:hAnsi="宋体" w:eastAsia="宋体" w:cs="宋体"/>
          <w:color w:val="auto"/>
          <w:sz w:val="22"/>
          <w:szCs w:val="22"/>
          <w:highlight w:val="none"/>
        </w:rPr>
        <w:t>调查和了解工程附近环境保护目标和敏感</w:t>
      </w:r>
      <w:r>
        <w:rPr>
          <w:rFonts w:ascii="宋体" w:hAnsi="宋体" w:eastAsia="宋体" w:cs="宋体"/>
          <w:color w:val="auto"/>
          <w:spacing w:val="-4"/>
          <w:sz w:val="22"/>
          <w:szCs w:val="22"/>
          <w:highlight w:val="none"/>
        </w:rPr>
        <w:t>点的分布情况。</w:t>
      </w:r>
    </w:p>
    <w:p w14:paraId="371AE850">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52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(4)初步审查承包人提交的临时工程设计</w:t>
      </w:r>
      <w:r>
        <w:rPr>
          <w:rFonts w:ascii="宋体" w:hAnsi="宋体" w:eastAsia="宋体" w:cs="宋体"/>
          <w:color w:val="auto"/>
          <w:sz w:val="22"/>
          <w:szCs w:val="22"/>
          <w:highlight w:val="none"/>
        </w:rPr>
        <w:t>文件中的环境保护措施和方案，提交委托</w:t>
      </w:r>
      <w:r>
        <w:rPr>
          <w:rFonts w:ascii="宋体" w:hAnsi="宋体" w:eastAsia="宋体" w:cs="宋体"/>
          <w:color w:val="auto"/>
          <w:spacing w:val="-2"/>
          <w:sz w:val="22"/>
          <w:szCs w:val="22"/>
          <w:highlight w:val="none"/>
        </w:rPr>
        <w:t>人组织审查。</w:t>
      </w:r>
    </w:p>
    <w:p w14:paraId="6A5D10EA">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(5)编制施工环境保护监理计划和各单位工程的环境保护监理实施细则。</w:t>
      </w:r>
    </w:p>
    <w:p w14:paraId="1D68ECB6">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(6)督促施工单位建立环境保护管理体系。</w:t>
      </w:r>
    </w:p>
    <w:p w14:paraId="10A8974C">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(7)审查承包人编制的《施工组织设计》中施工污染防治方案。</w:t>
      </w:r>
    </w:p>
    <w:p w14:paraId="25A1313A">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施工阶段的环境保护监理工作</w:t>
      </w:r>
    </w:p>
    <w:p w14:paraId="653B4E33">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(1)环保监理巡视和检查</w:t>
      </w:r>
    </w:p>
    <w:p w14:paraId="33FD6092">
      <w:pPr>
        <w:keepNext w:val="0"/>
        <w:keepLines w:val="0"/>
        <w:pageBreakBefore w:val="0"/>
        <w:widowControl/>
        <w:kinsoku w:val="0"/>
        <w:wordWrap/>
        <w:overflowPunct/>
        <w:topLinePunct w:val="0"/>
        <w:autoSpaceDE w:val="0"/>
        <w:autoSpaceDN w:val="0"/>
        <w:bidi w:val="0"/>
        <w:adjustRightInd w:val="0"/>
        <w:snapToGrid w:val="0"/>
        <w:spacing w:line="360" w:lineRule="auto"/>
        <w:ind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监理工程师在巡视、旁站中，应随时检查施工单位制订的环境保护措施的落实情</w:t>
      </w:r>
      <w:r>
        <w:rPr>
          <w:rFonts w:ascii="宋体" w:hAnsi="宋体" w:eastAsia="宋体" w:cs="宋体"/>
          <w:color w:val="auto"/>
          <w:spacing w:val="2"/>
          <w:sz w:val="22"/>
          <w:szCs w:val="22"/>
          <w:highlight w:val="none"/>
        </w:rPr>
        <w:t>况，检查的主要内容有：a. 施工环境保</w:t>
      </w:r>
      <w:r>
        <w:rPr>
          <w:rFonts w:ascii="宋体" w:hAnsi="宋体" w:eastAsia="宋体" w:cs="宋体"/>
          <w:color w:val="auto"/>
          <w:spacing w:val="1"/>
          <w:sz w:val="22"/>
          <w:szCs w:val="22"/>
          <w:highlight w:val="none"/>
        </w:rPr>
        <w:t>护体系；b. 环保教育；c. 施工场地的布设是</w:t>
      </w:r>
      <w:r>
        <w:rPr>
          <w:rFonts w:ascii="宋体" w:hAnsi="宋体" w:eastAsia="宋体" w:cs="宋体"/>
          <w:color w:val="auto"/>
          <w:spacing w:val="2"/>
          <w:sz w:val="22"/>
          <w:szCs w:val="22"/>
          <w:highlight w:val="none"/>
        </w:rPr>
        <w:t>否符合相关环保要求；d. 职业危害的防护措施是否健全；e</w:t>
      </w:r>
      <w:r>
        <w:rPr>
          <w:rFonts w:ascii="宋体" w:hAnsi="宋体" w:eastAsia="宋体" w:cs="宋体"/>
          <w:color w:val="auto"/>
          <w:spacing w:val="1"/>
          <w:sz w:val="22"/>
          <w:szCs w:val="22"/>
          <w:highlight w:val="none"/>
        </w:rPr>
        <w:t>. 施工现场(含临时便道、</w:t>
      </w:r>
      <w:r>
        <w:rPr>
          <w:rFonts w:ascii="宋体" w:hAnsi="宋体" w:eastAsia="宋体" w:cs="宋体"/>
          <w:color w:val="auto"/>
          <w:spacing w:val="2"/>
          <w:sz w:val="22"/>
          <w:szCs w:val="22"/>
          <w:highlight w:val="none"/>
        </w:rPr>
        <w:t>拌和站、预制场等)和料场等是否洒水防尘；</w:t>
      </w:r>
      <w:r>
        <w:rPr>
          <w:rFonts w:ascii="宋体" w:hAnsi="宋体" w:eastAsia="宋体" w:cs="宋体"/>
          <w:color w:val="auto"/>
          <w:spacing w:val="1"/>
          <w:sz w:val="22"/>
          <w:szCs w:val="22"/>
          <w:highlight w:val="none"/>
        </w:rPr>
        <w:t>f. 是否按有关要求采取降噪措施；g. 材</w:t>
      </w:r>
      <w:r>
        <w:rPr>
          <w:rFonts w:ascii="宋体" w:hAnsi="宋体" w:eastAsia="宋体" w:cs="宋体"/>
          <w:color w:val="auto"/>
          <w:spacing w:val="5"/>
          <w:sz w:val="22"/>
          <w:szCs w:val="22"/>
          <w:highlight w:val="none"/>
        </w:rPr>
        <w:t>料堆场设置环境的合理性及采取措施减少运输漏洒情况；h.施工</w:t>
      </w:r>
      <w:r>
        <w:rPr>
          <w:rFonts w:ascii="宋体" w:hAnsi="宋体" w:eastAsia="宋体" w:cs="宋体"/>
          <w:color w:val="auto"/>
          <w:spacing w:val="4"/>
          <w:sz w:val="22"/>
          <w:szCs w:val="22"/>
          <w:highlight w:val="none"/>
        </w:rPr>
        <w:t>废水、渣土、生活污</w:t>
      </w:r>
      <w:r>
        <w:rPr>
          <w:rFonts w:ascii="宋体" w:hAnsi="宋体" w:eastAsia="宋体" w:cs="宋体"/>
          <w:color w:val="auto"/>
          <w:spacing w:val="2"/>
          <w:sz w:val="22"/>
          <w:szCs w:val="22"/>
          <w:highlight w:val="none"/>
        </w:rPr>
        <w:t>水、垃圾的处置是否合理；i. 是否按照批准在</w:t>
      </w:r>
      <w:r>
        <w:rPr>
          <w:rFonts w:ascii="宋体" w:hAnsi="宋体" w:eastAsia="宋体" w:cs="宋体"/>
          <w:color w:val="auto"/>
          <w:spacing w:val="1"/>
          <w:sz w:val="22"/>
          <w:szCs w:val="22"/>
          <w:highlight w:val="none"/>
        </w:rPr>
        <w:t>拟定的取弃土场取弃土，取土结束后是</w:t>
      </w:r>
      <w:r>
        <w:rPr>
          <w:rFonts w:ascii="宋体" w:hAnsi="宋体" w:eastAsia="宋体" w:cs="宋体"/>
          <w:color w:val="auto"/>
          <w:spacing w:val="2"/>
          <w:sz w:val="22"/>
          <w:szCs w:val="22"/>
          <w:highlight w:val="none"/>
        </w:rPr>
        <w:t>否采取了有效的排水防护和植被恢复措施；j. 如发现施工中存在</w:t>
      </w:r>
      <w:r>
        <w:rPr>
          <w:rFonts w:ascii="宋体" w:hAnsi="宋体" w:eastAsia="宋体" w:cs="宋体"/>
          <w:color w:val="auto"/>
          <w:spacing w:val="1"/>
          <w:sz w:val="22"/>
          <w:szCs w:val="22"/>
          <w:highlight w:val="none"/>
        </w:rPr>
        <w:t>违反有关环保规定、</w:t>
      </w:r>
      <w:r>
        <w:rPr>
          <w:rFonts w:ascii="宋体" w:hAnsi="宋体" w:eastAsia="宋体" w:cs="宋体"/>
          <w:color w:val="auto"/>
          <w:spacing w:val="2"/>
          <w:sz w:val="22"/>
          <w:szCs w:val="22"/>
          <w:highlight w:val="none"/>
        </w:rPr>
        <w:t>未按合同要求落实环保措施的情况，监理工程师应书面指</w:t>
      </w:r>
      <w:r>
        <w:rPr>
          <w:rFonts w:ascii="宋体" w:hAnsi="宋体" w:eastAsia="宋体" w:cs="宋体"/>
          <w:color w:val="auto"/>
          <w:spacing w:val="1"/>
          <w:sz w:val="22"/>
          <w:szCs w:val="22"/>
          <w:highlight w:val="none"/>
        </w:rPr>
        <w:t>令施工单位整改；k. 施工中</w:t>
      </w:r>
      <w:r>
        <w:rPr>
          <w:rFonts w:ascii="宋体" w:hAnsi="宋体" w:eastAsia="宋体" w:cs="宋体"/>
          <w:color w:val="auto"/>
          <w:spacing w:val="-1"/>
          <w:sz w:val="22"/>
          <w:szCs w:val="22"/>
          <w:highlight w:val="none"/>
        </w:rPr>
        <w:t>发现文物时，监理工程师应要求施工单位依法保护现场，</w:t>
      </w:r>
      <w:r>
        <w:rPr>
          <w:rFonts w:ascii="宋体" w:hAnsi="宋体" w:eastAsia="宋体" w:cs="宋体"/>
          <w:color w:val="auto"/>
          <w:spacing w:val="-2"/>
          <w:sz w:val="22"/>
          <w:szCs w:val="22"/>
          <w:highlight w:val="none"/>
        </w:rPr>
        <w:t>并报告有关部门和建设单位</w:t>
      </w:r>
      <w:r>
        <w:rPr>
          <w:rFonts w:hint="eastAsia" w:ascii="宋体" w:hAnsi="宋体" w:eastAsia="宋体" w:cs="宋体"/>
          <w:color w:val="auto"/>
          <w:spacing w:val="2"/>
          <w:sz w:val="24"/>
          <w:szCs w:val="24"/>
          <w:highlight w:val="none"/>
          <w:lang w:eastAsia="zh-CN"/>
        </w:rPr>
        <w:t>;L.是否做好施工期间周边建（构）筑物的保护与监测，</w:t>
      </w:r>
      <w:r>
        <w:rPr>
          <w:rFonts w:hint="eastAsia" w:ascii="宋体" w:hAnsi="宋体" w:eastAsia="宋体" w:cs="宋体"/>
          <w:color w:val="auto"/>
          <w:spacing w:val="2"/>
          <w:sz w:val="24"/>
          <w:szCs w:val="24"/>
          <w:highlight w:val="none"/>
          <w:lang w:val="en-US" w:eastAsia="zh-CN"/>
        </w:rPr>
        <w:t>若因施工原因造成损坏，是否及时修复</w:t>
      </w:r>
      <w:r>
        <w:rPr>
          <w:rFonts w:ascii="宋体" w:hAnsi="宋体" w:eastAsia="宋体" w:cs="宋体"/>
          <w:color w:val="auto"/>
          <w:spacing w:val="-2"/>
          <w:sz w:val="22"/>
          <w:szCs w:val="22"/>
          <w:highlight w:val="none"/>
        </w:rPr>
        <w:t>。</w:t>
      </w:r>
    </w:p>
    <w:p w14:paraId="1FC2B12B">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(2) 协调环保监测</w:t>
      </w:r>
    </w:p>
    <w:p w14:paraId="77DB31E1">
      <w:pPr>
        <w:keepNext w:val="0"/>
        <w:keepLines w:val="0"/>
        <w:pageBreakBefore w:val="0"/>
        <w:widowControl/>
        <w:kinsoku w:val="0"/>
        <w:wordWrap/>
        <w:overflowPunct/>
        <w:topLinePunct w:val="0"/>
        <w:autoSpaceDE w:val="0"/>
        <w:autoSpaceDN w:val="0"/>
        <w:bidi w:val="0"/>
        <w:adjustRightInd w:val="0"/>
        <w:snapToGrid w:val="0"/>
        <w:spacing w:line="360" w:lineRule="auto"/>
        <w:ind w:right="8" w:firstLine="48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根据施工过程中的重点和施工进度，协调外部监督监测单位进行空气质量、地表水水质、声环境质量等项目监测工作。定时收集外部监督监测单位的环境监</w:t>
      </w:r>
      <w:r>
        <w:rPr>
          <w:rFonts w:ascii="宋体" w:hAnsi="宋体" w:eastAsia="宋体" w:cs="宋体"/>
          <w:color w:val="auto"/>
          <w:spacing w:val="4"/>
          <w:sz w:val="22"/>
          <w:szCs w:val="22"/>
          <w:highlight w:val="none"/>
        </w:rPr>
        <w:t>测报告，</w:t>
      </w:r>
      <w:r>
        <w:rPr>
          <w:rFonts w:ascii="宋体" w:hAnsi="宋体" w:eastAsia="宋体" w:cs="宋体"/>
          <w:color w:val="auto"/>
          <w:sz w:val="22"/>
          <w:szCs w:val="22"/>
          <w:highlight w:val="none"/>
        </w:rPr>
        <w:t>根据监测报告判断环保措施执行效果并指导后续各项环</w:t>
      </w:r>
      <w:r>
        <w:rPr>
          <w:rFonts w:ascii="宋体" w:hAnsi="宋体" w:eastAsia="宋体" w:cs="宋体"/>
          <w:color w:val="auto"/>
          <w:spacing w:val="-1"/>
          <w:sz w:val="22"/>
          <w:szCs w:val="22"/>
          <w:highlight w:val="none"/>
        </w:rPr>
        <w:t>保措施修订和落实工作。</w:t>
      </w:r>
    </w:p>
    <w:p w14:paraId="341189F1">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协助环保主管部门和建设单位处理突发环保事件。</w:t>
      </w:r>
    </w:p>
    <w:p w14:paraId="7B1C071C">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 建立、保管环境保护监理资料档案。</w:t>
      </w:r>
    </w:p>
    <w:p w14:paraId="09267E6E">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交、竣工阶段及缺陷责任期的环境保护监理工作</w:t>
      </w:r>
    </w:p>
    <w:p w14:paraId="4FB9F0F3">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 交工验收环境保护监理工作内容</w:t>
      </w:r>
    </w:p>
    <w:p w14:paraId="164F8BD2">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 组织交工验收前的环境保护工作内容初验；</w:t>
      </w:r>
    </w:p>
    <w:p w14:paraId="40C2DBB7">
      <w:pPr>
        <w:keepNext w:val="0"/>
        <w:keepLines w:val="0"/>
        <w:pageBreakBefore w:val="0"/>
        <w:widowControl/>
        <w:kinsoku w:val="0"/>
        <w:wordWrap/>
        <w:overflowPunct/>
        <w:topLinePunct w:val="0"/>
        <w:autoSpaceDE w:val="0"/>
        <w:autoSpaceDN w:val="0"/>
        <w:bidi w:val="0"/>
        <w:adjustRightInd w:val="0"/>
        <w:snapToGrid w:val="0"/>
        <w:spacing w:line="360" w:lineRule="auto"/>
        <w:ind w:left="47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 整理环境监理资料，并归档；</w:t>
      </w:r>
    </w:p>
    <w:p w14:paraId="1DF4D3D0">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c.参加交工验收，协助委托人的交工验收工作。</w:t>
      </w:r>
    </w:p>
    <w:p w14:paraId="7733A811">
      <w:pPr>
        <w:keepNext w:val="0"/>
        <w:keepLines w:val="0"/>
        <w:pageBreakBefore w:val="0"/>
        <w:widowControl/>
        <w:kinsoku w:val="0"/>
        <w:wordWrap/>
        <w:overflowPunct/>
        <w:topLinePunct w:val="0"/>
        <w:autoSpaceDE w:val="0"/>
        <w:autoSpaceDN w:val="0"/>
        <w:bidi w:val="0"/>
        <w:adjustRightInd w:val="0"/>
        <w:snapToGrid w:val="0"/>
        <w:spacing w:line="360" w:lineRule="auto"/>
        <w:ind w:left="523"/>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(2) 缺陷责任期内环境保护监理的工作内容。</w:t>
      </w:r>
    </w:p>
    <w:p w14:paraId="64ACABA5">
      <w:pPr>
        <w:keepNext w:val="0"/>
        <w:keepLines w:val="0"/>
        <w:pageBreakBefore w:val="0"/>
        <w:widowControl/>
        <w:kinsoku w:val="0"/>
        <w:wordWrap/>
        <w:overflowPunct/>
        <w:topLinePunct w:val="0"/>
        <w:autoSpaceDE w:val="0"/>
        <w:autoSpaceDN w:val="0"/>
        <w:bidi w:val="0"/>
        <w:adjustRightInd w:val="0"/>
        <w:snapToGrid w:val="0"/>
        <w:spacing w:line="360" w:lineRule="auto"/>
        <w:ind w:right="8" w:firstLine="481"/>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a.定期检查施工单位对交工环境保护验收提出的环境保护遗漏问题整改措施和计</w:t>
      </w:r>
      <w:r>
        <w:rPr>
          <w:rFonts w:ascii="宋体" w:hAnsi="宋体" w:eastAsia="宋体" w:cs="宋体"/>
          <w:color w:val="auto"/>
          <w:spacing w:val="-2"/>
          <w:sz w:val="22"/>
          <w:szCs w:val="22"/>
          <w:highlight w:val="none"/>
        </w:rPr>
        <w:t>划的实施情况。</w:t>
      </w:r>
    </w:p>
    <w:p w14:paraId="2B92D498">
      <w:pPr>
        <w:keepNext w:val="0"/>
        <w:keepLines w:val="0"/>
        <w:pageBreakBefore w:val="0"/>
        <w:widowControl/>
        <w:kinsoku w:val="0"/>
        <w:wordWrap/>
        <w:overflowPunct/>
        <w:topLinePunct w:val="0"/>
        <w:autoSpaceDE w:val="0"/>
        <w:autoSpaceDN w:val="0"/>
        <w:bidi w:val="0"/>
        <w:adjustRightInd w:val="0"/>
        <w:snapToGrid w:val="0"/>
        <w:spacing w:line="360" w:lineRule="auto"/>
        <w:ind w:left="4" w:right="8" w:firstLine="472"/>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b.对项目环境保护设施工程的施工进行现场监理，并对环境保护设施运行情况进</w:t>
      </w:r>
      <w:r>
        <w:rPr>
          <w:rFonts w:ascii="宋体" w:hAnsi="宋体" w:eastAsia="宋体" w:cs="宋体"/>
          <w:color w:val="auto"/>
          <w:spacing w:val="-1"/>
          <w:sz w:val="22"/>
          <w:szCs w:val="22"/>
          <w:highlight w:val="none"/>
        </w:rPr>
        <w:t>行检查，如不能达到环评报告书中的相关要求，及时督促其整改。</w:t>
      </w:r>
    </w:p>
    <w:p w14:paraId="37617196">
      <w:pPr>
        <w:keepNext w:val="0"/>
        <w:keepLines w:val="0"/>
        <w:pageBreakBefore w:val="0"/>
        <w:widowControl/>
        <w:kinsoku w:val="0"/>
        <w:wordWrap/>
        <w:overflowPunct/>
        <w:topLinePunct w:val="0"/>
        <w:autoSpaceDE w:val="0"/>
        <w:autoSpaceDN w:val="0"/>
        <w:bidi w:val="0"/>
        <w:adjustRightInd w:val="0"/>
        <w:snapToGrid w:val="0"/>
        <w:spacing w:line="360" w:lineRule="auto"/>
        <w:ind w:left="2" w:right="191" w:firstLine="482"/>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c.督促各施工单位按合同及有关规定完成施工环境保护竣工资料的整理、归档，</w:t>
      </w:r>
      <w:r>
        <w:rPr>
          <w:rFonts w:ascii="宋体" w:hAnsi="宋体" w:eastAsia="宋体" w:cs="宋体"/>
          <w:color w:val="auto"/>
          <w:spacing w:val="-1"/>
          <w:sz w:val="22"/>
          <w:szCs w:val="22"/>
          <w:highlight w:val="none"/>
        </w:rPr>
        <w:t>编写施工环境保护工作总结报告。</w:t>
      </w:r>
    </w:p>
    <w:p w14:paraId="56123C94">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d.整理和完善环境保护监理竣工资料，并编</w:t>
      </w:r>
      <w:r>
        <w:rPr>
          <w:rFonts w:ascii="宋体" w:hAnsi="宋体" w:eastAsia="宋体" w:cs="宋体"/>
          <w:color w:val="auto"/>
          <w:spacing w:val="-1"/>
          <w:sz w:val="22"/>
          <w:szCs w:val="22"/>
          <w:highlight w:val="none"/>
        </w:rPr>
        <w:t>写施工环境保护监理工作总结报告。</w:t>
      </w:r>
    </w:p>
    <w:p w14:paraId="56E8D761">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e.协助竣工环境保护验收。</w:t>
      </w:r>
    </w:p>
    <w:p w14:paraId="75B425C1">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8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f.缺陷责任期内环保监测、环境应急预案报备工作由委托人承担，总监办</w:t>
      </w:r>
      <w:r>
        <w:rPr>
          <w:rFonts w:ascii="宋体" w:hAnsi="宋体" w:eastAsia="宋体" w:cs="宋体"/>
          <w:color w:val="auto"/>
          <w:spacing w:val="4"/>
          <w:sz w:val="22"/>
          <w:szCs w:val="22"/>
          <w:highlight w:val="none"/>
        </w:rPr>
        <w:t>协助委</w:t>
      </w:r>
      <w:r>
        <w:rPr>
          <w:rFonts w:ascii="宋体" w:hAnsi="宋体" w:eastAsia="宋体" w:cs="宋体"/>
          <w:color w:val="auto"/>
          <w:spacing w:val="-2"/>
          <w:sz w:val="22"/>
          <w:szCs w:val="22"/>
          <w:highlight w:val="none"/>
        </w:rPr>
        <w:t>托人做好相关工作。</w:t>
      </w:r>
    </w:p>
    <w:p w14:paraId="008022BF">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13.4关于竣工文件的补充条款：</w:t>
      </w:r>
    </w:p>
    <w:p w14:paraId="5E2F33D2">
      <w:pPr>
        <w:keepNext w:val="0"/>
        <w:keepLines w:val="0"/>
        <w:pageBreakBefore w:val="0"/>
        <w:widowControl/>
        <w:kinsoku w:val="0"/>
        <w:wordWrap/>
        <w:overflowPunct/>
        <w:topLinePunct w:val="0"/>
        <w:autoSpaceDE w:val="0"/>
        <w:autoSpaceDN w:val="0"/>
        <w:bidi w:val="0"/>
        <w:adjustRightInd w:val="0"/>
        <w:snapToGrid w:val="0"/>
        <w:spacing w:line="360" w:lineRule="auto"/>
        <w:ind w:left="3" w:right="133" w:firstLine="49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（1）监理文件必须与工程施工同步形成、同步收集，并按照档案预组卷的标准同</w:t>
      </w:r>
      <w:r>
        <w:rPr>
          <w:rFonts w:ascii="宋体" w:hAnsi="宋体" w:eastAsia="宋体" w:cs="宋体"/>
          <w:color w:val="auto"/>
          <w:spacing w:val="-2"/>
          <w:sz w:val="22"/>
          <w:szCs w:val="22"/>
          <w:highlight w:val="none"/>
        </w:rPr>
        <w:t>步进行系统的整理。</w:t>
      </w:r>
    </w:p>
    <w:p w14:paraId="18154BFD">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（2）工程开工后，监理人应及时建立档案管理机构，明确分管领导、管理部门和</w:t>
      </w:r>
      <w:r>
        <w:rPr>
          <w:rFonts w:ascii="宋体" w:hAnsi="宋体" w:eastAsia="宋体" w:cs="宋体"/>
          <w:color w:val="auto"/>
          <w:spacing w:val="-1"/>
          <w:sz w:val="22"/>
          <w:szCs w:val="22"/>
          <w:highlight w:val="none"/>
        </w:rPr>
        <w:t>配备适应工作需要的档案管理人员，并保持相对稳定。</w:t>
      </w:r>
    </w:p>
    <w:p w14:paraId="68EF9EFD">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（3）监理人应监督、指导施工用表、施工原始文件的填写及管理性文件的上报。</w:t>
      </w:r>
    </w:p>
    <w:p w14:paraId="32ABE06E">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（3）档案的装具和设施设备应满足档案管理的要求，保证文件材料和档案的安全。</w:t>
      </w:r>
    </w:p>
    <w:p w14:paraId="02AB0B44">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（4）监理文件的形成应规范、清晰，数据真实、准确。</w:t>
      </w:r>
    </w:p>
    <w:p w14:paraId="1EF606B3">
      <w:pPr>
        <w:keepNext w:val="0"/>
        <w:keepLines w:val="0"/>
        <w:pageBreakBefore w:val="0"/>
        <w:widowControl/>
        <w:kinsoku w:val="0"/>
        <w:wordWrap/>
        <w:overflowPunct/>
        <w:topLinePunct w:val="0"/>
        <w:autoSpaceDE w:val="0"/>
        <w:autoSpaceDN w:val="0"/>
        <w:bidi w:val="0"/>
        <w:adjustRightInd w:val="0"/>
        <w:snapToGrid w:val="0"/>
        <w:spacing w:line="360" w:lineRule="auto"/>
        <w:ind w:left="1" w:right="133" w:firstLine="49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（5）监理文件应按照交通运输部关于公路建设项目档案的归档范围收集齐全、完</w:t>
      </w:r>
      <w:r>
        <w:rPr>
          <w:rFonts w:ascii="宋体" w:hAnsi="宋体" w:eastAsia="宋体" w:cs="宋体"/>
          <w:color w:val="auto"/>
          <w:spacing w:val="-6"/>
          <w:sz w:val="22"/>
          <w:szCs w:val="22"/>
          <w:highlight w:val="none"/>
        </w:rPr>
        <w:t>整。</w:t>
      </w:r>
    </w:p>
    <w:p w14:paraId="47B3D3DC">
      <w:pPr>
        <w:keepNext w:val="0"/>
        <w:keepLines w:val="0"/>
        <w:pageBreakBefore w:val="0"/>
        <w:widowControl/>
        <w:kinsoku w:val="0"/>
        <w:wordWrap/>
        <w:overflowPunct/>
        <w:topLinePunct w:val="0"/>
        <w:autoSpaceDE w:val="0"/>
        <w:autoSpaceDN w:val="0"/>
        <w:bidi w:val="0"/>
        <w:adjustRightInd w:val="0"/>
        <w:snapToGrid w:val="0"/>
        <w:spacing w:line="360" w:lineRule="auto"/>
        <w:ind w:left="1" w:right="133" w:firstLine="495"/>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（6）标段交工或项目通车前，监理文件应按照预组卷（除未装订和打页码外，其</w:t>
      </w:r>
      <w:r>
        <w:rPr>
          <w:rFonts w:ascii="宋体" w:hAnsi="宋体" w:eastAsia="宋体" w:cs="宋体"/>
          <w:color w:val="auto"/>
          <w:spacing w:val="-1"/>
          <w:sz w:val="22"/>
          <w:szCs w:val="22"/>
          <w:highlight w:val="none"/>
        </w:rPr>
        <w:t>余同档案专项验收的标准一样）的标准完成。</w:t>
      </w:r>
    </w:p>
    <w:p w14:paraId="34F16892">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7"/>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（7）项目交工或通车前，监理人应对各标段施工文件、对应中心试验室移交的试</w:t>
      </w:r>
      <w:r>
        <w:rPr>
          <w:rFonts w:ascii="宋体" w:hAnsi="宋体" w:eastAsia="宋体" w:cs="宋体"/>
          <w:color w:val="auto"/>
          <w:sz w:val="22"/>
          <w:szCs w:val="22"/>
          <w:highlight w:val="none"/>
        </w:rPr>
        <w:t>验检测资料的完整、准确、系统性进行检查，</w:t>
      </w:r>
      <w:r>
        <w:rPr>
          <w:rFonts w:ascii="宋体" w:hAnsi="宋体" w:eastAsia="宋体" w:cs="宋体"/>
          <w:color w:val="auto"/>
          <w:spacing w:val="-1"/>
          <w:sz w:val="22"/>
          <w:szCs w:val="22"/>
          <w:highlight w:val="none"/>
        </w:rPr>
        <w:t>并形成书面评价意见。</w:t>
      </w:r>
    </w:p>
    <w:p w14:paraId="27291D5E">
      <w:pPr>
        <w:keepNext w:val="0"/>
        <w:keepLines w:val="0"/>
        <w:pageBreakBefore w:val="0"/>
        <w:widowControl/>
        <w:kinsoku w:val="0"/>
        <w:wordWrap/>
        <w:overflowPunct/>
        <w:topLinePunct w:val="0"/>
        <w:autoSpaceDE w:val="0"/>
        <w:autoSpaceDN w:val="0"/>
        <w:bidi w:val="0"/>
        <w:adjustRightInd w:val="0"/>
        <w:snapToGrid w:val="0"/>
        <w:spacing w:line="360" w:lineRule="auto"/>
        <w:ind w:left="3" w:right="130" w:firstLine="481"/>
        <w:textAlignment w:val="baseline"/>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试验检测资料（验收试验等用于分部分项工程质量评</w:t>
      </w:r>
      <w:r>
        <w:rPr>
          <w:rFonts w:ascii="宋体" w:hAnsi="宋体" w:eastAsia="宋体" w:cs="宋体"/>
          <w:color w:val="auto"/>
          <w:spacing w:val="3"/>
          <w:sz w:val="22"/>
          <w:szCs w:val="22"/>
          <w:highlight w:val="none"/>
        </w:rPr>
        <w:t>定资料等）</w:t>
      </w:r>
      <w:r>
        <w:rPr>
          <w:rFonts w:ascii="宋体" w:hAnsi="宋体" w:eastAsia="宋体" w:cs="宋体"/>
          <w:color w:val="auto"/>
          <w:spacing w:val="-69"/>
          <w:sz w:val="22"/>
          <w:szCs w:val="22"/>
          <w:highlight w:val="none"/>
        </w:rPr>
        <w:t xml:space="preserve"> </w:t>
      </w:r>
      <w:r>
        <w:rPr>
          <w:rFonts w:ascii="宋体" w:hAnsi="宋体" w:eastAsia="宋体" w:cs="宋体"/>
          <w:color w:val="auto"/>
          <w:spacing w:val="3"/>
          <w:sz w:val="22"/>
          <w:szCs w:val="22"/>
          <w:highlight w:val="none"/>
        </w:rPr>
        <w:t>由中心试验室定</w:t>
      </w:r>
      <w:r>
        <w:rPr>
          <w:rFonts w:ascii="宋体" w:hAnsi="宋体" w:eastAsia="宋体" w:cs="宋体"/>
          <w:color w:val="auto"/>
          <w:spacing w:val="-1"/>
          <w:sz w:val="22"/>
          <w:szCs w:val="22"/>
          <w:highlight w:val="none"/>
        </w:rPr>
        <w:t>期向监理人提交，由监理人负责整理、归档。</w:t>
      </w:r>
    </w:p>
    <w:p w14:paraId="4D6F47D3">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（8）项目交工或通车6个月内，监理文件应按</w:t>
      </w:r>
      <w:r>
        <w:rPr>
          <w:rFonts w:ascii="宋体" w:hAnsi="宋体" w:eastAsia="宋体" w:cs="宋体"/>
          <w:color w:val="auto"/>
          <w:spacing w:val="4"/>
          <w:sz w:val="22"/>
          <w:szCs w:val="22"/>
          <w:highlight w:val="none"/>
        </w:rPr>
        <w:t>照国家科技档案的标准和交通运输</w:t>
      </w:r>
      <w:r>
        <w:rPr>
          <w:rFonts w:ascii="宋体" w:hAnsi="宋体" w:eastAsia="宋体" w:cs="宋体"/>
          <w:color w:val="auto"/>
          <w:spacing w:val="5"/>
          <w:sz w:val="22"/>
          <w:szCs w:val="22"/>
          <w:highlight w:val="none"/>
        </w:rPr>
        <w:t>部规定的归档范围，全部完成组卷和编目。经委托人单位组织检查验收后，</w:t>
      </w:r>
      <w:r>
        <w:rPr>
          <w:rFonts w:ascii="宋体" w:hAnsi="宋体" w:eastAsia="宋体" w:cs="宋体"/>
          <w:color w:val="auto"/>
          <w:spacing w:val="4"/>
          <w:sz w:val="22"/>
          <w:szCs w:val="22"/>
          <w:highlight w:val="none"/>
        </w:rPr>
        <w:t>移交给委</w:t>
      </w:r>
      <w:r>
        <w:rPr>
          <w:rFonts w:ascii="宋体" w:hAnsi="宋体" w:eastAsia="宋体" w:cs="宋体"/>
          <w:color w:val="auto"/>
          <w:spacing w:val="-4"/>
          <w:sz w:val="22"/>
          <w:szCs w:val="22"/>
          <w:highlight w:val="none"/>
        </w:rPr>
        <w:t>托人。</w:t>
      </w:r>
    </w:p>
    <w:p w14:paraId="650FB4D0">
      <w:pPr>
        <w:keepNext w:val="0"/>
        <w:keepLines w:val="0"/>
        <w:pageBreakBefore w:val="0"/>
        <w:widowControl/>
        <w:kinsoku w:val="0"/>
        <w:wordWrap/>
        <w:overflowPunct/>
        <w:topLinePunct w:val="0"/>
        <w:autoSpaceDE w:val="0"/>
        <w:autoSpaceDN w:val="0"/>
        <w:bidi w:val="0"/>
        <w:adjustRightInd w:val="0"/>
        <w:snapToGrid w:val="0"/>
        <w:spacing w:line="360" w:lineRule="auto"/>
        <w:ind w:left="46" w:right="133" w:firstLine="450"/>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（9）如监理人因竣工文件未按时完成或质量问题影响到本项目的交工验收以及项</w:t>
      </w:r>
      <w:r>
        <w:rPr>
          <w:rFonts w:ascii="宋体" w:hAnsi="宋体" w:eastAsia="宋体" w:cs="宋体"/>
          <w:color w:val="auto"/>
          <w:spacing w:val="-2"/>
          <w:sz w:val="22"/>
          <w:szCs w:val="22"/>
          <w:highlight w:val="none"/>
        </w:rPr>
        <w:t>目档案专项验收，委托人有权视情节轻重从监理费或履约保函中扣除相关的费用。</w:t>
      </w:r>
    </w:p>
    <w:p w14:paraId="0A4395A8">
      <w:pPr>
        <w:keepNext w:val="0"/>
        <w:keepLines w:val="0"/>
        <w:pageBreakBefore w:val="0"/>
        <w:widowControl/>
        <w:kinsoku w:val="0"/>
        <w:wordWrap/>
        <w:overflowPunct/>
        <w:topLinePunct w:val="0"/>
        <w:autoSpaceDE w:val="0"/>
        <w:autoSpaceDN w:val="0"/>
        <w:bidi w:val="0"/>
        <w:adjustRightInd w:val="0"/>
        <w:snapToGrid w:val="0"/>
        <w:spacing w:line="360" w:lineRule="auto"/>
        <w:ind w:right="133" w:firstLine="496"/>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（10）监理人应全面核查施工承包人动态汇总</w:t>
      </w:r>
      <w:r>
        <w:rPr>
          <w:rFonts w:ascii="宋体" w:hAnsi="宋体" w:eastAsia="宋体" w:cs="宋体"/>
          <w:color w:val="auto"/>
          <w:spacing w:val="4"/>
          <w:sz w:val="22"/>
          <w:szCs w:val="22"/>
          <w:highlight w:val="none"/>
        </w:rPr>
        <w:t>修编的图纸和竣工图，图纸成果质</w:t>
      </w:r>
      <w:r>
        <w:rPr>
          <w:rFonts w:ascii="宋体" w:hAnsi="宋体" w:eastAsia="宋体" w:cs="宋体"/>
          <w:color w:val="auto"/>
          <w:spacing w:val="-1"/>
          <w:sz w:val="22"/>
          <w:szCs w:val="22"/>
          <w:highlight w:val="none"/>
        </w:rPr>
        <w:t>量应符合主要施工合同的造价数据链文件编制要求和闭合。</w:t>
      </w:r>
    </w:p>
    <w:p w14:paraId="4653C9DE">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13.5监理人驻地（含总监办、监理驻地</w:t>
      </w:r>
      <w:r>
        <w:rPr>
          <w:rFonts w:ascii="宋体" w:hAnsi="宋体" w:eastAsia="宋体" w:cs="宋体"/>
          <w:b/>
          <w:bCs/>
          <w:color w:val="auto"/>
          <w:spacing w:val="-4"/>
          <w:sz w:val="22"/>
          <w:szCs w:val="22"/>
          <w:highlight w:val="none"/>
        </w:rPr>
        <w:t>办）</w:t>
      </w:r>
    </w:p>
    <w:p w14:paraId="28E3FEA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96"/>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（1）监理人不得以任何形式接受施工单位租借的场所作为驻地，也不得与施工单</w:t>
      </w:r>
      <w:r>
        <w:rPr>
          <w:rFonts w:ascii="宋体" w:hAnsi="宋体" w:eastAsia="宋体" w:cs="宋体"/>
          <w:color w:val="auto"/>
          <w:spacing w:val="-3"/>
          <w:sz w:val="22"/>
          <w:szCs w:val="22"/>
          <w:highlight w:val="none"/>
        </w:rPr>
        <w:t>位共租。</w:t>
      </w:r>
    </w:p>
    <w:p w14:paraId="21735012">
      <w:pPr>
        <w:keepNext w:val="0"/>
        <w:keepLines w:val="0"/>
        <w:pageBreakBefore w:val="0"/>
        <w:widowControl/>
        <w:kinsoku w:val="0"/>
        <w:wordWrap/>
        <w:overflowPunct/>
        <w:topLinePunct w:val="0"/>
        <w:autoSpaceDE w:val="0"/>
        <w:autoSpaceDN w:val="0"/>
        <w:bidi w:val="0"/>
        <w:adjustRightInd w:val="0"/>
        <w:snapToGrid w:val="0"/>
        <w:spacing w:line="360" w:lineRule="auto"/>
        <w:ind w:left="5" w:firstLine="492"/>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（2）有条件的情况下，委托人可为监理人选择驻地，以便三方协调沟通，驻地建</w:t>
      </w:r>
      <w:r>
        <w:rPr>
          <w:rFonts w:ascii="宋体" w:hAnsi="宋体" w:eastAsia="宋体" w:cs="宋体"/>
          <w:color w:val="auto"/>
          <w:spacing w:val="-1"/>
          <w:sz w:val="22"/>
          <w:szCs w:val="22"/>
          <w:highlight w:val="none"/>
        </w:rPr>
        <w:t>设装修、租金、水电及其他相关费用由各方按使用面积分担或协商确定。</w:t>
      </w:r>
    </w:p>
    <w:p w14:paraId="6E69FB75">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13.6监理人与中心试验室试验检测服务工程质量监管职责</w:t>
      </w:r>
    </w:p>
    <w:p w14:paraId="15AE6ACC">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13.6.1</w:t>
      </w:r>
      <w:r>
        <w:rPr>
          <w:rFonts w:hint="eastAsia" w:ascii="宋体" w:hAnsi="宋体" w:eastAsia="宋体" w:cs="宋体"/>
          <w:color w:val="auto"/>
          <w:sz w:val="24"/>
          <w:szCs w:val="24"/>
          <w:highlight w:val="none"/>
          <w:lang w:eastAsia="zh-CN"/>
        </w:rPr>
        <w:t>监理单位服务工程质量监管职责如下：</w:t>
      </w:r>
    </w:p>
    <w:p w14:paraId="0AC98222">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A.中心试验室的试验检测工作范围</w:t>
      </w:r>
    </w:p>
    <w:p w14:paraId="669F768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85"/>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a.承担按《公路工程施工监理规范》、《公路工程质量检验评定标准</w:t>
      </w: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eastAsia="zh-CN"/>
        </w:rPr>
        <w:t>、《公路水运工程质量检测管理办法》(交通运输部令2023年第9号)及项目所在地的工地试验室管理办法</w:t>
      </w:r>
      <w:r>
        <w:rPr>
          <w:rFonts w:ascii="宋体" w:hAnsi="宋体" w:eastAsia="宋体" w:cs="宋体"/>
          <w:color w:val="auto"/>
          <w:spacing w:val="4"/>
          <w:sz w:val="22"/>
          <w:szCs w:val="22"/>
          <w:highlight w:val="none"/>
        </w:rPr>
        <w:t>规定的验</w:t>
      </w:r>
      <w:r>
        <w:rPr>
          <w:rFonts w:ascii="宋体" w:hAnsi="宋体" w:eastAsia="宋体" w:cs="宋体"/>
          <w:color w:val="auto"/>
          <w:spacing w:val="5"/>
          <w:sz w:val="22"/>
          <w:szCs w:val="22"/>
          <w:highlight w:val="none"/>
        </w:rPr>
        <w:t>证试验、室内试验、标准试验、抽样试验、验收试验等工作的取（采）样和</w:t>
      </w:r>
      <w:r>
        <w:rPr>
          <w:rFonts w:ascii="宋体" w:hAnsi="宋体" w:eastAsia="宋体" w:cs="宋体"/>
          <w:color w:val="auto"/>
          <w:spacing w:val="4"/>
          <w:sz w:val="22"/>
          <w:szCs w:val="22"/>
          <w:highlight w:val="none"/>
        </w:rPr>
        <w:t>试验并出</w:t>
      </w:r>
      <w:r>
        <w:rPr>
          <w:rFonts w:ascii="宋体" w:hAnsi="宋体" w:eastAsia="宋体" w:cs="宋体"/>
          <w:color w:val="auto"/>
          <w:spacing w:val="-1"/>
          <w:sz w:val="22"/>
          <w:szCs w:val="22"/>
          <w:highlight w:val="none"/>
        </w:rPr>
        <w:t>具试验报告，并对其真实性负责。</w:t>
      </w:r>
    </w:p>
    <w:p w14:paraId="1072083C">
      <w:pPr>
        <w:keepNext w:val="0"/>
        <w:keepLines w:val="0"/>
        <w:pageBreakBefore w:val="0"/>
        <w:widowControl/>
        <w:kinsoku w:val="0"/>
        <w:wordWrap/>
        <w:overflowPunct/>
        <w:topLinePunct w:val="0"/>
        <w:autoSpaceDE w:val="0"/>
        <w:autoSpaceDN w:val="0"/>
        <w:bidi w:val="0"/>
        <w:adjustRightInd w:val="0"/>
        <w:snapToGrid w:val="0"/>
        <w:spacing w:line="360" w:lineRule="auto"/>
        <w:ind w:left="1" w:firstLine="476"/>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b．代表委托人对原材料、构配件、实体工程质量进行抽检，以及</w:t>
      </w:r>
      <w:r>
        <w:rPr>
          <w:rFonts w:ascii="宋体" w:hAnsi="宋体" w:eastAsia="宋体" w:cs="宋体"/>
          <w:color w:val="auto"/>
          <w:spacing w:val="1"/>
          <w:sz w:val="22"/>
          <w:szCs w:val="22"/>
          <w:highlight w:val="none"/>
        </w:rPr>
        <w:t>委托人组织的质</w:t>
      </w:r>
      <w:r>
        <w:rPr>
          <w:rFonts w:ascii="宋体" w:hAnsi="宋体" w:eastAsia="宋体" w:cs="宋体"/>
          <w:color w:val="auto"/>
          <w:spacing w:val="-1"/>
          <w:sz w:val="22"/>
          <w:szCs w:val="22"/>
          <w:highlight w:val="none"/>
        </w:rPr>
        <w:t>量大检查过程中需进行的试验检测工作。</w:t>
      </w:r>
    </w:p>
    <w:p w14:paraId="5E64BDA9">
      <w:pPr>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ascii="宋体" w:hAnsi="宋体" w:eastAsia="宋体" w:cs="宋体"/>
          <w:color w:val="auto"/>
          <w:sz w:val="22"/>
          <w:szCs w:val="22"/>
          <w:highlight w:val="none"/>
        </w:rPr>
      </w:pPr>
      <w:r>
        <w:rPr>
          <w:rFonts w:ascii="宋体" w:hAnsi="宋体" w:eastAsia="宋体" w:cs="宋体"/>
          <w:color w:val="auto"/>
          <w:sz w:val="22"/>
          <w:szCs w:val="22"/>
          <w:highlight w:val="none"/>
        </w:rPr>
        <w:t>c．承担原材料和混凝土、砂浆、压浆浆液等</w:t>
      </w:r>
      <w:r>
        <w:rPr>
          <w:rFonts w:ascii="宋体" w:hAnsi="宋体" w:eastAsia="宋体" w:cs="宋体"/>
          <w:color w:val="auto"/>
          <w:spacing w:val="-1"/>
          <w:sz w:val="22"/>
          <w:szCs w:val="22"/>
          <w:highlight w:val="none"/>
        </w:rPr>
        <w:t>现场试件的取样、送样及试验工作。</w:t>
      </w:r>
    </w:p>
    <w:p w14:paraId="5452BA3D">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d.负责完成委托人组织的优质优价评比及质量检查时的混凝土回弹强度</w:t>
      </w:r>
      <w:r>
        <w:rPr>
          <w:rFonts w:ascii="宋体" w:hAnsi="宋体" w:eastAsia="宋体" w:cs="宋体"/>
          <w:color w:val="auto"/>
          <w:spacing w:val="4"/>
          <w:sz w:val="22"/>
          <w:szCs w:val="22"/>
          <w:highlight w:val="none"/>
        </w:rPr>
        <w:t>及钢筋保</w:t>
      </w:r>
      <w:r>
        <w:rPr>
          <w:rFonts w:ascii="宋体" w:hAnsi="宋体" w:eastAsia="宋体" w:cs="宋体"/>
          <w:color w:val="auto"/>
          <w:sz w:val="22"/>
          <w:szCs w:val="22"/>
          <w:highlight w:val="none"/>
        </w:rPr>
        <w:t>护层试验检测并及时出具试验检测报告，以作为质量</w:t>
      </w:r>
      <w:r>
        <w:rPr>
          <w:rFonts w:ascii="宋体" w:hAnsi="宋体" w:eastAsia="宋体" w:cs="宋体"/>
          <w:color w:val="auto"/>
          <w:spacing w:val="-1"/>
          <w:sz w:val="22"/>
          <w:szCs w:val="22"/>
          <w:highlight w:val="none"/>
        </w:rPr>
        <w:t>评比检查依据及质检资料。</w:t>
      </w:r>
    </w:p>
    <w:p w14:paraId="4ACBCC61">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e．完成委托人及质量监督机构安排的其他试验检测任务。</w:t>
      </w:r>
    </w:p>
    <w:p w14:paraId="3248B472">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f.审查和批准施工单位对外委托的检测单位，报委托人备案。施工单位有外委试验检测，中心试验室应派员参加取样、送样的见证工作。</w:t>
      </w:r>
    </w:p>
    <w:p w14:paraId="68D51D15">
      <w:pPr>
        <w:keepNext w:val="0"/>
        <w:keepLines w:val="0"/>
        <w:pageBreakBefore w:val="0"/>
        <w:widowControl/>
        <w:kinsoku w:val="0"/>
        <w:wordWrap/>
        <w:overflowPunct/>
        <w:topLinePunct w:val="0"/>
        <w:autoSpaceDE w:val="0"/>
        <w:autoSpaceDN w:val="0"/>
        <w:bidi w:val="0"/>
        <w:adjustRightInd w:val="0"/>
        <w:snapToGrid w:val="0"/>
        <w:spacing w:line="360" w:lineRule="auto"/>
        <w:ind w:left="2" w:firstLine="483"/>
        <w:textAlignment w:val="baseline"/>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g.负责督促施工准备阶段施工单位工地试验室的建设和审查试验室认定材料，配合委托人组织做好施工单位工地试验室临时资质的考核工作；负责检查施工单位工地试验室的试验管理工作，不定期检查其试验室，核查试验室仪器设备完好情况、标定情况以及人员变更情况，并有权要求施工单位增加中心试验室试验检测服务单位员、更换不称职的中心试验室试验检测服务单位人员和配备足够的试验仪器、设备等，必要情况下向委托人汇报。</w:t>
      </w:r>
    </w:p>
    <w:p w14:paraId="7663765D">
      <w:pPr>
        <w:keepNext w:val="0"/>
        <w:keepLines w:val="0"/>
        <w:pageBreakBefore w:val="0"/>
        <w:widowControl/>
        <w:kinsoku w:val="0"/>
        <w:wordWrap/>
        <w:overflowPunct/>
        <w:topLinePunct w:val="0"/>
        <w:autoSpaceDE w:val="0"/>
        <w:autoSpaceDN w:val="0"/>
        <w:bidi w:val="0"/>
        <w:adjustRightInd w:val="0"/>
        <w:snapToGrid w:val="0"/>
        <w:spacing w:line="360" w:lineRule="auto"/>
        <w:ind w:left="478"/>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h. 协助委托人完成交工各项试验检测工作。</w:t>
      </w:r>
    </w:p>
    <w:p w14:paraId="45F7375A">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B.</w:t>
      </w:r>
      <w:r>
        <w:rPr>
          <w:rFonts w:ascii="宋体" w:hAnsi="宋体" w:eastAsia="宋体" w:cs="宋体"/>
          <w:color w:val="auto"/>
          <w:spacing w:val="-2"/>
          <w:sz w:val="22"/>
          <w:szCs w:val="22"/>
          <w:highlight w:val="none"/>
        </w:rPr>
        <w:t xml:space="preserve"> </w:t>
      </w:r>
      <w:r>
        <w:rPr>
          <w:rFonts w:ascii="宋体" w:hAnsi="宋体" w:eastAsia="宋体" w:cs="宋体"/>
          <w:b/>
          <w:bCs/>
          <w:color w:val="auto"/>
          <w:spacing w:val="-2"/>
          <w:sz w:val="22"/>
          <w:szCs w:val="22"/>
          <w:highlight w:val="none"/>
        </w:rPr>
        <w:t>总监办监理工程师工作范围</w:t>
      </w:r>
    </w:p>
    <w:p w14:paraId="69F1D03F">
      <w:pPr>
        <w:keepNext w:val="0"/>
        <w:keepLines w:val="0"/>
        <w:pageBreakBefore w:val="0"/>
        <w:widowControl/>
        <w:kinsoku w:val="0"/>
        <w:wordWrap/>
        <w:overflowPunct/>
        <w:topLinePunct w:val="0"/>
        <w:autoSpaceDE w:val="0"/>
        <w:autoSpaceDN w:val="0"/>
        <w:bidi w:val="0"/>
        <w:adjustRightInd w:val="0"/>
        <w:snapToGrid w:val="0"/>
        <w:spacing w:line="360" w:lineRule="auto"/>
        <w:ind w:left="46" w:right="128" w:firstLine="440"/>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总监办进行中心试验室工作范围外以及为加强现场质量控制所进行的试验检测项</w:t>
      </w:r>
      <w:r>
        <w:rPr>
          <w:rFonts w:ascii="宋体" w:hAnsi="宋体" w:eastAsia="宋体" w:cs="宋体"/>
          <w:color w:val="auto"/>
          <w:spacing w:val="-7"/>
          <w:sz w:val="22"/>
          <w:szCs w:val="22"/>
          <w:highlight w:val="none"/>
        </w:rPr>
        <w:t>目，包括但不限于：</w:t>
      </w:r>
    </w:p>
    <w:p w14:paraId="6924D8CB">
      <w:pPr>
        <w:keepNext w:val="0"/>
        <w:keepLines w:val="0"/>
        <w:pageBreakBefore w:val="0"/>
        <w:widowControl/>
        <w:kinsoku w:val="0"/>
        <w:wordWrap/>
        <w:overflowPunct/>
        <w:topLinePunct w:val="0"/>
        <w:autoSpaceDE w:val="0"/>
        <w:autoSpaceDN w:val="0"/>
        <w:bidi w:val="0"/>
        <w:adjustRightInd w:val="0"/>
        <w:snapToGrid w:val="0"/>
        <w:spacing w:line="360" w:lineRule="auto"/>
        <w:ind w:left="2" w:right="125" w:firstLine="47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a.对基准点引出的工程控制桩进行复测，对施工放线的路线平面控制点、各种结</w:t>
      </w:r>
      <w:r>
        <w:rPr>
          <w:rFonts w:ascii="宋体" w:hAnsi="宋体" w:eastAsia="宋体" w:cs="宋体"/>
          <w:color w:val="auto"/>
          <w:sz w:val="22"/>
          <w:szCs w:val="22"/>
          <w:highlight w:val="none"/>
        </w:rPr>
        <w:t>构物定位的轴线控制桩位以及各高程控制点等重点桩位进行</w:t>
      </w:r>
      <w:r>
        <w:rPr>
          <w:rFonts w:ascii="宋体" w:hAnsi="宋体" w:eastAsia="宋体" w:cs="宋体"/>
          <w:color w:val="auto"/>
          <w:spacing w:val="-1"/>
          <w:sz w:val="22"/>
          <w:szCs w:val="22"/>
          <w:highlight w:val="none"/>
        </w:rPr>
        <w:t>不少于</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30%复测，经复测不符合规定时应要求其重新测设。</w:t>
      </w:r>
    </w:p>
    <w:p w14:paraId="10391A6E">
      <w:pPr>
        <w:keepNext w:val="0"/>
        <w:keepLines w:val="0"/>
        <w:pageBreakBefore w:val="0"/>
        <w:widowControl/>
        <w:kinsoku w:val="0"/>
        <w:wordWrap/>
        <w:overflowPunct/>
        <w:topLinePunct w:val="0"/>
        <w:autoSpaceDE w:val="0"/>
        <w:autoSpaceDN w:val="0"/>
        <w:bidi w:val="0"/>
        <w:adjustRightInd w:val="0"/>
        <w:snapToGrid w:val="0"/>
        <w:spacing w:line="360" w:lineRule="auto"/>
        <w:ind w:left="7" w:right="128" w:firstLine="469"/>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b.完成《公路工程质量检验评定标准》中规定的测量工作内容包括结构尺寸、标</w:t>
      </w:r>
      <w:r>
        <w:rPr>
          <w:rFonts w:ascii="宋体" w:hAnsi="宋体" w:eastAsia="宋体" w:cs="宋体"/>
          <w:color w:val="auto"/>
          <w:spacing w:val="-6"/>
          <w:sz w:val="22"/>
          <w:szCs w:val="22"/>
          <w:highlight w:val="none"/>
        </w:rPr>
        <w:t>高等；</w:t>
      </w:r>
    </w:p>
    <w:p w14:paraId="582DBDBC">
      <w:pPr>
        <w:keepNext w:val="0"/>
        <w:keepLines w:val="0"/>
        <w:pageBreakBefore w:val="0"/>
        <w:widowControl/>
        <w:kinsoku w:val="0"/>
        <w:wordWrap/>
        <w:overflowPunct/>
        <w:topLinePunct w:val="0"/>
        <w:autoSpaceDE w:val="0"/>
        <w:autoSpaceDN w:val="0"/>
        <w:bidi w:val="0"/>
        <w:adjustRightInd w:val="0"/>
        <w:snapToGrid w:val="0"/>
        <w:spacing w:line="360" w:lineRule="auto"/>
        <w:ind w:left="23" w:right="128" w:firstLine="462"/>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c．完成《公路工程施工监理规范》及《公路</w:t>
      </w:r>
      <w:r>
        <w:rPr>
          <w:rFonts w:ascii="宋体" w:hAnsi="宋体" w:eastAsia="宋体" w:cs="宋体"/>
          <w:color w:val="auto"/>
          <w:spacing w:val="1"/>
          <w:sz w:val="22"/>
          <w:szCs w:val="22"/>
          <w:highlight w:val="none"/>
        </w:rPr>
        <w:t>工程质量检验评定标准》中规定的除</w:t>
      </w:r>
      <w:r>
        <w:rPr>
          <w:rFonts w:ascii="宋体" w:hAnsi="宋体" w:eastAsia="宋体" w:cs="宋体"/>
          <w:color w:val="auto"/>
          <w:spacing w:val="-3"/>
          <w:sz w:val="22"/>
          <w:szCs w:val="22"/>
          <w:highlight w:val="none"/>
        </w:rPr>
        <w:t>中心试验室承担的其他检测内容。</w:t>
      </w:r>
    </w:p>
    <w:p w14:paraId="3771232B">
      <w:pPr>
        <w:keepNext w:val="0"/>
        <w:keepLines w:val="0"/>
        <w:pageBreakBefore w:val="0"/>
        <w:widowControl/>
        <w:kinsoku w:val="0"/>
        <w:wordWrap/>
        <w:overflowPunct/>
        <w:topLinePunct w:val="0"/>
        <w:autoSpaceDE w:val="0"/>
        <w:autoSpaceDN w:val="0"/>
        <w:bidi w:val="0"/>
        <w:adjustRightInd w:val="0"/>
        <w:snapToGrid w:val="0"/>
        <w:spacing w:line="360" w:lineRule="auto"/>
        <w:ind w:left="6" w:firstLine="479"/>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d．负责《公路工程质量检验评定标准》要</w:t>
      </w:r>
      <w:r>
        <w:rPr>
          <w:rFonts w:ascii="宋体" w:hAnsi="宋体" w:eastAsia="宋体" w:cs="宋体"/>
          <w:color w:val="auto"/>
          <w:spacing w:val="-2"/>
          <w:sz w:val="22"/>
          <w:szCs w:val="22"/>
          <w:highlight w:val="none"/>
        </w:rPr>
        <w:t>求的评定指标以外但直接影响工程质量、</w:t>
      </w:r>
      <w:r>
        <w:rPr>
          <w:rFonts w:ascii="宋体" w:hAnsi="宋体" w:eastAsia="宋体" w:cs="宋体"/>
          <w:color w:val="auto"/>
          <w:spacing w:val="-1"/>
          <w:sz w:val="22"/>
          <w:szCs w:val="22"/>
          <w:highlight w:val="none"/>
        </w:rPr>
        <w:t>结构性能的其他部分质量指标检测任务；</w:t>
      </w:r>
    </w:p>
    <w:p w14:paraId="290D3869">
      <w:pPr>
        <w:keepNext w:val="0"/>
        <w:keepLines w:val="0"/>
        <w:pageBreakBefore w:val="0"/>
        <w:widowControl/>
        <w:kinsoku w:val="0"/>
        <w:wordWrap/>
        <w:overflowPunct/>
        <w:topLinePunct w:val="0"/>
        <w:autoSpaceDE w:val="0"/>
        <w:autoSpaceDN w:val="0"/>
        <w:bidi w:val="0"/>
        <w:adjustRightInd w:val="0"/>
        <w:snapToGrid w:val="0"/>
        <w:spacing w:line="360" w:lineRule="auto"/>
        <w:ind w:right="128" w:firstLine="485"/>
        <w:textAlignment w:val="baseline"/>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e．监理机构应安排监理人员对合同约定和现行《公路工程施工监理规范》附录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3"/>
          <w:sz w:val="22"/>
          <w:szCs w:val="22"/>
          <w:highlight w:val="none"/>
        </w:rPr>
        <w:t>A</w:t>
      </w:r>
      <w:r>
        <w:rPr>
          <w:rFonts w:ascii="宋体" w:hAnsi="宋体" w:eastAsia="宋体" w:cs="宋体"/>
          <w:color w:val="auto"/>
          <w:spacing w:val="5"/>
          <w:sz w:val="22"/>
          <w:szCs w:val="22"/>
          <w:highlight w:val="none"/>
        </w:rPr>
        <w:t>所列旁站项目的施工过程进行旁站，对主要工程的关键项目进行检测见证，</w:t>
      </w:r>
      <w:r>
        <w:rPr>
          <w:rFonts w:ascii="宋体" w:hAnsi="宋体" w:eastAsia="宋体" w:cs="宋体"/>
          <w:color w:val="auto"/>
          <w:spacing w:val="4"/>
          <w:sz w:val="22"/>
          <w:szCs w:val="22"/>
          <w:highlight w:val="none"/>
        </w:rPr>
        <w:t>并签写旁</w:t>
      </w:r>
      <w:r>
        <w:rPr>
          <w:rFonts w:ascii="宋体" w:hAnsi="宋体" w:eastAsia="宋体" w:cs="宋体"/>
          <w:color w:val="auto"/>
          <w:spacing w:val="-1"/>
          <w:sz w:val="22"/>
          <w:szCs w:val="22"/>
          <w:highlight w:val="none"/>
        </w:rPr>
        <w:t>站记录，签认检测见证结果。</w:t>
      </w:r>
    </w:p>
    <w:p w14:paraId="3BE79675">
      <w:pPr>
        <w:keepNext w:val="0"/>
        <w:keepLines w:val="0"/>
        <w:pageBreakBefore w:val="0"/>
        <w:widowControl/>
        <w:kinsoku w:val="0"/>
        <w:wordWrap/>
        <w:overflowPunct/>
        <w:topLinePunct w:val="0"/>
        <w:autoSpaceDE w:val="0"/>
        <w:autoSpaceDN w:val="0"/>
        <w:bidi w:val="0"/>
        <w:adjustRightInd w:val="0"/>
        <w:snapToGrid w:val="0"/>
        <w:spacing w:line="360" w:lineRule="auto"/>
        <w:ind w:left="3" w:right="128" w:firstLine="480"/>
        <w:textAlignment w:val="baseline"/>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f. 负责施工过程中混凝土质量（坍落度、</w:t>
      </w:r>
      <w:r>
        <w:rPr>
          <w:rFonts w:ascii="宋体" w:hAnsi="宋体" w:eastAsia="宋体" w:cs="宋体"/>
          <w:color w:val="auto"/>
          <w:spacing w:val="1"/>
          <w:sz w:val="22"/>
          <w:szCs w:val="22"/>
          <w:highlight w:val="none"/>
        </w:rPr>
        <w:t>扩展度等）及钢筋保护层厚度的质量检</w:t>
      </w:r>
      <w:r>
        <w:rPr>
          <w:rFonts w:ascii="宋体" w:hAnsi="宋体" w:eastAsia="宋体" w:cs="宋体"/>
          <w:color w:val="auto"/>
          <w:spacing w:val="-2"/>
          <w:sz w:val="22"/>
          <w:szCs w:val="22"/>
          <w:highlight w:val="none"/>
        </w:rPr>
        <w:t>查及验收评定。</w:t>
      </w:r>
    </w:p>
    <w:p w14:paraId="24B8DE2A">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C．试验检测结果争议的处理</w:t>
      </w:r>
    </w:p>
    <w:p w14:paraId="765F7530">
      <w:pPr>
        <w:keepNext w:val="0"/>
        <w:keepLines w:val="0"/>
        <w:pageBreakBefore w:val="0"/>
        <w:widowControl/>
        <w:kinsoku w:val="0"/>
        <w:wordWrap/>
        <w:overflowPunct/>
        <w:topLinePunct w:val="0"/>
        <w:autoSpaceDE w:val="0"/>
        <w:autoSpaceDN w:val="0"/>
        <w:bidi w:val="0"/>
        <w:adjustRightInd w:val="0"/>
        <w:snapToGrid w:val="0"/>
        <w:spacing w:line="360" w:lineRule="auto"/>
        <w:ind w:left="1" w:right="128" w:firstLine="494"/>
        <w:textAlignment w:val="baseline"/>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当委托人或监理对中心试验室检测工作质量存疑或存在争议</w:t>
      </w:r>
      <w:r>
        <w:rPr>
          <w:rFonts w:ascii="宋体" w:hAnsi="宋体" w:eastAsia="宋体" w:cs="宋体"/>
          <w:color w:val="auto"/>
          <w:spacing w:val="4"/>
          <w:sz w:val="22"/>
          <w:szCs w:val="22"/>
          <w:highlight w:val="none"/>
        </w:rPr>
        <w:t>时，委托人将组织各</w:t>
      </w:r>
      <w:r>
        <w:rPr>
          <w:rFonts w:ascii="宋体" w:hAnsi="宋体" w:eastAsia="宋体" w:cs="宋体"/>
          <w:color w:val="auto"/>
          <w:spacing w:val="-1"/>
          <w:sz w:val="22"/>
          <w:szCs w:val="22"/>
          <w:highlight w:val="none"/>
        </w:rPr>
        <w:t>方联合核查，必要时将提请质量监督单位进行仲裁。</w:t>
      </w:r>
    </w:p>
    <w:p w14:paraId="46AE5DB0">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13.6.2. 总监办的工程质量监管职责（包含但不限于以下工作）</w:t>
      </w:r>
    </w:p>
    <w:p w14:paraId="1DEA48B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(1)负责督促施工准备阶段施工单位工地试验室的建设和审查试验室认定材料，参</w:t>
      </w:r>
      <w:r>
        <w:rPr>
          <w:rFonts w:hint="eastAsia" w:ascii="宋体" w:hAnsi="宋体" w:eastAsia="宋体" w:cs="宋体"/>
          <w:color w:val="auto"/>
          <w:sz w:val="22"/>
          <w:szCs w:val="22"/>
          <w:highlight w:val="none"/>
          <w:lang w:eastAsia="zh-CN"/>
        </w:rPr>
        <w:t>与委托人组织的施工单位工地试验室临时资质的考核</w:t>
      </w:r>
    </w:p>
    <w:p w14:paraId="2DA3CCA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(2)负责审查施工单位报审的原材料和混合料试验资料，对主要原材料取样委托中</w:t>
      </w:r>
      <w:r>
        <w:rPr>
          <w:rFonts w:hint="eastAsia" w:ascii="宋体" w:hAnsi="宋体" w:eastAsia="宋体" w:cs="宋体"/>
          <w:color w:val="auto"/>
          <w:sz w:val="22"/>
          <w:szCs w:val="22"/>
          <w:highlight w:val="none"/>
          <w:lang w:eastAsia="zh-CN"/>
        </w:rPr>
        <w:t>心试验室进行平行试验，对主要混合料的配合比和路基填料的击实试验经三方见证取样后委托中心试验室进行验证试验，并根据验证报告进行批复审批。</w:t>
      </w:r>
    </w:p>
    <w:p w14:paraId="24C8853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(3)负责审批施工单位的试验检测工作计划，检查计划执行情况。</w:t>
      </w:r>
    </w:p>
    <w:p w14:paraId="6B2D8DA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(4)审查和批准施工单位对外委托的检测单位，报委托人备案。</w:t>
      </w:r>
    </w:p>
    <w:p w14:paraId="328C8EA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(5)监理人按要求设置试验检测工程师，负责施工单位试验检测监理工作，对施工单位试验检测工作指导、检查、管理，负责与中心试验室的协调工作。</w:t>
      </w:r>
    </w:p>
    <w:p w14:paraId="4B5BCAD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(6) 监理人应在施工单位自检合格基础上按最新《公路工程施工监理规范》相关规定进行抽检，并按相关附录格式填写抽检记录，并负责施工单位试验检测的见证、旁站和相关资料的签认。</w:t>
      </w:r>
    </w:p>
    <w:p w14:paraId="2597E0F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(7)负责检查施工单位工地试验室的试验管理工作，不定期检查其试验室，核查试验室仪器设备完好情况、标定情况以及人员变更情况，并有权要求施工单位增加试验人员、更换不称职的试验人员和配备足够的试验仪器、设备等，必要情况下向委托人</w:t>
      </w:r>
      <w:r>
        <w:rPr>
          <w:rFonts w:hint="eastAsia" w:ascii="宋体" w:hAnsi="宋体" w:eastAsia="宋体" w:cs="宋体"/>
          <w:color w:val="auto"/>
          <w:sz w:val="22"/>
          <w:szCs w:val="22"/>
          <w:highlight w:val="none"/>
          <w:lang w:eastAsia="zh-CN"/>
        </w:rPr>
        <w:t>汇报。</w:t>
      </w:r>
    </w:p>
    <w:p w14:paraId="3BDDCA6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(8)施工单位有外委试验检测，监理人应派员参加送样见证工作。对施工单位外部采购和委托制作的主要工程构配件或设备，监理工程师应检查产品合格证明文件和施工单位自检报告，进场后对关键项目进行抽检验收合格后方可使用，对监理不能检测项目可委托中心试验室进行试验或到厂家监督检验。</w:t>
      </w:r>
    </w:p>
    <w:p w14:paraId="1B82B88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(9)负责施工单位现场各道工序质量控制，并有义务为中心试验室提供施工现场与</w:t>
      </w:r>
      <w:r>
        <w:rPr>
          <w:rFonts w:hint="eastAsia" w:ascii="宋体" w:hAnsi="宋体" w:eastAsia="宋体" w:cs="宋体"/>
          <w:color w:val="auto"/>
          <w:sz w:val="22"/>
          <w:szCs w:val="22"/>
          <w:highlight w:val="none"/>
          <w:lang w:eastAsia="zh-CN"/>
        </w:rPr>
        <w:t>试验检测相关的信息，同时监理人的试验检测工作须接受中心试验室的技术指导。</w:t>
      </w:r>
    </w:p>
    <w:p w14:paraId="4BC4F4A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(10)为了对现场施工质量进行有效控制，总监办有权根据现场施工质量的动态变化情况，通知中心试验室对现场施工质量进行必要的取样试验或必要的现场检测（此项工作不受检测单位检测频率的约束）。</w:t>
      </w:r>
    </w:p>
    <w:p w14:paraId="1FE9B2F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(11)协助委托人调查处理施工单位的质量问题、事故，向中心试验室提供相关的</w:t>
      </w:r>
      <w:r>
        <w:rPr>
          <w:rFonts w:hint="eastAsia" w:ascii="宋体" w:hAnsi="宋体" w:eastAsia="宋体" w:cs="宋体"/>
          <w:color w:val="auto"/>
          <w:sz w:val="22"/>
          <w:szCs w:val="22"/>
          <w:highlight w:val="none"/>
          <w:lang w:eastAsia="zh-CN"/>
        </w:rPr>
        <w:t>信息，并向委托人报告有关情况。</w:t>
      </w:r>
    </w:p>
    <w:p w14:paraId="2979A25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（12）负责组织工程的中间交工验收检测和单位、分部工程质量评定工作。</w:t>
      </w:r>
    </w:p>
    <w:p w14:paraId="0355508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（13）参加委托人组织的交工验收和上级行业质监主管部门组织的检查及竣工验</w:t>
      </w:r>
      <w:r>
        <w:rPr>
          <w:rFonts w:hint="eastAsia" w:ascii="宋体" w:hAnsi="宋体" w:eastAsia="宋体" w:cs="宋体"/>
          <w:color w:val="auto"/>
          <w:sz w:val="22"/>
          <w:szCs w:val="22"/>
          <w:highlight w:val="none"/>
          <w:lang w:eastAsia="zh-CN"/>
        </w:rPr>
        <w:t>收。</w:t>
      </w:r>
    </w:p>
    <w:p w14:paraId="5180572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jc w:val="both"/>
        <w:textAlignment w:val="baseline"/>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（14）根据合同文件，承担委托人授予的其他权力和义务。</w:t>
      </w:r>
    </w:p>
    <w:p w14:paraId="60AC736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13.6.3. 中心试验室的工程质量监管职责（包含但不限于以下工作）</w:t>
      </w:r>
    </w:p>
    <w:p w14:paraId="08F7BEC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按照合同、最新《公路水运工程试验检测管理办法》和《公路工程施工监理规范》有关规定，负责工程检测服务合同范围内的验证试验、工艺试验、标准试验、抽检试验、验收试验等工作的采样和试验并出具结论报告，并对其真实性负责。</w:t>
      </w:r>
    </w:p>
    <w:p w14:paraId="7154CA0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（2）应及时、准确地为委托人或监理工程师提供试验报告、委托人认为有必要的试验检测分析意见，为监理工程师进行工程质量控制和评估提供依据。</w:t>
      </w:r>
    </w:p>
    <w:p w14:paraId="315BC92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（3）依据监理工程师的工作计划同步编写试验检测工作计划，并报送委托人，同时中心试验室应据此安排做好试验检测服务工作。</w:t>
      </w:r>
    </w:p>
    <w:p w14:paraId="0939B90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（4）根据总监办编制、审批的监理实施细则，参照编制相应的试验检测实施细则，并报送委托人。</w:t>
      </w:r>
    </w:p>
    <w:p w14:paraId="7B7A574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（5）参与委托人组织的施工单位工地试验室临时资质的考核和验收工作。</w:t>
      </w:r>
    </w:p>
    <w:p w14:paraId="6F9178B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（6）执行监理工程师试验、检测工作指令，以《试验检测业务联系单》的形式传递，《试验检测业务联系单》发件人及接收人须签字，相关信息力求详细，具有可操作性。</w:t>
      </w:r>
    </w:p>
    <w:p w14:paraId="65879F8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（7）参加委托人、监理工程师主持召开的工地例会及相关质量专题分析会议，通报有关工程质量检测实施情况和试验检测结果。</w:t>
      </w:r>
    </w:p>
    <w:p w14:paraId="7964AC7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（8）协助委托人调查处理施工单位的质量问题、事故，并向监理工程师和委托人报告在检测中发现的问题。</w:t>
      </w:r>
    </w:p>
    <w:p w14:paraId="61F0C19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（9）参与监理工程师组织的工程质量评定工作，编制中心试验室试验检测工作总结报告。</w:t>
      </w:r>
    </w:p>
    <w:p w14:paraId="3B5C862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（10）参加监理工程师组织的中间交工验收、委托人组织的交工验收和上级行业质监主管部门组织的检查及竣工验收。</w:t>
      </w:r>
    </w:p>
    <w:p w14:paraId="752ED78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3"/>
        <w:jc w:val="both"/>
        <w:textAlignment w:val="baseline"/>
        <w:rPr>
          <w:rFonts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（11）根据合同文件规定，承担委托人授予的其他权力和义务。</w:t>
      </w:r>
    </w:p>
    <w:p w14:paraId="7585141C">
      <w:pPr>
        <w:spacing w:before="1" w:line="360" w:lineRule="auto"/>
        <w:ind w:left="4" w:firstLine="49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13.7</w:t>
      </w:r>
      <w:r>
        <w:rPr>
          <w:rFonts w:ascii="宋体" w:hAnsi="宋体" w:eastAsia="宋体" w:cs="宋体"/>
          <w:color w:val="auto"/>
          <w:spacing w:val="-31"/>
          <w:sz w:val="22"/>
          <w:szCs w:val="22"/>
          <w:highlight w:val="none"/>
        </w:rPr>
        <w:t xml:space="preserve"> </w:t>
      </w:r>
      <w:r>
        <w:rPr>
          <w:rFonts w:ascii="宋体" w:hAnsi="宋体" w:eastAsia="宋体" w:cs="宋体"/>
          <w:color w:val="auto"/>
          <w:spacing w:val="2"/>
          <w:sz w:val="22"/>
          <w:szCs w:val="22"/>
          <w:highlight w:val="none"/>
        </w:rPr>
        <w:t>监理人应根据本项目施工图纸及合同等相关要求，对承包人的线外工程及取</w:t>
      </w:r>
      <w:r>
        <w:rPr>
          <w:rFonts w:ascii="宋体" w:hAnsi="宋体" w:eastAsia="宋体" w:cs="宋体"/>
          <w:color w:val="auto"/>
          <w:spacing w:val="-2"/>
          <w:sz w:val="22"/>
          <w:szCs w:val="22"/>
          <w:highlight w:val="none"/>
        </w:rPr>
        <w:t>弃土场进行监理。</w:t>
      </w:r>
    </w:p>
    <w:p w14:paraId="3D3D1AC6">
      <w:pPr>
        <w:spacing w:before="183" w:line="360" w:lineRule="auto"/>
        <w:ind w:left="498"/>
        <w:rPr>
          <w:rFonts w:ascii="宋体" w:hAnsi="宋体" w:eastAsia="宋体" w:cs="宋体"/>
          <w:color w:val="auto"/>
          <w:sz w:val="22"/>
          <w:szCs w:val="22"/>
          <w:highlight w:val="none"/>
        </w:rPr>
      </w:pPr>
      <w:r>
        <w:rPr>
          <w:rFonts w:ascii="宋体" w:hAnsi="宋体" w:eastAsia="宋体" w:cs="宋体"/>
          <w:b/>
          <w:bCs/>
          <w:color w:val="auto"/>
          <w:spacing w:val="-5"/>
          <w:sz w:val="22"/>
          <w:szCs w:val="22"/>
          <w:highlight w:val="none"/>
        </w:rPr>
        <w:t>13.8</w:t>
      </w:r>
      <w:r>
        <w:rPr>
          <w:rFonts w:ascii="宋体" w:hAnsi="宋体" w:eastAsia="宋体" w:cs="宋体"/>
          <w:color w:val="auto"/>
          <w:spacing w:val="-37"/>
          <w:sz w:val="22"/>
          <w:szCs w:val="22"/>
          <w:highlight w:val="none"/>
        </w:rPr>
        <w:t xml:space="preserve"> </w:t>
      </w:r>
      <w:r>
        <w:rPr>
          <w:rFonts w:ascii="宋体" w:hAnsi="宋体" w:eastAsia="宋体" w:cs="宋体"/>
          <w:b/>
          <w:bCs/>
          <w:color w:val="auto"/>
          <w:spacing w:val="-5"/>
          <w:sz w:val="22"/>
          <w:szCs w:val="22"/>
          <w:highlight w:val="none"/>
        </w:rPr>
        <w:t>关于过程结算的补充条款</w:t>
      </w:r>
    </w:p>
    <w:p w14:paraId="68DAC28C">
      <w:pPr>
        <w:spacing w:before="183" w:line="360"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（1）按照《广东省交通运输厅关于印发广东省公路建设项目过程结算工作指导意</w:t>
      </w:r>
      <w:r>
        <w:rPr>
          <w:rFonts w:ascii="宋体" w:hAnsi="宋体" w:eastAsia="宋体" w:cs="宋体"/>
          <w:color w:val="auto"/>
          <w:spacing w:val="-2"/>
          <w:sz w:val="22"/>
          <w:szCs w:val="22"/>
          <w:highlight w:val="none"/>
        </w:rPr>
        <w:t>见的通知》</w:t>
      </w:r>
      <w:r>
        <w:rPr>
          <w:rFonts w:ascii="宋体" w:hAnsi="宋体" w:eastAsia="宋体" w:cs="宋体"/>
          <w:color w:val="auto"/>
          <w:spacing w:val="71"/>
          <w:sz w:val="22"/>
          <w:szCs w:val="22"/>
          <w:highlight w:val="none"/>
        </w:rPr>
        <w:t xml:space="preserve"> </w:t>
      </w:r>
      <w:r>
        <w:rPr>
          <w:rFonts w:ascii="宋体" w:hAnsi="宋体" w:eastAsia="宋体" w:cs="宋体"/>
          <w:color w:val="auto"/>
          <w:spacing w:val="-2"/>
          <w:sz w:val="22"/>
          <w:szCs w:val="22"/>
          <w:highlight w:val="none"/>
        </w:rPr>
        <w:t>(粤交基 〔2022〕488</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号)的规定，委托人根据实际情况开展监理费用的过</w:t>
      </w:r>
      <w:r>
        <w:rPr>
          <w:rFonts w:ascii="宋体" w:hAnsi="宋体" w:eastAsia="宋体" w:cs="宋体"/>
          <w:color w:val="auto"/>
          <w:spacing w:val="-1"/>
          <w:sz w:val="22"/>
          <w:szCs w:val="22"/>
          <w:highlight w:val="none"/>
        </w:rPr>
        <w:t>程结算时，监理人应无条件配合。</w:t>
      </w:r>
    </w:p>
    <w:p w14:paraId="1C76BCCC">
      <w:pPr>
        <w:spacing w:before="184" w:line="360"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（2）施工过程中，监理人应督促各施工单位按广东省《公路工程造价管理指南》</w:t>
      </w:r>
      <w:r>
        <w:rPr>
          <w:rFonts w:ascii="宋体" w:hAnsi="宋体" w:eastAsia="宋体" w:cs="宋体"/>
          <w:color w:val="auto"/>
          <w:spacing w:val="5"/>
          <w:sz w:val="22"/>
          <w:szCs w:val="22"/>
          <w:highlight w:val="none"/>
        </w:rPr>
        <w:t>及施工合同要求编制过程结算文件，并对其编制的过程结算、竣工图进行初审</w:t>
      </w:r>
      <w:r>
        <w:rPr>
          <w:rFonts w:ascii="宋体" w:hAnsi="宋体" w:eastAsia="宋体" w:cs="宋体"/>
          <w:color w:val="auto"/>
          <w:spacing w:val="4"/>
          <w:sz w:val="22"/>
          <w:szCs w:val="22"/>
          <w:highlight w:val="none"/>
        </w:rPr>
        <w:t>，构成</w:t>
      </w:r>
      <w:r>
        <w:rPr>
          <w:rFonts w:ascii="宋体" w:hAnsi="宋体" w:eastAsia="宋体" w:cs="宋体"/>
          <w:color w:val="auto"/>
          <w:spacing w:val="-1"/>
          <w:sz w:val="22"/>
          <w:szCs w:val="22"/>
          <w:highlight w:val="none"/>
        </w:rPr>
        <w:t>公路建设项目竣工档案资料的组成部分。</w:t>
      </w:r>
    </w:p>
    <w:p w14:paraId="50775A12">
      <w:pPr>
        <w:spacing w:before="184" w:line="360" w:lineRule="auto"/>
        <w:ind w:left="498"/>
        <w:rPr>
          <w:rFonts w:ascii="宋体" w:hAnsi="宋体" w:eastAsia="宋体" w:cs="宋体"/>
          <w:color w:val="auto"/>
          <w:sz w:val="22"/>
          <w:szCs w:val="22"/>
          <w:highlight w:val="none"/>
        </w:rPr>
      </w:pPr>
      <w:r>
        <w:rPr>
          <w:rFonts w:ascii="宋体" w:hAnsi="宋体" w:eastAsia="宋体" w:cs="宋体"/>
          <w:b/>
          <w:bCs/>
          <w:color w:val="auto"/>
          <w:spacing w:val="-7"/>
          <w:sz w:val="22"/>
          <w:szCs w:val="22"/>
          <w:highlight w:val="none"/>
        </w:rPr>
        <w:t>13.9</w:t>
      </w:r>
      <w:r>
        <w:rPr>
          <w:rFonts w:ascii="宋体" w:hAnsi="宋体" w:eastAsia="宋体" w:cs="宋体"/>
          <w:color w:val="auto"/>
          <w:spacing w:val="-46"/>
          <w:sz w:val="22"/>
          <w:szCs w:val="22"/>
          <w:highlight w:val="none"/>
        </w:rPr>
        <w:t xml:space="preserve"> </w:t>
      </w:r>
      <w:r>
        <w:rPr>
          <w:rFonts w:ascii="宋体" w:hAnsi="宋体" w:eastAsia="宋体" w:cs="宋体"/>
          <w:b/>
          <w:bCs/>
          <w:color w:val="auto"/>
          <w:spacing w:val="-7"/>
          <w:sz w:val="22"/>
          <w:szCs w:val="22"/>
          <w:highlight w:val="none"/>
        </w:rPr>
        <w:t>监理改革</w:t>
      </w:r>
    </w:p>
    <w:p w14:paraId="56928523">
      <w:pPr>
        <w:spacing w:before="178" w:line="360" w:lineRule="auto"/>
        <w:ind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 监理定位。监理单位是受建设单位委托的受托方，在项目管理中不作为独</w:t>
      </w:r>
      <w:r>
        <w:rPr>
          <w:rFonts w:ascii="宋体" w:hAnsi="宋体" w:eastAsia="宋体" w:cs="宋体"/>
          <w:color w:val="auto"/>
          <w:spacing w:val="5"/>
          <w:sz w:val="22"/>
          <w:szCs w:val="22"/>
          <w:highlight w:val="none"/>
        </w:rPr>
        <w:t>立的第三方，是建设单位的协助管理方，应承担监理主体责任，按合同约定</w:t>
      </w:r>
      <w:r>
        <w:rPr>
          <w:rFonts w:ascii="宋体" w:hAnsi="宋体" w:eastAsia="宋体" w:cs="宋体"/>
          <w:color w:val="auto"/>
          <w:spacing w:val="4"/>
          <w:sz w:val="22"/>
          <w:szCs w:val="22"/>
          <w:highlight w:val="none"/>
        </w:rPr>
        <w:t>提供监理</w:t>
      </w:r>
      <w:r>
        <w:rPr>
          <w:rFonts w:ascii="宋体" w:hAnsi="宋体" w:eastAsia="宋体" w:cs="宋体"/>
          <w:color w:val="auto"/>
          <w:spacing w:val="-1"/>
          <w:sz w:val="22"/>
          <w:szCs w:val="22"/>
          <w:highlight w:val="none"/>
        </w:rPr>
        <w:t>服务，支撑建设单位落实首要责任与施工单位落实施工主体责任。</w:t>
      </w:r>
    </w:p>
    <w:p w14:paraId="3E0AF52D">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13.9.2</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监理职责</w:t>
      </w:r>
    </w:p>
    <w:p w14:paraId="763D6E4A">
      <w:pPr>
        <w:spacing w:before="180" w:line="360" w:lineRule="auto"/>
        <w:ind w:left="1"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监理机构受建设单位委托，按合同约定对公路工程施工质量、安全、环（水）保等实施监管，协助建设单位开展费用、进度、合同、信息管理和协调等工</w:t>
      </w:r>
      <w:r>
        <w:rPr>
          <w:rFonts w:ascii="宋体" w:hAnsi="宋体" w:eastAsia="宋体" w:cs="宋体"/>
          <w:color w:val="auto"/>
          <w:spacing w:val="4"/>
          <w:sz w:val="22"/>
          <w:szCs w:val="22"/>
          <w:highlight w:val="none"/>
        </w:rPr>
        <w:t>作。监理机</w:t>
      </w:r>
      <w:r>
        <w:rPr>
          <w:rFonts w:ascii="宋体" w:hAnsi="宋体" w:eastAsia="宋体" w:cs="宋体"/>
          <w:color w:val="auto"/>
          <w:spacing w:val="5"/>
          <w:sz w:val="22"/>
          <w:szCs w:val="22"/>
          <w:highlight w:val="none"/>
        </w:rPr>
        <w:t>构应定期评价施工单位的质量、安全、环（水）保管理体系运行情况，适</w:t>
      </w:r>
      <w:r>
        <w:rPr>
          <w:rFonts w:ascii="宋体" w:hAnsi="宋体" w:eastAsia="宋体" w:cs="宋体"/>
          <w:color w:val="auto"/>
          <w:spacing w:val="4"/>
          <w:sz w:val="22"/>
          <w:szCs w:val="22"/>
          <w:highlight w:val="none"/>
        </w:rPr>
        <w:t>时开展差异</w:t>
      </w:r>
      <w:r>
        <w:rPr>
          <w:rFonts w:ascii="宋体" w:hAnsi="宋体" w:eastAsia="宋体" w:cs="宋体"/>
          <w:color w:val="auto"/>
          <w:spacing w:val="5"/>
          <w:sz w:val="22"/>
          <w:szCs w:val="22"/>
          <w:highlight w:val="none"/>
        </w:rPr>
        <w:t>化管理等监理工作，与建设单位共同推进项目建设的管理工作。在施工过</w:t>
      </w:r>
      <w:r>
        <w:rPr>
          <w:rFonts w:ascii="宋体" w:hAnsi="宋体" w:eastAsia="宋体" w:cs="宋体"/>
          <w:color w:val="auto"/>
          <w:spacing w:val="4"/>
          <w:sz w:val="22"/>
          <w:szCs w:val="22"/>
          <w:highlight w:val="none"/>
        </w:rPr>
        <w:t>程中定期或</w:t>
      </w:r>
      <w:r>
        <w:rPr>
          <w:rFonts w:ascii="宋体" w:hAnsi="宋体" w:eastAsia="宋体" w:cs="宋体"/>
          <w:color w:val="auto"/>
          <w:spacing w:val="5"/>
          <w:sz w:val="22"/>
          <w:szCs w:val="22"/>
          <w:highlight w:val="none"/>
        </w:rPr>
        <w:t>不定期对施工单位的档案的及时性、完整性、准确性进行监督、检查。</w:t>
      </w:r>
    </w:p>
    <w:p w14:paraId="1D0F4BF9">
      <w:pPr>
        <w:spacing w:before="1"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13.9.3</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分包管理职责</w:t>
      </w:r>
    </w:p>
    <w:p w14:paraId="3A1800B8">
      <w:pPr>
        <w:spacing w:before="180" w:line="360" w:lineRule="auto"/>
        <w:ind w:left="3"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监理人按照《广东省交通运输厅关于印发《广东省交通</w:t>
      </w:r>
      <w:r>
        <w:rPr>
          <w:rFonts w:ascii="宋体" w:hAnsi="宋体" w:eastAsia="宋体" w:cs="宋体"/>
          <w:color w:val="auto"/>
          <w:spacing w:val="1"/>
          <w:sz w:val="22"/>
          <w:szCs w:val="22"/>
          <w:highlight w:val="none"/>
        </w:rPr>
        <w:t>运输厅&lt;关于公路工程施工</w:t>
      </w:r>
      <w:r>
        <w:rPr>
          <w:rFonts w:ascii="宋体" w:hAnsi="宋体" w:eastAsia="宋体" w:cs="宋体"/>
          <w:color w:val="auto"/>
          <w:spacing w:val="2"/>
          <w:sz w:val="22"/>
          <w:szCs w:val="22"/>
          <w:highlight w:val="none"/>
        </w:rPr>
        <w:t>分包管理实施细则&gt;的通知》（粤交〔2025〕1</w:t>
      </w:r>
      <w:r>
        <w:rPr>
          <w:rFonts w:ascii="宋体" w:hAnsi="宋体" w:eastAsia="宋体" w:cs="宋体"/>
          <w:color w:val="auto"/>
          <w:spacing w:val="-24"/>
          <w:sz w:val="22"/>
          <w:szCs w:val="22"/>
          <w:highlight w:val="none"/>
        </w:rPr>
        <w:t xml:space="preserve"> </w:t>
      </w:r>
      <w:r>
        <w:rPr>
          <w:rFonts w:ascii="宋体" w:hAnsi="宋体" w:eastAsia="宋体" w:cs="宋体"/>
          <w:color w:val="auto"/>
          <w:spacing w:val="2"/>
          <w:sz w:val="22"/>
          <w:szCs w:val="22"/>
          <w:highlight w:val="none"/>
        </w:rPr>
        <w:t>号）文件的相关管理规定和合同约定，</w:t>
      </w:r>
      <w:r>
        <w:rPr>
          <w:rFonts w:ascii="宋体" w:hAnsi="宋体" w:eastAsia="宋体" w:cs="宋体"/>
          <w:color w:val="auto"/>
          <w:spacing w:val="5"/>
          <w:sz w:val="22"/>
          <w:szCs w:val="22"/>
          <w:highlight w:val="none"/>
        </w:rPr>
        <w:t>负责对所监理合同段的施工分包活动的监理管理，发现</w:t>
      </w:r>
      <w:r>
        <w:rPr>
          <w:rFonts w:ascii="宋体" w:hAnsi="宋体" w:eastAsia="宋体" w:cs="宋体"/>
          <w:color w:val="auto"/>
          <w:spacing w:val="4"/>
          <w:sz w:val="22"/>
          <w:szCs w:val="22"/>
          <w:highlight w:val="none"/>
        </w:rPr>
        <w:t>承包人转包或违法分包行为应</w:t>
      </w:r>
      <w:r>
        <w:rPr>
          <w:rFonts w:ascii="宋体" w:hAnsi="宋体" w:eastAsia="宋体" w:cs="宋体"/>
          <w:color w:val="auto"/>
          <w:spacing w:val="-1"/>
          <w:sz w:val="22"/>
          <w:szCs w:val="22"/>
          <w:highlight w:val="none"/>
        </w:rPr>
        <w:t>及时制止，并通知委托人。监理人在收到承包人提</w:t>
      </w:r>
      <w:r>
        <w:rPr>
          <w:rFonts w:ascii="宋体" w:hAnsi="宋体" w:eastAsia="宋体" w:cs="宋体"/>
          <w:color w:val="auto"/>
          <w:spacing w:val="-2"/>
          <w:sz w:val="22"/>
          <w:szCs w:val="22"/>
          <w:highlight w:val="none"/>
        </w:rPr>
        <w:t>交的分包合同申请后，5 日内对拟签</w:t>
      </w:r>
      <w:r>
        <w:rPr>
          <w:rFonts w:ascii="宋体" w:hAnsi="宋体" w:eastAsia="宋体" w:cs="宋体"/>
          <w:color w:val="auto"/>
          <w:spacing w:val="5"/>
          <w:sz w:val="22"/>
          <w:szCs w:val="22"/>
          <w:highlight w:val="none"/>
        </w:rPr>
        <w:t>订的分包合同内容进行审查，并提出审查意见；分包工程的施工方案需经承包</w:t>
      </w:r>
      <w:r>
        <w:rPr>
          <w:rFonts w:ascii="宋体" w:hAnsi="宋体" w:eastAsia="宋体" w:cs="宋体"/>
          <w:color w:val="auto"/>
          <w:spacing w:val="4"/>
          <w:sz w:val="22"/>
          <w:szCs w:val="22"/>
          <w:highlight w:val="none"/>
        </w:rPr>
        <w:t>人审查</w:t>
      </w:r>
      <w:r>
        <w:rPr>
          <w:rFonts w:ascii="宋体" w:hAnsi="宋体" w:eastAsia="宋体" w:cs="宋体"/>
          <w:color w:val="auto"/>
          <w:spacing w:val="5"/>
          <w:sz w:val="22"/>
          <w:szCs w:val="22"/>
          <w:highlight w:val="none"/>
        </w:rPr>
        <w:t>同意后，报总监办书面同意后方可实施，监理人应配合委托人对承包人（分包</w:t>
      </w:r>
      <w:r>
        <w:rPr>
          <w:rFonts w:ascii="宋体" w:hAnsi="宋体" w:eastAsia="宋体" w:cs="宋体"/>
          <w:color w:val="auto"/>
          <w:spacing w:val="4"/>
          <w:sz w:val="22"/>
          <w:szCs w:val="22"/>
          <w:highlight w:val="none"/>
        </w:rPr>
        <w:t>人）的</w:t>
      </w:r>
      <w:r>
        <w:rPr>
          <w:rFonts w:ascii="宋体" w:hAnsi="宋体" w:eastAsia="宋体" w:cs="宋体"/>
          <w:color w:val="auto"/>
          <w:spacing w:val="6"/>
          <w:sz w:val="22"/>
          <w:szCs w:val="22"/>
          <w:highlight w:val="none"/>
        </w:rPr>
        <w:t>劳务合作情况进行监督检查；监理机构需核查劳务合作企业提供的特种设备“</w:t>
      </w:r>
      <w:r>
        <w:rPr>
          <w:rFonts w:ascii="宋体" w:hAnsi="宋体" w:eastAsia="宋体" w:cs="宋体"/>
          <w:color w:val="auto"/>
          <w:spacing w:val="-82"/>
          <w:sz w:val="22"/>
          <w:szCs w:val="22"/>
          <w:highlight w:val="none"/>
        </w:rPr>
        <w:t xml:space="preserve"> </w:t>
      </w:r>
      <w:r>
        <w:rPr>
          <w:rFonts w:ascii="宋体" w:hAnsi="宋体" w:eastAsia="宋体" w:cs="宋体"/>
          <w:color w:val="auto"/>
          <w:spacing w:val="6"/>
          <w:sz w:val="22"/>
          <w:szCs w:val="22"/>
          <w:highlight w:val="none"/>
        </w:rPr>
        <w:t>四证</w:t>
      </w:r>
      <w:r>
        <w:rPr>
          <w:rFonts w:ascii="宋体" w:hAnsi="宋体" w:eastAsia="宋体" w:cs="宋体"/>
          <w:color w:val="auto"/>
          <w:spacing w:val="-83"/>
          <w:sz w:val="22"/>
          <w:szCs w:val="22"/>
          <w:highlight w:val="none"/>
        </w:rPr>
        <w:t xml:space="preserve"> </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4"/>
          <w:sz w:val="22"/>
          <w:szCs w:val="22"/>
          <w:highlight w:val="none"/>
        </w:rPr>
        <w:t>（出厂合格证、检验合格证、检验报告、使用登记证及操作人员证书</w:t>
      </w:r>
      <w:r>
        <w:rPr>
          <w:rFonts w:ascii="宋体" w:hAnsi="宋体" w:eastAsia="宋体" w:cs="宋体"/>
          <w:color w:val="auto"/>
          <w:spacing w:val="21"/>
          <w:sz w:val="22"/>
          <w:szCs w:val="22"/>
          <w:highlight w:val="none"/>
        </w:rPr>
        <w:t>），</w:t>
      </w:r>
      <w:r>
        <w:rPr>
          <w:rFonts w:ascii="宋体" w:hAnsi="宋体" w:eastAsia="宋体" w:cs="宋体"/>
          <w:color w:val="auto"/>
          <w:spacing w:val="4"/>
          <w:sz w:val="22"/>
          <w:szCs w:val="22"/>
          <w:highlight w:val="none"/>
        </w:rPr>
        <w:t>通过后方可</w:t>
      </w:r>
      <w:r>
        <w:rPr>
          <w:rFonts w:ascii="宋体" w:hAnsi="宋体" w:eastAsia="宋体" w:cs="宋体"/>
          <w:color w:val="auto"/>
          <w:spacing w:val="-2"/>
          <w:sz w:val="22"/>
          <w:szCs w:val="22"/>
          <w:highlight w:val="none"/>
        </w:rPr>
        <w:t>允许使用"。</w:t>
      </w:r>
    </w:p>
    <w:p w14:paraId="7A3864E4">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13.9.4</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监理工作机制</w:t>
      </w:r>
    </w:p>
    <w:p w14:paraId="1F88FB37">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13.9.4.1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监理工作的重点</w:t>
      </w:r>
    </w:p>
    <w:p w14:paraId="6860D64C">
      <w:pPr>
        <w:spacing w:before="180" w:line="360" w:lineRule="auto"/>
        <w:ind w:left="4" w:right="115" w:firstLine="48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（1）监理工作以质量、安全、环保为重点，突出施工组织设计、隐蔽工程验收与</w:t>
      </w:r>
      <w:r>
        <w:rPr>
          <w:rFonts w:ascii="宋体" w:hAnsi="宋体" w:eastAsia="宋体" w:cs="宋体"/>
          <w:color w:val="auto"/>
          <w:spacing w:val="-1"/>
          <w:sz w:val="22"/>
          <w:szCs w:val="22"/>
          <w:highlight w:val="none"/>
        </w:rPr>
        <w:t>关键作业质量控制、工序验收，建立以巡视为主要手段的监理机制。</w:t>
      </w:r>
    </w:p>
    <w:p w14:paraId="2E76CE64">
      <w:pPr>
        <w:spacing w:before="181" w:line="360" w:lineRule="auto"/>
        <w:ind w:left="3" w:right="115"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（2）监理工作以监督施工单位质量、安全及环保等保证体系运行为核心，以巡视</w:t>
      </w:r>
      <w:r>
        <w:rPr>
          <w:rFonts w:ascii="宋体" w:hAnsi="宋体" w:eastAsia="宋体" w:cs="宋体"/>
          <w:color w:val="auto"/>
          <w:spacing w:val="-1"/>
          <w:sz w:val="22"/>
          <w:szCs w:val="22"/>
          <w:highlight w:val="none"/>
        </w:rPr>
        <w:t>为主的方式进行施工现场监理。</w:t>
      </w:r>
    </w:p>
    <w:p w14:paraId="2E36D164">
      <w:pPr>
        <w:spacing w:before="185" w:line="360" w:lineRule="auto"/>
        <w:ind w:right="115"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（3）做好施工方案编制审查与现场一致性核查，对施工方案实施闭环管理；构建</w:t>
      </w:r>
      <w:r>
        <w:rPr>
          <w:rFonts w:ascii="宋体" w:hAnsi="宋体" w:eastAsia="宋体" w:cs="宋体"/>
          <w:color w:val="auto"/>
          <w:spacing w:val="5"/>
          <w:sz w:val="22"/>
          <w:szCs w:val="22"/>
          <w:highlight w:val="none"/>
        </w:rPr>
        <w:t>并完善以关键环节控制为核心、以巡视为主要手段的监理工作标准体系；通过</w:t>
      </w:r>
      <w:r>
        <w:rPr>
          <w:rFonts w:ascii="宋体" w:hAnsi="宋体" w:eastAsia="宋体" w:cs="宋体"/>
          <w:color w:val="auto"/>
          <w:spacing w:val="4"/>
          <w:sz w:val="22"/>
          <w:szCs w:val="22"/>
          <w:highlight w:val="none"/>
        </w:rPr>
        <w:t>统计工</w:t>
      </w:r>
      <w:r>
        <w:rPr>
          <w:rFonts w:ascii="宋体" w:hAnsi="宋体" w:eastAsia="宋体" w:cs="宋体"/>
          <w:color w:val="auto"/>
          <w:spacing w:val="5"/>
          <w:sz w:val="22"/>
          <w:szCs w:val="22"/>
          <w:highlight w:val="none"/>
        </w:rPr>
        <w:t>序验收一次通过率等指标，核查施工单位质保体系的运行情况并针对性开展差</w:t>
      </w:r>
      <w:r>
        <w:rPr>
          <w:rFonts w:ascii="宋体" w:hAnsi="宋体" w:eastAsia="宋体" w:cs="宋体"/>
          <w:color w:val="auto"/>
          <w:spacing w:val="4"/>
          <w:sz w:val="22"/>
          <w:szCs w:val="22"/>
          <w:highlight w:val="none"/>
        </w:rPr>
        <w:t>异化监</w:t>
      </w:r>
      <w:r>
        <w:rPr>
          <w:rFonts w:ascii="宋体" w:hAnsi="宋体" w:eastAsia="宋体" w:cs="宋体"/>
          <w:color w:val="auto"/>
          <w:spacing w:val="-5"/>
          <w:sz w:val="22"/>
          <w:szCs w:val="22"/>
          <w:highlight w:val="none"/>
        </w:rPr>
        <w:t>理。</w:t>
      </w:r>
    </w:p>
    <w:p w14:paraId="489372F0">
      <w:pPr>
        <w:spacing w:before="167"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13.9.4.2</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监理工作的重点提高监理工作效率</w:t>
      </w:r>
    </w:p>
    <w:p w14:paraId="5FB859F4">
      <w:pPr>
        <w:spacing w:before="183" w:line="360" w:lineRule="auto"/>
        <w:ind w:left="1" w:right="115" w:firstLine="47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优化工序验收项目，监理机构无需对施工单位自检资料签认，采用从分部工程开</w:t>
      </w:r>
      <w:r>
        <w:rPr>
          <w:rFonts w:ascii="宋体" w:hAnsi="宋体" w:eastAsia="宋体" w:cs="宋体"/>
          <w:color w:val="auto"/>
          <w:spacing w:val="-1"/>
          <w:sz w:val="22"/>
          <w:szCs w:val="22"/>
          <w:highlight w:val="none"/>
        </w:rPr>
        <w:t>始评定的方式评价工程质量。</w:t>
      </w:r>
    </w:p>
    <w:p w14:paraId="6AB59959">
      <w:pPr>
        <w:spacing w:before="1" w:line="360" w:lineRule="auto"/>
        <w:ind w:right="115" w:firstLine="48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建立监理与检测协同机制，优化总监办与中心试验室工作界面、沟通渠道与协同</w:t>
      </w:r>
      <w:r>
        <w:rPr>
          <w:rFonts w:ascii="宋体" w:hAnsi="宋体" w:eastAsia="宋体" w:cs="宋体"/>
          <w:color w:val="auto"/>
          <w:spacing w:val="-1"/>
          <w:sz w:val="22"/>
          <w:szCs w:val="22"/>
          <w:highlight w:val="none"/>
        </w:rPr>
        <w:t>机制，提升管控质量。</w:t>
      </w:r>
    </w:p>
    <w:p w14:paraId="7E91D928">
      <w:pPr>
        <w:spacing w:before="2" w:line="360" w:lineRule="auto"/>
        <w:ind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针对现场施工质量、安全管理重难点及不同阶段的管理需求，监理机构上级单位</w:t>
      </w:r>
      <w:r>
        <w:rPr>
          <w:rFonts w:ascii="宋体" w:hAnsi="宋体" w:eastAsia="宋体" w:cs="宋体"/>
          <w:color w:val="auto"/>
          <w:sz w:val="22"/>
          <w:szCs w:val="22"/>
          <w:highlight w:val="none"/>
        </w:rPr>
        <w:t>应加强技术指导，支持监理机构的工作，提高监理服务水平。"</w:t>
      </w:r>
    </w:p>
    <w:p w14:paraId="20E74B7B">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13.9.5 监理队伍建设</w:t>
      </w:r>
    </w:p>
    <w:p w14:paraId="2067C291">
      <w:pPr>
        <w:spacing w:before="179" w:line="360" w:lineRule="auto"/>
        <w:ind w:left="1"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监理机构应根据工程规模、项目特点、施工组织设计与施工现场的实际需要，按照合同约定、委托人批复意见及相关指令，分阶段确定所需监理人员数量</w:t>
      </w:r>
      <w:r>
        <w:rPr>
          <w:rFonts w:ascii="宋体" w:hAnsi="宋体" w:eastAsia="宋体" w:cs="宋体"/>
          <w:color w:val="auto"/>
          <w:spacing w:val="4"/>
          <w:sz w:val="22"/>
          <w:szCs w:val="22"/>
          <w:highlight w:val="none"/>
        </w:rPr>
        <w:t>，动态配置</w:t>
      </w:r>
      <w:r>
        <w:rPr>
          <w:rFonts w:ascii="宋体" w:hAnsi="宋体" w:eastAsia="宋体" w:cs="宋体"/>
          <w:color w:val="auto"/>
          <w:spacing w:val="-3"/>
          <w:sz w:val="22"/>
          <w:szCs w:val="22"/>
          <w:highlight w:val="none"/>
        </w:rPr>
        <w:t>监理人员。</w:t>
      </w:r>
    </w:p>
    <w:p w14:paraId="44FBC798">
      <w:pPr>
        <w:spacing w:before="1" w:line="360" w:lineRule="auto"/>
        <w:ind w:left="481"/>
        <w:rPr>
          <w:rFonts w:ascii="宋体" w:hAnsi="宋体" w:eastAsia="宋体" w:cs="宋体"/>
          <w:color w:val="auto"/>
          <w:sz w:val="22"/>
          <w:szCs w:val="22"/>
          <w:highlight w:val="none"/>
        </w:rPr>
      </w:pPr>
      <w:r>
        <w:rPr>
          <w:rFonts w:ascii="宋体" w:hAnsi="宋体" w:eastAsia="宋体" w:cs="宋体"/>
          <w:color w:val="auto"/>
          <w:sz w:val="22"/>
          <w:szCs w:val="22"/>
          <w:highlight w:val="none"/>
        </w:rPr>
        <w:t>监理机构应开展监理人员岗位培训、考核工作，人员素质应满足岗位工作需求。"</w:t>
      </w:r>
    </w:p>
    <w:p w14:paraId="43B8213F">
      <w:pPr>
        <w:spacing w:before="183"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13.9.6 监理机构设置</w:t>
      </w:r>
    </w:p>
    <w:p w14:paraId="2BC210CD">
      <w:pPr>
        <w:spacing w:before="47" w:line="360" w:lineRule="auto"/>
        <w:ind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监理机构受建设单位委托开展咨询服务时，宜设置咨询工作室，为项目提供决策服务。同时，应明确咨询服务内容及相应的费用标准。（该费用不包含在项</w:t>
      </w:r>
      <w:r>
        <w:rPr>
          <w:rFonts w:ascii="宋体" w:hAnsi="宋体" w:eastAsia="宋体" w:cs="宋体"/>
          <w:color w:val="auto"/>
          <w:spacing w:val="4"/>
          <w:sz w:val="22"/>
          <w:szCs w:val="22"/>
          <w:highlight w:val="none"/>
        </w:rPr>
        <w:t>目监理总</w:t>
      </w:r>
      <w:r>
        <w:rPr>
          <w:rFonts w:ascii="宋体" w:hAnsi="宋体" w:eastAsia="宋体" w:cs="宋体"/>
          <w:color w:val="auto"/>
          <w:spacing w:val="1"/>
          <w:sz w:val="22"/>
          <w:szCs w:val="22"/>
          <w:highlight w:val="none"/>
        </w:rPr>
        <w:t>费用中）"</w:t>
      </w:r>
    </w:p>
    <w:p w14:paraId="563317C6">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13.9.7 监理数字化建设</w:t>
      </w:r>
    </w:p>
    <w:p w14:paraId="4B09C1D2">
      <w:pPr>
        <w:spacing w:before="183" w:line="360" w:lineRule="auto"/>
        <w:ind w:firstLine="481"/>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监理机构应按照行业发展的需求，发展自身管理的数字化建设，开放数字化平台及相关数据接口，对接建设单位数字化管理系统，积极配合建设单位对项目管</w:t>
      </w:r>
      <w:r>
        <w:rPr>
          <w:rFonts w:ascii="宋体" w:hAnsi="宋体" w:eastAsia="宋体" w:cs="宋体"/>
          <w:color w:val="auto"/>
          <w:spacing w:val="4"/>
          <w:sz w:val="22"/>
          <w:szCs w:val="22"/>
          <w:highlight w:val="none"/>
        </w:rPr>
        <w:t>理数字</w:t>
      </w:r>
      <w:r>
        <w:rPr>
          <w:rFonts w:ascii="宋体" w:hAnsi="宋体" w:eastAsia="宋体" w:cs="宋体"/>
          <w:color w:val="auto"/>
          <w:spacing w:val="5"/>
          <w:sz w:val="22"/>
          <w:szCs w:val="22"/>
          <w:highlight w:val="none"/>
        </w:rPr>
        <w:t>化的统筹和整合，助力建设单位打通各参建单位不同系统之间的信息壁垒，形</w:t>
      </w:r>
      <w:r>
        <w:rPr>
          <w:rFonts w:ascii="宋体" w:hAnsi="宋体" w:eastAsia="宋体" w:cs="宋体"/>
          <w:color w:val="auto"/>
          <w:spacing w:val="4"/>
          <w:sz w:val="22"/>
          <w:szCs w:val="22"/>
          <w:highlight w:val="none"/>
        </w:rPr>
        <w:t>成适应</w:t>
      </w:r>
      <w:r>
        <w:rPr>
          <w:rFonts w:ascii="宋体" w:hAnsi="宋体" w:eastAsia="宋体" w:cs="宋体"/>
          <w:color w:val="auto"/>
          <w:spacing w:val="5"/>
          <w:sz w:val="22"/>
          <w:szCs w:val="22"/>
          <w:highlight w:val="none"/>
        </w:rPr>
        <w:t>于项目的综合性数字化管理平台。监理机构的管理应充分利用共享数据的一体</w:t>
      </w:r>
      <w:r>
        <w:rPr>
          <w:rFonts w:ascii="宋体" w:hAnsi="宋体" w:eastAsia="宋体" w:cs="宋体"/>
          <w:color w:val="auto"/>
          <w:spacing w:val="4"/>
          <w:sz w:val="22"/>
          <w:szCs w:val="22"/>
          <w:highlight w:val="none"/>
        </w:rPr>
        <w:t>化数字</w:t>
      </w:r>
      <w:r>
        <w:rPr>
          <w:rFonts w:ascii="宋体" w:hAnsi="宋体" w:eastAsia="宋体" w:cs="宋体"/>
          <w:color w:val="auto"/>
          <w:spacing w:val="5"/>
          <w:sz w:val="22"/>
          <w:szCs w:val="22"/>
          <w:highlight w:val="none"/>
        </w:rPr>
        <w:t>化技术和平台，评估保证体系的运行状况，分析管理的薄弱环节，利用数字化</w:t>
      </w:r>
      <w:r>
        <w:rPr>
          <w:rFonts w:ascii="宋体" w:hAnsi="宋体" w:eastAsia="宋体" w:cs="宋体"/>
          <w:color w:val="auto"/>
          <w:spacing w:val="4"/>
          <w:sz w:val="22"/>
          <w:szCs w:val="22"/>
          <w:highlight w:val="none"/>
        </w:rPr>
        <w:t>手段和</w:t>
      </w:r>
      <w:r>
        <w:rPr>
          <w:rFonts w:ascii="宋体" w:hAnsi="宋体" w:eastAsia="宋体" w:cs="宋体"/>
          <w:color w:val="auto"/>
          <w:sz w:val="22"/>
          <w:szCs w:val="22"/>
          <w:highlight w:val="none"/>
        </w:rPr>
        <w:t>数据为监理管理工作提供支撑。"</w:t>
      </w:r>
    </w:p>
    <w:p w14:paraId="644033F7">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13.9.8 质量安全问题应对</w:t>
      </w:r>
    </w:p>
    <w:p w14:paraId="42FE3A20">
      <w:pPr>
        <w:spacing w:before="177" w:line="360"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监理机构在监理过程中发现施工存在质量问题或安全事故隐患的，应书面要求施工单位整改或停止施工，未整改或整改不合格的不得进行下一道工序施工，</w:t>
      </w:r>
      <w:r>
        <w:rPr>
          <w:rFonts w:ascii="宋体" w:hAnsi="宋体" w:eastAsia="宋体" w:cs="宋体"/>
          <w:color w:val="auto"/>
          <w:spacing w:val="4"/>
          <w:sz w:val="22"/>
          <w:szCs w:val="22"/>
          <w:highlight w:val="none"/>
        </w:rPr>
        <w:t>不得进行</w:t>
      </w:r>
      <w:r>
        <w:rPr>
          <w:rFonts w:ascii="宋体" w:hAnsi="宋体" w:eastAsia="宋体" w:cs="宋体"/>
          <w:color w:val="auto"/>
          <w:spacing w:val="5"/>
          <w:sz w:val="22"/>
          <w:szCs w:val="22"/>
          <w:highlight w:val="none"/>
        </w:rPr>
        <w:t>计量支付。施工单位拒不整改或不停止施工的，监理机构应及时向建设单位</w:t>
      </w:r>
      <w:r>
        <w:rPr>
          <w:rFonts w:ascii="宋体" w:hAnsi="宋体" w:eastAsia="宋体" w:cs="宋体"/>
          <w:color w:val="auto"/>
          <w:spacing w:val="4"/>
          <w:sz w:val="22"/>
          <w:szCs w:val="22"/>
          <w:highlight w:val="none"/>
        </w:rPr>
        <w:t>或监管部</w:t>
      </w:r>
      <w:r>
        <w:rPr>
          <w:rFonts w:ascii="宋体" w:hAnsi="宋体" w:eastAsia="宋体" w:cs="宋体"/>
          <w:color w:val="auto"/>
          <w:spacing w:val="1"/>
          <w:sz w:val="22"/>
          <w:szCs w:val="22"/>
          <w:highlight w:val="none"/>
        </w:rPr>
        <w:t>门报告。"</w:t>
      </w:r>
    </w:p>
    <w:p w14:paraId="673F3BC4">
      <w:pPr>
        <w:spacing w:before="1" w:line="360"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13.9.9</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监理+N</w:t>
      </w:r>
    </w:p>
    <w:p w14:paraId="53E1ABC6">
      <w:pPr>
        <w:spacing w:before="169" w:line="360"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监理检测企业应根据公路建设市场和高质量发展的需要，整合优势资源，构建灵活的服务架构和经营模式，丰富监理及咨询服务的内涵，强化技术支持，面</w:t>
      </w:r>
      <w:r>
        <w:rPr>
          <w:rFonts w:ascii="宋体" w:hAnsi="宋体" w:eastAsia="宋体" w:cs="宋体"/>
          <w:color w:val="auto"/>
          <w:spacing w:val="4"/>
          <w:sz w:val="22"/>
          <w:szCs w:val="22"/>
          <w:highlight w:val="none"/>
        </w:rPr>
        <w:t>向公路建</w:t>
      </w:r>
      <w:r>
        <w:rPr>
          <w:rFonts w:ascii="宋体" w:hAnsi="宋体" w:eastAsia="宋体" w:cs="宋体"/>
          <w:color w:val="auto"/>
          <w:spacing w:val="5"/>
          <w:sz w:val="22"/>
          <w:szCs w:val="22"/>
          <w:highlight w:val="none"/>
        </w:rPr>
        <w:t>设全产业链，提供专业、高水平的咨询服务，形成包括代建、咨询、可行性</w:t>
      </w:r>
      <w:r>
        <w:rPr>
          <w:rFonts w:ascii="宋体" w:hAnsi="宋体" w:eastAsia="宋体" w:cs="宋体"/>
          <w:color w:val="auto"/>
          <w:spacing w:val="4"/>
          <w:sz w:val="22"/>
          <w:szCs w:val="22"/>
          <w:highlight w:val="none"/>
        </w:rPr>
        <w:t>研究、设</w:t>
      </w:r>
      <w:r>
        <w:rPr>
          <w:rFonts w:ascii="宋体" w:hAnsi="宋体" w:eastAsia="宋体" w:cs="宋体"/>
          <w:color w:val="auto"/>
          <w:spacing w:val="-1"/>
          <w:sz w:val="22"/>
          <w:szCs w:val="22"/>
          <w:highlight w:val="none"/>
        </w:rPr>
        <w:t>计和监理等在内的多元化发展方向，提升监理+N</w:t>
      </w:r>
      <w:r>
        <w:rPr>
          <w:rFonts w:ascii="宋体" w:hAnsi="宋体" w:eastAsia="宋体" w:cs="宋体"/>
          <w:color w:val="auto"/>
          <w:spacing w:val="-25"/>
          <w:sz w:val="22"/>
          <w:szCs w:val="22"/>
          <w:highlight w:val="none"/>
        </w:rPr>
        <w:t xml:space="preserve"> </w:t>
      </w:r>
      <w:r>
        <w:rPr>
          <w:rFonts w:ascii="宋体" w:hAnsi="宋体" w:eastAsia="宋体" w:cs="宋体"/>
          <w:color w:val="auto"/>
          <w:spacing w:val="-1"/>
          <w:sz w:val="22"/>
          <w:szCs w:val="22"/>
          <w:highlight w:val="none"/>
        </w:rPr>
        <w:t>的服务品质。"</w:t>
      </w:r>
    </w:p>
    <w:p w14:paraId="520A3774">
      <w:pPr>
        <w:spacing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13.9.10 监理费用</w:t>
      </w:r>
    </w:p>
    <w:p w14:paraId="3CEC1E19">
      <w:pPr>
        <w:spacing w:before="183" w:line="360" w:lineRule="auto"/>
        <w:ind w:left="1" w:firstLine="490"/>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（1）项目采取“咨询+监理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4"/>
          <w:sz w:val="22"/>
          <w:szCs w:val="22"/>
          <w:highlight w:val="none"/>
        </w:rPr>
        <w:t>”模式时，咨询、监理</w:t>
      </w:r>
      <w:r>
        <w:rPr>
          <w:rFonts w:ascii="宋体" w:hAnsi="宋体" w:eastAsia="宋体" w:cs="宋体"/>
          <w:color w:val="auto"/>
          <w:spacing w:val="3"/>
          <w:sz w:val="22"/>
          <w:szCs w:val="22"/>
          <w:highlight w:val="none"/>
        </w:rPr>
        <w:t>取费应按相关标准分别计算，</w:t>
      </w:r>
      <w:r>
        <w:rPr>
          <w:rFonts w:ascii="宋体" w:hAnsi="宋体" w:eastAsia="宋体" w:cs="宋体"/>
          <w:color w:val="auto"/>
          <w:spacing w:val="1"/>
          <w:sz w:val="22"/>
          <w:szCs w:val="22"/>
          <w:highlight w:val="none"/>
        </w:rPr>
        <w:t>合计计入合同金额。</w:t>
      </w:r>
    </w:p>
    <w:p w14:paraId="537662F6">
      <w:pPr>
        <w:spacing w:before="183" w:line="360" w:lineRule="auto"/>
        <w:ind w:left="1"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（2）根据省厅监</w:t>
      </w:r>
      <w:r>
        <w:rPr>
          <w:rFonts w:ascii="宋体" w:hAnsi="宋体" w:eastAsia="宋体" w:cs="宋体"/>
          <w:color w:val="auto"/>
          <w:spacing w:val="5"/>
          <w:sz w:val="22"/>
          <w:szCs w:val="22"/>
          <w:highlight w:val="none"/>
        </w:rPr>
        <w:t>理改革的经验，为更好地推动监理行业高质量发展，发挥其应有的支撑作</w:t>
      </w:r>
      <w:r>
        <w:rPr>
          <w:rFonts w:ascii="宋体" w:hAnsi="宋体" w:eastAsia="宋体" w:cs="宋体"/>
          <w:color w:val="auto"/>
          <w:spacing w:val="4"/>
          <w:sz w:val="22"/>
          <w:szCs w:val="22"/>
          <w:highlight w:val="none"/>
        </w:rPr>
        <w:t>用，有条件</w:t>
      </w:r>
      <w:r>
        <w:rPr>
          <w:rFonts w:ascii="宋体" w:hAnsi="宋体" w:eastAsia="宋体" w:cs="宋体"/>
          <w:color w:val="auto"/>
          <w:spacing w:val="-1"/>
          <w:sz w:val="22"/>
          <w:szCs w:val="22"/>
          <w:highlight w:val="none"/>
        </w:rPr>
        <w:t>的委托人可根据实际情况探索监理费用“实物计量法</w:t>
      </w:r>
      <w:r>
        <w:rPr>
          <w:rFonts w:ascii="宋体" w:hAnsi="宋体" w:eastAsia="宋体" w:cs="宋体"/>
          <w:color w:val="auto"/>
          <w:spacing w:val="-89"/>
          <w:sz w:val="22"/>
          <w:szCs w:val="22"/>
          <w:highlight w:val="none"/>
        </w:rPr>
        <w:t xml:space="preserve"> </w:t>
      </w:r>
      <w:r>
        <w:rPr>
          <w:rFonts w:ascii="宋体" w:hAnsi="宋体" w:eastAsia="宋体" w:cs="宋体"/>
          <w:color w:val="auto"/>
          <w:spacing w:val="-1"/>
          <w:sz w:val="22"/>
          <w:szCs w:val="22"/>
          <w:highlight w:val="none"/>
        </w:rPr>
        <w:t>”。"</w:t>
      </w:r>
    </w:p>
    <w:p w14:paraId="4081ABA4">
      <w:pPr>
        <w:spacing w:before="180" w:line="36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13.9.11</w:t>
      </w:r>
      <w:r>
        <w:rPr>
          <w:rFonts w:ascii="宋体" w:hAnsi="宋体" w:eastAsia="宋体" w:cs="宋体"/>
          <w:color w:val="auto"/>
          <w:spacing w:val="-50"/>
          <w:sz w:val="22"/>
          <w:szCs w:val="22"/>
          <w:highlight w:val="none"/>
        </w:rPr>
        <w:t xml:space="preserve"> </w:t>
      </w:r>
      <w:r>
        <w:rPr>
          <w:rFonts w:ascii="宋体" w:hAnsi="宋体" w:eastAsia="宋体" w:cs="宋体"/>
          <w:color w:val="auto"/>
          <w:spacing w:val="-3"/>
          <w:sz w:val="22"/>
          <w:szCs w:val="22"/>
          <w:highlight w:val="none"/>
        </w:rPr>
        <w:t>监理验收机制</w:t>
      </w:r>
    </w:p>
    <w:p w14:paraId="65FC8387">
      <w:pPr>
        <w:spacing w:before="184" w:line="360" w:lineRule="auto"/>
        <w:ind w:left="3" w:firstLine="494"/>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13.9.11.1</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w:t>
      </w:r>
      <w:r>
        <w:rPr>
          <w:rFonts w:ascii="宋体" w:hAnsi="宋体" w:eastAsia="宋体" w:cs="宋体"/>
          <w:color w:val="auto"/>
          <w:spacing w:val="4"/>
          <w:sz w:val="22"/>
          <w:szCs w:val="22"/>
          <w:highlight w:val="none"/>
        </w:rPr>
        <w:t>程的关键工序验</w:t>
      </w:r>
      <w:r>
        <w:rPr>
          <w:rFonts w:ascii="宋体" w:hAnsi="宋体" w:eastAsia="宋体" w:cs="宋体"/>
          <w:color w:val="auto"/>
          <w:spacing w:val="5"/>
          <w:sz w:val="22"/>
          <w:szCs w:val="22"/>
          <w:highlight w:val="none"/>
        </w:rPr>
        <w:t>收。监理机构应编制《关键工序验收责任清单》，明确规定参与工序</w:t>
      </w:r>
      <w:r>
        <w:rPr>
          <w:rFonts w:ascii="宋体" w:hAnsi="宋体" w:eastAsia="宋体" w:cs="宋体"/>
          <w:color w:val="auto"/>
          <w:spacing w:val="4"/>
          <w:sz w:val="22"/>
          <w:szCs w:val="22"/>
          <w:highlight w:val="none"/>
        </w:rPr>
        <w:t>验收的各层级监</w:t>
      </w:r>
      <w:r>
        <w:rPr>
          <w:rFonts w:ascii="宋体" w:hAnsi="宋体" w:eastAsia="宋体" w:cs="宋体"/>
          <w:color w:val="auto"/>
          <w:spacing w:val="1"/>
          <w:sz w:val="22"/>
          <w:szCs w:val="22"/>
          <w:highlight w:val="none"/>
        </w:rPr>
        <w:t>理人员及职责范围，涵盖项目工程重难点。总监/副总监参与的验收应形成专项记录，</w:t>
      </w:r>
      <w:r>
        <w:rPr>
          <w:rFonts w:ascii="宋体" w:hAnsi="宋体" w:eastAsia="宋体" w:cs="宋体"/>
          <w:color w:val="auto"/>
          <w:sz w:val="22"/>
          <w:szCs w:val="22"/>
          <w:highlight w:val="none"/>
        </w:rPr>
        <w:t>作为质量责任追溯依据。"</w:t>
      </w:r>
    </w:p>
    <w:p w14:paraId="0FC4872D">
      <w:pPr>
        <w:spacing w:before="183" w:line="360"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13.9.11.2</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监理机构应实行施工方案审批、检查、验收的闭环管理，同时检查施工</w:t>
      </w:r>
      <w:r>
        <w:rPr>
          <w:rFonts w:ascii="宋体" w:hAnsi="宋体" w:eastAsia="宋体" w:cs="宋体"/>
          <w:color w:val="auto"/>
          <w:spacing w:val="5"/>
          <w:sz w:val="22"/>
          <w:szCs w:val="22"/>
          <w:highlight w:val="none"/>
        </w:rPr>
        <w:t>单位从施工方案编制至实施完成的闭环管理情况，形成施工方案双闭环管</w:t>
      </w:r>
      <w:r>
        <w:rPr>
          <w:rFonts w:ascii="宋体" w:hAnsi="宋体" w:eastAsia="宋体" w:cs="宋体"/>
          <w:color w:val="auto"/>
          <w:spacing w:val="4"/>
          <w:sz w:val="22"/>
          <w:szCs w:val="22"/>
          <w:highlight w:val="none"/>
        </w:rPr>
        <w:t>理。当施工</w:t>
      </w:r>
      <w:r>
        <w:rPr>
          <w:rFonts w:ascii="宋体" w:hAnsi="宋体" w:eastAsia="宋体" w:cs="宋体"/>
          <w:color w:val="auto"/>
          <w:spacing w:val="-1"/>
          <w:sz w:val="22"/>
          <w:szCs w:val="22"/>
          <w:highlight w:val="none"/>
        </w:rPr>
        <w:t>方案实施条件发生变化时，应监督施工单位按编审程序动态修编。</w:t>
      </w:r>
    </w:p>
    <w:p w14:paraId="65BFE6CB">
      <w:pPr>
        <w:spacing w:before="182" w:line="360" w:lineRule="auto"/>
        <w:ind w:left="49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13.9.11.3</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监理机构应组织开展首件工程制</w:t>
      </w:r>
    </w:p>
    <w:p w14:paraId="55A20C31">
      <w:pPr>
        <w:spacing w:before="181" w:line="360" w:lineRule="auto"/>
        <w:ind w:right="109" w:firstLine="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（1）对首件工程施工工艺控制，安全、质量、环（水）保等措施落实和质量指标</w:t>
      </w:r>
      <w:r>
        <w:rPr>
          <w:rFonts w:ascii="宋体" w:hAnsi="宋体" w:eastAsia="宋体" w:cs="宋体"/>
          <w:color w:val="auto"/>
          <w:spacing w:val="-1"/>
          <w:sz w:val="22"/>
          <w:szCs w:val="22"/>
          <w:highlight w:val="none"/>
        </w:rPr>
        <w:t>进行综合评价，查找不足，并督促施工单位进行改进。</w:t>
      </w:r>
    </w:p>
    <w:p w14:paraId="78AFD023">
      <w:pPr>
        <w:spacing w:before="184" w:line="360" w:lineRule="auto"/>
        <w:ind w:left="6" w:firstLine="48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（2）监理机构应依据建设单位管理办法及行业规范，编制首件工程</w:t>
      </w:r>
      <w:r>
        <w:rPr>
          <w:rFonts w:ascii="宋体" w:hAnsi="宋体" w:eastAsia="宋体" w:cs="宋体"/>
          <w:color w:val="auto"/>
          <w:spacing w:val="-3"/>
          <w:sz w:val="22"/>
          <w:szCs w:val="22"/>
          <w:highlight w:val="none"/>
        </w:rPr>
        <w:t>管理实施细则，</w:t>
      </w:r>
      <w:r>
        <w:rPr>
          <w:rFonts w:ascii="宋体" w:hAnsi="宋体" w:eastAsia="宋体" w:cs="宋体"/>
          <w:color w:val="auto"/>
          <w:spacing w:val="5"/>
          <w:sz w:val="22"/>
          <w:szCs w:val="22"/>
          <w:highlight w:val="none"/>
        </w:rPr>
        <w:t>明确工作程序、验收评价标准及岗位权责。实施细则须涵盖方案</w:t>
      </w:r>
      <w:r>
        <w:rPr>
          <w:rFonts w:ascii="宋体" w:hAnsi="宋体" w:eastAsia="宋体" w:cs="宋体"/>
          <w:color w:val="auto"/>
          <w:spacing w:val="4"/>
          <w:sz w:val="22"/>
          <w:szCs w:val="22"/>
          <w:highlight w:val="none"/>
        </w:rPr>
        <w:t>预审、过程监控、成</w:t>
      </w:r>
      <w:r>
        <w:rPr>
          <w:rFonts w:ascii="宋体" w:hAnsi="宋体" w:eastAsia="宋体" w:cs="宋体"/>
          <w:color w:val="auto"/>
          <w:spacing w:val="-1"/>
          <w:sz w:val="22"/>
          <w:szCs w:val="22"/>
          <w:highlight w:val="none"/>
        </w:rPr>
        <w:t>果评定、档案归集等全流程管理要求。</w:t>
      </w:r>
    </w:p>
    <w:p w14:paraId="69420B91">
      <w:pPr>
        <w:spacing w:before="182" w:line="360" w:lineRule="auto"/>
        <w:ind w:left="2" w:right="109"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（3）对于涉及桥梁、隧道、高边坡等重大风险源的首件工程，总监或副总监应全</w:t>
      </w:r>
      <w:r>
        <w:rPr>
          <w:rFonts w:ascii="宋体" w:hAnsi="宋体" w:eastAsia="宋体" w:cs="宋体"/>
          <w:color w:val="auto"/>
          <w:sz w:val="22"/>
          <w:szCs w:val="22"/>
          <w:highlight w:val="none"/>
        </w:rPr>
        <w:t>过程参与方案评审、过程监督及验收评估，并在验收文件签署确认意见。"</w:t>
      </w:r>
    </w:p>
    <w:p w14:paraId="0316358C">
      <w:pPr>
        <w:spacing w:before="187" w:line="360"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13.9.11.4</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在施工过程中，监理机构应对施工单位主体责任落实情况、施工合同执</w:t>
      </w:r>
      <w:r>
        <w:rPr>
          <w:rFonts w:ascii="宋体" w:hAnsi="宋体" w:eastAsia="宋体" w:cs="宋体"/>
          <w:color w:val="auto"/>
          <w:spacing w:val="5"/>
          <w:sz w:val="22"/>
          <w:szCs w:val="22"/>
          <w:highlight w:val="none"/>
        </w:rPr>
        <w:t>行情况和质量安全等保证体系运行情况进行监督检查，将管监分离制、三</w:t>
      </w:r>
      <w:r>
        <w:rPr>
          <w:rFonts w:ascii="宋体" w:hAnsi="宋体" w:eastAsia="宋体" w:cs="宋体"/>
          <w:color w:val="auto"/>
          <w:spacing w:val="4"/>
          <w:sz w:val="22"/>
          <w:szCs w:val="22"/>
          <w:highlight w:val="none"/>
        </w:rPr>
        <w:t>检制是否按</w:t>
      </w:r>
      <w:r>
        <w:rPr>
          <w:rFonts w:ascii="宋体" w:hAnsi="宋体" w:eastAsia="宋体" w:cs="宋体"/>
          <w:color w:val="auto"/>
          <w:spacing w:val="-1"/>
          <w:sz w:val="22"/>
          <w:szCs w:val="22"/>
          <w:highlight w:val="none"/>
        </w:rPr>
        <w:t>要求执行纳入保证体系运行检查内容。</w:t>
      </w:r>
    </w:p>
    <w:p w14:paraId="550A0092">
      <w:pPr>
        <w:spacing w:before="182" w:line="360" w:lineRule="auto"/>
        <w:ind w:left="1" w:right="109"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13.9.11.5</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监理机构宜制定差异化管理办法和工序验收一次性通过率管理办法，当</w:t>
      </w:r>
      <w:r>
        <w:rPr>
          <w:rFonts w:ascii="宋体" w:hAnsi="宋体" w:eastAsia="宋体" w:cs="宋体"/>
          <w:color w:val="auto"/>
          <w:spacing w:val="5"/>
          <w:sz w:val="22"/>
          <w:szCs w:val="22"/>
          <w:highlight w:val="none"/>
        </w:rPr>
        <w:t>出现工序报检一次性通过率较低、实体检测指标较大波动及安全、质量突出</w:t>
      </w:r>
      <w:r>
        <w:rPr>
          <w:rFonts w:ascii="宋体" w:hAnsi="宋体" w:eastAsia="宋体" w:cs="宋体"/>
          <w:color w:val="auto"/>
          <w:spacing w:val="4"/>
          <w:sz w:val="22"/>
          <w:szCs w:val="22"/>
          <w:highlight w:val="none"/>
        </w:rPr>
        <w:t>问题时，</w:t>
      </w:r>
      <w:r>
        <w:rPr>
          <w:rFonts w:ascii="宋体" w:hAnsi="宋体" w:eastAsia="宋体" w:cs="宋体"/>
          <w:color w:val="auto"/>
          <w:spacing w:val="-1"/>
          <w:sz w:val="22"/>
          <w:szCs w:val="22"/>
          <w:highlight w:val="none"/>
        </w:rPr>
        <w:t>应及时开展差异化管理。</w:t>
      </w:r>
    </w:p>
    <w:p w14:paraId="26F26033">
      <w:pPr>
        <w:spacing w:before="184" w:line="360" w:lineRule="auto"/>
        <w:ind w:right="109" w:firstLine="49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13.9.11.6</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监理工程师应采取以巡视为主的方式进行施工现场监理，应制定监理巡</w:t>
      </w:r>
      <w:r>
        <w:rPr>
          <w:rFonts w:ascii="宋体" w:hAnsi="宋体" w:eastAsia="宋体" w:cs="宋体"/>
          <w:color w:val="auto"/>
          <w:spacing w:val="-3"/>
          <w:sz w:val="22"/>
          <w:szCs w:val="22"/>
          <w:highlight w:val="none"/>
        </w:rPr>
        <w:t>视专项细则，按计划定期或不定期巡视施工现场，对施工的主要工程每天不少于</w:t>
      </w:r>
      <w:r>
        <w:rPr>
          <w:rFonts w:ascii="宋体" w:hAnsi="宋体" w:eastAsia="宋体" w:cs="宋体"/>
          <w:color w:val="auto"/>
          <w:spacing w:val="-20"/>
          <w:sz w:val="22"/>
          <w:szCs w:val="22"/>
          <w:highlight w:val="none"/>
        </w:rPr>
        <w:t xml:space="preserve"> </w:t>
      </w:r>
      <w:r>
        <w:rPr>
          <w:rFonts w:ascii="宋体" w:hAnsi="宋体" w:eastAsia="宋体" w:cs="宋体"/>
          <w:color w:val="auto"/>
          <w:spacing w:val="-3"/>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次，</w:t>
      </w:r>
      <w:r>
        <w:rPr>
          <w:rFonts w:ascii="宋体" w:hAnsi="宋体" w:eastAsia="宋体" w:cs="宋体"/>
          <w:color w:val="auto"/>
          <w:spacing w:val="-1"/>
          <w:sz w:val="22"/>
          <w:szCs w:val="22"/>
          <w:highlight w:val="none"/>
        </w:rPr>
        <w:t>并填写巡视记录（格式见附录</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B.1）。巡视应包括下列主要内容：</w:t>
      </w:r>
    </w:p>
    <w:p w14:paraId="0B31E139">
      <w:pPr>
        <w:spacing w:before="183" w:line="360" w:lineRule="auto"/>
        <w:ind w:left="4" w:right="109"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（1）施工现场管理人员特别是质量、安全管理人员是否到位，特种作业人员是否</w:t>
      </w:r>
      <w:r>
        <w:rPr>
          <w:rFonts w:ascii="宋体" w:hAnsi="宋体" w:eastAsia="宋体" w:cs="宋体"/>
          <w:color w:val="auto"/>
          <w:spacing w:val="-3"/>
          <w:sz w:val="22"/>
          <w:szCs w:val="22"/>
          <w:highlight w:val="none"/>
        </w:rPr>
        <w:t>持证上岗；</w:t>
      </w:r>
    </w:p>
    <w:p w14:paraId="04C20A15">
      <w:pPr>
        <w:spacing w:before="183" w:line="360"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（2）使用的原材料或混合料、构配件和主要施工机械设备是否与批准的一致；</w:t>
      </w:r>
    </w:p>
    <w:p w14:paraId="4B5DB56B">
      <w:pPr>
        <w:spacing w:before="184" w:line="360"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（3）是否按技术标准、工程设计文件、批准的施工组织设计和方案施工；</w:t>
      </w:r>
    </w:p>
    <w:p w14:paraId="10AAC47D">
      <w:pPr>
        <w:spacing w:before="180" w:line="360" w:lineRule="auto"/>
        <w:ind w:right="109"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（4）质量、安全、环（水）保和施工标准化等措施是否落实，抽查施工自检和工</w:t>
      </w:r>
      <w:r>
        <w:rPr>
          <w:rFonts w:ascii="宋体" w:hAnsi="宋体" w:eastAsia="宋体" w:cs="宋体"/>
          <w:color w:val="auto"/>
          <w:spacing w:val="-1"/>
          <w:sz w:val="22"/>
          <w:szCs w:val="22"/>
          <w:highlight w:val="none"/>
        </w:rPr>
        <w:t>序交接是否符合规定。</w:t>
      </w:r>
    </w:p>
    <w:p w14:paraId="41E978D8">
      <w:pPr>
        <w:spacing w:before="184" w:line="360" w:lineRule="auto"/>
        <w:ind w:right="107" w:firstLine="498"/>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13.9.11.7 监理机构应安排监理人员对附录</w:t>
      </w:r>
      <w:r>
        <w:rPr>
          <w:rFonts w:ascii="宋体" w:hAnsi="宋体" w:eastAsia="宋体" w:cs="宋体"/>
          <w:color w:val="auto"/>
          <w:spacing w:val="-58"/>
          <w:sz w:val="22"/>
          <w:szCs w:val="22"/>
          <w:highlight w:val="none"/>
        </w:rPr>
        <w:t xml:space="preserve"> </w:t>
      </w:r>
      <w:r>
        <w:rPr>
          <w:rFonts w:ascii="宋体" w:hAnsi="宋体" w:eastAsia="宋体" w:cs="宋体"/>
          <w:color w:val="auto"/>
          <w:spacing w:val="-2"/>
          <w:sz w:val="22"/>
          <w:szCs w:val="22"/>
          <w:highlight w:val="none"/>
        </w:rPr>
        <w:t>A</w:t>
      </w:r>
      <w:r>
        <w:rPr>
          <w:rFonts w:ascii="宋体" w:hAnsi="宋体" w:eastAsia="宋体" w:cs="宋体"/>
          <w:color w:val="auto"/>
          <w:spacing w:val="-50"/>
          <w:sz w:val="22"/>
          <w:szCs w:val="22"/>
          <w:highlight w:val="none"/>
        </w:rPr>
        <w:t xml:space="preserve"> </w:t>
      </w:r>
      <w:r>
        <w:rPr>
          <w:rFonts w:ascii="宋体" w:hAnsi="宋体" w:eastAsia="宋体" w:cs="宋体"/>
          <w:color w:val="auto"/>
          <w:spacing w:val="-2"/>
          <w:sz w:val="22"/>
          <w:szCs w:val="22"/>
          <w:highlight w:val="none"/>
        </w:rPr>
        <w:t>所列旁站项目的施工过程进</w:t>
      </w:r>
      <w:r>
        <w:rPr>
          <w:rFonts w:ascii="宋体" w:hAnsi="宋体" w:eastAsia="宋体" w:cs="宋体"/>
          <w:color w:val="auto"/>
          <w:spacing w:val="-3"/>
          <w:sz w:val="22"/>
          <w:szCs w:val="22"/>
          <w:highlight w:val="none"/>
        </w:rPr>
        <w:t>行旁站，</w:t>
      </w:r>
      <w:r>
        <w:rPr>
          <w:rFonts w:ascii="宋体" w:hAnsi="宋体" w:eastAsia="宋体" w:cs="宋体"/>
          <w:color w:val="auto"/>
          <w:sz w:val="22"/>
          <w:szCs w:val="22"/>
          <w:highlight w:val="none"/>
        </w:rPr>
        <w:t>对主要工程的关键项目进行检测见证，并填写旁站记录（格</w:t>
      </w:r>
      <w:r>
        <w:rPr>
          <w:rFonts w:ascii="宋体" w:hAnsi="宋体" w:eastAsia="宋体" w:cs="宋体"/>
          <w:color w:val="auto"/>
          <w:spacing w:val="-1"/>
          <w:sz w:val="22"/>
          <w:szCs w:val="22"/>
          <w:highlight w:val="none"/>
        </w:rPr>
        <w:t>式见附录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1"/>
          <w:sz w:val="22"/>
          <w:szCs w:val="22"/>
          <w:highlight w:val="none"/>
        </w:rPr>
        <w:t>B.2</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签认检测</w:t>
      </w:r>
      <w:r>
        <w:rPr>
          <w:rFonts w:ascii="宋体" w:hAnsi="宋体" w:eastAsia="宋体" w:cs="宋体"/>
          <w:color w:val="auto"/>
          <w:spacing w:val="-2"/>
          <w:sz w:val="22"/>
          <w:szCs w:val="22"/>
          <w:highlight w:val="none"/>
        </w:rPr>
        <w:t>见证结果。</w:t>
      </w:r>
    </w:p>
    <w:p w14:paraId="4B4B3694">
      <w:pPr>
        <w:spacing w:before="47" w:line="360" w:lineRule="auto"/>
        <w:ind w:left="2" w:right="188"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13.9.11.8</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分部分项工程的关键工序验收；副总监应参与危险性较大分部分项工程的</w:t>
      </w:r>
      <w:r>
        <w:rPr>
          <w:rFonts w:ascii="宋体" w:hAnsi="宋体" w:eastAsia="宋体" w:cs="宋体"/>
          <w:color w:val="auto"/>
          <w:spacing w:val="4"/>
          <w:sz w:val="22"/>
          <w:szCs w:val="22"/>
          <w:highlight w:val="none"/>
        </w:rPr>
        <w:t>关键工序验</w:t>
      </w:r>
      <w:r>
        <w:rPr>
          <w:rFonts w:ascii="宋体" w:hAnsi="宋体" w:eastAsia="宋体" w:cs="宋体"/>
          <w:color w:val="auto"/>
          <w:spacing w:val="5"/>
          <w:sz w:val="22"/>
          <w:szCs w:val="22"/>
          <w:highlight w:val="none"/>
        </w:rPr>
        <w:t>收。监理机构应编制《关键工序验收责任清单》，明确规定参与工序验收</w:t>
      </w:r>
      <w:r>
        <w:rPr>
          <w:rFonts w:ascii="宋体" w:hAnsi="宋体" w:eastAsia="宋体" w:cs="宋体"/>
          <w:color w:val="auto"/>
          <w:spacing w:val="4"/>
          <w:sz w:val="22"/>
          <w:szCs w:val="22"/>
          <w:highlight w:val="none"/>
        </w:rPr>
        <w:t>的各层级监</w:t>
      </w:r>
      <w:r>
        <w:rPr>
          <w:rFonts w:ascii="宋体" w:hAnsi="宋体" w:eastAsia="宋体" w:cs="宋体"/>
          <w:color w:val="auto"/>
          <w:spacing w:val="2"/>
          <w:sz w:val="22"/>
          <w:szCs w:val="22"/>
          <w:highlight w:val="none"/>
        </w:rPr>
        <w:t>理人员及职责范围，涵盖项目工程重难点。总监/</w:t>
      </w:r>
      <w:r>
        <w:rPr>
          <w:rFonts w:ascii="宋体" w:hAnsi="宋体" w:eastAsia="宋体" w:cs="宋体"/>
          <w:color w:val="auto"/>
          <w:spacing w:val="1"/>
          <w:sz w:val="22"/>
          <w:szCs w:val="22"/>
          <w:highlight w:val="none"/>
        </w:rPr>
        <w:t>副总监参与的验收应形成专项记录，</w:t>
      </w:r>
      <w:r>
        <w:rPr>
          <w:rFonts w:ascii="宋体" w:hAnsi="宋体" w:eastAsia="宋体" w:cs="宋体"/>
          <w:color w:val="auto"/>
          <w:spacing w:val="-1"/>
          <w:sz w:val="22"/>
          <w:szCs w:val="22"/>
          <w:highlight w:val="none"/>
        </w:rPr>
        <w:t>作为质量责任追溯依据。</w:t>
      </w:r>
    </w:p>
    <w:p w14:paraId="758CB47B">
      <w:pPr>
        <w:spacing w:before="179" w:line="360" w:lineRule="auto"/>
        <w:ind w:right="188" w:firstLine="498"/>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13.9.11.9 监理机构应督促施工单位严格执行《广东省公路工程施工标准化指</w:t>
      </w:r>
      <w:r>
        <w:rPr>
          <w:rFonts w:ascii="宋体" w:hAnsi="宋体" w:eastAsia="宋体" w:cs="宋体"/>
          <w:color w:val="auto"/>
          <w:spacing w:val="5"/>
          <w:sz w:val="22"/>
          <w:szCs w:val="22"/>
          <w:highlight w:val="none"/>
        </w:rPr>
        <w:t>南》、《广东省高速公路公路施工安全标准化指南》和施工过程中建设单位下</w:t>
      </w:r>
      <w:r>
        <w:rPr>
          <w:rFonts w:ascii="宋体" w:hAnsi="宋体" w:eastAsia="宋体" w:cs="宋体"/>
          <w:color w:val="auto"/>
          <w:spacing w:val="4"/>
          <w:sz w:val="22"/>
          <w:szCs w:val="22"/>
          <w:highlight w:val="none"/>
        </w:rPr>
        <w:t>发的工</w:t>
      </w:r>
      <w:r>
        <w:rPr>
          <w:rFonts w:ascii="宋体" w:hAnsi="宋体" w:eastAsia="宋体" w:cs="宋体"/>
          <w:color w:val="auto"/>
          <w:spacing w:val="5"/>
          <w:sz w:val="22"/>
          <w:szCs w:val="22"/>
          <w:highlight w:val="none"/>
        </w:rPr>
        <w:t>程管理手册（或创新工艺工法要求）、标准化和标杆管理、技术规范的各项规</w:t>
      </w:r>
      <w:r>
        <w:rPr>
          <w:rFonts w:ascii="宋体" w:hAnsi="宋体" w:eastAsia="宋体" w:cs="宋体"/>
          <w:color w:val="auto"/>
          <w:spacing w:val="4"/>
          <w:sz w:val="22"/>
          <w:szCs w:val="22"/>
          <w:highlight w:val="none"/>
        </w:rPr>
        <w:t>定，以</w:t>
      </w:r>
      <w:r>
        <w:rPr>
          <w:rFonts w:ascii="宋体" w:hAnsi="宋体" w:eastAsia="宋体" w:cs="宋体"/>
          <w:color w:val="auto"/>
          <w:sz w:val="22"/>
          <w:szCs w:val="22"/>
          <w:highlight w:val="none"/>
        </w:rPr>
        <w:t>及在建设过程中建设单位提出的工艺工法要求，以保证达到</w:t>
      </w:r>
      <w:r>
        <w:rPr>
          <w:rFonts w:ascii="宋体" w:hAnsi="宋体" w:eastAsia="宋体" w:cs="宋体"/>
          <w:color w:val="auto"/>
          <w:spacing w:val="-1"/>
          <w:sz w:val="22"/>
          <w:szCs w:val="22"/>
          <w:highlight w:val="none"/>
        </w:rPr>
        <w:t>合同规定的质量标准。</w:t>
      </w:r>
    </w:p>
    <w:p w14:paraId="0692CE81">
      <w:pPr>
        <w:spacing w:before="180" w:line="360" w:lineRule="auto"/>
        <w:ind w:firstLine="499"/>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13.9.12</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监理人应协助发包人开展项目的成本调研及造价管理工作。包含现场调研、</w:t>
      </w:r>
      <w:r>
        <w:rPr>
          <w:rFonts w:ascii="宋体" w:hAnsi="宋体" w:eastAsia="宋体" w:cs="宋体"/>
          <w:color w:val="auto"/>
          <w:spacing w:val="5"/>
          <w:sz w:val="22"/>
          <w:szCs w:val="22"/>
          <w:highlight w:val="none"/>
        </w:rPr>
        <w:t>现场数据、施工日志、监理日志、收集，整理、按发包人要求整理上报，审核承</w:t>
      </w:r>
      <w:r>
        <w:rPr>
          <w:rFonts w:ascii="宋体" w:hAnsi="宋体" w:eastAsia="宋体" w:cs="宋体"/>
          <w:color w:val="auto"/>
          <w:spacing w:val="4"/>
          <w:sz w:val="22"/>
          <w:szCs w:val="22"/>
          <w:highlight w:val="none"/>
        </w:rPr>
        <w:t>包人</w:t>
      </w:r>
      <w:r>
        <w:rPr>
          <w:rFonts w:ascii="宋体" w:hAnsi="宋体" w:eastAsia="宋体" w:cs="宋体"/>
          <w:color w:val="auto"/>
          <w:spacing w:val="5"/>
          <w:sz w:val="22"/>
          <w:szCs w:val="22"/>
          <w:highlight w:val="none"/>
        </w:rPr>
        <w:t>报送的各种资料，按发包人要求协助发包人开展造价管理工作，经监理人审核的</w:t>
      </w:r>
      <w:r>
        <w:rPr>
          <w:rFonts w:ascii="宋体" w:hAnsi="宋体" w:eastAsia="宋体" w:cs="宋体"/>
          <w:color w:val="auto"/>
          <w:spacing w:val="4"/>
          <w:sz w:val="22"/>
          <w:szCs w:val="22"/>
          <w:highlight w:val="none"/>
        </w:rPr>
        <w:t>工程</w:t>
      </w:r>
      <w:r>
        <w:rPr>
          <w:rFonts w:ascii="宋体" w:hAnsi="宋体" w:eastAsia="宋体" w:cs="宋体"/>
          <w:color w:val="auto"/>
          <w:sz w:val="22"/>
          <w:szCs w:val="22"/>
          <w:highlight w:val="none"/>
        </w:rPr>
        <w:t>造价文件质量以《广东省公路工程造价标准化管理指南》（粤交基</w:t>
      </w:r>
      <w:r>
        <w:rPr>
          <w:rFonts w:ascii="宋体" w:hAnsi="宋体" w:eastAsia="宋体" w:cs="宋体"/>
          <w:color w:val="auto"/>
          <w:spacing w:val="-1"/>
          <w:sz w:val="22"/>
          <w:szCs w:val="22"/>
          <w:highlight w:val="none"/>
        </w:rPr>
        <w:t>〔2022〕483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号）质</w:t>
      </w:r>
      <w:r>
        <w:rPr>
          <w:rFonts w:ascii="宋体" w:hAnsi="宋体" w:eastAsia="宋体" w:cs="宋体"/>
          <w:color w:val="auto"/>
          <w:sz w:val="22"/>
          <w:szCs w:val="22"/>
          <w:highlight w:val="none"/>
        </w:rPr>
        <w:t>量较好等级以上，造价文件质量挂钩优监优酬计</w:t>
      </w:r>
      <w:r>
        <w:rPr>
          <w:rFonts w:ascii="宋体" w:hAnsi="宋体" w:eastAsia="宋体" w:cs="宋体"/>
          <w:color w:val="auto"/>
          <w:spacing w:val="-1"/>
          <w:sz w:val="22"/>
          <w:szCs w:val="22"/>
          <w:highlight w:val="none"/>
        </w:rPr>
        <w:t>入监理服务费用中。</w:t>
      </w:r>
    </w:p>
    <w:p w14:paraId="50C689F1">
      <w:pPr>
        <w:spacing w:line="360" w:lineRule="auto"/>
        <w:rPr>
          <w:rFonts w:ascii="宋体" w:hAnsi="宋体" w:eastAsia="宋体" w:cs="宋体"/>
          <w:color w:val="auto"/>
          <w:sz w:val="22"/>
          <w:szCs w:val="22"/>
          <w:highlight w:val="none"/>
        </w:rPr>
        <w:sectPr>
          <w:footerReference r:id="rId31" w:type="default"/>
          <w:pgSz w:w="11906" w:h="16839"/>
          <w:pgMar w:top="1405" w:right="1229" w:bottom="1297" w:left="1423" w:header="0" w:footer="1065" w:gutter="0"/>
          <w:pgBorders>
            <w:top w:val="none" w:sz="0" w:space="0"/>
            <w:left w:val="none" w:sz="0" w:space="0"/>
            <w:bottom w:val="none" w:sz="0" w:space="0"/>
            <w:right w:val="none" w:sz="0" w:space="0"/>
          </w:pgBorders>
          <w:pgNumType w:fmt="decimal"/>
          <w:cols w:space="720" w:num="1"/>
        </w:sectPr>
      </w:pPr>
    </w:p>
    <w:p w14:paraId="7DE16D1D">
      <w:pPr>
        <w:spacing w:before="63" w:line="225" w:lineRule="auto"/>
        <w:ind w:left="2931"/>
        <w:outlineLvl w:val="0"/>
        <w:rPr>
          <w:rFonts w:ascii="宋体" w:hAnsi="宋体" w:eastAsia="宋体" w:cs="宋体"/>
          <w:b/>
          <w:bCs/>
          <w:color w:val="auto"/>
          <w:spacing w:val="6"/>
          <w:sz w:val="31"/>
          <w:szCs w:val="31"/>
          <w:highlight w:val="none"/>
        </w:rPr>
      </w:pPr>
      <w:bookmarkStart w:id="702" w:name="bookmark15"/>
      <w:bookmarkEnd w:id="702"/>
      <w:bookmarkStart w:id="703" w:name="_Toc20131"/>
    </w:p>
    <w:p w14:paraId="56FA8BC5">
      <w:pPr>
        <w:spacing w:before="63" w:line="225" w:lineRule="auto"/>
        <w:ind w:left="2931"/>
        <w:outlineLvl w:val="0"/>
        <w:rPr>
          <w:rFonts w:ascii="宋体" w:hAnsi="宋体" w:eastAsia="宋体" w:cs="宋体"/>
          <w:b/>
          <w:bCs/>
          <w:color w:val="auto"/>
          <w:spacing w:val="6"/>
          <w:sz w:val="31"/>
          <w:szCs w:val="31"/>
          <w:highlight w:val="none"/>
        </w:rPr>
      </w:pPr>
    </w:p>
    <w:p w14:paraId="124DFF7C">
      <w:pPr>
        <w:spacing w:before="63" w:line="225" w:lineRule="auto"/>
        <w:ind w:left="2931"/>
        <w:outlineLvl w:val="0"/>
        <w:rPr>
          <w:rFonts w:ascii="宋体" w:hAnsi="宋体" w:eastAsia="宋体" w:cs="宋体"/>
          <w:b/>
          <w:bCs/>
          <w:color w:val="auto"/>
          <w:spacing w:val="6"/>
          <w:sz w:val="31"/>
          <w:szCs w:val="31"/>
          <w:highlight w:val="none"/>
        </w:rPr>
      </w:pPr>
    </w:p>
    <w:p w14:paraId="3FA72322">
      <w:pPr>
        <w:spacing w:before="63" w:line="225" w:lineRule="auto"/>
        <w:ind w:left="2931"/>
        <w:outlineLvl w:val="0"/>
        <w:rPr>
          <w:rFonts w:ascii="宋体" w:hAnsi="宋体" w:eastAsia="宋体" w:cs="宋体"/>
          <w:b/>
          <w:bCs/>
          <w:color w:val="auto"/>
          <w:spacing w:val="6"/>
          <w:sz w:val="31"/>
          <w:szCs w:val="31"/>
          <w:highlight w:val="none"/>
        </w:rPr>
      </w:pPr>
    </w:p>
    <w:p w14:paraId="2262B0C1">
      <w:pPr>
        <w:spacing w:before="63" w:line="225" w:lineRule="auto"/>
        <w:ind w:left="2931"/>
        <w:outlineLvl w:val="0"/>
        <w:rPr>
          <w:rFonts w:ascii="宋体" w:hAnsi="宋体" w:eastAsia="宋体" w:cs="宋体"/>
          <w:b/>
          <w:bCs/>
          <w:color w:val="auto"/>
          <w:spacing w:val="6"/>
          <w:sz w:val="31"/>
          <w:szCs w:val="31"/>
          <w:highlight w:val="none"/>
        </w:rPr>
      </w:pPr>
    </w:p>
    <w:p w14:paraId="3ECC7327">
      <w:pPr>
        <w:spacing w:before="63" w:line="225" w:lineRule="auto"/>
        <w:ind w:left="2931"/>
        <w:outlineLvl w:val="0"/>
        <w:rPr>
          <w:rFonts w:ascii="宋体" w:hAnsi="宋体" w:eastAsia="宋体" w:cs="宋体"/>
          <w:b/>
          <w:bCs/>
          <w:color w:val="auto"/>
          <w:spacing w:val="6"/>
          <w:sz w:val="31"/>
          <w:szCs w:val="31"/>
          <w:highlight w:val="none"/>
        </w:rPr>
      </w:pPr>
    </w:p>
    <w:p w14:paraId="29B27A47">
      <w:pPr>
        <w:spacing w:before="63" w:line="225" w:lineRule="auto"/>
        <w:ind w:left="2931"/>
        <w:outlineLvl w:val="0"/>
        <w:rPr>
          <w:rFonts w:ascii="宋体" w:hAnsi="宋体" w:eastAsia="宋体" w:cs="宋体"/>
          <w:b/>
          <w:bCs/>
          <w:color w:val="auto"/>
          <w:spacing w:val="6"/>
          <w:sz w:val="31"/>
          <w:szCs w:val="31"/>
          <w:highlight w:val="none"/>
        </w:rPr>
      </w:pPr>
    </w:p>
    <w:p w14:paraId="5819AAA1">
      <w:pPr>
        <w:spacing w:before="63" w:line="225" w:lineRule="auto"/>
        <w:ind w:left="2931"/>
        <w:outlineLvl w:val="0"/>
        <w:rPr>
          <w:rFonts w:ascii="宋体" w:hAnsi="宋体" w:eastAsia="宋体" w:cs="宋体"/>
          <w:b/>
          <w:bCs/>
          <w:color w:val="auto"/>
          <w:spacing w:val="6"/>
          <w:sz w:val="31"/>
          <w:szCs w:val="31"/>
          <w:highlight w:val="none"/>
        </w:rPr>
      </w:pPr>
    </w:p>
    <w:p w14:paraId="702D1EB0">
      <w:pPr>
        <w:spacing w:before="63" w:line="225" w:lineRule="auto"/>
        <w:ind w:left="2931"/>
        <w:outlineLvl w:val="0"/>
        <w:rPr>
          <w:rFonts w:ascii="宋体" w:hAnsi="宋体" w:eastAsia="宋体" w:cs="宋体"/>
          <w:b/>
          <w:bCs/>
          <w:color w:val="auto"/>
          <w:spacing w:val="6"/>
          <w:sz w:val="31"/>
          <w:szCs w:val="31"/>
          <w:highlight w:val="none"/>
        </w:rPr>
      </w:pPr>
    </w:p>
    <w:p w14:paraId="4DF99866">
      <w:pPr>
        <w:spacing w:before="63" w:line="225" w:lineRule="auto"/>
        <w:ind w:left="2931"/>
        <w:outlineLvl w:val="0"/>
        <w:rPr>
          <w:rFonts w:ascii="宋体" w:hAnsi="宋体" w:eastAsia="宋体" w:cs="宋体"/>
          <w:b/>
          <w:bCs/>
          <w:color w:val="auto"/>
          <w:spacing w:val="6"/>
          <w:sz w:val="31"/>
          <w:szCs w:val="31"/>
          <w:highlight w:val="none"/>
        </w:rPr>
      </w:pPr>
    </w:p>
    <w:p w14:paraId="1E3AE18F">
      <w:pPr>
        <w:spacing w:before="63" w:line="225" w:lineRule="auto"/>
        <w:ind w:left="2931"/>
        <w:outlineLvl w:val="0"/>
        <w:rPr>
          <w:rFonts w:ascii="宋体" w:hAnsi="宋体" w:eastAsia="宋体" w:cs="宋体"/>
          <w:b/>
          <w:bCs/>
          <w:color w:val="auto"/>
          <w:spacing w:val="6"/>
          <w:sz w:val="31"/>
          <w:szCs w:val="31"/>
          <w:highlight w:val="none"/>
        </w:rPr>
      </w:pPr>
    </w:p>
    <w:p w14:paraId="47959E73">
      <w:pPr>
        <w:spacing w:before="63" w:line="225" w:lineRule="auto"/>
        <w:ind w:left="2931"/>
        <w:outlineLvl w:val="0"/>
        <w:rPr>
          <w:rFonts w:ascii="宋体" w:hAnsi="宋体" w:eastAsia="宋体" w:cs="宋体"/>
          <w:b/>
          <w:bCs/>
          <w:color w:val="auto"/>
          <w:spacing w:val="6"/>
          <w:sz w:val="31"/>
          <w:szCs w:val="31"/>
          <w:highlight w:val="none"/>
        </w:rPr>
      </w:pPr>
    </w:p>
    <w:p w14:paraId="113EAADF">
      <w:pPr>
        <w:spacing w:before="63" w:line="225" w:lineRule="auto"/>
        <w:ind w:left="2931"/>
        <w:outlineLvl w:val="0"/>
        <w:rPr>
          <w:rFonts w:ascii="宋体" w:hAnsi="宋体" w:eastAsia="宋体" w:cs="宋体"/>
          <w:b/>
          <w:bCs/>
          <w:color w:val="auto"/>
          <w:spacing w:val="6"/>
          <w:sz w:val="31"/>
          <w:szCs w:val="31"/>
          <w:highlight w:val="none"/>
        </w:rPr>
      </w:pPr>
      <w:bookmarkStart w:id="704" w:name="_Toc18490"/>
      <w:r>
        <w:rPr>
          <w:rFonts w:ascii="宋体" w:hAnsi="宋体" w:eastAsia="宋体" w:cs="宋体"/>
          <w:b/>
          <w:bCs/>
          <w:color w:val="auto"/>
          <w:spacing w:val="6"/>
          <w:sz w:val="31"/>
          <w:szCs w:val="31"/>
          <w:highlight w:val="none"/>
        </w:rPr>
        <w:t>第三节  合同附件格式</w:t>
      </w:r>
      <w:bookmarkEnd w:id="703"/>
      <w:bookmarkEnd w:id="704"/>
    </w:p>
    <w:p w14:paraId="04CD1ED7">
      <w:pPr>
        <w:spacing w:line="295" w:lineRule="auto"/>
        <w:rPr>
          <w:rFonts w:ascii="Arial"/>
          <w:color w:val="auto"/>
          <w:sz w:val="21"/>
          <w:highlight w:val="none"/>
        </w:rPr>
      </w:pPr>
    </w:p>
    <w:p w14:paraId="00897C04">
      <w:pPr>
        <w:pageBreakBefore/>
        <w:jc w:val="both"/>
        <w:outlineLvl w:val="3"/>
        <w:rPr>
          <w:rFonts w:hint="eastAsia" w:ascii="Times New Roman" w:hAnsi="Times New Roman" w:eastAsia="宋体" w:cs="宋体"/>
          <w:b/>
          <w:bCs/>
          <w:color w:val="auto"/>
          <w:kern w:val="21"/>
          <w:sz w:val="28"/>
          <w:szCs w:val="28"/>
          <w:highlight w:val="none"/>
          <w:lang w:eastAsia="zh-CN"/>
        </w:rPr>
      </w:pPr>
      <w:bookmarkStart w:id="705" w:name="_Toc503518033"/>
      <w:r>
        <w:rPr>
          <w:rFonts w:hint="eastAsia" w:ascii="Times New Roman" w:hAnsi="Times New Roman" w:eastAsia="宋体" w:cs="宋体"/>
          <w:color w:val="auto"/>
          <w:kern w:val="21"/>
          <w:highlight w:val="none"/>
          <w:lang w:eastAsia="zh-CN"/>
        </w:rPr>
        <w:t xml:space="preserve"> </w:t>
      </w:r>
      <w:r>
        <w:rPr>
          <w:rFonts w:hint="eastAsia" w:ascii="Times New Roman" w:hAnsi="Times New Roman" w:eastAsia="宋体" w:cs="宋体"/>
          <w:b/>
          <w:bCs/>
          <w:color w:val="auto"/>
          <w:kern w:val="21"/>
          <w:sz w:val="28"/>
          <w:szCs w:val="28"/>
          <w:highlight w:val="none"/>
          <w:lang w:eastAsia="zh-CN"/>
        </w:rPr>
        <w:t>附件一：合同协议书</w:t>
      </w:r>
    </w:p>
    <w:bookmarkEnd w:id="705"/>
    <w:p w14:paraId="2374FC2A">
      <w:pPr>
        <w:spacing w:before="120" w:beforeLines="50"/>
        <w:jc w:val="center"/>
        <w:rPr>
          <w:rFonts w:hint="eastAsia" w:ascii="Times New Roman" w:hAnsi="Times New Roman" w:eastAsia="宋体" w:cs="宋体"/>
          <w:b/>
          <w:bCs/>
          <w:color w:val="auto"/>
          <w:kern w:val="21"/>
          <w:sz w:val="28"/>
          <w:szCs w:val="28"/>
          <w:highlight w:val="none"/>
          <w:lang w:eastAsia="zh-CN"/>
        </w:rPr>
      </w:pPr>
      <w:r>
        <w:rPr>
          <w:rFonts w:hint="eastAsia" w:ascii="Times New Roman" w:hAnsi="Times New Roman" w:eastAsia="宋体" w:cs="宋体"/>
          <w:b/>
          <w:bCs/>
          <w:color w:val="auto"/>
          <w:kern w:val="21"/>
          <w:sz w:val="28"/>
          <w:szCs w:val="28"/>
          <w:highlight w:val="none"/>
          <w:lang w:eastAsia="zh-CN"/>
        </w:rPr>
        <w:t>合 同 协 议 书</w:t>
      </w:r>
    </w:p>
    <w:p w14:paraId="2FF6007F">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1953D347">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（委托人名称，以下简称“委托人”）为实施</w:t>
      </w:r>
      <w:r>
        <w:rPr>
          <w:rFonts w:hint="eastAsia" w:ascii="Times New Roman" w:hAnsi="Times New Roman" w:eastAsia="宋体" w:cs="宋体"/>
          <w:color w:val="auto"/>
          <w:kern w:val="21"/>
          <w:highlight w:val="none"/>
          <w:u w:val="single"/>
          <w:lang w:eastAsia="zh-CN"/>
        </w:rPr>
        <w:t>　　（项目名称）　</w:t>
      </w:r>
      <w:r>
        <w:rPr>
          <w:rFonts w:hint="eastAsia" w:ascii="Times New Roman" w:hAnsi="Times New Roman" w:eastAsia="宋体" w:cs="宋体"/>
          <w:color w:val="auto"/>
          <w:kern w:val="21"/>
          <w:highlight w:val="none"/>
          <w:lang w:eastAsia="zh-CN"/>
        </w:rPr>
        <w:t>，已接受</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（监理人名称，以下简称“监理人”）对该项目施工监理的投标。委托人和监理人共同达成如下协议。</w:t>
      </w:r>
    </w:p>
    <w:p w14:paraId="013CADEB">
      <w:pPr>
        <w:numPr>
          <w:ilvl w:val="0"/>
          <w:numId w:val="3"/>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标段由K</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至K</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，长约</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km，公路等级为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，设计速度为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1F00DA68">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路面，有</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立交</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处；特大桥</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m；大中桥</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m；隧道</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座，计长</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m以及其他构造物工程等。</w:t>
      </w:r>
    </w:p>
    <w:p w14:paraId="62380D49">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下列文件应视为构成合同文件的组成部分：</w:t>
      </w:r>
    </w:p>
    <w:p w14:paraId="4437BC86">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（1）本合同协议书及各种合同附件；</w:t>
      </w:r>
    </w:p>
    <w:p w14:paraId="1DA6FFD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（2）中标通知书；</w:t>
      </w:r>
    </w:p>
    <w:p w14:paraId="6F6D1D2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（3）投标函；</w:t>
      </w:r>
    </w:p>
    <w:p w14:paraId="5763F5B5">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（4）项目专用合同条款；</w:t>
      </w:r>
    </w:p>
    <w:p w14:paraId="5FA3E7D4">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（5）公路工程专用合同条款；</w:t>
      </w:r>
    </w:p>
    <w:p w14:paraId="56FBFE1C">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（6）通用合同条款；</w:t>
      </w:r>
    </w:p>
    <w:p w14:paraId="0E21866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（7）委托人要求；</w:t>
      </w:r>
    </w:p>
    <w:p w14:paraId="5479B56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（8）监理服务费用清单；</w:t>
      </w:r>
    </w:p>
    <w:p w14:paraId="7FE04CD4">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（9）监理人有关人员、试验检测设备投入的承诺；</w:t>
      </w:r>
    </w:p>
    <w:p w14:paraId="1F0FDF9F">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（10）其他合同文件。</w:t>
      </w:r>
    </w:p>
    <w:p w14:paraId="2ADF9C62">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上述合同文件互相补充和解释。如果合同文件之间存在矛盾或不一致之处，以上述文件的排列顺序在先者为准。</w:t>
      </w:r>
    </w:p>
    <w:p w14:paraId="63451706">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签约合同价：人民币（大写）</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684BD93C">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其中：施工阶段（包括施工准备阶段）</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p>
    <w:p w14:paraId="186DBECF">
      <w:pPr>
        <w:spacing w:line="500" w:lineRule="exact"/>
        <w:ind w:firstLine="1050" w:firstLineChars="5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验收与缺陷责任期阶段</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_元；</w:t>
      </w:r>
    </w:p>
    <w:p w14:paraId="402A159F">
      <w:pPr>
        <w:numPr>
          <w:ilvl w:val="0"/>
          <w:numId w:val="4"/>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总监理工程师或驻地监理工程师：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4EE70E40">
      <w:pPr>
        <w:numPr>
          <w:ilvl w:val="0"/>
          <w:numId w:val="4"/>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监理工作质量符合的标准和要求：</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；安全目标：</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19A11EEF">
      <w:pPr>
        <w:numPr>
          <w:ilvl w:val="0"/>
          <w:numId w:val="4"/>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监理人承诺按合同约定承担工程的施工监理。</w:t>
      </w:r>
    </w:p>
    <w:p w14:paraId="2F1D412F">
      <w:pPr>
        <w:numPr>
          <w:ilvl w:val="0"/>
          <w:numId w:val="4"/>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委托人承诺按合同约定的条件、时间和方式向监理人支付合同价款。</w:t>
      </w:r>
    </w:p>
    <w:p w14:paraId="28ACF286">
      <w:pPr>
        <w:numPr>
          <w:ilvl w:val="0"/>
          <w:numId w:val="4"/>
        </w:num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监理人计划开始监理日期：</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，实际日期按照合同条款中约定的开始监理日期为准。监理服务期限：</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个月，其中：施工阶段（含施工准备阶段）监理</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个月，交工验收与缺陷责任期阶段监理</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个月。</w:t>
      </w:r>
    </w:p>
    <w:p w14:paraId="23FFEB1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9. 本协议书在监理人提供履约保证金后，由双方法定代表人或其委托代理人签署并加盖单位章后生效。全部工程完工后经交工验收合格、缺陷责任期满签发缺陷责任终止证书后失效。</w:t>
      </w:r>
    </w:p>
    <w:p w14:paraId="37D56B30">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10. 本协议书正本二份、副本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份，合同双方各执正本一份，副本</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份，当正本与副本的内容不一致时，以正本为准。</w:t>
      </w:r>
    </w:p>
    <w:p w14:paraId="4EDB10BF">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11. 合同未尽事宜，双方另行签订补充协议。补充协议是合同的组成部分。</w:t>
      </w:r>
    </w:p>
    <w:p w14:paraId="3525CA29">
      <w:pPr>
        <w:spacing w:line="500" w:lineRule="exact"/>
        <w:ind w:firstLine="420" w:firstLineChars="200"/>
        <w:jc w:val="both"/>
        <w:rPr>
          <w:rFonts w:hint="eastAsia" w:ascii="Times New Roman" w:hAnsi="Times New Roman" w:eastAsia="宋体" w:cs="宋体"/>
          <w:color w:val="auto"/>
          <w:kern w:val="21"/>
          <w:highlight w:val="none"/>
          <w:lang w:eastAsia="zh-CN"/>
        </w:rPr>
      </w:pPr>
    </w:p>
    <w:tbl>
      <w:tblPr>
        <w:tblStyle w:val="17"/>
        <w:tblW w:w="0" w:type="auto"/>
        <w:jc w:val="center"/>
        <w:tblLayout w:type="fixed"/>
        <w:tblCellMar>
          <w:top w:w="0" w:type="dxa"/>
          <w:left w:w="108" w:type="dxa"/>
          <w:bottom w:w="0" w:type="dxa"/>
          <w:right w:w="108" w:type="dxa"/>
        </w:tblCellMar>
      </w:tblPr>
      <w:tblGrid>
        <w:gridCol w:w="4504"/>
        <w:gridCol w:w="306"/>
        <w:gridCol w:w="4760"/>
      </w:tblGrid>
      <w:tr w14:paraId="0A83CA42">
        <w:tblPrEx>
          <w:tblCellMar>
            <w:top w:w="0" w:type="dxa"/>
            <w:left w:w="108" w:type="dxa"/>
            <w:bottom w:w="0" w:type="dxa"/>
            <w:right w:w="108" w:type="dxa"/>
          </w:tblCellMar>
        </w:tblPrEx>
        <w:trPr>
          <w:trHeight w:val="567" w:hRule="atLeast"/>
          <w:jc w:val="center"/>
        </w:trPr>
        <w:tc>
          <w:tcPr>
            <w:tcW w:w="4504" w:type="dxa"/>
            <w:noWrap w:val="0"/>
            <w:vAlign w:val="center"/>
          </w:tcPr>
          <w:p w14:paraId="1C77FFD3">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c>
          <w:tcPr>
            <w:tcW w:w="306" w:type="dxa"/>
            <w:noWrap w:val="0"/>
            <w:vAlign w:val="center"/>
          </w:tcPr>
          <w:p w14:paraId="6C68B122">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6E8E14E4">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r>
      <w:tr w14:paraId="06C363E5">
        <w:tblPrEx>
          <w:tblCellMar>
            <w:top w:w="0" w:type="dxa"/>
            <w:left w:w="108" w:type="dxa"/>
            <w:bottom w:w="0" w:type="dxa"/>
            <w:right w:w="108" w:type="dxa"/>
          </w:tblCellMar>
        </w:tblPrEx>
        <w:trPr>
          <w:trHeight w:val="567" w:hRule="atLeast"/>
          <w:jc w:val="center"/>
        </w:trPr>
        <w:tc>
          <w:tcPr>
            <w:tcW w:w="4504" w:type="dxa"/>
            <w:noWrap w:val="0"/>
            <w:vAlign w:val="center"/>
          </w:tcPr>
          <w:p w14:paraId="4AF8AC02">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c>
          <w:tcPr>
            <w:tcW w:w="306" w:type="dxa"/>
            <w:noWrap w:val="0"/>
            <w:vAlign w:val="center"/>
          </w:tcPr>
          <w:p w14:paraId="05C08BD6">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33E906D3">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r>
      <w:tr w14:paraId="4756228A">
        <w:tblPrEx>
          <w:tblCellMar>
            <w:top w:w="0" w:type="dxa"/>
            <w:left w:w="108" w:type="dxa"/>
            <w:bottom w:w="0" w:type="dxa"/>
            <w:right w:w="108" w:type="dxa"/>
          </w:tblCellMar>
        </w:tblPrEx>
        <w:trPr>
          <w:trHeight w:val="567" w:hRule="atLeast"/>
          <w:jc w:val="center"/>
        </w:trPr>
        <w:tc>
          <w:tcPr>
            <w:tcW w:w="4504" w:type="dxa"/>
            <w:noWrap w:val="0"/>
            <w:vAlign w:val="center"/>
          </w:tcPr>
          <w:p w14:paraId="6A9E4583">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c>
          <w:tcPr>
            <w:tcW w:w="306" w:type="dxa"/>
            <w:noWrap w:val="0"/>
            <w:vAlign w:val="center"/>
          </w:tcPr>
          <w:p w14:paraId="7D75D50A">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650C0218">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r>
    </w:tbl>
    <w:p w14:paraId="18322E88">
      <w:pPr>
        <w:spacing w:line="480" w:lineRule="auto"/>
        <w:ind w:firstLine="420" w:firstLineChars="200"/>
        <w:jc w:val="both"/>
        <w:rPr>
          <w:rFonts w:hint="eastAsia" w:ascii="Times New Roman" w:hAnsi="Times New Roman" w:eastAsia="宋体" w:cs="宋体"/>
          <w:color w:val="auto"/>
          <w:kern w:val="21"/>
          <w:highlight w:val="none"/>
          <w:lang w:eastAsia="zh-CN"/>
        </w:rPr>
      </w:pPr>
    </w:p>
    <w:p w14:paraId="69C91306">
      <w:pPr>
        <w:spacing w:line="480" w:lineRule="auto"/>
        <w:ind w:firstLine="420" w:firstLineChars="200"/>
        <w:jc w:val="both"/>
        <w:rPr>
          <w:rFonts w:hint="eastAsia" w:ascii="Times New Roman" w:hAnsi="Times New Roman" w:eastAsia="宋体" w:cs="宋体"/>
          <w:color w:val="auto"/>
          <w:kern w:val="21"/>
          <w:highlight w:val="none"/>
          <w:lang w:eastAsia="zh-CN"/>
        </w:rPr>
      </w:pPr>
    </w:p>
    <w:p w14:paraId="6F8903EE">
      <w:pPr>
        <w:spacing w:line="428" w:lineRule="auto"/>
        <w:rPr>
          <w:rFonts w:ascii="Arial"/>
          <w:color w:val="auto"/>
          <w:sz w:val="21"/>
          <w:highlight w:val="none"/>
        </w:rPr>
      </w:pPr>
    </w:p>
    <w:p w14:paraId="47B45469">
      <w:pPr>
        <w:pageBreakBefore/>
        <w:jc w:val="both"/>
        <w:outlineLvl w:val="3"/>
        <w:rPr>
          <w:rFonts w:hint="eastAsia" w:ascii="Times New Roman" w:hAnsi="Times New Roman" w:eastAsia="宋体" w:cs="宋体"/>
          <w:b/>
          <w:bCs/>
          <w:color w:val="auto"/>
          <w:kern w:val="21"/>
          <w:sz w:val="28"/>
          <w:szCs w:val="28"/>
          <w:highlight w:val="none"/>
          <w:lang w:eastAsia="zh-CN"/>
        </w:rPr>
      </w:pPr>
      <w:bookmarkStart w:id="706" w:name="_Toc13519"/>
      <w:bookmarkStart w:id="707" w:name="_Toc10109"/>
      <w:bookmarkStart w:id="708" w:name="_Toc20552"/>
      <w:r>
        <w:rPr>
          <w:rFonts w:hint="eastAsia" w:ascii="Times New Roman" w:hAnsi="Times New Roman" w:eastAsia="宋体" w:cs="宋体"/>
          <w:b/>
          <w:bCs/>
          <w:color w:val="auto"/>
          <w:kern w:val="21"/>
          <w:sz w:val="28"/>
          <w:szCs w:val="28"/>
          <w:highlight w:val="none"/>
          <w:lang w:eastAsia="zh-CN"/>
        </w:rPr>
        <w:t>附件二：廉政合同</w:t>
      </w:r>
    </w:p>
    <w:p w14:paraId="67C0FD6F">
      <w:pPr>
        <w:spacing w:before="120" w:beforeLines="50"/>
        <w:jc w:val="center"/>
        <w:rPr>
          <w:rFonts w:hint="eastAsia" w:ascii="Times New Roman" w:hAnsi="Times New Roman" w:eastAsia="宋体" w:cs="宋体"/>
          <w:b/>
          <w:bCs/>
          <w:color w:val="auto"/>
          <w:kern w:val="21"/>
          <w:sz w:val="28"/>
          <w:szCs w:val="28"/>
          <w:highlight w:val="none"/>
          <w:lang w:eastAsia="zh-CN"/>
        </w:rPr>
      </w:pPr>
      <w:r>
        <w:rPr>
          <w:rFonts w:hint="eastAsia" w:ascii="Times New Roman" w:hAnsi="Times New Roman" w:eastAsia="宋体" w:cs="宋体"/>
          <w:b/>
          <w:bCs/>
          <w:color w:val="auto"/>
          <w:kern w:val="21"/>
          <w:sz w:val="28"/>
          <w:szCs w:val="28"/>
          <w:highlight w:val="none"/>
          <w:lang w:eastAsia="zh-CN"/>
        </w:rPr>
        <w:t>廉 政 合 同</w:t>
      </w:r>
    </w:p>
    <w:p w14:paraId="7721BD7E">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3EA01DD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Times New Roman" w:hAnsi="Times New Roman" w:eastAsia="宋体" w:cs="宋体"/>
          <w:color w:val="auto"/>
          <w:kern w:val="21"/>
          <w:highlight w:val="none"/>
          <w:u w:val="single"/>
          <w:lang w:eastAsia="zh-CN"/>
        </w:rPr>
        <w:t>　　　　（项目名称）　　　</w:t>
      </w:r>
      <w:r>
        <w:rPr>
          <w:rFonts w:hint="eastAsia" w:ascii="Times New Roman" w:hAnsi="Times New Roman" w:eastAsia="宋体" w:cs="宋体"/>
          <w:color w:val="auto"/>
          <w:kern w:val="21"/>
          <w:highlight w:val="none"/>
          <w:lang w:eastAsia="zh-CN"/>
        </w:rPr>
        <w:t>的项目法人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（项目法人名称，以下简称“委托人”）与该项目的施工监理单位</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（施工监理单位名称，以下简称“监理人”），特订立如下合同。</w:t>
      </w:r>
    </w:p>
    <w:p w14:paraId="0FF7DA7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 委托人和监理人双方的权利和义务</w:t>
      </w:r>
    </w:p>
    <w:p w14:paraId="0CE0B82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（1）严格遵守党的政策规定和国家有关法律法规及交通运输部的有关规定。</w:t>
      </w:r>
    </w:p>
    <w:p w14:paraId="7F41841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（2）严格执行</w:t>
      </w:r>
      <w:r>
        <w:rPr>
          <w:rFonts w:hint="eastAsia" w:ascii="Times New Roman" w:hAnsi="Times New Roman" w:eastAsia="宋体" w:cs="宋体"/>
          <w:color w:val="auto"/>
          <w:kern w:val="21"/>
          <w:highlight w:val="none"/>
          <w:u w:val="single"/>
          <w:lang w:eastAsia="zh-CN"/>
        </w:rPr>
        <w:t xml:space="preserve">   （项目名称）   </w:t>
      </w:r>
      <w:r>
        <w:rPr>
          <w:rFonts w:hint="eastAsia" w:ascii="Times New Roman" w:hAnsi="Times New Roman" w:eastAsia="宋体" w:cs="宋体"/>
          <w:color w:val="auto"/>
          <w:kern w:val="21"/>
          <w:highlight w:val="none"/>
          <w:lang w:eastAsia="zh-CN"/>
        </w:rPr>
        <w:t>标段施工监理合同文件，自觉按合同办事。</w:t>
      </w:r>
    </w:p>
    <w:p w14:paraId="44B9E0D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（3）双方的业务活动坚持公开、公正、诚信、透明的原则（法律认定的商业秘密和合同文件另有规定除外），不得损害国家和集体利益，不得违反工程建设管理规章制度。</w:t>
      </w:r>
    </w:p>
    <w:p w14:paraId="49DD3C37">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（4）建立健全廉政制度，开展廉政教育，设立廉政告示牌，公布举报电话，监督并认真查处违法违纪行为。</w:t>
      </w:r>
    </w:p>
    <w:p w14:paraId="0D42308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（5）发现对方在业务活动中有违反廉政规定的行为，有及时提醒对方纠正的权利和义务。</w:t>
      </w:r>
    </w:p>
    <w:p w14:paraId="45870E4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（6）发现对方严重违反本合同义务条款的行为，有向其上级有关部门举报、建议给予处理并要求告知处理结果的权利。</w:t>
      </w:r>
    </w:p>
    <w:p w14:paraId="20495FD1">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委托人的义务</w:t>
      </w:r>
    </w:p>
    <w:p w14:paraId="3E3536F3">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（1）委托人及其工作人员不得索要或接受监理人的礼金、有价证券和贵重物品，不得让监理人报销任何应由委托人或委托人工作人员个人支付的费用等。</w:t>
      </w:r>
    </w:p>
    <w:p w14:paraId="5A97589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（2）委托人工作人员不得参加监理人安排的超标准宴请和娱乐活动；不得接受监理人提供的通信工具、交通工具和高档办公用品等。</w:t>
      </w:r>
    </w:p>
    <w:p w14:paraId="6BF6BE9B">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（3）委托人及其工作人员不得要求或者接受监理人为其住房装修、婚丧嫁娶活动、配偶子女的工作安排以及出国出境、旅游等提供方便等。</w:t>
      </w:r>
    </w:p>
    <w:p w14:paraId="58F61E9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（4）委托人工作人员及其配偶、子女不得从事与委托人工程有关的材料设备供应、工程分包、劳务等经济活动等。</w:t>
      </w:r>
    </w:p>
    <w:p w14:paraId="1F532990">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（5）委托人及其工作人员不得以任何理由向监理人推荐分包单位或推销材料，不得要求监理人购买合同规定外的材料和设备。</w:t>
      </w:r>
    </w:p>
    <w:p w14:paraId="49AFD236">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（6）委托人工作人员要秉公办事，不准营私舞弊，不准利用职权从事各种个人有偿中介活动和安排个人施工监理队伍。</w:t>
      </w:r>
    </w:p>
    <w:p w14:paraId="1C5E016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监理人的义务</w:t>
      </w:r>
    </w:p>
    <w:p w14:paraId="23CBA5D0">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（1）监理人不得以任何理由向委托人及其工作人员行贿或馈赠礼金、有价证券、贵重礼品。</w:t>
      </w:r>
    </w:p>
    <w:p w14:paraId="244EDABA">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（2）监理人不得以任何名义为委托人及其工作人员报销应由委托人单位或个人支付的任何费用。</w:t>
      </w:r>
    </w:p>
    <w:p w14:paraId="3BA71AFA">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（3）监理人不得以任何理由安排委托人工作人员参加超标准宴请及娱乐活动。</w:t>
      </w:r>
    </w:p>
    <w:p w14:paraId="018E2ECE">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（4）监理人不得为委托人单位和个人购置或提供通信工具、交通工具和高档办公用品等。</w:t>
      </w:r>
    </w:p>
    <w:p w14:paraId="5ADF7B05">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 违约责任</w:t>
      </w:r>
    </w:p>
    <w:p w14:paraId="1774A9B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（1）委托人及其工作人员违反本合同第1、2条，按管理权限，依据有关规定给予党纪、政纪或组织处理；涉嫌犯罪的，移交司法机关追究刑事责任；给监理人单位造成经济损失的，应予以赔偿。</w:t>
      </w:r>
    </w:p>
    <w:p w14:paraId="5B86F11F">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监理人及其工作人员违反本合同第1、3条，按管理权限，依据有关规定给予党纪、政纪或组织处理；给委托人单位造成经济损失的，应予以赔偿；情节严重的，委托人建议交通运输主管部门给予监理人一至三年内不得进入其主管的公路建设市场的处罚。</w:t>
      </w:r>
    </w:p>
    <w:p w14:paraId="40FD8913">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5. 双方约定：本合同由双方或双方上级单位的纪检监察部门负责监督执行。由委托人或委托人上级单位的纪检监察部门约请监理人或监理人上级单位纪检监察部门对本合同执行情况进行检查，提出在本合同规定范围内的裁定意见。</w:t>
      </w:r>
    </w:p>
    <w:p w14:paraId="4C766028">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6. 本合同有效期为委托人和监理人签署之日起至该工程项目竣工验收后止。</w:t>
      </w:r>
    </w:p>
    <w:p w14:paraId="064C7409">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7. 本合同作为</w:t>
      </w:r>
      <w:r>
        <w:rPr>
          <w:rFonts w:hint="eastAsia" w:ascii="Times New Roman" w:hAnsi="Times New Roman" w:eastAsia="宋体" w:cs="宋体"/>
          <w:color w:val="auto"/>
          <w:kern w:val="21"/>
          <w:highlight w:val="none"/>
          <w:u w:val="single"/>
          <w:lang w:eastAsia="zh-CN"/>
        </w:rPr>
        <w:t xml:space="preserve">   （项目名称）   </w:t>
      </w:r>
      <w:r>
        <w:rPr>
          <w:rFonts w:hint="eastAsia" w:ascii="Times New Roman" w:hAnsi="Times New Roman" w:eastAsia="宋体" w:cs="宋体"/>
          <w:color w:val="auto"/>
          <w:kern w:val="21"/>
          <w:highlight w:val="none"/>
          <w:lang w:eastAsia="zh-CN"/>
        </w:rPr>
        <w:t>标段施工监理合同的附件，与工程施工监理合同具有同等的法律效力，经合同双方签署后立即生效。</w:t>
      </w:r>
    </w:p>
    <w:p w14:paraId="250CE664">
      <w:pPr>
        <w:spacing w:line="48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8. 本合同一式四份，由委托人和监理人各执一份，送交委托人和监理人的监督单位各一份。</w:t>
      </w:r>
    </w:p>
    <w:p w14:paraId="1A8CD8E9">
      <w:pPr>
        <w:spacing w:line="480" w:lineRule="exact"/>
        <w:ind w:firstLine="420" w:firstLineChars="200"/>
        <w:jc w:val="both"/>
        <w:rPr>
          <w:rFonts w:hint="eastAsia" w:ascii="Times New Roman" w:hAnsi="Times New Roman" w:eastAsia="宋体" w:cs="宋体"/>
          <w:color w:val="auto"/>
          <w:kern w:val="21"/>
          <w:highlight w:val="none"/>
          <w:lang w:eastAsia="zh-CN"/>
        </w:rPr>
      </w:pPr>
    </w:p>
    <w:tbl>
      <w:tblPr>
        <w:tblStyle w:val="17"/>
        <w:tblW w:w="0" w:type="auto"/>
        <w:jc w:val="center"/>
        <w:tblLayout w:type="fixed"/>
        <w:tblCellMar>
          <w:top w:w="0" w:type="dxa"/>
          <w:left w:w="108" w:type="dxa"/>
          <w:bottom w:w="0" w:type="dxa"/>
          <w:right w:w="108" w:type="dxa"/>
        </w:tblCellMar>
      </w:tblPr>
      <w:tblGrid>
        <w:gridCol w:w="4504"/>
        <w:gridCol w:w="306"/>
        <w:gridCol w:w="4760"/>
      </w:tblGrid>
      <w:tr w14:paraId="180E74EF">
        <w:tblPrEx>
          <w:tblCellMar>
            <w:top w:w="0" w:type="dxa"/>
            <w:left w:w="108" w:type="dxa"/>
            <w:bottom w:w="0" w:type="dxa"/>
            <w:right w:w="108" w:type="dxa"/>
          </w:tblCellMar>
        </w:tblPrEx>
        <w:trPr>
          <w:trHeight w:val="567" w:hRule="atLeast"/>
          <w:jc w:val="center"/>
        </w:trPr>
        <w:tc>
          <w:tcPr>
            <w:tcW w:w="4504" w:type="dxa"/>
            <w:noWrap w:val="0"/>
            <w:vAlign w:val="center"/>
          </w:tcPr>
          <w:p w14:paraId="063C0CC7">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c>
          <w:tcPr>
            <w:tcW w:w="306" w:type="dxa"/>
            <w:noWrap w:val="0"/>
            <w:vAlign w:val="center"/>
          </w:tcPr>
          <w:p w14:paraId="100C3053">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091EC477">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（盖单位章）</w:t>
            </w:r>
          </w:p>
        </w:tc>
      </w:tr>
      <w:tr w14:paraId="37FCFA5A">
        <w:tblPrEx>
          <w:tblCellMar>
            <w:top w:w="0" w:type="dxa"/>
            <w:left w:w="108" w:type="dxa"/>
            <w:bottom w:w="0" w:type="dxa"/>
            <w:right w:w="108" w:type="dxa"/>
          </w:tblCellMar>
        </w:tblPrEx>
        <w:trPr>
          <w:trHeight w:val="567" w:hRule="atLeast"/>
          <w:jc w:val="center"/>
        </w:trPr>
        <w:tc>
          <w:tcPr>
            <w:tcW w:w="4504" w:type="dxa"/>
            <w:noWrap w:val="0"/>
            <w:vAlign w:val="center"/>
          </w:tcPr>
          <w:p w14:paraId="6CF7BA04">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c>
          <w:tcPr>
            <w:tcW w:w="306" w:type="dxa"/>
            <w:noWrap w:val="0"/>
            <w:vAlign w:val="center"/>
          </w:tcPr>
          <w:p w14:paraId="5548C2B2">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7C3B3815">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法定代表人或其委托代理人：</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（签字）</w:t>
            </w:r>
          </w:p>
        </w:tc>
      </w:tr>
      <w:tr w14:paraId="43138188">
        <w:tblPrEx>
          <w:tblCellMar>
            <w:top w:w="0" w:type="dxa"/>
            <w:left w:w="108" w:type="dxa"/>
            <w:bottom w:w="0" w:type="dxa"/>
            <w:right w:w="108" w:type="dxa"/>
          </w:tblCellMar>
        </w:tblPrEx>
        <w:trPr>
          <w:trHeight w:val="567" w:hRule="atLeast"/>
          <w:jc w:val="center"/>
        </w:trPr>
        <w:tc>
          <w:tcPr>
            <w:tcW w:w="4504" w:type="dxa"/>
            <w:noWrap w:val="0"/>
            <w:vAlign w:val="center"/>
          </w:tcPr>
          <w:p w14:paraId="4762C8C6">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c>
          <w:tcPr>
            <w:tcW w:w="306" w:type="dxa"/>
            <w:noWrap w:val="0"/>
            <w:vAlign w:val="center"/>
          </w:tcPr>
          <w:p w14:paraId="681886E4">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3227AC10">
            <w:pPr>
              <w:rPr>
                <w:rFonts w:hint="eastAsia" w:ascii="Times New Roman" w:hAnsi="Times New Roman" w:eastAsia="宋体" w:cs="宋体"/>
                <w:color w:val="auto"/>
                <w:kern w:val="21"/>
                <w:sz w:val="21"/>
                <w:szCs w:val="21"/>
                <w:highlight w:val="none"/>
              </w:rPr>
            </w:pPr>
            <w:r>
              <w:rPr>
                <w:rFonts w:hint="eastAsia" w:ascii="Times New Roman" w:hAnsi="Times New Roman" w:eastAsia="宋体" w:cs="宋体"/>
                <w:color w:val="auto"/>
                <w:kern w:val="21"/>
                <w:sz w:val="21"/>
                <w:szCs w:val="21"/>
                <w:highlight w:val="none"/>
                <w:lang w:eastAsia="zh-CN"/>
              </w:rPr>
              <w:t xml:space="preserve">                 </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年</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月</w:t>
            </w:r>
            <w:r>
              <w:rPr>
                <w:rFonts w:hint="eastAsia" w:ascii="Times New Roman" w:hAnsi="Times New Roman" w:eastAsia="宋体" w:cs="宋体"/>
                <w:color w:val="auto"/>
                <w:kern w:val="21"/>
                <w:sz w:val="21"/>
                <w:szCs w:val="21"/>
                <w:highlight w:val="none"/>
                <w:u w:val="single"/>
                <w:lang w:eastAsia="zh-CN"/>
              </w:rPr>
              <w:t xml:space="preserve">    </w:t>
            </w:r>
            <w:r>
              <w:rPr>
                <w:rFonts w:hint="eastAsia" w:ascii="Times New Roman" w:hAnsi="Times New Roman" w:eastAsia="宋体" w:cs="宋体"/>
                <w:color w:val="auto"/>
                <w:kern w:val="21"/>
                <w:sz w:val="21"/>
                <w:szCs w:val="21"/>
                <w:highlight w:val="none"/>
                <w:lang w:eastAsia="zh-CN"/>
              </w:rPr>
              <w:t xml:space="preserve">日 </w:t>
            </w:r>
          </w:p>
        </w:tc>
      </w:tr>
      <w:tr w14:paraId="5A6AAB64">
        <w:tblPrEx>
          <w:tblCellMar>
            <w:top w:w="0" w:type="dxa"/>
            <w:left w:w="108" w:type="dxa"/>
            <w:bottom w:w="0" w:type="dxa"/>
            <w:right w:w="108" w:type="dxa"/>
          </w:tblCellMar>
        </w:tblPrEx>
        <w:trPr>
          <w:trHeight w:val="567" w:hRule="atLeast"/>
          <w:jc w:val="center"/>
        </w:trPr>
        <w:tc>
          <w:tcPr>
            <w:tcW w:w="4504" w:type="dxa"/>
            <w:noWrap w:val="0"/>
            <w:vAlign w:val="center"/>
          </w:tcPr>
          <w:p w14:paraId="6A870709">
            <w:pPr>
              <w:rPr>
                <w:rFonts w:hint="eastAsia" w:ascii="Times New Roman" w:hAnsi="Times New Roman" w:eastAsia="宋体" w:cs="宋体"/>
                <w:color w:val="auto"/>
                <w:kern w:val="21"/>
                <w:sz w:val="21"/>
                <w:szCs w:val="21"/>
                <w:highlight w:val="none"/>
                <w:lang w:eastAsia="zh-CN"/>
              </w:rPr>
            </w:pPr>
          </w:p>
        </w:tc>
        <w:tc>
          <w:tcPr>
            <w:tcW w:w="306" w:type="dxa"/>
            <w:noWrap w:val="0"/>
            <w:vAlign w:val="center"/>
          </w:tcPr>
          <w:p w14:paraId="5EFE129D">
            <w:pPr>
              <w:jc w:val="both"/>
              <w:rPr>
                <w:rFonts w:hint="eastAsia" w:ascii="Times New Roman" w:hAnsi="Times New Roman" w:eastAsia="宋体" w:cs="宋体"/>
                <w:color w:val="auto"/>
                <w:kern w:val="21"/>
                <w:sz w:val="21"/>
                <w:szCs w:val="21"/>
                <w:highlight w:val="none"/>
              </w:rPr>
            </w:pPr>
          </w:p>
        </w:tc>
        <w:tc>
          <w:tcPr>
            <w:tcW w:w="4760" w:type="dxa"/>
            <w:noWrap w:val="0"/>
            <w:vAlign w:val="center"/>
          </w:tcPr>
          <w:p w14:paraId="73EA7C6B">
            <w:pPr>
              <w:rPr>
                <w:rFonts w:hint="eastAsia" w:ascii="Times New Roman" w:hAnsi="Times New Roman" w:eastAsia="宋体" w:cs="宋体"/>
                <w:color w:val="auto"/>
                <w:kern w:val="21"/>
                <w:sz w:val="21"/>
                <w:szCs w:val="21"/>
                <w:highlight w:val="none"/>
                <w:lang w:eastAsia="zh-CN"/>
              </w:rPr>
            </w:pPr>
          </w:p>
        </w:tc>
      </w:tr>
      <w:tr w14:paraId="1947FAD6">
        <w:tblPrEx>
          <w:tblCellMar>
            <w:top w:w="0" w:type="dxa"/>
            <w:left w:w="108" w:type="dxa"/>
            <w:bottom w:w="0" w:type="dxa"/>
            <w:right w:w="108" w:type="dxa"/>
          </w:tblCellMar>
        </w:tblPrEx>
        <w:trPr>
          <w:trHeight w:val="567" w:hRule="atLeast"/>
          <w:jc w:val="center"/>
        </w:trPr>
        <w:tc>
          <w:tcPr>
            <w:tcW w:w="4504" w:type="dxa"/>
            <w:noWrap w:val="0"/>
            <w:vAlign w:val="center"/>
          </w:tcPr>
          <w:p w14:paraId="2A7A300D">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委托人监督单位：</w:t>
            </w:r>
            <w:r>
              <w:rPr>
                <w:rFonts w:hint="eastAsia" w:ascii="Times New Roman" w:hAnsi="Times New Roman" w:eastAsia="宋体" w:cs="宋体"/>
                <w:color w:val="auto"/>
                <w:kern w:val="21"/>
                <w:sz w:val="21"/>
                <w:szCs w:val="21"/>
                <w:highlight w:val="none"/>
                <w:u w:val="single"/>
                <w:lang w:eastAsia="zh-CN"/>
              </w:rPr>
              <w:t xml:space="preserve">  （全称）（盖单位章）  </w:t>
            </w:r>
          </w:p>
        </w:tc>
        <w:tc>
          <w:tcPr>
            <w:tcW w:w="306" w:type="dxa"/>
            <w:noWrap w:val="0"/>
            <w:vAlign w:val="center"/>
          </w:tcPr>
          <w:p w14:paraId="465497B9">
            <w:pPr>
              <w:jc w:val="both"/>
              <w:rPr>
                <w:rFonts w:hint="eastAsia" w:ascii="Times New Roman" w:hAnsi="Times New Roman" w:eastAsia="宋体" w:cs="宋体"/>
                <w:color w:val="auto"/>
                <w:kern w:val="21"/>
                <w:sz w:val="21"/>
                <w:szCs w:val="21"/>
                <w:highlight w:val="none"/>
                <w:lang w:eastAsia="zh-CN"/>
              </w:rPr>
            </w:pPr>
          </w:p>
        </w:tc>
        <w:tc>
          <w:tcPr>
            <w:tcW w:w="4760" w:type="dxa"/>
            <w:noWrap w:val="0"/>
            <w:vAlign w:val="center"/>
          </w:tcPr>
          <w:p w14:paraId="56E8617D">
            <w:pPr>
              <w:jc w:val="both"/>
              <w:rPr>
                <w:rFonts w:hint="eastAsia" w:ascii="Times New Roman" w:hAnsi="Times New Roman" w:eastAsia="宋体" w:cs="宋体"/>
                <w:color w:val="auto"/>
                <w:kern w:val="21"/>
                <w:sz w:val="21"/>
                <w:szCs w:val="21"/>
                <w:highlight w:val="none"/>
                <w:lang w:eastAsia="zh-CN"/>
              </w:rPr>
            </w:pPr>
            <w:r>
              <w:rPr>
                <w:rFonts w:hint="eastAsia" w:ascii="Times New Roman" w:hAnsi="Times New Roman" w:eastAsia="宋体" w:cs="宋体"/>
                <w:color w:val="auto"/>
                <w:kern w:val="21"/>
                <w:sz w:val="21"/>
                <w:szCs w:val="21"/>
                <w:highlight w:val="none"/>
                <w:lang w:eastAsia="zh-CN"/>
              </w:rPr>
              <w:t>监理人监督单位：</w:t>
            </w:r>
            <w:r>
              <w:rPr>
                <w:rFonts w:hint="eastAsia" w:ascii="Times New Roman" w:hAnsi="Times New Roman" w:eastAsia="宋体" w:cs="宋体"/>
                <w:color w:val="auto"/>
                <w:kern w:val="21"/>
                <w:sz w:val="21"/>
                <w:szCs w:val="21"/>
                <w:highlight w:val="none"/>
                <w:u w:val="single"/>
                <w:lang w:eastAsia="zh-CN"/>
              </w:rPr>
              <w:t xml:space="preserve">  （全称）（盖单位章）  </w:t>
            </w:r>
          </w:p>
        </w:tc>
      </w:tr>
    </w:tbl>
    <w:p w14:paraId="1EE89E3D">
      <w:pPr>
        <w:spacing w:before="173" w:line="263" w:lineRule="exact"/>
        <w:ind w:left="134"/>
        <w:outlineLvl w:val="1"/>
        <w:rPr>
          <w:rFonts w:ascii="宋体" w:hAnsi="宋体" w:eastAsia="宋体" w:cs="宋体"/>
          <w:b/>
          <w:bCs/>
          <w:color w:val="auto"/>
          <w:spacing w:val="8"/>
          <w:sz w:val="20"/>
          <w:szCs w:val="20"/>
          <w:highlight w:val="none"/>
        </w:rPr>
      </w:pPr>
    </w:p>
    <w:p w14:paraId="0E008CAF">
      <w:pPr>
        <w:spacing w:before="173" w:line="263" w:lineRule="exact"/>
        <w:ind w:left="134"/>
        <w:outlineLvl w:val="1"/>
        <w:rPr>
          <w:rFonts w:ascii="宋体" w:hAnsi="宋体" w:eastAsia="宋体" w:cs="宋体"/>
          <w:b/>
          <w:bCs/>
          <w:color w:val="auto"/>
          <w:spacing w:val="8"/>
          <w:sz w:val="20"/>
          <w:szCs w:val="20"/>
          <w:highlight w:val="none"/>
        </w:rPr>
      </w:pPr>
    </w:p>
    <w:p w14:paraId="132416CD">
      <w:pPr>
        <w:spacing w:before="173" w:line="263" w:lineRule="exact"/>
        <w:ind w:left="134"/>
        <w:outlineLvl w:val="1"/>
        <w:rPr>
          <w:rFonts w:ascii="宋体" w:hAnsi="宋体" w:eastAsia="宋体" w:cs="宋体"/>
          <w:b/>
          <w:bCs/>
          <w:color w:val="auto"/>
          <w:spacing w:val="8"/>
          <w:sz w:val="20"/>
          <w:szCs w:val="20"/>
          <w:highlight w:val="none"/>
        </w:rPr>
      </w:pPr>
    </w:p>
    <w:p w14:paraId="5E29E918">
      <w:pPr>
        <w:spacing w:before="173" w:line="263" w:lineRule="exact"/>
        <w:ind w:left="134"/>
        <w:outlineLvl w:val="1"/>
        <w:rPr>
          <w:rFonts w:ascii="宋体" w:hAnsi="宋体" w:eastAsia="宋体" w:cs="宋体"/>
          <w:b/>
          <w:bCs/>
          <w:color w:val="auto"/>
          <w:spacing w:val="8"/>
          <w:sz w:val="20"/>
          <w:szCs w:val="20"/>
          <w:highlight w:val="none"/>
        </w:rPr>
      </w:pPr>
    </w:p>
    <w:p w14:paraId="4B8EF99D">
      <w:pPr>
        <w:spacing w:before="173" w:line="263" w:lineRule="exact"/>
        <w:ind w:left="134"/>
        <w:outlineLvl w:val="1"/>
        <w:rPr>
          <w:rFonts w:ascii="宋体" w:hAnsi="宋体" w:eastAsia="宋体" w:cs="宋体"/>
          <w:b/>
          <w:bCs/>
          <w:color w:val="auto"/>
          <w:spacing w:val="8"/>
          <w:sz w:val="20"/>
          <w:szCs w:val="20"/>
          <w:highlight w:val="none"/>
        </w:rPr>
      </w:pPr>
    </w:p>
    <w:p w14:paraId="2B2443FD">
      <w:pPr>
        <w:spacing w:before="173" w:line="263" w:lineRule="exact"/>
        <w:ind w:left="134"/>
        <w:outlineLvl w:val="1"/>
        <w:rPr>
          <w:rFonts w:ascii="宋体" w:hAnsi="宋体" w:eastAsia="宋体" w:cs="宋体"/>
          <w:b/>
          <w:bCs/>
          <w:color w:val="auto"/>
          <w:spacing w:val="8"/>
          <w:sz w:val="20"/>
          <w:szCs w:val="20"/>
          <w:highlight w:val="none"/>
        </w:rPr>
      </w:pPr>
      <w:bookmarkStart w:id="709" w:name="_Toc9733"/>
      <w:r>
        <w:rPr>
          <w:rFonts w:ascii="宋体" w:hAnsi="宋体" w:eastAsia="宋体" w:cs="宋体"/>
          <w:b/>
          <w:bCs/>
          <w:color w:val="auto"/>
          <w:spacing w:val="8"/>
          <w:sz w:val="20"/>
          <w:szCs w:val="20"/>
          <w:highlight w:val="none"/>
        </w:rPr>
        <w:drawing>
          <wp:anchor distT="0" distB="0" distL="0" distR="0" simplePos="0" relativeHeight="251670528" behindDoc="1" locked="0" layoutInCell="1" allowOverlap="1">
            <wp:simplePos x="0" y="0"/>
            <wp:positionH relativeFrom="column">
              <wp:posOffset>2207895</wp:posOffset>
            </wp:positionH>
            <wp:positionV relativeFrom="paragraph">
              <wp:posOffset>0</wp:posOffset>
            </wp:positionV>
            <wp:extent cx="66675" cy="304800"/>
            <wp:effectExtent l="0" t="0" r="0" b="0"/>
            <wp:wrapNone/>
            <wp:docPr id="8" name="IM 8">
              <a:hlinkClick xmlns:a="http://schemas.openxmlformats.org/drawingml/2006/main" r:id="rId75"/>
            </wp:docPr>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6"/>
                    <a:stretch>
                      <a:fillRect/>
                    </a:stretch>
                  </pic:blipFill>
                  <pic:spPr>
                    <a:xfrm>
                      <a:off x="0" y="0"/>
                      <a:ext cx="66675" cy="304800"/>
                    </a:xfrm>
                    <a:prstGeom prst="rect">
                      <a:avLst/>
                    </a:prstGeom>
                  </pic:spPr>
                </pic:pic>
              </a:graphicData>
            </a:graphic>
          </wp:anchor>
        </w:drawing>
      </w:r>
      <w:r>
        <w:rPr>
          <w:rFonts w:ascii="宋体" w:hAnsi="宋体" w:eastAsia="宋体" w:cs="宋体"/>
          <w:b/>
          <w:bCs/>
          <w:color w:val="auto"/>
          <w:spacing w:val="8"/>
          <w:sz w:val="20"/>
          <w:szCs w:val="20"/>
          <w:highlight w:val="none"/>
        </w:rPr>
        <w:t>附件三：其他主要监理人员最低要求</w:t>
      </w:r>
      <w:bookmarkEnd w:id="706"/>
      <w:bookmarkEnd w:id="707"/>
      <w:bookmarkEnd w:id="708"/>
      <w:bookmarkEnd w:id="709"/>
    </w:p>
    <w:tbl>
      <w:tblPr>
        <w:tblStyle w:val="22"/>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1"/>
        <w:gridCol w:w="738"/>
        <w:gridCol w:w="7059"/>
      </w:tblGrid>
      <w:tr w14:paraId="16E0B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vAlign w:val="top"/>
          </w:tcPr>
          <w:p w14:paraId="01B9E1CB">
            <w:pPr>
              <w:pStyle w:val="23"/>
              <w:spacing w:before="201" w:line="229" w:lineRule="auto"/>
              <w:ind w:left="689"/>
              <w:rPr>
                <w:color w:val="auto"/>
                <w:highlight w:val="none"/>
              </w:rPr>
            </w:pPr>
            <w:r>
              <w:rPr>
                <w:color w:val="auto"/>
                <w:spacing w:val="3"/>
                <w:highlight w:val="none"/>
              </w:rPr>
              <w:t>人员</w:t>
            </w:r>
          </w:p>
        </w:tc>
        <w:tc>
          <w:tcPr>
            <w:tcW w:w="738" w:type="dxa"/>
            <w:vAlign w:val="top"/>
          </w:tcPr>
          <w:p w14:paraId="5418AF00">
            <w:pPr>
              <w:pStyle w:val="23"/>
              <w:spacing w:before="201" w:line="228" w:lineRule="auto"/>
              <w:ind w:left="165"/>
              <w:rPr>
                <w:color w:val="auto"/>
                <w:highlight w:val="none"/>
              </w:rPr>
            </w:pPr>
            <w:r>
              <w:rPr>
                <w:color w:val="auto"/>
                <w:spacing w:val="3"/>
                <w:highlight w:val="none"/>
              </w:rPr>
              <w:t>数量</w:t>
            </w:r>
          </w:p>
        </w:tc>
        <w:tc>
          <w:tcPr>
            <w:tcW w:w="7059" w:type="dxa"/>
            <w:vAlign w:val="top"/>
          </w:tcPr>
          <w:p w14:paraId="34B28738">
            <w:pPr>
              <w:pStyle w:val="23"/>
              <w:spacing w:before="201" w:line="228" w:lineRule="auto"/>
              <w:ind w:left="3123"/>
              <w:rPr>
                <w:color w:val="auto"/>
                <w:highlight w:val="none"/>
              </w:rPr>
            </w:pPr>
            <w:r>
              <w:rPr>
                <w:color w:val="auto"/>
                <w:spacing w:val="5"/>
                <w:highlight w:val="none"/>
              </w:rPr>
              <w:t>资格要求</w:t>
            </w:r>
          </w:p>
        </w:tc>
      </w:tr>
      <w:tr w14:paraId="25D7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781" w:type="dxa"/>
            <w:vAlign w:val="top"/>
          </w:tcPr>
          <w:p w14:paraId="0CDAE873">
            <w:pPr>
              <w:spacing w:line="295" w:lineRule="auto"/>
              <w:rPr>
                <w:rFonts w:ascii="Arial"/>
                <w:color w:val="auto"/>
                <w:sz w:val="21"/>
                <w:highlight w:val="none"/>
              </w:rPr>
            </w:pPr>
          </w:p>
          <w:p w14:paraId="71011041">
            <w:pPr>
              <w:spacing w:line="295" w:lineRule="auto"/>
              <w:rPr>
                <w:rFonts w:ascii="Arial"/>
                <w:color w:val="auto"/>
                <w:sz w:val="21"/>
                <w:highlight w:val="none"/>
              </w:rPr>
            </w:pPr>
          </w:p>
          <w:p w14:paraId="60EB8D6F">
            <w:pPr>
              <w:pStyle w:val="23"/>
              <w:spacing w:before="65" w:line="228" w:lineRule="auto"/>
              <w:ind w:left="157"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路基工程</w:t>
            </w:r>
          </w:p>
        </w:tc>
        <w:tc>
          <w:tcPr>
            <w:tcW w:w="738" w:type="dxa"/>
            <w:vAlign w:val="center"/>
          </w:tcPr>
          <w:p w14:paraId="1E7E23D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7B087F00">
            <w:pPr>
              <w:pStyle w:val="23"/>
              <w:spacing w:before="120" w:line="300"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highlight w:val="none"/>
              </w:rPr>
              <mc:AlternateContent>
                <mc:Choice Requires="wps">
                  <w:drawing>
                    <wp:anchor distT="0" distB="0" distL="114300" distR="114300" simplePos="0" relativeHeight="251726848" behindDoc="0" locked="0" layoutInCell="1" allowOverlap="1">
                      <wp:simplePos x="0" y="0"/>
                      <wp:positionH relativeFrom="column">
                        <wp:posOffset>52705</wp:posOffset>
                      </wp:positionH>
                      <wp:positionV relativeFrom="paragraph">
                        <wp:posOffset>751840</wp:posOffset>
                      </wp:positionV>
                      <wp:extent cx="160020" cy="1790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0020" cy="179070"/>
                              </a:xfrm>
                              <a:prstGeom prst="rect">
                                <a:avLst/>
                              </a:prstGeom>
                              <a:noFill/>
                              <a:ln>
                                <a:noFill/>
                              </a:ln>
                            </wps:spPr>
                            <wps:txbx>
                              <w:txbxContent>
                                <w:p w14:paraId="4CA4040E">
                                  <w:pPr>
                                    <w:tabs>
                                      <w:tab w:val="left" w:pos="231"/>
                                    </w:tabs>
                                    <w:spacing w:before="20"/>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4.15pt;margin-top:59.2pt;height:14.1pt;width:12.6pt;z-index:251726848;mso-width-relative:page;mso-height-relative:page;" filled="f" stroked="f" coordsize="21600,21600" o:gfxdata="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mf1wAAAAgBAAAPAAAAAAAAAAEAIAAAACIAAABkcnMvZG93bnJldi54bWxQSwECFAAU&#10;AAAACACHTuJA6ierf7kBAABxAwAADgAAAAAAAAABACAAAAAmAQAAZHJzL2Uyb0RvYy54bWxQSwUG&#10;AAAAAAYABgBZAQAAUQUAAAAA&#10;">
                      <v:fill on="f" focussize="0,0"/>
                      <v:stroke on="f"/>
                      <v:imagedata o:title=""/>
                      <o:lock v:ext="edit" aspectratio="f"/>
                      <v:textbox inset="0mm,0mm,0mm,0mm">
                        <w:txbxContent>
                          <w:p w14:paraId="4CA4040E">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mc:Fallback>
              </mc:AlternateConten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78DBD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000545FE">
            <w:pPr>
              <w:spacing w:line="302" w:lineRule="auto"/>
              <w:rPr>
                <w:rFonts w:ascii="Arial"/>
                <w:color w:val="auto"/>
                <w:sz w:val="21"/>
                <w:highlight w:val="none"/>
              </w:rPr>
            </w:pPr>
          </w:p>
          <w:p w14:paraId="3864237B">
            <w:pPr>
              <w:spacing w:line="302" w:lineRule="auto"/>
              <w:rPr>
                <w:rFonts w:ascii="Arial"/>
                <w:color w:val="auto"/>
                <w:sz w:val="21"/>
                <w:highlight w:val="none"/>
              </w:rPr>
            </w:pPr>
          </w:p>
          <w:p w14:paraId="05F836F7">
            <w:pPr>
              <w:pStyle w:val="23"/>
              <w:spacing w:before="65" w:line="228" w:lineRule="auto"/>
              <w:ind w:left="157"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路面工程</w:t>
            </w:r>
          </w:p>
        </w:tc>
        <w:tc>
          <w:tcPr>
            <w:tcW w:w="738" w:type="dxa"/>
            <w:vAlign w:val="center"/>
          </w:tcPr>
          <w:p w14:paraId="78C0A2D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0611FB3C">
            <w:pPr>
              <w:pStyle w:val="23"/>
              <w:spacing w:before="135" w:line="300"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59843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F398D07">
            <w:pPr>
              <w:spacing w:line="251" w:lineRule="auto"/>
              <w:rPr>
                <w:rFonts w:ascii="Arial"/>
                <w:color w:val="auto"/>
                <w:sz w:val="21"/>
                <w:highlight w:val="none"/>
              </w:rPr>
            </w:pPr>
          </w:p>
          <w:p w14:paraId="0BCCC8D9">
            <w:pPr>
              <w:pStyle w:val="23"/>
              <w:spacing w:before="65" w:line="221" w:lineRule="auto"/>
              <w:ind w:left="156"/>
              <w:rPr>
                <w:color w:val="auto"/>
                <w:highlight w:val="none"/>
              </w:rPr>
            </w:pPr>
            <w:r>
              <w:rPr>
                <w:color w:val="auto"/>
                <w:spacing w:val="7"/>
                <w:highlight w:val="none"/>
              </w:rPr>
              <w:t>合同管理</w:t>
            </w:r>
          </w:p>
          <w:p w14:paraId="1206EEB0">
            <w:pPr>
              <w:pStyle w:val="23"/>
              <w:spacing w:before="103" w:line="228" w:lineRule="auto"/>
              <w:ind w:left="520" w:leftChars="0"/>
              <w:rPr>
                <w:rFonts w:ascii="宋体" w:hAnsi="宋体" w:eastAsia="宋体" w:cs="宋体"/>
                <w:snapToGrid w:val="0"/>
                <w:color w:val="auto"/>
                <w:kern w:val="0"/>
                <w:sz w:val="10"/>
                <w:szCs w:val="10"/>
                <w:highlight w:val="none"/>
                <w:lang w:val="en-US" w:eastAsia="en-US" w:bidi="ar-SA"/>
              </w:rPr>
            </w:pPr>
          </w:p>
        </w:tc>
        <w:tc>
          <w:tcPr>
            <w:tcW w:w="738" w:type="dxa"/>
            <w:vAlign w:val="center"/>
          </w:tcPr>
          <w:p w14:paraId="237AD3D5">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5A04B55F">
            <w:pPr>
              <w:pStyle w:val="23"/>
              <w:spacing w:before="138" w:line="288" w:lineRule="auto"/>
              <w:ind w:left="111" w:leftChars="0" w:right="107"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eastAsia="zh-CN"/>
              </w:rPr>
              <w:t>甲</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4A220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90F9843">
            <w:pPr>
              <w:spacing w:line="304" w:lineRule="auto"/>
              <w:rPr>
                <w:rFonts w:ascii="Arial"/>
                <w:color w:val="auto"/>
                <w:sz w:val="21"/>
                <w:highlight w:val="none"/>
              </w:rPr>
            </w:pPr>
          </w:p>
          <w:p w14:paraId="5DE66617">
            <w:pPr>
              <w:spacing w:line="305" w:lineRule="auto"/>
              <w:rPr>
                <w:rFonts w:ascii="Arial"/>
                <w:color w:val="auto"/>
                <w:sz w:val="21"/>
                <w:highlight w:val="none"/>
              </w:rPr>
            </w:pPr>
          </w:p>
          <w:p w14:paraId="63241640">
            <w:pPr>
              <w:pStyle w:val="23"/>
              <w:spacing w:before="65" w:line="228" w:lineRule="auto"/>
              <w:ind w:left="156"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测量工程</w:t>
            </w:r>
          </w:p>
        </w:tc>
        <w:tc>
          <w:tcPr>
            <w:tcW w:w="738" w:type="dxa"/>
            <w:vAlign w:val="center"/>
          </w:tcPr>
          <w:p w14:paraId="3D43945B">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4FFBFE89">
            <w:pPr>
              <w:pStyle w:val="23"/>
              <w:spacing w:before="138" w:line="299" w:lineRule="auto"/>
              <w:ind w:left="111" w:leftChars="0" w:right="109"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1E18D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66BC4217">
            <w:pPr>
              <w:spacing w:line="256" w:lineRule="auto"/>
              <w:rPr>
                <w:rFonts w:ascii="Arial"/>
                <w:color w:val="auto"/>
                <w:sz w:val="21"/>
                <w:highlight w:val="none"/>
              </w:rPr>
            </w:pPr>
          </w:p>
          <w:p w14:paraId="3D4A6368">
            <w:pPr>
              <w:spacing w:line="256" w:lineRule="auto"/>
              <w:rPr>
                <w:rFonts w:ascii="Arial"/>
                <w:color w:val="auto"/>
                <w:sz w:val="21"/>
                <w:highlight w:val="none"/>
              </w:rPr>
            </w:pPr>
          </w:p>
          <w:p w14:paraId="6D1A605B">
            <w:pPr>
              <w:spacing w:line="257" w:lineRule="auto"/>
              <w:rPr>
                <w:rFonts w:ascii="Arial"/>
                <w:color w:val="auto"/>
                <w:sz w:val="21"/>
                <w:highlight w:val="none"/>
              </w:rPr>
            </w:pPr>
          </w:p>
          <w:p w14:paraId="34C2B599">
            <w:pPr>
              <w:pStyle w:val="23"/>
              <w:spacing w:before="65" w:line="228" w:lineRule="auto"/>
              <w:ind w:left="159" w:leftChars="0"/>
              <w:rPr>
                <w:rFonts w:ascii="宋体" w:hAnsi="宋体" w:eastAsia="宋体" w:cs="宋体"/>
                <w:snapToGrid w:val="0"/>
                <w:color w:val="auto"/>
                <w:kern w:val="0"/>
                <w:sz w:val="20"/>
                <w:szCs w:val="20"/>
                <w:highlight w:val="none"/>
                <w:lang w:val="en-US" w:eastAsia="en-US" w:bidi="ar-SA"/>
              </w:rPr>
            </w:pPr>
            <w:r>
              <w:rPr>
                <w:color w:val="auto"/>
                <w:spacing w:val="6"/>
                <w:highlight w:val="none"/>
              </w:rPr>
              <w:t>安全环保</w:t>
            </w:r>
          </w:p>
        </w:tc>
        <w:tc>
          <w:tcPr>
            <w:tcW w:w="738" w:type="dxa"/>
            <w:vAlign w:val="center"/>
          </w:tcPr>
          <w:p w14:paraId="0B51120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1C49CB95">
            <w:pPr>
              <w:pStyle w:val="23"/>
              <w:spacing w:before="120" w:line="309" w:lineRule="auto"/>
              <w:ind w:left="111" w:leftChars="0" w:right="107" w:rightChars="0" w:firstLine="5" w:firstLineChars="0"/>
              <w:jc w:val="both"/>
              <w:rPr>
                <w:rFonts w:ascii="宋体" w:hAnsi="宋体" w:eastAsia="宋体" w:cs="宋体"/>
                <w:snapToGrid w:val="0"/>
                <w:color w:val="auto"/>
                <w:kern w:val="0"/>
                <w:sz w:val="20"/>
                <w:szCs w:val="20"/>
                <w:highlight w:val="none"/>
                <w:lang w:val="en-US" w:eastAsia="en-US" w:bidi="ar-SA"/>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11306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0905A687">
            <w:pPr>
              <w:spacing w:line="317" w:lineRule="auto"/>
              <w:rPr>
                <w:rFonts w:ascii="Arial"/>
                <w:color w:val="auto"/>
                <w:sz w:val="21"/>
                <w:highlight w:val="none"/>
              </w:rPr>
            </w:pPr>
          </w:p>
          <w:p w14:paraId="685E5664">
            <w:pPr>
              <w:pStyle w:val="23"/>
              <w:spacing w:before="65" w:line="334" w:lineRule="auto"/>
              <w:ind w:right="153" w:rightChars="0"/>
              <w:jc w:val="center"/>
              <w:rPr>
                <w:rFonts w:ascii="宋体" w:hAnsi="宋体" w:eastAsia="宋体" w:cs="宋体"/>
                <w:snapToGrid w:val="0"/>
                <w:color w:val="auto"/>
                <w:kern w:val="0"/>
                <w:sz w:val="20"/>
                <w:szCs w:val="20"/>
                <w:highlight w:val="none"/>
                <w:lang w:val="en-US" w:eastAsia="en-US" w:bidi="ar-SA"/>
              </w:rPr>
            </w:pPr>
            <w:r>
              <w:rPr>
                <w:color w:val="auto"/>
                <w:spacing w:val="6"/>
                <w:highlight w:val="none"/>
              </w:rPr>
              <w:t>专业工</w:t>
            </w:r>
            <w:r>
              <w:rPr>
                <w:color w:val="auto"/>
                <w:spacing w:val="5"/>
                <w:highlight w:val="none"/>
              </w:rPr>
              <w:t>程师</w:t>
            </w:r>
          </w:p>
        </w:tc>
        <w:tc>
          <w:tcPr>
            <w:tcW w:w="738" w:type="dxa"/>
            <w:vAlign w:val="center"/>
          </w:tcPr>
          <w:p w14:paraId="045B6823">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38B71CF8">
            <w:pPr>
              <w:pStyle w:val="23"/>
              <w:spacing w:before="65" w:line="334" w:lineRule="auto"/>
              <w:ind w:left="111" w:leftChars="0" w:right="109" w:rightChars="0" w:firstLine="5" w:firstLineChars="0"/>
              <w:rPr>
                <w:rFonts w:ascii="宋体" w:hAnsi="宋体" w:eastAsia="宋体" w:cs="宋体"/>
                <w:snapToGrid w:val="0"/>
                <w:color w:val="auto"/>
                <w:kern w:val="0"/>
                <w:sz w:val="20"/>
                <w:szCs w:val="20"/>
                <w:highlight w:val="none"/>
                <w:lang w:val="en-US" w:eastAsia="en-US" w:bidi="ar-SA"/>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41BA8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44A9333D">
            <w:pPr>
              <w:pStyle w:val="23"/>
              <w:spacing w:before="123" w:line="273" w:lineRule="auto"/>
              <w:ind w:left="589" w:leftChars="0" w:right="153" w:rightChars="0" w:hanging="427" w:firstLineChars="0"/>
              <w:rPr>
                <w:rFonts w:ascii="宋体" w:hAnsi="宋体" w:eastAsia="宋体" w:cs="宋体"/>
                <w:snapToGrid w:val="0"/>
                <w:color w:val="auto"/>
                <w:kern w:val="0"/>
                <w:sz w:val="20"/>
                <w:szCs w:val="20"/>
                <w:highlight w:val="none"/>
                <w:lang w:val="en-US" w:eastAsia="en-US" w:bidi="ar-SA"/>
              </w:rPr>
            </w:pPr>
            <w:r>
              <w:rPr>
                <w:color w:val="auto"/>
                <w:spacing w:val="8"/>
                <w:highlight w:val="none"/>
              </w:rPr>
              <w:t>档案及竣工资料</w:t>
            </w:r>
            <w:r>
              <w:rPr>
                <w:color w:val="auto"/>
                <w:spacing w:val="4"/>
                <w:highlight w:val="none"/>
              </w:rPr>
              <w:t>负责人</w:t>
            </w:r>
          </w:p>
        </w:tc>
        <w:tc>
          <w:tcPr>
            <w:tcW w:w="738" w:type="dxa"/>
            <w:vAlign w:val="center"/>
          </w:tcPr>
          <w:p w14:paraId="799DE665">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0BF5FD08">
            <w:pPr>
              <w:pStyle w:val="23"/>
              <w:spacing w:before="123" w:line="273" w:lineRule="auto"/>
              <w:ind w:left="111" w:leftChars="0" w:right="109" w:rightChars="0" w:firstLine="5" w:firstLineChars="0"/>
              <w:rPr>
                <w:rFonts w:ascii="宋体" w:hAnsi="宋体" w:eastAsia="宋体" w:cs="宋体"/>
                <w:snapToGrid w:val="0"/>
                <w:color w:val="auto"/>
                <w:kern w:val="0"/>
                <w:sz w:val="20"/>
                <w:szCs w:val="20"/>
                <w:highlight w:val="none"/>
                <w:lang w:val="en-US" w:eastAsia="en-US" w:bidi="ar-SA"/>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w:t>
            </w:r>
            <w:r>
              <w:rPr>
                <w:rFonts w:ascii="宋体" w:hAnsi="宋体" w:eastAsia="宋体" w:cs="宋体"/>
                <w:color w:val="auto"/>
                <w:spacing w:val="13"/>
                <w:highlight w:val="none"/>
              </w:rPr>
              <w:t>至少1个公路工程项目竣工档案全过程编制和管理工作经验，熟悉计算机办公软件操作</w:t>
            </w:r>
            <w:r>
              <w:rPr>
                <w:color w:val="auto"/>
                <w:spacing w:val="9"/>
                <w:highlight w:val="none"/>
              </w:rPr>
              <w:t>。</w:t>
            </w:r>
          </w:p>
        </w:tc>
      </w:tr>
      <w:tr w14:paraId="6DD0D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1154E2FE">
            <w:pPr>
              <w:pStyle w:val="23"/>
              <w:spacing w:before="303" w:line="229" w:lineRule="auto"/>
              <w:ind w:left="477" w:leftChars="0"/>
              <w:rPr>
                <w:rFonts w:ascii="宋体" w:hAnsi="宋体" w:eastAsia="宋体" w:cs="宋体"/>
                <w:snapToGrid w:val="0"/>
                <w:color w:val="auto"/>
                <w:kern w:val="0"/>
                <w:sz w:val="20"/>
                <w:szCs w:val="20"/>
                <w:highlight w:val="none"/>
                <w:lang w:val="en-US" w:eastAsia="en-US" w:bidi="ar-SA"/>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3C6304FF">
            <w:pPr>
              <w:jc w:val="center"/>
              <w:rPr>
                <w:rFonts w:hint="eastAsia" w:ascii="Arial" w:hAnsi="Arial" w:eastAsia="宋体" w:cs="Arial"/>
                <w:snapToGrid w:val="0"/>
                <w:color w:val="auto"/>
                <w:kern w:val="0"/>
                <w:sz w:val="21"/>
                <w:szCs w:val="21"/>
                <w:highlight w:val="none"/>
                <w:lang w:val="en-US" w:eastAsia="zh-CN" w:bidi="ar-SA"/>
              </w:rPr>
            </w:pPr>
            <w:r>
              <w:rPr>
                <w:rFonts w:hint="eastAsia" w:eastAsia="宋体"/>
                <w:color w:val="auto"/>
                <w:sz w:val="21"/>
                <w:highlight w:val="none"/>
                <w:lang w:val="en-US" w:eastAsia="zh-CN"/>
              </w:rPr>
              <w:t>1</w:t>
            </w:r>
          </w:p>
        </w:tc>
        <w:tc>
          <w:tcPr>
            <w:tcW w:w="7059" w:type="dxa"/>
            <w:vAlign w:val="top"/>
          </w:tcPr>
          <w:p w14:paraId="7A41AE14">
            <w:pPr>
              <w:pStyle w:val="23"/>
              <w:spacing w:before="123" w:line="275" w:lineRule="auto"/>
              <w:ind w:left="113" w:leftChars="0" w:right="109" w:rightChars="0" w:firstLine="3" w:firstLineChars="0"/>
              <w:rPr>
                <w:rFonts w:ascii="宋体" w:hAnsi="宋体" w:eastAsia="宋体" w:cs="宋体"/>
                <w:snapToGrid w:val="0"/>
                <w:color w:val="auto"/>
                <w:kern w:val="0"/>
                <w:sz w:val="20"/>
                <w:szCs w:val="20"/>
                <w:highlight w:val="none"/>
                <w:lang w:val="en-US" w:eastAsia="en-US" w:bidi="ar-SA"/>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r w14:paraId="6F8AD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vAlign w:val="top"/>
          </w:tcPr>
          <w:p w14:paraId="37CB732A">
            <w:pPr>
              <w:pStyle w:val="23"/>
              <w:spacing w:before="303" w:line="229" w:lineRule="auto"/>
              <w:ind w:left="477"/>
              <w:rPr>
                <w:color w:val="auto"/>
                <w:spacing w:val="-1"/>
                <w:highlight w:val="none"/>
              </w:rPr>
            </w:pPr>
          </w:p>
        </w:tc>
        <w:tc>
          <w:tcPr>
            <w:tcW w:w="738" w:type="dxa"/>
            <w:vAlign w:val="center"/>
          </w:tcPr>
          <w:p w14:paraId="06ABD9B4">
            <w:pPr>
              <w:jc w:val="center"/>
              <w:rPr>
                <w:rFonts w:hint="eastAsia" w:eastAsia="宋体"/>
                <w:color w:val="auto"/>
                <w:sz w:val="21"/>
                <w:highlight w:val="none"/>
                <w:lang w:val="en-US" w:eastAsia="zh-CN"/>
              </w:rPr>
            </w:pPr>
          </w:p>
        </w:tc>
        <w:tc>
          <w:tcPr>
            <w:tcW w:w="7059" w:type="dxa"/>
            <w:vAlign w:val="top"/>
          </w:tcPr>
          <w:p w14:paraId="7ACF6DD2">
            <w:pPr>
              <w:pStyle w:val="23"/>
              <w:spacing w:before="123" w:line="275" w:lineRule="auto"/>
              <w:ind w:left="113" w:right="109" w:firstLine="3"/>
              <w:rPr>
                <w:color w:val="auto"/>
                <w:spacing w:val="13"/>
                <w:highlight w:val="none"/>
              </w:rPr>
            </w:pPr>
          </w:p>
        </w:tc>
      </w:tr>
    </w:tbl>
    <w:p w14:paraId="0CFE0EAD">
      <w:pPr>
        <w:spacing w:line="241" w:lineRule="auto"/>
        <w:rPr>
          <w:rFonts w:ascii="Arial"/>
          <w:color w:val="auto"/>
          <w:sz w:val="21"/>
          <w:highlight w:val="none"/>
        </w:rPr>
      </w:pPr>
    </w:p>
    <w:p w14:paraId="5C3E59EE">
      <w:pPr>
        <w:spacing w:line="241" w:lineRule="auto"/>
        <w:rPr>
          <w:rFonts w:ascii="Arial"/>
          <w:color w:val="auto"/>
          <w:sz w:val="21"/>
          <w:highlight w:val="none"/>
        </w:rPr>
      </w:pPr>
    </w:p>
    <w:p w14:paraId="5DEA9256">
      <w:pPr>
        <w:pStyle w:val="21"/>
        <w:rPr>
          <w:rFonts w:ascii="Arial"/>
          <w:color w:val="auto"/>
          <w:sz w:val="21"/>
          <w:highlight w:val="none"/>
        </w:rPr>
      </w:pPr>
    </w:p>
    <w:p w14:paraId="3D7A3B6E">
      <w:pPr>
        <w:pStyle w:val="21"/>
        <w:rPr>
          <w:rFonts w:ascii="Arial"/>
          <w:color w:val="auto"/>
          <w:sz w:val="21"/>
          <w:highlight w:val="none"/>
        </w:rPr>
      </w:pPr>
    </w:p>
    <w:p w14:paraId="3FCDB9AA">
      <w:pPr>
        <w:pStyle w:val="21"/>
        <w:rPr>
          <w:rFonts w:ascii="Arial"/>
          <w:color w:val="auto"/>
          <w:sz w:val="21"/>
          <w:highlight w:val="none"/>
        </w:rPr>
      </w:pPr>
    </w:p>
    <w:p w14:paraId="68DB7EBA">
      <w:pPr>
        <w:pStyle w:val="21"/>
        <w:rPr>
          <w:rFonts w:ascii="Arial"/>
          <w:color w:val="auto"/>
          <w:sz w:val="21"/>
          <w:highlight w:val="none"/>
        </w:rPr>
      </w:pPr>
    </w:p>
    <w:p w14:paraId="0C949FF2">
      <w:pPr>
        <w:pStyle w:val="21"/>
        <w:rPr>
          <w:rFonts w:ascii="Arial"/>
          <w:color w:val="auto"/>
          <w:sz w:val="21"/>
          <w:highlight w:val="none"/>
        </w:rPr>
      </w:pPr>
    </w:p>
    <w:p w14:paraId="0751A68D">
      <w:pPr>
        <w:spacing w:before="173" w:line="263" w:lineRule="exact"/>
        <w:ind w:left="134"/>
        <w:outlineLvl w:val="1"/>
        <w:rPr>
          <w:rFonts w:ascii="宋体" w:hAnsi="宋体" w:eastAsia="宋体" w:cs="宋体"/>
          <w:color w:val="auto"/>
          <w:sz w:val="10"/>
          <w:szCs w:val="10"/>
          <w:highlight w:val="none"/>
        </w:rPr>
      </w:pPr>
      <w:bookmarkStart w:id="710" w:name="_Toc20173"/>
      <w:bookmarkStart w:id="711" w:name="_Toc21761"/>
      <w:bookmarkStart w:id="712" w:name="_Toc9371"/>
      <w:bookmarkStart w:id="713" w:name="_Toc30101"/>
      <w:r>
        <w:rPr>
          <w:rFonts w:ascii="宋体" w:hAnsi="宋体" w:eastAsia="宋体" w:cs="宋体"/>
          <w:b/>
          <w:bCs/>
          <w:color w:val="auto"/>
          <w:spacing w:val="8"/>
          <w:sz w:val="20"/>
          <w:szCs w:val="20"/>
          <w:highlight w:val="none"/>
        </w:rPr>
        <w:t>附件四：主要试验检测设备最低要求</w:t>
      </w:r>
      <w:bookmarkEnd w:id="710"/>
      <w:bookmarkEnd w:id="711"/>
      <w:bookmarkEnd w:id="712"/>
      <w:bookmarkEnd w:id="713"/>
    </w:p>
    <w:p w14:paraId="717F071D">
      <w:pPr>
        <w:spacing w:line="29" w:lineRule="exact"/>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5"/>
        <w:gridCol w:w="3155"/>
        <w:gridCol w:w="1323"/>
        <w:gridCol w:w="2385"/>
      </w:tblGrid>
      <w:tr w14:paraId="46C49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2425" w:type="dxa"/>
            <w:vAlign w:val="center"/>
          </w:tcPr>
          <w:p w14:paraId="08E2E59F">
            <w:pPr>
              <w:pStyle w:val="23"/>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color w:val="auto"/>
                <w:highlight w:val="none"/>
              </w:rPr>
            </w:pPr>
            <w:r>
              <w:rPr>
                <w:color w:val="auto"/>
                <w:spacing w:val="6"/>
                <w:highlight w:val="none"/>
              </w:rPr>
              <w:t>设备名称</w:t>
            </w:r>
          </w:p>
        </w:tc>
        <w:tc>
          <w:tcPr>
            <w:tcW w:w="3155" w:type="dxa"/>
            <w:vAlign w:val="center"/>
          </w:tcPr>
          <w:p w14:paraId="0A5F51DD">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8"/>
                <w:highlight w:val="none"/>
              </w:rPr>
              <w:t>规格、功率及容量</w:t>
            </w:r>
          </w:p>
        </w:tc>
        <w:tc>
          <w:tcPr>
            <w:tcW w:w="1323" w:type="dxa"/>
            <w:vAlign w:val="center"/>
          </w:tcPr>
          <w:p w14:paraId="77107CC1">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3"/>
                <w:highlight w:val="none"/>
              </w:rPr>
              <w:t>单位</w:t>
            </w:r>
          </w:p>
        </w:tc>
        <w:tc>
          <w:tcPr>
            <w:tcW w:w="2385" w:type="dxa"/>
            <w:vAlign w:val="center"/>
          </w:tcPr>
          <w:p w14:paraId="7D7939A8">
            <w:pPr>
              <w:pStyle w:val="23"/>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color w:val="auto"/>
                <w:highlight w:val="none"/>
              </w:rPr>
            </w:pPr>
            <w:r>
              <w:rPr>
                <w:color w:val="auto"/>
                <w:spacing w:val="7"/>
                <w:highlight w:val="none"/>
              </w:rPr>
              <w:t>最低数量要求</w:t>
            </w:r>
          </w:p>
        </w:tc>
      </w:tr>
      <w:tr w14:paraId="2842B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425" w:type="dxa"/>
            <w:vAlign w:val="center"/>
          </w:tcPr>
          <w:p w14:paraId="1094EA08">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中型烘箱</w:t>
            </w:r>
          </w:p>
        </w:tc>
        <w:tc>
          <w:tcPr>
            <w:tcW w:w="3155" w:type="dxa"/>
            <w:vAlign w:val="center"/>
          </w:tcPr>
          <w:p w14:paraId="168B9E20">
            <w:pPr>
              <w:keepNext w:val="0"/>
              <w:keepLines w:val="0"/>
              <w:widowControl/>
              <w:suppressLineNumbers w:val="0"/>
              <w:jc w:val="center"/>
              <w:textAlignment w:val="center"/>
              <w:rPr>
                <w:rFonts w:hint="default"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室温～200℃，控温精度 ±1℃</w:t>
            </w:r>
          </w:p>
        </w:tc>
        <w:tc>
          <w:tcPr>
            <w:tcW w:w="1323" w:type="dxa"/>
            <w:vAlign w:val="center"/>
          </w:tcPr>
          <w:p w14:paraId="46B14B1F">
            <w:pPr>
              <w:keepNext w:val="0"/>
              <w:keepLines w:val="0"/>
              <w:widowControl/>
              <w:suppressLineNumbers w:val="0"/>
              <w:jc w:val="center"/>
              <w:textAlignment w:val="center"/>
              <w:rPr>
                <w:rFonts w:hint="default"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3A75E1A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D4B3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091814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重型击实仪</w:t>
            </w:r>
          </w:p>
        </w:tc>
        <w:tc>
          <w:tcPr>
            <w:tcW w:w="3155" w:type="dxa"/>
            <w:vAlign w:val="center"/>
          </w:tcPr>
          <w:p w14:paraId="0FA8EDF3">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公路土工重型标准</w:t>
            </w:r>
          </w:p>
        </w:tc>
        <w:tc>
          <w:tcPr>
            <w:tcW w:w="1323" w:type="dxa"/>
            <w:vAlign w:val="center"/>
          </w:tcPr>
          <w:p w14:paraId="30926E0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89EEF6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06BB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E2A3CA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砂相对密度仪</w:t>
            </w:r>
          </w:p>
        </w:tc>
        <w:tc>
          <w:tcPr>
            <w:tcW w:w="3155" w:type="dxa"/>
            <w:vAlign w:val="center"/>
          </w:tcPr>
          <w:p w14:paraId="2214585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常规土工试验用</w:t>
            </w:r>
          </w:p>
        </w:tc>
        <w:tc>
          <w:tcPr>
            <w:tcW w:w="1323" w:type="dxa"/>
            <w:vAlign w:val="center"/>
          </w:tcPr>
          <w:p w14:paraId="54442DE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28BF9E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7448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135B0DE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膨胀量测定装置</w:t>
            </w:r>
          </w:p>
        </w:tc>
        <w:tc>
          <w:tcPr>
            <w:tcW w:w="3155" w:type="dxa"/>
            <w:vAlign w:val="center"/>
          </w:tcPr>
          <w:p w14:paraId="27B4B1F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常规土工试验用</w:t>
            </w:r>
          </w:p>
        </w:tc>
        <w:tc>
          <w:tcPr>
            <w:tcW w:w="1323" w:type="dxa"/>
            <w:vAlign w:val="center"/>
          </w:tcPr>
          <w:p w14:paraId="03473F6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7A31A86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6F06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0FD13F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CBR 试验仪</w:t>
            </w:r>
          </w:p>
        </w:tc>
        <w:tc>
          <w:tcPr>
            <w:tcW w:w="3155" w:type="dxa"/>
            <w:vAlign w:val="center"/>
          </w:tcPr>
          <w:p w14:paraId="41F548C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7.5kN、30kN</w:t>
            </w:r>
          </w:p>
        </w:tc>
        <w:tc>
          <w:tcPr>
            <w:tcW w:w="1323" w:type="dxa"/>
            <w:vAlign w:val="center"/>
          </w:tcPr>
          <w:p w14:paraId="26D80C5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226047B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4A6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4FA0FD9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电子天平</w:t>
            </w:r>
          </w:p>
        </w:tc>
        <w:tc>
          <w:tcPr>
            <w:tcW w:w="3155" w:type="dxa"/>
            <w:vAlign w:val="center"/>
          </w:tcPr>
          <w:p w14:paraId="16D0FBD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30kg/1g、3kg/0.1g、200g</w:t>
            </w:r>
          </w:p>
        </w:tc>
        <w:tc>
          <w:tcPr>
            <w:tcW w:w="1323" w:type="dxa"/>
            <w:vAlign w:val="center"/>
          </w:tcPr>
          <w:p w14:paraId="71647EF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B96F5E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2F8D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0FF2B64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摇筛机</w:t>
            </w:r>
          </w:p>
        </w:tc>
        <w:tc>
          <w:tcPr>
            <w:tcW w:w="3155" w:type="dxa"/>
            <w:vAlign w:val="center"/>
          </w:tcPr>
          <w:p w14:paraId="14BA311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配套砂石筛使用</w:t>
            </w:r>
          </w:p>
        </w:tc>
        <w:tc>
          <w:tcPr>
            <w:tcW w:w="1323" w:type="dxa"/>
            <w:vAlign w:val="center"/>
          </w:tcPr>
          <w:p w14:paraId="0BC66FD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55DEB27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1928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5D6BD2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脱模机</w:t>
            </w:r>
          </w:p>
        </w:tc>
        <w:tc>
          <w:tcPr>
            <w:tcW w:w="3155" w:type="dxa"/>
            <w:vAlign w:val="center"/>
          </w:tcPr>
          <w:p w14:paraId="3F63B82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砼试模专用</w:t>
            </w:r>
          </w:p>
        </w:tc>
        <w:tc>
          <w:tcPr>
            <w:tcW w:w="1323" w:type="dxa"/>
            <w:vAlign w:val="center"/>
          </w:tcPr>
          <w:p w14:paraId="5A415A4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4301C4A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8144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E6E848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压力机</w:t>
            </w:r>
          </w:p>
        </w:tc>
        <w:tc>
          <w:tcPr>
            <w:tcW w:w="3155" w:type="dxa"/>
            <w:vAlign w:val="center"/>
          </w:tcPr>
          <w:p w14:paraId="622A52C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2000kN</w:t>
            </w:r>
          </w:p>
        </w:tc>
        <w:tc>
          <w:tcPr>
            <w:tcW w:w="1323" w:type="dxa"/>
            <w:vAlign w:val="center"/>
          </w:tcPr>
          <w:p w14:paraId="3934402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457E4E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CD49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DD03AF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砼坍落度仪</w:t>
            </w:r>
          </w:p>
        </w:tc>
        <w:tc>
          <w:tcPr>
            <w:tcW w:w="3155" w:type="dxa"/>
            <w:vAlign w:val="center"/>
          </w:tcPr>
          <w:p w14:paraId="4C85354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TLY-1 型</w:t>
            </w:r>
          </w:p>
        </w:tc>
        <w:tc>
          <w:tcPr>
            <w:tcW w:w="1323" w:type="dxa"/>
            <w:vAlign w:val="center"/>
          </w:tcPr>
          <w:p w14:paraId="28DB777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5B4D730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4E13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204F75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砼拌和机</w:t>
            </w:r>
          </w:p>
        </w:tc>
        <w:tc>
          <w:tcPr>
            <w:tcW w:w="3155" w:type="dxa"/>
            <w:vAlign w:val="center"/>
          </w:tcPr>
          <w:p w14:paraId="76827FE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60L</w:t>
            </w:r>
          </w:p>
        </w:tc>
        <w:tc>
          <w:tcPr>
            <w:tcW w:w="1323" w:type="dxa"/>
            <w:vAlign w:val="center"/>
          </w:tcPr>
          <w:p w14:paraId="76B20A1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7B504C4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335AD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84D2DE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砼振实台</w:t>
            </w:r>
          </w:p>
        </w:tc>
        <w:tc>
          <w:tcPr>
            <w:tcW w:w="3155" w:type="dxa"/>
            <w:vAlign w:val="center"/>
          </w:tcPr>
          <w:p w14:paraId="3922302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国标规格</w:t>
            </w:r>
          </w:p>
        </w:tc>
        <w:tc>
          <w:tcPr>
            <w:tcW w:w="1323" w:type="dxa"/>
            <w:vAlign w:val="center"/>
          </w:tcPr>
          <w:p w14:paraId="0B0B28D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3DFEF503">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33B6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B640A4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砼抗折机</w:t>
            </w:r>
          </w:p>
        </w:tc>
        <w:tc>
          <w:tcPr>
            <w:tcW w:w="3155" w:type="dxa"/>
            <w:vAlign w:val="center"/>
          </w:tcPr>
          <w:p w14:paraId="69D3645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砼抗折强度试验专用</w:t>
            </w:r>
          </w:p>
        </w:tc>
        <w:tc>
          <w:tcPr>
            <w:tcW w:w="1323" w:type="dxa"/>
            <w:vAlign w:val="center"/>
          </w:tcPr>
          <w:p w14:paraId="4B46C4E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15ABC263">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598CF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425" w:type="dxa"/>
            <w:vAlign w:val="center"/>
          </w:tcPr>
          <w:p w14:paraId="70C9DA75">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砼抗压试模</w:t>
            </w:r>
          </w:p>
        </w:tc>
        <w:tc>
          <w:tcPr>
            <w:tcW w:w="3155" w:type="dxa"/>
            <w:vAlign w:val="center"/>
          </w:tcPr>
          <w:p w14:paraId="2A59C415">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150×150×150mm</w:t>
            </w:r>
          </w:p>
        </w:tc>
        <w:tc>
          <w:tcPr>
            <w:tcW w:w="1323" w:type="dxa"/>
            <w:vAlign w:val="center"/>
          </w:tcPr>
          <w:p w14:paraId="23A8F86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组</w:t>
            </w:r>
          </w:p>
        </w:tc>
        <w:tc>
          <w:tcPr>
            <w:tcW w:w="2385" w:type="dxa"/>
            <w:vAlign w:val="center"/>
          </w:tcPr>
          <w:p w14:paraId="09A799E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8</w:t>
            </w:r>
          </w:p>
        </w:tc>
      </w:tr>
      <w:tr w14:paraId="32FC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AB87AF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砼抗折试模</w:t>
            </w:r>
          </w:p>
        </w:tc>
        <w:tc>
          <w:tcPr>
            <w:tcW w:w="3155" w:type="dxa"/>
            <w:vAlign w:val="center"/>
          </w:tcPr>
          <w:p w14:paraId="42671E5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150×150×550mm</w:t>
            </w:r>
          </w:p>
        </w:tc>
        <w:tc>
          <w:tcPr>
            <w:tcW w:w="1323" w:type="dxa"/>
            <w:vAlign w:val="center"/>
          </w:tcPr>
          <w:p w14:paraId="29FCBFCF">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组</w:t>
            </w:r>
          </w:p>
        </w:tc>
        <w:tc>
          <w:tcPr>
            <w:tcW w:w="2385" w:type="dxa"/>
            <w:vAlign w:val="center"/>
          </w:tcPr>
          <w:p w14:paraId="5D45D69D">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3</w:t>
            </w:r>
          </w:p>
        </w:tc>
      </w:tr>
      <w:tr w14:paraId="67AAF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5DD4D14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砼贯入阻力仪</w:t>
            </w:r>
          </w:p>
        </w:tc>
        <w:tc>
          <w:tcPr>
            <w:tcW w:w="3155" w:type="dxa"/>
            <w:vAlign w:val="center"/>
          </w:tcPr>
          <w:p w14:paraId="73914E8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砼凝结时间测定</w:t>
            </w:r>
          </w:p>
        </w:tc>
        <w:tc>
          <w:tcPr>
            <w:tcW w:w="1323" w:type="dxa"/>
            <w:vAlign w:val="center"/>
          </w:tcPr>
          <w:p w14:paraId="1556EEB3">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2A031F5A">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5D1F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554E4B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净浆稠度仪（维卡仪）</w:t>
            </w:r>
          </w:p>
        </w:tc>
        <w:tc>
          <w:tcPr>
            <w:tcW w:w="3155" w:type="dxa"/>
            <w:vAlign w:val="center"/>
          </w:tcPr>
          <w:p w14:paraId="79FAFDA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水泥标准稠度测定</w:t>
            </w:r>
          </w:p>
        </w:tc>
        <w:tc>
          <w:tcPr>
            <w:tcW w:w="1323" w:type="dxa"/>
            <w:vAlign w:val="center"/>
          </w:tcPr>
          <w:p w14:paraId="09E3D82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5B5CDE6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0CFB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FCE302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雷氏夹</w:t>
            </w:r>
          </w:p>
        </w:tc>
        <w:tc>
          <w:tcPr>
            <w:tcW w:w="3155" w:type="dxa"/>
            <w:vAlign w:val="center"/>
          </w:tcPr>
          <w:p w14:paraId="6512D91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水泥安定性试验</w:t>
            </w:r>
          </w:p>
        </w:tc>
        <w:tc>
          <w:tcPr>
            <w:tcW w:w="1323" w:type="dxa"/>
            <w:vAlign w:val="center"/>
          </w:tcPr>
          <w:p w14:paraId="60B21B6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1BA485E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175AE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A93B80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标准养护箱</w:t>
            </w:r>
          </w:p>
        </w:tc>
        <w:tc>
          <w:tcPr>
            <w:tcW w:w="3155" w:type="dxa"/>
            <w:vAlign w:val="center"/>
          </w:tcPr>
          <w:p w14:paraId="4B89CE65">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恒温恒湿型</w:t>
            </w:r>
          </w:p>
        </w:tc>
        <w:tc>
          <w:tcPr>
            <w:tcW w:w="1323" w:type="dxa"/>
            <w:vAlign w:val="center"/>
          </w:tcPr>
          <w:p w14:paraId="0D8161F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A8A51D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B920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B3AFBD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水泥电动抗折机</w:t>
            </w:r>
          </w:p>
        </w:tc>
        <w:tc>
          <w:tcPr>
            <w:tcW w:w="3155" w:type="dxa"/>
            <w:vAlign w:val="center"/>
          </w:tcPr>
          <w:p w14:paraId="0D5E7DA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水泥胶砂抗折试验</w:t>
            </w:r>
          </w:p>
        </w:tc>
        <w:tc>
          <w:tcPr>
            <w:tcW w:w="1323" w:type="dxa"/>
            <w:vAlign w:val="center"/>
          </w:tcPr>
          <w:p w14:paraId="4F46F22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BBC73E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5C858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398931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水泥细度负压筛</w:t>
            </w:r>
          </w:p>
        </w:tc>
        <w:tc>
          <w:tcPr>
            <w:tcW w:w="3155" w:type="dxa"/>
            <w:vAlign w:val="center"/>
          </w:tcPr>
          <w:p w14:paraId="2A32BC58">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国标型</w:t>
            </w:r>
          </w:p>
        </w:tc>
        <w:tc>
          <w:tcPr>
            <w:tcW w:w="1323" w:type="dxa"/>
            <w:vAlign w:val="center"/>
          </w:tcPr>
          <w:p w14:paraId="0957432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CB17B33">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48E6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DB540F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水泥比表面积仪</w:t>
            </w:r>
          </w:p>
        </w:tc>
        <w:tc>
          <w:tcPr>
            <w:tcW w:w="3155" w:type="dxa"/>
            <w:vAlign w:val="center"/>
          </w:tcPr>
          <w:p w14:paraId="34DCC42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勃氏法</w:t>
            </w:r>
          </w:p>
        </w:tc>
        <w:tc>
          <w:tcPr>
            <w:tcW w:w="1323" w:type="dxa"/>
            <w:vAlign w:val="center"/>
          </w:tcPr>
          <w:p w14:paraId="7C4F050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122535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195A1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3AF425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水泥沸煮箱</w:t>
            </w:r>
          </w:p>
        </w:tc>
        <w:tc>
          <w:tcPr>
            <w:tcW w:w="3155" w:type="dxa"/>
            <w:vAlign w:val="center"/>
          </w:tcPr>
          <w:p w14:paraId="4DCCD63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水泥安定性试验</w:t>
            </w:r>
          </w:p>
        </w:tc>
        <w:tc>
          <w:tcPr>
            <w:tcW w:w="1323" w:type="dxa"/>
            <w:vAlign w:val="center"/>
          </w:tcPr>
          <w:p w14:paraId="7BEA566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F8FE2F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0752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7EAAB8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砼含气量测定仪</w:t>
            </w:r>
          </w:p>
        </w:tc>
        <w:tc>
          <w:tcPr>
            <w:tcW w:w="3155" w:type="dxa"/>
            <w:vAlign w:val="center"/>
          </w:tcPr>
          <w:p w14:paraId="35BE706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混凝土含气量检测</w:t>
            </w:r>
          </w:p>
        </w:tc>
        <w:tc>
          <w:tcPr>
            <w:tcW w:w="1323" w:type="dxa"/>
            <w:vAlign w:val="center"/>
          </w:tcPr>
          <w:p w14:paraId="0FFB973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4893418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F39F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2425" w:type="dxa"/>
            <w:vAlign w:val="center"/>
          </w:tcPr>
          <w:p w14:paraId="3C75EE87">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水泥软练试模</w:t>
            </w:r>
          </w:p>
        </w:tc>
        <w:tc>
          <w:tcPr>
            <w:tcW w:w="3155" w:type="dxa"/>
            <w:vAlign w:val="center"/>
          </w:tcPr>
          <w:p w14:paraId="01823B1C">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40×40×160mm</w:t>
            </w:r>
          </w:p>
        </w:tc>
        <w:tc>
          <w:tcPr>
            <w:tcW w:w="1323" w:type="dxa"/>
            <w:vAlign w:val="center"/>
          </w:tcPr>
          <w:p w14:paraId="69145BB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组</w:t>
            </w:r>
          </w:p>
        </w:tc>
        <w:tc>
          <w:tcPr>
            <w:tcW w:w="2385" w:type="dxa"/>
            <w:vAlign w:val="center"/>
          </w:tcPr>
          <w:p w14:paraId="46C933D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CD46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959044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水泥净浆搅拌机</w:t>
            </w:r>
          </w:p>
        </w:tc>
        <w:tc>
          <w:tcPr>
            <w:tcW w:w="3155" w:type="dxa"/>
            <w:vAlign w:val="center"/>
          </w:tcPr>
          <w:p w14:paraId="5AD1BD9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国标型</w:t>
            </w:r>
          </w:p>
        </w:tc>
        <w:tc>
          <w:tcPr>
            <w:tcW w:w="1323" w:type="dxa"/>
            <w:vAlign w:val="center"/>
          </w:tcPr>
          <w:p w14:paraId="5E41A5D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5111A10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8C95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9DEBB8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水泥胶砂搅拌机</w:t>
            </w:r>
          </w:p>
        </w:tc>
        <w:tc>
          <w:tcPr>
            <w:tcW w:w="3155" w:type="dxa"/>
            <w:vAlign w:val="center"/>
          </w:tcPr>
          <w:p w14:paraId="3ACF20C3">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国标型</w:t>
            </w:r>
          </w:p>
        </w:tc>
        <w:tc>
          <w:tcPr>
            <w:tcW w:w="1323" w:type="dxa"/>
            <w:vAlign w:val="center"/>
          </w:tcPr>
          <w:p w14:paraId="4CA9E1F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30C3D22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D57E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3C6CBC9">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水泥胶砂振实台</w:t>
            </w:r>
          </w:p>
        </w:tc>
        <w:tc>
          <w:tcPr>
            <w:tcW w:w="3155" w:type="dxa"/>
            <w:vAlign w:val="center"/>
          </w:tcPr>
          <w:p w14:paraId="0DFDCE0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国标型</w:t>
            </w:r>
          </w:p>
        </w:tc>
        <w:tc>
          <w:tcPr>
            <w:tcW w:w="1323" w:type="dxa"/>
            <w:vAlign w:val="center"/>
          </w:tcPr>
          <w:p w14:paraId="35E9E81D">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17BD380B">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2244F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152F22EF">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砂浆稠度仪</w:t>
            </w:r>
          </w:p>
        </w:tc>
        <w:tc>
          <w:tcPr>
            <w:tcW w:w="3155" w:type="dxa"/>
            <w:vAlign w:val="center"/>
          </w:tcPr>
          <w:p w14:paraId="629A418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砂浆稠度检测</w:t>
            </w:r>
          </w:p>
        </w:tc>
        <w:tc>
          <w:tcPr>
            <w:tcW w:w="1323" w:type="dxa"/>
            <w:vAlign w:val="center"/>
          </w:tcPr>
          <w:p w14:paraId="6A5651EE">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4B60A84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F7BE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8BFC564">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水泥抗压夹具</w:t>
            </w:r>
          </w:p>
        </w:tc>
        <w:tc>
          <w:tcPr>
            <w:tcW w:w="3155" w:type="dxa"/>
            <w:vAlign w:val="center"/>
          </w:tcPr>
          <w:p w14:paraId="40F67B70">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配套压力机使用</w:t>
            </w:r>
          </w:p>
        </w:tc>
        <w:tc>
          <w:tcPr>
            <w:tcW w:w="1323" w:type="dxa"/>
            <w:vAlign w:val="center"/>
          </w:tcPr>
          <w:p w14:paraId="167E538C">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5A4ED316">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C7AC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97A86EB">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砼回弹仪</w:t>
            </w:r>
          </w:p>
        </w:tc>
        <w:tc>
          <w:tcPr>
            <w:tcW w:w="3155" w:type="dxa"/>
            <w:vAlign w:val="center"/>
          </w:tcPr>
          <w:p w14:paraId="5F07A44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砼强度无损检测</w:t>
            </w:r>
          </w:p>
        </w:tc>
        <w:tc>
          <w:tcPr>
            <w:tcW w:w="1323" w:type="dxa"/>
            <w:vAlign w:val="center"/>
          </w:tcPr>
          <w:p w14:paraId="1CA25CF6">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2CD8BE3E">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7726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92C5CCF">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电子称</w:t>
            </w:r>
          </w:p>
        </w:tc>
        <w:tc>
          <w:tcPr>
            <w:tcW w:w="3155" w:type="dxa"/>
            <w:vAlign w:val="center"/>
          </w:tcPr>
          <w:p w14:paraId="3F34C261">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100kg/5g</w:t>
            </w:r>
          </w:p>
        </w:tc>
        <w:tc>
          <w:tcPr>
            <w:tcW w:w="1323" w:type="dxa"/>
            <w:vAlign w:val="center"/>
          </w:tcPr>
          <w:p w14:paraId="11DBFD5D">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2875E2C">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C81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F34A7B5">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石子筛、砂筛</w:t>
            </w:r>
          </w:p>
        </w:tc>
        <w:tc>
          <w:tcPr>
            <w:tcW w:w="3155" w:type="dxa"/>
            <w:vAlign w:val="center"/>
          </w:tcPr>
          <w:p w14:paraId="6B15074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全套国标方孔筛</w:t>
            </w:r>
          </w:p>
        </w:tc>
        <w:tc>
          <w:tcPr>
            <w:tcW w:w="1323" w:type="dxa"/>
            <w:vAlign w:val="center"/>
          </w:tcPr>
          <w:p w14:paraId="633A086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套</w:t>
            </w:r>
          </w:p>
        </w:tc>
        <w:tc>
          <w:tcPr>
            <w:tcW w:w="2385" w:type="dxa"/>
            <w:vAlign w:val="center"/>
          </w:tcPr>
          <w:p w14:paraId="09F597B5">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A1D6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2464972">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砂石标准筛</w:t>
            </w:r>
          </w:p>
        </w:tc>
        <w:tc>
          <w:tcPr>
            <w:tcW w:w="3155" w:type="dxa"/>
            <w:vAlign w:val="center"/>
          </w:tcPr>
          <w:p w14:paraId="0761297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全套集料筛</w:t>
            </w:r>
          </w:p>
        </w:tc>
        <w:tc>
          <w:tcPr>
            <w:tcW w:w="1323" w:type="dxa"/>
            <w:vAlign w:val="center"/>
          </w:tcPr>
          <w:p w14:paraId="63498376">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套</w:t>
            </w:r>
          </w:p>
        </w:tc>
        <w:tc>
          <w:tcPr>
            <w:tcW w:w="2385" w:type="dxa"/>
            <w:vAlign w:val="center"/>
          </w:tcPr>
          <w:p w14:paraId="334CBEAA">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11542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FA58EEF">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砂浆试模</w:t>
            </w:r>
          </w:p>
        </w:tc>
        <w:tc>
          <w:tcPr>
            <w:tcW w:w="3155" w:type="dxa"/>
            <w:vAlign w:val="center"/>
          </w:tcPr>
          <w:p w14:paraId="1C3CC935">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70.7×70.7×70.7mm</w:t>
            </w:r>
          </w:p>
        </w:tc>
        <w:tc>
          <w:tcPr>
            <w:tcW w:w="1323" w:type="dxa"/>
            <w:vAlign w:val="center"/>
          </w:tcPr>
          <w:p w14:paraId="5DE5C17F">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组</w:t>
            </w:r>
          </w:p>
        </w:tc>
        <w:tc>
          <w:tcPr>
            <w:tcW w:w="2385" w:type="dxa"/>
            <w:vAlign w:val="center"/>
          </w:tcPr>
          <w:p w14:paraId="19CAA71E">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6</w:t>
            </w:r>
          </w:p>
        </w:tc>
      </w:tr>
      <w:tr w14:paraId="4E11E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F27819E">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压碎指标值测定仪</w:t>
            </w:r>
          </w:p>
        </w:tc>
        <w:tc>
          <w:tcPr>
            <w:tcW w:w="3155" w:type="dxa"/>
            <w:vAlign w:val="center"/>
          </w:tcPr>
          <w:p w14:paraId="52DF0239">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集料压碎值试验</w:t>
            </w:r>
          </w:p>
        </w:tc>
        <w:tc>
          <w:tcPr>
            <w:tcW w:w="1323" w:type="dxa"/>
            <w:vAlign w:val="center"/>
          </w:tcPr>
          <w:p w14:paraId="2FD70DA8">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405F3D2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6F444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4506461">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振筛机</w:t>
            </w:r>
          </w:p>
        </w:tc>
        <w:tc>
          <w:tcPr>
            <w:tcW w:w="3155" w:type="dxa"/>
            <w:vAlign w:val="center"/>
          </w:tcPr>
          <w:p w14:paraId="43FF894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集料筛分专用</w:t>
            </w:r>
          </w:p>
        </w:tc>
        <w:tc>
          <w:tcPr>
            <w:tcW w:w="1323" w:type="dxa"/>
            <w:vAlign w:val="center"/>
          </w:tcPr>
          <w:p w14:paraId="3B22C1BD">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68F8B6CD">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E7C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4F90F03">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石料磨耗机</w:t>
            </w:r>
          </w:p>
        </w:tc>
        <w:tc>
          <w:tcPr>
            <w:tcW w:w="3155" w:type="dxa"/>
            <w:vAlign w:val="center"/>
          </w:tcPr>
          <w:p w14:paraId="7C30707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集料磨耗试验</w:t>
            </w:r>
          </w:p>
        </w:tc>
        <w:tc>
          <w:tcPr>
            <w:tcW w:w="1323" w:type="dxa"/>
            <w:vAlign w:val="center"/>
          </w:tcPr>
          <w:p w14:paraId="44F3EE98">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778D18A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56FF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120E3FF">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针片状规准仪</w:t>
            </w:r>
          </w:p>
        </w:tc>
        <w:tc>
          <w:tcPr>
            <w:tcW w:w="3155" w:type="dxa"/>
            <w:vAlign w:val="center"/>
          </w:tcPr>
          <w:p w14:paraId="657ADA7F">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集料针片状检测</w:t>
            </w:r>
          </w:p>
        </w:tc>
        <w:tc>
          <w:tcPr>
            <w:tcW w:w="1323" w:type="dxa"/>
            <w:vAlign w:val="center"/>
          </w:tcPr>
          <w:p w14:paraId="2902864A">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279BA0DA">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74B12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F115364">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游标卡尺</w:t>
            </w:r>
          </w:p>
        </w:tc>
        <w:tc>
          <w:tcPr>
            <w:tcW w:w="3155" w:type="dxa"/>
            <w:vAlign w:val="center"/>
          </w:tcPr>
          <w:p w14:paraId="573141D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300mm</w:t>
            </w:r>
          </w:p>
        </w:tc>
        <w:tc>
          <w:tcPr>
            <w:tcW w:w="1323" w:type="dxa"/>
            <w:vAlign w:val="center"/>
          </w:tcPr>
          <w:p w14:paraId="15099D60">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把</w:t>
            </w:r>
          </w:p>
        </w:tc>
        <w:tc>
          <w:tcPr>
            <w:tcW w:w="2385" w:type="dxa"/>
            <w:vAlign w:val="center"/>
          </w:tcPr>
          <w:p w14:paraId="6EB9C96D">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D9C4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0BD15E98">
            <w:pPr>
              <w:keepNext w:val="0"/>
              <w:keepLines w:val="0"/>
              <w:widowControl/>
              <w:suppressLineNumbers w:val="0"/>
              <w:jc w:val="center"/>
              <w:textAlignment w:val="center"/>
              <w:rPr>
                <w:color w:val="auto"/>
                <w:highlight w:val="none"/>
              </w:rPr>
            </w:pPr>
            <w:r>
              <w:rPr>
                <w:rFonts w:hint="eastAsia" w:ascii="宋体" w:hAnsi="宋体" w:eastAsia="宋体" w:cs="宋体"/>
                <w:i w:val="0"/>
                <w:iCs w:val="0"/>
                <w:snapToGrid w:val="0"/>
                <w:color w:val="auto"/>
                <w:kern w:val="0"/>
                <w:sz w:val="22"/>
                <w:szCs w:val="22"/>
                <w:highlight w:val="none"/>
                <w:u w:val="none"/>
                <w:lang w:val="en-US" w:eastAsia="zh-CN" w:bidi="ar"/>
              </w:rPr>
              <w:t>容积升</w:t>
            </w:r>
          </w:p>
        </w:tc>
        <w:tc>
          <w:tcPr>
            <w:tcW w:w="3155" w:type="dxa"/>
            <w:vAlign w:val="center"/>
          </w:tcPr>
          <w:p w14:paraId="2525B98D">
            <w:pPr>
              <w:keepNext w:val="0"/>
              <w:keepLines w:val="0"/>
              <w:widowControl/>
              <w:suppressLineNumbers w:val="0"/>
              <w:jc w:val="center"/>
              <w:textAlignment w:val="center"/>
              <w:rPr>
                <w:color w:val="auto"/>
                <w:highlight w:val="none"/>
              </w:rPr>
            </w:pPr>
            <w:r>
              <w:rPr>
                <w:rFonts w:hint="eastAsia" w:ascii="宋体" w:hAnsi="宋体" w:eastAsia="宋体" w:cs="宋体"/>
                <w:i w:val="0"/>
                <w:iCs w:val="0"/>
                <w:snapToGrid w:val="0"/>
                <w:color w:val="auto"/>
                <w:kern w:val="0"/>
                <w:sz w:val="22"/>
                <w:szCs w:val="22"/>
                <w:highlight w:val="none"/>
                <w:u w:val="none"/>
                <w:lang w:val="en-US" w:eastAsia="zh-CN" w:bidi="ar"/>
              </w:rPr>
              <w:t>集料表观密度试验</w:t>
            </w:r>
          </w:p>
        </w:tc>
        <w:tc>
          <w:tcPr>
            <w:tcW w:w="1323" w:type="dxa"/>
            <w:vAlign w:val="center"/>
          </w:tcPr>
          <w:p w14:paraId="24C36EE1">
            <w:pPr>
              <w:keepNext w:val="0"/>
              <w:keepLines w:val="0"/>
              <w:widowControl/>
              <w:suppressLineNumbers w:val="0"/>
              <w:jc w:val="center"/>
              <w:textAlignment w:val="center"/>
              <w:rPr>
                <w:color w:val="auto"/>
                <w:highlight w:val="none"/>
              </w:rPr>
            </w:pPr>
            <w:r>
              <w:rPr>
                <w:rFonts w:hint="eastAsia" w:ascii="宋体" w:hAnsi="宋体" w:eastAsia="宋体" w:cs="宋体"/>
                <w:i w:val="0"/>
                <w:iCs w:val="0"/>
                <w:snapToGrid w:val="0"/>
                <w:color w:val="auto"/>
                <w:kern w:val="0"/>
                <w:sz w:val="22"/>
                <w:szCs w:val="22"/>
                <w:highlight w:val="none"/>
                <w:u w:val="none"/>
                <w:lang w:val="en-US" w:eastAsia="zh-CN" w:bidi="ar"/>
              </w:rPr>
              <w:t>套</w:t>
            </w:r>
          </w:p>
        </w:tc>
        <w:tc>
          <w:tcPr>
            <w:tcW w:w="2385" w:type="dxa"/>
            <w:vAlign w:val="center"/>
          </w:tcPr>
          <w:p w14:paraId="46495A63">
            <w:pPr>
              <w:keepNext w:val="0"/>
              <w:keepLines w:val="0"/>
              <w:widowControl/>
              <w:suppressLineNumbers w:val="0"/>
              <w:jc w:val="center"/>
              <w:textAlignment w:val="center"/>
              <w:rPr>
                <w:color w:val="auto"/>
                <w:highlight w:val="none"/>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07767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425" w:type="dxa"/>
            <w:vAlign w:val="center"/>
          </w:tcPr>
          <w:p w14:paraId="587AA81B">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灌砂筒</w:t>
            </w:r>
          </w:p>
        </w:tc>
        <w:tc>
          <w:tcPr>
            <w:tcW w:w="3155" w:type="dxa"/>
            <w:vAlign w:val="center"/>
          </w:tcPr>
          <w:p w14:paraId="6F1126BB">
            <w:pPr>
              <w:keepNext w:val="0"/>
              <w:keepLines w:val="0"/>
              <w:widowControl/>
              <w:suppressLineNumbers w:val="0"/>
              <w:jc w:val="center"/>
              <w:textAlignment w:val="center"/>
              <w:rPr>
                <w:rFonts w:hint="default"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路基压实度检测（φ150mm）</w:t>
            </w:r>
          </w:p>
        </w:tc>
        <w:tc>
          <w:tcPr>
            <w:tcW w:w="1323" w:type="dxa"/>
            <w:vAlign w:val="center"/>
          </w:tcPr>
          <w:p w14:paraId="12D16A62">
            <w:pPr>
              <w:keepNext w:val="0"/>
              <w:keepLines w:val="0"/>
              <w:widowControl/>
              <w:suppressLineNumbers w:val="0"/>
              <w:jc w:val="center"/>
              <w:textAlignment w:val="center"/>
              <w:rPr>
                <w:rFonts w:hint="default"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套</w:t>
            </w:r>
          </w:p>
        </w:tc>
        <w:tc>
          <w:tcPr>
            <w:tcW w:w="2385" w:type="dxa"/>
            <w:vAlign w:val="center"/>
          </w:tcPr>
          <w:p w14:paraId="70493B40">
            <w:pPr>
              <w:keepNext w:val="0"/>
              <w:keepLines w:val="0"/>
              <w:widowControl/>
              <w:suppressLineNumbers w:val="0"/>
              <w:jc w:val="center"/>
              <w:textAlignment w:val="center"/>
              <w:rPr>
                <w:rFonts w:hint="eastAsia" w:ascii="Arial" w:hAnsi="Arial" w:eastAsia="Arial"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15D3C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4872A7D">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贝克曼梁弯沉仪</w:t>
            </w:r>
          </w:p>
        </w:tc>
        <w:tc>
          <w:tcPr>
            <w:tcW w:w="3155" w:type="dxa"/>
            <w:vAlign w:val="center"/>
          </w:tcPr>
          <w:p w14:paraId="73124772">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路面弯沉检测</w:t>
            </w:r>
          </w:p>
        </w:tc>
        <w:tc>
          <w:tcPr>
            <w:tcW w:w="1323" w:type="dxa"/>
            <w:vAlign w:val="center"/>
          </w:tcPr>
          <w:p w14:paraId="0947A4CB">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套</w:t>
            </w:r>
          </w:p>
        </w:tc>
        <w:tc>
          <w:tcPr>
            <w:tcW w:w="2385" w:type="dxa"/>
            <w:vAlign w:val="center"/>
          </w:tcPr>
          <w:p w14:paraId="2142DA3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4A030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EF69CA5">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逆反射系数测量仪</w:t>
            </w:r>
          </w:p>
        </w:tc>
        <w:tc>
          <w:tcPr>
            <w:tcW w:w="3155" w:type="dxa"/>
            <w:vAlign w:val="center"/>
          </w:tcPr>
          <w:p w14:paraId="57AB4EB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交通标志反光膜检测</w:t>
            </w:r>
          </w:p>
        </w:tc>
        <w:tc>
          <w:tcPr>
            <w:tcW w:w="1323" w:type="dxa"/>
            <w:vAlign w:val="center"/>
          </w:tcPr>
          <w:p w14:paraId="2E3C8D7C">
            <w:pPr>
              <w:keepNext w:val="0"/>
              <w:keepLines w:val="0"/>
              <w:widowControl/>
              <w:suppressLineNumbers w:val="0"/>
              <w:jc w:val="center"/>
              <w:textAlignment w:val="center"/>
              <w:rPr>
                <w:rFonts w:hint="eastAsia" w:ascii="Arial" w:hAnsi="Arial" w:eastAsia="宋体" w:cs="Arial"/>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71C661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r w14:paraId="17D37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783CE97A">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镀层涂层测厚仪</w:t>
            </w:r>
          </w:p>
        </w:tc>
        <w:tc>
          <w:tcPr>
            <w:tcW w:w="3155" w:type="dxa"/>
            <w:vAlign w:val="center"/>
          </w:tcPr>
          <w:p w14:paraId="3F9216F6">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护栏涂层厚度检测</w:t>
            </w:r>
          </w:p>
        </w:tc>
        <w:tc>
          <w:tcPr>
            <w:tcW w:w="1323" w:type="dxa"/>
            <w:vAlign w:val="center"/>
          </w:tcPr>
          <w:p w14:paraId="1F3C2CE4">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台</w:t>
            </w:r>
          </w:p>
        </w:tc>
        <w:tc>
          <w:tcPr>
            <w:tcW w:w="2385" w:type="dxa"/>
            <w:vAlign w:val="center"/>
          </w:tcPr>
          <w:p w14:paraId="096D1B3E">
            <w:pPr>
              <w:keepNext w:val="0"/>
              <w:keepLines w:val="0"/>
              <w:widowControl/>
              <w:suppressLineNumbers w:val="0"/>
              <w:jc w:val="center"/>
              <w:textAlignment w:val="center"/>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i w:val="0"/>
                <w:iCs w:val="0"/>
                <w:snapToGrid w:val="0"/>
                <w:color w:val="auto"/>
                <w:kern w:val="0"/>
                <w:sz w:val="22"/>
                <w:szCs w:val="22"/>
                <w:highlight w:val="none"/>
                <w:u w:val="none"/>
                <w:lang w:val="en-US" w:eastAsia="zh-CN" w:bidi="ar"/>
              </w:rPr>
              <w:t>1</w:t>
            </w:r>
          </w:p>
        </w:tc>
      </w:tr>
    </w:tbl>
    <w:p w14:paraId="3A11561A">
      <w:pPr>
        <w:spacing w:line="246" w:lineRule="auto"/>
        <w:rPr>
          <w:rFonts w:ascii="Arial"/>
          <w:color w:val="auto"/>
          <w:sz w:val="21"/>
          <w:highlight w:val="none"/>
        </w:rPr>
      </w:pPr>
    </w:p>
    <w:p w14:paraId="61CBB1DA">
      <w:pPr>
        <w:spacing w:line="246" w:lineRule="auto"/>
        <w:rPr>
          <w:rFonts w:ascii="Arial"/>
          <w:color w:val="auto"/>
          <w:sz w:val="21"/>
          <w:highlight w:val="none"/>
        </w:rPr>
      </w:pPr>
    </w:p>
    <w:p w14:paraId="6BEDB5C5">
      <w:pPr>
        <w:spacing w:line="246" w:lineRule="auto"/>
        <w:rPr>
          <w:rFonts w:ascii="Arial"/>
          <w:color w:val="auto"/>
          <w:sz w:val="21"/>
          <w:highlight w:val="none"/>
        </w:rPr>
      </w:pPr>
    </w:p>
    <w:p w14:paraId="0939D004">
      <w:pPr>
        <w:spacing w:line="246" w:lineRule="auto"/>
        <w:rPr>
          <w:rFonts w:ascii="Arial"/>
          <w:color w:val="auto"/>
          <w:sz w:val="21"/>
          <w:highlight w:val="none"/>
        </w:rPr>
      </w:pPr>
    </w:p>
    <w:p w14:paraId="5CC5A78B">
      <w:pPr>
        <w:spacing w:line="246" w:lineRule="auto"/>
        <w:rPr>
          <w:rFonts w:ascii="Arial"/>
          <w:color w:val="auto"/>
          <w:sz w:val="21"/>
          <w:highlight w:val="none"/>
        </w:rPr>
      </w:pPr>
    </w:p>
    <w:p w14:paraId="75242347">
      <w:pPr>
        <w:spacing w:line="247" w:lineRule="auto"/>
        <w:rPr>
          <w:rFonts w:ascii="Arial"/>
          <w:color w:val="auto"/>
          <w:sz w:val="21"/>
          <w:highlight w:val="none"/>
        </w:rPr>
      </w:pPr>
    </w:p>
    <w:p w14:paraId="6DD9FF9E">
      <w:pPr>
        <w:pStyle w:val="21"/>
        <w:rPr>
          <w:rFonts w:ascii="Arial"/>
          <w:color w:val="auto"/>
          <w:sz w:val="21"/>
          <w:highlight w:val="none"/>
        </w:rPr>
      </w:pPr>
    </w:p>
    <w:p w14:paraId="5CAC979E">
      <w:pPr>
        <w:pStyle w:val="21"/>
        <w:rPr>
          <w:rFonts w:ascii="Arial"/>
          <w:color w:val="auto"/>
          <w:sz w:val="21"/>
          <w:highlight w:val="none"/>
        </w:rPr>
      </w:pPr>
    </w:p>
    <w:p w14:paraId="458FFA96">
      <w:pPr>
        <w:pStyle w:val="21"/>
        <w:rPr>
          <w:rFonts w:ascii="Arial"/>
          <w:color w:val="auto"/>
          <w:sz w:val="21"/>
          <w:highlight w:val="none"/>
        </w:rPr>
      </w:pPr>
    </w:p>
    <w:p w14:paraId="44989605">
      <w:pPr>
        <w:pStyle w:val="21"/>
        <w:rPr>
          <w:rFonts w:ascii="Arial"/>
          <w:color w:val="auto"/>
          <w:sz w:val="21"/>
          <w:highlight w:val="none"/>
        </w:rPr>
      </w:pPr>
    </w:p>
    <w:p w14:paraId="4C7E2FB4">
      <w:pPr>
        <w:pStyle w:val="21"/>
        <w:rPr>
          <w:rFonts w:ascii="Arial"/>
          <w:color w:val="auto"/>
          <w:sz w:val="21"/>
          <w:highlight w:val="none"/>
        </w:rPr>
      </w:pPr>
    </w:p>
    <w:p w14:paraId="44B1E421">
      <w:pPr>
        <w:pStyle w:val="21"/>
        <w:rPr>
          <w:rFonts w:ascii="Arial"/>
          <w:color w:val="auto"/>
          <w:sz w:val="21"/>
          <w:highlight w:val="none"/>
        </w:rPr>
      </w:pPr>
    </w:p>
    <w:p w14:paraId="79370366">
      <w:pPr>
        <w:pStyle w:val="21"/>
        <w:rPr>
          <w:rFonts w:ascii="Arial"/>
          <w:color w:val="auto"/>
          <w:sz w:val="21"/>
          <w:highlight w:val="none"/>
        </w:rPr>
      </w:pPr>
    </w:p>
    <w:p w14:paraId="47124CE8">
      <w:pPr>
        <w:pStyle w:val="21"/>
        <w:rPr>
          <w:rFonts w:ascii="Arial"/>
          <w:color w:val="auto"/>
          <w:sz w:val="21"/>
          <w:highlight w:val="none"/>
        </w:rPr>
      </w:pPr>
    </w:p>
    <w:p w14:paraId="6D1B70CD">
      <w:pPr>
        <w:pStyle w:val="21"/>
        <w:rPr>
          <w:rFonts w:ascii="Arial"/>
          <w:color w:val="auto"/>
          <w:sz w:val="21"/>
          <w:highlight w:val="none"/>
        </w:rPr>
      </w:pPr>
    </w:p>
    <w:p w14:paraId="753B61B3">
      <w:pPr>
        <w:pStyle w:val="21"/>
        <w:rPr>
          <w:rFonts w:ascii="Arial"/>
          <w:color w:val="auto"/>
          <w:sz w:val="21"/>
          <w:highlight w:val="none"/>
        </w:rPr>
      </w:pPr>
    </w:p>
    <w:p w14:paraId="16E302FA">
      <w:pPr>
        <w:pStyle w:val="21"/>
        <w:rPr>
          <w:rFonts w:ascii="Arial"/>
          <w:color w:val="auto"/>
          <w:sz w:val="21"/>
          <w:highlight w:val="none"/>
        </w:rPr>
      </w:pPr>
    </w:p>
    <w:p w14:paraId="2508E718">
      <w:pPr>
        <w:pStyle w:val="21"/>
        <w:rPr>
          <w:rFonts w:ascii="Arial"/>
          <w:color w:val="auto"/>
          <w:sz w:val="21"/>
          <w:highlight w:val="none"/>
        </w:rPr>
      </w:pPr>
    </w:p>
    <w:p w14:paraId="23D90282">
      <w:pPr>
        <w:pStyle w:val="21"/>
        <w:rPr>
          <w:rFonts w:ascii="Arial"/>
          <w:color w:val="auto"/>
          <w:sz w:val="21"/>
          <w:highlight w:val="none"/>
        </w:rPr>
      </w:pPr>
    </w:p>
    <w:p w14:paraId="0CD75D4B">
      <w:pPr>
        <w:pStyle w:val="21"/>
        <w:rPr>
          <w:rFonts w:ascii="Arial"/>
          <w:color w:val="auto"/>
          <w:sz w:val="21"/>
          <w:highlight w:val="none"/>
        </w:rPr>
      </w:pPr>
    </w:p>
    <w:p w14:paraId="048055BA">
      <w:pPr>
        <w:pStyle w:val="21"/>
        <w:rPr>
          <w:rFonts w:ascii="Arial"/>
          <w:color w:val="auto"/>
          <w:sz w:val="21"/>
          <w:highlight w:val="none"/>
        </w:rPr>
      </w:pPr>
    </w:p>
    <w:p w14:paraId="219A4CD5">
      <w:pPr>
        <w:pStyle w:val="21"/>
        <w:rPr>
          <w:rFonts w:ascii="Arial"/>
          <w:color w:val="auto"/>
          <w:sz w:val="21"/>
          <w:highlight w:val="none"/>
        </w:rPr>
      </w:pPr>
    </w:p>
    <w:p w14:paraId="3977DAD2">
      <w:pPr>
        <w:pStyle w:val="21"/>
        <w:rPr>
          <w:rFonts w:ascii="Arial"/>
          <w:color w:val="auto"/>
          <w:sz w:val="21"/>
          <w:highlight w:val="none"/>
        </w:rPr>
      </w:pPr>
    </w:p>
    <w:p w14:paraId="3E1D2745">
      <w:pPr>
        <w:pStyle w:val="21"/>
        <w:rPr>
          <w:rFonts w:ascii="Arial"/>
          <w:color w:val="auto"/>
          <w:sz w:val="21"/>
          <w:highlight w:val="none"/>
        </w:rPr>
      </w:pPr>
    </w:p>
    <w:p w14:paraId="5564E339">
      <w:pPr>
        <w:pStyle w:val="21"/>
        <w:rPr>
          <w:rFonts w:ascii="Arial"/>
          <w:color w:val="auto"/>
          <w:sz w:val="21"/>
          <w:highlight w:val="none"/>
        </w:rPr>
      </w:pPr>
    </w:p>
    <w:p w14:paraId="7F6F73B6">
      <w:pPr>
        <w:pStyle w:val="21"/>
        <w:rPr>
          <w:rFonts w:ascii="Arial"/>
          <w:color w:val="auto"/>
          <w:sz w:val="21"/>
          <w:highlight w:val="none"/>
        </w:rPr>
      </w:pPr>
    </w:p>
    <w:p w14:paraId="43A0634B">
      <w:pPr>
        <w:spacing w:before="190" w:line="227" w:lineRule="auto"/>
        <w:jc w:val="left"/>
        <w:outlineLvl w:val="1"/>
        <w:rPr>
          <w:rFonts w:ascii="宋体" w:hAnsi="宋体" w:eastAsia="宋体" w:cs="宋体"/>
          <w:b/>
          <w:bCs/>
          <w:color w:val="auto"/>
          <w:spacing w:val="7"/>
          <w:sz w:val="20"/>
          <w:szCs w:val="20"/>
          <w:highlight w:val="none"/>
        </w:rPr>
      </w:pPr>
      <w:bookmarkStart w:id="714" w:name="bookmark152"/>
      <w:bookmarkEnd w:id="714"/>
      <w:bookmarkStart w:id="715" w:name="_Toc6115"/>
      <w:bookmarkStart w:id="716" w:name="_Toc16489"/>
      <w:bookmarkStart w:id="717" w:name="_Toc15222"/>
      <w:bookmarkStart w:id="718" w:name="_Toc3774"/>
      <w:r>
        <w:rPr>
          <w:rFonts w:ascii="宋体" w:hAnsi="宋体" w:eastAsia="宋体" w:cs="宋体"/>
          <w:b/>
          <w:bCs/>
          <w:color w:val="auto"/>
          <w:spacing w:val="7"/>
          <w:sz w:val="20"/>
          <w:szCs w:val="20"/>
          <w:highlight w:val="none"/>
        </w:rPr>
        <w:t>附件五：主要生活办公设施最低要求</w:t>
      </w:r>
      <w:bookmarkEnd w:id="715"/>
      <w:bookmarkEnd w:id="716"/>
      <w:bookmarkEnd w:id="717"/>
      <w:bookmarkEnd w:id="718"/>
    </w:p>
    <w:p w14:paraId="0A16C590">
      <w:pPr>
        <w:spacing w:line="29" w:lineRule="exact"/>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4896"/>
        <w:gridCol w:w="1050"/>
        <w:gridCol w:w="2164"/>
      </w:tblGrid>
      <w:tr w14:paraId="0EB5D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55C9F51D">
            <w:pPr>
              <w:pStyle w:val="23"/>
              <w:spacing w:before="163" w:line="217" w:lineRule="auto"/>
              <w:ind w:left="384"/>
              <w:rPr>
                <w:color w:val="auto"/>
                <w:highlight w:val="none"/>
              </w:rPr>
            </w:pPr>
            <w:r>
              <w:rPr>
                <w:b/>
                <w:bCs/>
                <w:color w:val="auto"/>
                <w:spacing w:val="4"/>
                <w:highlight w:val="none"/>
              </w:rPr>
              <w:t>序号</w:t>
            </w:r>
          </w:p>
        </w:tc>
        <w:tc>
          <w:tcPr>
            <w:tcW w:w="4896" w:type="dxa"/>
            <w:vAlign w:val="top"/>
          </w:tcPr>
          <w:p w14:paraId="70D98F0F">
            <w:pPr>
              <w:pStyle w:val="23"/>
              <w:spacing w:before="163" w:line="217" w:lineRule="auto"/>
              <w:ind w:left="1718"/>
              <w:rPr>
                <w:color w:val="auto"/>
                <w:highlight w:val="none"/>
              </w:rPr>
            </w:pPr>
            <w:r>
              <w:rPr>
                <w:b/>
                <w:bCs/>
                <w:color w:val="auto"/>
                <w:spacing w:val="6"/>
                <w:highlight w:val="none"/>
              </w:rPr>
              <w:t>设备与设施名称</w:t>
            </w:r>
          </w:p>
        </w:tc>
        <w:tc>
          <w:tcPr>
            <w:tcW w:w="1050" w:type="dxa"/>
            <w:vAlign w:val="top"/>
          </w:tcPr>
          <w:p w14:paraId="38BE4A1F">
            <w:pPr>
              <w:pStyle w:val="23"/>
              <w:spacing w:before="163" w:line="217" w:lineRule="auto"/>
              <w:ind w:left="322"/>
              <w:rPr>
                <w:color w:val="auto"/>
                <w:highlight w:val="none"/>
              </w:rPr>
            </w:pPr>
            <w:r>
              <w:rPr>
                <w:b/>
                <w:bCs/>
                <w:color w:val="auto"/>
                <w:spacing w:val="3"/>
                <w:highlight w:val="none"/>
              </w:rPr>
              <w:t>单位</w:t>
            </w:r>
          </w:p>
        </w:tc>
        <w:tc>
          <w:tcPr>
            <w:tcW w:w="2164" w:type="dxa"/>
            <w:vAlign w:val="top"/>
          </w:tcPr>
          <w:p w14:paraId="4B696A8F">
            <w:pPr>
              <w:pStyle w:val="23"/>
              <w:spacing w:before="163" w:line="217" w:lineRule="auto"/>
              <w:ind w:left="667"/>
              <w:rPr>
                <w:color w:val="auto"/>
                <w:highlight w:val="none"/>
              </w:rPr>
            </w:pPr>
            <w:r>
              <w:rPr>
                <w:b/>
                <w:bCs/>
                <w:color w:val="auto"/>
                <w:spacing w:val="6"/>
                <w:highlight w:val="none"/>
              </w:rPr>
              <w:t>数量要求</w:t>
            </w:r>
          </w:p>
        </w:tc>
      </w:tr>
      <w:tr w14:paraId="718A6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290" w:type="dxa"/>
            <w:gridSpan w:val="4"/>
            <w:vAlign w:val="top"/>
          </w:tcPr>
          <w:p w14:paraId="2448535F">
            <w:pPr>
              <w:pStyle w:val="23"/>
              <w:spacing w:before="160" w:line="216" w:lineRule="auto"/>
              <w:ind w:left="4024"/>
              <w:rPr>
                <w:color w:val="auto"/>
                <w:highlight w:val="none"/>
              </w:rPr>
            </w:pPr>
            <w:r>
              <w:rPr>
                <w:color w:val="auto"/>
                <w:spacing w:val="7"/>
                <w:highlight w:val="none"/>
              </w:rPr>
              <w:t>一、办公设备</w:t>
            </w:r>
          </w:p>
        </w:tc>
      </w:tr>
      <w:tr w14:paraId="3EB43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5A2A191E">
            <w:pPr>
              <w:pStyle w:val="23"/>
              <w:spacing w:before="161" w:line="215" w:lineRule="auto"/>
              <w:ind w:left="559"/>
              <w:rPr>
                <w:color w:val="auto"/>
                <w:highlight w:val="none"/>
              </w:rPr>
            </w:pPr>
            <w:r>
              <w:rPr>
                <w:color w:val="auto"/>
                <w:highlight w:val="none"/>
              </w:rPr>
              <w:t>1</w:t>
            </w:r>
          </w:p>
        </w:tc>
        <w:tc>
          <w:tcPr>
            <w:tcW w:w="4896" w:type="dxa"/>
            <w:vAlign w:val="top"/>
          </w:tcPr>
          <w:p w14:paraId="1CF99CA5">
            <w:pPr>
              <w:pStyle w:val="23"/>
              <w:spacing w:before="161" w:line="215" w:lineRule="auto"/>
              <w:ind w:left="1943"/>
              <w:rPr>
                <w:color w:val="auto"/>
                <w:highlight w:val="none"/>
              </w:rPr>
            </w:pPr>
            <w:r>
              <w:rPr>
                <w:color w:val="auto"/>
                <w:spacing w:val="4"/>
                <w:highlight w:val="none"/>
              </w:rPr>
              <w:t>台式计算机</w:t>
            </w:r>
          </w:p>
        </w:tc>
        <w:tc>
          <w:tcPr>
            <w:tcW w:w="1050" w:type="dxa"/>
            <w:vAlign w:val="top"/>
          </w:tcPr>
          <w:p w14:paraId="060D13B6">
            <w:pPr>
              <w:pStyle w:val="23"/>
              <w:spacing w:before="161" w:line="215" w:lineRule="auto"/>
              <w:ind w:left="443"/>
              <w:rPr>
                <w:color w:val="auto"/>
                <w:highlight w:val="none"/>
              </w:rPr>
            </w:pPr>
            <w:r>
              <w:rPr>
                <w:color w:val="auto"/>
                <w:highlight w:val="none"/>
              </w:rPr>
              <w:t>台</w:t>
            </w:r>
          </w:p>
        </w:tc>
        <w:tc>
          <w:tcPr>
            <w:tcW w:w="2164" w:type="dxa"/>
            <w:vAlign w:val="center"/>
          </w:tcPr>
          <w:p w14:paraId="356E36A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2</w:t>
            </w:r>
          </w:p>
        </w:tc>
      </w:tr>
      <w:tr w14:paraId="717C3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6BE8EBFC">
            <w:pPr>
              <w:pStyle w:val="23"/>
              <w:spacing w:before="162" w:line="214" w:lineRule="auto"/>
              <w:ind w:left="546"/>
              <w:rPr>
                <w:color w:val="auto"/>
                <w:highlight w:val="none"/>
              </w:rPr>
            </w:pPr>
            <w:r>
              <w:rPr>
                <w:color w:val="auto"/>
                <w:highlight w:val="none"/>
              </w:rPr>
              <w:t>2</w:t>
            </w:r>
          </w:p>
        </w:tc>
        <w:tc>
          <w:tcPr>
            <w:tcW w:w="4896" w:type="dxa"/>
            <w:vAlign w:val="top"/>
          </w:tcPr>
          <w:p w14:paraId="020C7E69">
            <w:pPr>
              <w:pStyle w:val="23"/>
              <w:spacing w:before="162" w:line="214" w:lineRule="auto"/>
              <w:ind w:left="1930"/>
              <w:rPr>
                <w:color w:val="auto"/>
                <w:highlight w:val="none"/>
              </w:rPr>
            </w:pPr>
            <w:r>
              <w:rPr>
                <w:color w:val="auto"/>
                <w:spacing w:val="7"/>
                <w:highlight w:val="none"/>
              </w:rPr>
              <w:t>笔记本电脑</w:t>
            </w:r>
          </w:p>
        </w:tc>
        <w:tc>
          <w:tcPr>
            <w:tcW w:w="1050" w:type="dxa"/>
            <w:vAlign w:val="top"/>
          </w:tcPr>
          <w:p w14:paraId="423D2DF1">
            <w:pPr>
              <w:pStyle w:val="23"/>
              <w:spacing w:before="162" w:line="214" w:lineRule="auto"/>
              <w:ind w:left="443"/>
              <w:rPr>
                <w:color w:val="auto"/>
                <w:highlight w:val="none"/>
              </w:rPr>
            </w:pPr>
            <w:r>
              <w:rPr>
                <w:color w:val="auto"/>
                <w:highlight w:val="none"/>
              </w:rPr>
              <w:t>台</w:t>
            </w:r>
          </w:p>
        </w:tc>
        <w:tc>
          <w:tcPr>
            <w:tcW w:w="2164" w:type="dxa"/>
            <w:vAlign w:val="center"/>
          </w:tcPr>
          <w:p w14:paraId="421917D6">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r>
      <w:tr w14:paraId="28C0B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3E5914AF">
            <w:pPr>
              <w:pStyle w:val="23"/>
              <w:spacing w:before="164" w:line="212" w:lineRule="auto"/>
              <w:ind w:left="547"/>
              <w:rPr>
                <w:color w:val="auto"/>
                <w:highlight w:val="none"/>
              </w:rPr>
            </w:pPr>
            <w:r>
              <w:rPr>
                <w:color w:val="auto"/>
                <w:highlight w:val="none"/>
              </w:rPr>
              <w:t>3</w:t>
            </w:r>
          </w:p>
        </w:tc>
        <w:tc>
          <w:tcPr>
            <w:tcW w:w="4896" w:type="dxa"/>
            <w:vAlign w:val="top"/>
          </w:tcPr>
          <w:p w14:paraId="402396AF">
            <w:pPr>
              <w:pStyle w:val="23"/>
              <w:spacing w:before="164" w:line="212" w:lineRule="auto"/>
              <w:ind w:left="1742"/>
              <w:rPr>
                <w:color w:val="auto"/>
                <w:highlight w:val="none"/>
              </w:rPr>
            </w:pPr>
            <w:r>
              <w:rPr>
                <w:color w:val="auto"/>
                <w:spacing w:val="3"/>
                <w:highlight w:val="none"/>
              </w:rPr>
              <w:t>电话机（有线）</w:t>
            </w:r>
          </w:p>
        </w:tc>
        <w:tc>
          <w:tcPr>
            <w:tcW w:w="1050" w:type="dxa"/>
            <w:vAlign w:val="top"/>
          </w:tcPr>
          <w:p w14:paraId="25ED5C26">
            <w:pPr>
              <w:pStyle w:val="23"/>
              <w:spacing w:before="164" w:line="212" w:lineRule="auto"/>
              <w:ind w:left="443"/>
              <w:rPr>
                <w:color w:val="auto"/>
                <w:highlight w:val="none"/>
              </w:rPr>
            </w:pPr>
            <w:r>
              <w:rPr>
                <w:color w:val="auto"/>
                <w:highlight w:val="none"/>
              </w:rPr>
              <w:t>台</w:t>
            </w:r>
          </w:p>
        </w:tc>
        <w:tc>
          <w:tcPr>
            <w:tcW w:w="2164" w:type="dxa"/>
            <w:vAlign w:val="center"/>
          </w:tcPr>
          <w:p w14:paraId="3DD520FA">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346D1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E6B6150">
            <w:pPr>
              <w:pStyle w:val="23"/>
              <w:spacing w:before="165" w:line="212" w:lineRule="auto"/>
              <w:ind w:left="542"/>
              <w:rPr>
                <w:color w:val="auto"/>
                <w:highlight w:val="none"/>
              </w:rPr>
            </w:pPr>
            <w:r>
              <w:rPr>
                <w:color w:val="auto"/>
                <w:highlight w:val="none"/>
              </w:rPr>
              <w:t>4</w:t>
            </w:r>
          </w:p>
        </w:tc>
        <w:tc>
          <w:tcPr>
            <w:tcW w:w="4896" w:type="dxa"/>
            <w:vAlign w:val="top"/>
          </w:tcPr>
          <w:p w14:paraId="0FB5919A">
            <w:pPr>
              <w:pStyle w:val="23"/>
              <w:spacing w:before="165" w:line="212" w:lineRule="auto"/>
              <w:ind w:left="2136"/>
              <w:rPr>
                <w:color w:val="auto"/>
                <w:highlight w:val="none"/>
              </w:rPr>
            </w:pPr>
            <w:r>
              <w:rPr>
                <w:color w:val="auto"/>
                <w:spacing w:val="7"/>
                <w:highlight w:val="none"/>
              </w:rPr>
              <w:t>传真机</w:t>
            </w:r>
          </w:p>
        </w:tc>
        <w:tc>
          <w:tcPr>
            <w:tcW w:w="1050" w:type="dxa"/>
            <w:vAlign w:val="top"/>
          </w:tcPr>
          <w:p w14:paraId="1D17F877">
            <w:pPr>
              <w:pStyle w:val="23"/>
              <w:spacing w:before="165" w:line="212" w:lineRule="auto"/>
              <w:ind w:left="443"/>
              <w:rPr>
                <w:color w:val="auto"/>
                <w:highlight w:val="none"/>
              </w:rPr>
            </w:pPr>
            <w:r>
              <w:rPr>
                <w:color w:val="auto"/>
                <w:highlight w:val="none"/>
              </w:rPr>
              <w:t>台</w:t>
            </w:r>
          </w:p>
        </w:tc>
        <w:tc>
          <w:tcPr>
            <w:tcW w:w="2164" w:type="dxa"/>
            <w:vAlign w:val="center"/>
          </w:tcPr>
          <w:p w14:paraId="7FF2DFAD">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35C39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6B5D71D">
            <w:pPr>
              <w:pStyle w:val="23"/>
              <w:spacing w:before="163" w:line="214" w:lineRule="auto"/>
              <w:ind w:left="547"/>
              <w:rPr>
                <w:color w:val="auto"/>
                <w:highlight w:val="none"/>
              </w:rPr>
            </w:pPr>
            <w:r>
              <w:rPr>
                <w:color w:val="auto"/>
                <w:highlight w:val="none"/>
              </w:rPr>
              <w:t>5</w:t>
            </w:r>
          </w:p>
        </w:tc>
        <w:tc>
          <w:tcPr>
            <w:tcW w:w="4896" w:type="dxa"/>
            <w:vAlign w:val="top"/>
          </w:tcPr>
          <w:p w14:paraId="3224506F">
            <w:pPr>
              <w:pStyle w:val="23"/>
              <w:spacing w:before="163" w:line="214" w:lineRule="auto"/>
              <w:ind w:left="1925"/>
              <w:rPr>
                <w:color w:val="auto"/>
                <w:highlight w:val="none"/>
              </w:rPr>
            </w:pPr>
            <w:r>
              <w:rPr>
                <w:color w:val="auto"/>
                <w:spacing w:val="8"/>
                <w:highlight w:val="none"/>
              </w:rPr>
              <w:t>激光打印机</w:t>
            </w:r>
          </w:p>
        </w:tc>
        <w:tc>
          <w:tcPr>
            <w:tcW w:w="1050" w:type="dxa"/>
            <w:vAlign w:val="top"/>
          </w:tcPr>
          <w:p w14:paraId="1EB69B91">
            <w:pPr>
              <w:pStyle w:val="23"/>
              <w:spacing w:before="163" w:line="214" w:lineRule="auto"/>
              <w:ind w:left="443"/>
              <w:rPr>
                <w:color w:val="auto"/>
                <w:highlight w:val="none"/>
              </w:rPr>
            </w:pPr>
            <w:r>
              <w:rPr>
                <w:color w:val="auto"/>
                <w:highlight w:val="none"/>
              </w:rPr>
              <w:t>台</w:t>
            </w:r>
          </w:p>
        </w:tc>
        <w:tc>
          <w:tcPr>
            <w:tcW w:w="2164" w:type="dxa"/>
            <w:vAlign w:val="center"/>
          </w:tcPr>
          <w:p w14:paraId="363EE618">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5A174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435A069">
            <w:pPr>
              <w:pStyle w:val="23"/>
              <w:spacing w:before="164" w:line="213" w:lineRule="auto"/>
              <w:ind w:left="545"/>
              <w:rPr>
                <w:color w:val="auto"/>
                <w:highlight w:val="none"/>
              </w:rPr>
            </w:pPr>
            <w:r>
              <w:rPr>
                <w:color w:val="auto"/>
                <w:highlight w:val="none"/>
              </w:rPr>
              <w:t>6</w:t>
            </w:r>
          </w:p>
        </w:tc>
        <w:tc>
          <w:tcPr>
            <w:tcW w:w="4896" w:type="dxa"/>
            <w:vAlign w:val="top"/>
          </w:tcPr>
          <w:p w14:paraId="5DDB515C">
            <w:pPr>
              <w:pStyle w:val="23"/>
              <w:spacing w:before="164" w:line="213" w:lineRule="auto"/>
              <w:ind w:left="1272"/>
              <w:rPr>
                <w:color w:val="auto"/>
                <w:highlight w:val="none"/>
              </w:rPr>
            </w:pPr>
            <w:r>
              <w:rPr>
                <w:color w:val="auto"/>
                <w:spacing w:val="7"/>
                <w:highlight w:val="none"/>
              </w:rPr>
              <w:t>彩色扫描仪（可扫描</w:t>
            </w:r>
            <w:r>
              <w:rPr>
                <w:color w:val="auto"/>
                <w:spacing w:val="-43"/>
                <w:highlight w:val="none"/>
              </w:rPr>
              <w:t xml:space="preserve"> </w:t>
            </w:r>
            <w:r>
              <w:rPr>
                <w:color w:val="auto"/>
                <w:spacing w:val="7"/>
                <w:highlight w:val="none"/>
              </w:rPr>
              <w:t>A3）</w:t>
            </w:r>
          </w:p>
        </w:tc>
        <w:tc>
          <w:tcPr>
            <w:tcW w:w="1050" w:type="dxa"/>
            <w:vAlign w:val="top"/>
          </w:tcPr>
          <w:p w14:paraId="43A4EA03">
            <w:pPr>
              <w:pStyle w:val="23"/>
              <w:spacing w:before="164" w:line="213" w:lineRule="auto"/>
              <w:ind w:left="443"/>
              <w:rPr>
                <w:color w:val="auto"/>
                <w:highlight w:val="none"/>
              </w:rPr>
            </w:pPr>
            <w:r>
              <w:rPr>
                <w:color w:val="auto"/>
                <w:highlight w:val="none"/>
              </w:rPr>
              <w:t>台</w:t>
            </w:r>
          </w:p>
        </w:tc>
        <w:tc>
          <w:tcPr>
            <w:tcW w:w="2164" w:type="dxa"/>
            <w:vAlign w:val="center"/>
          </w:tcPr>
          <w:p w14:paraId="24D2A693">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72045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527A07FF">
            <w:pPr>
              <w:pStyle w:val="23"/>
              <w:spacing w:before="164" w:line="213" w:lineRule="auto"/>
              <w:ind w:left="548"/>
              <w:rPr>
                <w:color w:val="auto"/>
                <w:highlight w:val="none"/>
              </w:rPr>
            </w:pPr>
            <w:r>
              <w:rPr>
                <w:color w:val="auto"/>
                <w:highlight w:val="none"/>
              </w:rPr>
              <w:t>7</w:t>
            </w:r>
          </w:p>
        </w:tc>
        <w:tc>
          <w:tcPr>
            <w:tcW w:w="4896" w:type="dxa"/>
            <w:vAlign w:val="top"/>
          </w:tcPr>
          <w:p w14:paraId="32A66A91">
            <w:pPr>
              <w:pStyle w:val="23"/>
              <w:spacing w:before="164" w:line="213" w:lineRule="auto"/>
              <w:ind w:left="1928"/>
              <w:rPr>
                <w:color w:val="auto"/>
                <w:highlight w:val="none"/>
              </w:rPr>
            </w:pPr>
            <w:r>
              <w:rPr>
                <w:color w:val="auto"/>
                <w:spacing w:val="7"/>
                <w:highlight w:val="none"/>
              </w:rPr>
              <w:t>数码摄像机</w:t>
            </w:r>
          </w:p>
        </w:tc>
        <w:tc>
          <w:tcPr>
            <w:tcW w:w="1050" w:type="dxa"/>
            <w:vAlign w:val="top"/>
          </w:tcPr>
          <w:p w14:paraId="12EA7B8A">
            <w:pPr>
              <w:pStyle w:val="23"/>
              <w:spacing w:before="164" w:line="213" w:lineRule="auto"/>
              <w:ind w:left="443"/>
              <w:rPr>
                <w:color w:val="auto"/>
                <w:highlight w:val="none"/>
              </w:rPr>
            </w:pPr>
            <w:r>
              <w:rPr>
                <w:color w:val="auto"/>
                <w:highlight w:val="none"/>
              </w:rPr>
              <w:t>台</w:t>
            </w:r>
          </w:p>
        </w:tc>
        <w:tc>
          <w:tcPr>
            <w:tcW w:w="2164" w:type="dxa"/>
            <w:vAlign w:val="center"/>
          </w:tcPr>
          <w:p w14:paraId="1721C27C">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49BB5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811E65B">
            <w:pPr>
              <w:pStyle w:val="23"/>
              <w:spacing w:before="164" w:line="213" w:lineRule="auto"/>
              <w:ind w:left="544"/>
              <w:rPr>
                <w:color w:val="auto"/>
                <w:highlight w:val="none"/>
              </w:rPr>
            </w:pPr>
            <w:r>
              <w:rPr>
                <w:color w:val="auto"/>
                <w:highlight w:val="none"/>
              </w:rPr>
              <w:t>8</w:t>
            </w:r>
          </w:p>
        </w:tc>
        <w:tc>
          <w:tcPr>
            <w:tcW w:w="4896" w:type="dxa"/>
            <w:vAlign w:val="top"/>
          </w:tcPr>
          <w:p w14:paraId="58CDB880">
            <w:pPr>
              <w:pStyle w:val="23"/>
              <w:spacing w:before="164" w:line="213" w:lineRule="auto"/>
              <w:ind w:left="1064"/>
              <w:rPr>
                <w:color w:val="auto"/>
                <w:highlight w:val="none"/>
              </w:rPr>
            </w:pPr>
            <w:r>
              <w:rPr>
                <w:color w:val="auto"/>
                <w:spacing w:val="6"/>
                <w:highlight w:val="none"/>
              </w:rPr>
              <w:t>数码相机（1200</w:t>
            </w:r>
            <w:r>
              <w:rPr>
                <w:color w:val="auto"/>
                <w:spacing w:val="-31"/>
                <w:highlight w:val="none"/>
              </w:rPr>
              <w:t xml:space="preserve"> </w:t>
            </w:r>
            <w:r>
              <w:rPr>
                <w:color w:val="auto"/>
                <w:spacing w:val="6"/>
                <w:highlight w:val="none"/>
              </w:rPr>
              <w:t>万像素以上）</w:t>
            </w:r>
          </w:p>
        </w:tc>
        <w:tc>
          <w:tcPr>
            <w:tcW w:w="1050" w:type="dxa"/>
            <w:vAlign w:val="top"/>
          </w:tcPr>
          <w:p w14:paraId="02EA5461">
            <w:pPr>
              <w:pStyle w:val="23"/>
              <w:spacing w:before="164" w:line="213" w:lineRule="auto"/>
              <w:ind w:left="443"/>
              <w:rPr>
                <w:color w:val="auto"/>
                <w:highlight w:val="none"/>
              </w:rPr>
            </w:pPr>
            <w:r>
              <w:rPr>
                <w:color w:val="auto"/>
                <w:highlight w:val="none"/>
              </w:rPr>
              <w:t>台</w:t>
            </w:r>
          </w:p>
        </w:tc>
        <w:tc>
          <w:tcPr>
            <w:tcW w:w="2164" w:type="dxa"/>
            <w:vAlign w:val="center"/>
          </w:tcPr>
          <w:p w14:paraId="550C515B">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29473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7D1EAA94">
            <w:pPr>
              <w:pStyle w:val="23"/>
              <w:spacing w:before="165" w:line="212" w:lineRule="auto"/>
              <w:ind w:left="544"/>
              <w:rPr>
                <w:color w:val="auto"/>
                <w:highlight w:val="none"/>
              </w:rPr>
            </w:pPr>
            <w:r>
              <w:rPr>
                <w:color w:val="auto"/>
                <w:highlight w:val="none"/>
              </w:rPr>
              <w:t>9</w:t>
            </w:r>
          </w:p>
        </w:tc>
        <w:tc>
          <w:tcPr>
            <w:tcW w:w="4896" w:type="dxa"/>
            <w:vAlign w:val="top"/>
          </w:tcPr>
          <w:p w14:paraId="3D65287B">
            <w:pPr>
              <w:pStyle w:val="23"/>
              <w:spacing w:before="165" w:line="212" w:lineRule="auto"/>
              <w:ind w:left="1488"/>
              <w:rPr>
                <w:color w:val="auto"/>
                <w:highlight w:val="none"/>
              </w:rPr>
            </w:pPr>
            <w:r>
              <w:rPr>
                <w:color w:val="auto"/>
                <w:spacing w:val="11"/>
                <w:highlight w:val="none"/>
              </w:rPr>
              <w:t>复印机（可复印A3）</w:t>
            </w:r>
          </w:p>
        </w:tc>
        <w:tc>
          <w:tcPr>
            <w:tcW w:w="1050" w:type="dxa"/>
            <w:vAlign w:val="top"/>
          </w:tcPr>
          <w:p w14:paraId="058C6775">
            <w:pPr>
              <w:pStyle w:val="23"/>
              <w:spacing w:before="165" w:line="212" w:lineRule="auto"/>
              <w:ind w:left="443"/>
              <w:rPr>
                <w:color w:val="auto"/>
                <w:highlight w:val="none"/>
              </w:rPr>
            </w:pPr>
            <w:r>
              <w:rPr>
                <w:color w:val="auto"/>
                <w:highlight w:val="none"/>
              </w:rPr>
              <w:t>台</w:t>
            </w:r>
          </w:p>
        </w:tc>
        <w:tc>
          <w:tcPr>
            <w:tcW w:w="2164" w:type="dxa"/>
            <w:vAlign w:val="center"/>
          </w:tcPr>
          <w:p w14:paraId="0988A799">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2391A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2BB778BD">
            <w:pPr>
              <w:pStyle w:val="23"/>
              <w:spacing w:before="165" w:line="212" w:lineRule="auto"/>
              <w:ind w:left="4024"/>
              <w:rPr>
                <w:color w:val="auto"/>
                <w:highlight w:val="none"/>
              </w:rPr>
            </w:pPr>
            <w:r>
              <w:rPr>
                <w:color w:val="auto"/>
                <w:spacing w:val="7"/>
                <w:highlight w:val="none"/>
              </w:rPr>
              <w:t>二、交通设施</w:t>
            </w:r>
          </w:p>
        </w:tc>
      </w:tr>
      <w:tr w14:paraId="73848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62428DC9">
            <w:pPr>
              <w:pStyle w:val="23"/>
              <w:spacing w:before="163" w:line="214" w:lineRule="auto"/>
              <w:ind w:left="559"/>
              <w:rPr>
                <w:color w:val="auto"/>
                <w:highlight w:val="none"/>
              </w:rPr>
            </w:pPr>
            <w:r>
              <w:rPr>
                <w:color w:val="auto"/>
                <w:highlight w:val="none"/>
              </w:rPr>
              <w:t>1</w:t>
            </w:r>
          </w:p>
        </w:tc>
        <w:tc>
          <w:tcPr>
            <w:tcW w:w="4896" w:type="dxa"/>
            <w:vAlign w:val="top"/>
          </w:tcPr>
          <w:p w14:paraId="0D3C9AAE">
            <w:pPr>
              <w:pStyle w:val="23"/>
              <w:spacing w:before="163" w:line="214" w:lineRule="auto"/>
              <w:ind w:left="370"/>
              <w:rPr>
                <w:color w:val="auto"/>
                <w:highlight w:val="none"/>
              </w:rPr>
            </w:pPr>
            <w:r>
              <w:rPr>
                <w:color w:val="auto"/>
                <w:spacing w:val="4"/>
                <w:highlight w:val="none"/>
              </w:rPr>
              <w:t>交通车辆（4驱越野车（行驶里程＜15万</w:t>
            </w:r>
            <w:r>
              <w:rPr>
                <w:color w:val="auto"/>
                <w:highlight w:val="none"/>
              </w:rPr>
              <w:t>km</w:t>
            </w:r>
            <w:r>
              <w:rPr>
                <w:color w:val="auto"/>
                <w:spacing w:val="1"/>
                <w:highlight w:val="none"/>
              </w:rPr>
              <w:t>））</w:t>
            </w:r>
          </w:p>
        </w:tc>
        <w:tc>
          <w:tcPr>
            <w:tcW w:w="1050" w:type="dxa"/>
            <w:vAlign w:val="top"/>
          </w:tcPr>
          <w:p w14:paraId="60635B3E">
            <w:pPr>
              <w:pStyle w:val="23"/>
              <w:spacing w:before="163" w:line="214" w:lineRule="auto"/>
              <w:ind w:left="425"/>
              <w:rPr>
                <w:color w:val="auto"/>
                <w:highlight w:val="none"/>
              </w:rPr>
            </w:pPr>
            <w:r>
              <w:rPr>
                <w:color w:val="auto"/>
                <w:spacing w:val="1"/>
                <w:highlight w:val="none"/>
              </w:rPr>
              <w:t>辆</w:t>
            </w:r>
          </w:p>
        </w:tc>
        <w:tc>
          <w:tcPr>
            <w:tcW w:w="2164" w:type="dxa"/>
            <w:vAlign w:val="center"/>
          </w:tcPr>
          <w:p w14:paraId="2290A9CE">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43257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4B4CB28C">
            <w:pPr>
              <w:pStyle w:val="23"/>
              <w:spacing w:before="164" w:line="213" w:lineRule="auto"/>
              <w:ind w:left="546"/>
              <w:rPr>
                <w:color w:val="auto"/>
                <w:highlight w:val="none"/>
              </w:rPr>
            </w:pPr>
            <w:r>
              <w:rPr>
                <w:color w:val="auto"/>
                <w:highlight w:val="none"/>
              </w:rPr>
              <w:t>2</w:t>
            </w:r>
          </w:p>
        </w:tc>
        <w:tc>
          <w:tcPr>
            <w:tcW w:w="4896" w:type="dxa"/>
            <w:vAlign w:val="top"/>
          </w:tcPr>
          <w:p w14:paraId="1466B3B1">
            <w:pPr>
              <w:pStyle w:val="23"/>
              <w:spacing w:before="164" w:line="213" w:lineRule="auto"/>
              <w:ind w:left="1926"/>
              <w:rPr>
                <w:color w:val="auto"/>
                <w:highlight w:val="none"/>
              </w:rPr>
            </w:pPr>
            <w:r>
              <w:rPr>
                <w:color w:val="auto"/>
                <w:spacing w:val="8"/>
                <w:highlight w:val="none"/>
              </w:rPr>
              <w:t>双排人货车</w:t>
            </w:r>
          </w:p>
        </w:tc>
        <w:tc>
          <w:tcPr>
            <w:tcW w:w="1050" w:type="dxa"/>
            <w:vAlign w:val="top"/>
          </w:tcPr>
          <w:p w14:paraId="124093A7">
            <w:pPr>
              <w:pStyle w:val="23"/>
              <w:spacing w:before="164" w:line="213" w:lineRule="auto"/>
              <w:ind w:left="425"/>
              <w:rPr>
                <w:color w:val="auto"/>
                <w:highlight w:val="none"/>
              </w:rPr>
            </w:pPr>
            <w:r>
              <w:rPr>
                <w:color w:val="auto"/>
                <w:spacing w:val="1"/>
                <w:highlight w:val="none"/>
              </w:rPr>
              <w:t>辆</w:t>
            </w:r>
          </w:p>
        </w:tc>
        <w:tc>
          <w:tcPr>
            <w:tcW w:w="2164" w:type="dxa"/>
            <w:vAlign w:val="center"/>
          </w:tcPr>
          <w:p w14:paraId="34A4ACBE">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1230E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505B5612">
            <w:pPr>
              <w:pStyle w:val="23"/>
              <w:spacing w:before="164" w:line="213" w:lineRule="auto"/>
              <w:ind w:left="3706"/>
              <w:rPr>
                <w:color w:val="auto"/>
                <w:highlight w:val="none"/>
              </w:rPr>
            </w:pPr>
            <w:r>
              <w:rPr>
                <w:color w:val="auto"/>
                <w:spacing w:val="8"/>
                <w:highlight w:val="none"/>
              </w:rPr>
              <w:t>三、办公、生活设施</w:t>
            </w:r>
          </w:p>
        </w:tc>
      </w:tr>
      <w:tr w14:paraId="45DD2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3EF7129A">
            <w:pPr>
              <w:pStyle w:val="23"/>
              <w:spacing w:before="164" w:line="213" w:lineRule="auto"/>
              <w:ind w:left="559"/>
              <w:rPr>
                <w:color w:val="auto"/>
                <w:highlight w:val="none"/>
              </w:rPr>
            </w:pPr>
            <w:r>
              <w:rPr>
                <w:color w:val="auto"/>
                <w:highlight w:val="none"/>
              </w:rPr>
              <w:t>1</w:t>
            </w:r>
          </w:p>
        </w:tc>
        <w:tc>
          <w:tcPr>
            <w:tcW w:w="4896" w:type="dxa"/>
            <w:vAlign w:val="top"/>
          </w:tcPr>
          <w:p w14:paraId="4AEAC19F">
            <w:pPr>
              <w:pStyle w:val="23"/>
              <w:spacing w:before="164" w:line="213" w:lineRule="auto"/>
              <w:ind w:left="2137"/>
              <w:rPr>
                <w:color w:val="auto"/>
                <w:highlight w:val="none"/>
              </w:rPr>
            </w:pPr>
            <w:r>
              <w:rPr>
                <w:color w:val="auto"/>
                <w:spacing w:val="7"/>
                <w:highlight w:val="none"/>
              </w:rPr>
              <w:t>会议室</w:t>
            </w:r>
          </w:p>
        </w:tc>
        <w:tc>
          <w:tcPr>
            <w:tcW w:w="1050" w:type="dxa"/>
            <w:vAlign w:val="top"/>
          </w:tcPr>
          <w:p w14:paraId="62FF4A5E">
            <w:pPr>
              <w:pStyle w:val="23"/>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76AD8536">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≥50</w:t>
            </w:r>
          </w:p>
        </w:tc>
      </w:tr>
      <w:tr w14:paraId="47539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10748095">
            <w:pPr>
              <w:pStyle w:val="23"/>
              <w:spacing w:before="165" w:line="212" w:lineRule="auto"/>
              <w:ind w:left="546"/>
              <w:rPr>
                <w:color w:val="auto"/>
                <w:highlight w:val="none"/>
              </w:rPr>
            </w:pPr>
            <w:r>
              <w:rPr>
                <w:color w:val="auto"/>
                <w:highlight w:val="none"/>
              </w:rPr>
              <w:t>2</w:t>
            </w:r>
          </w:p>
        </w:tc>
        <w:tc>
          <w:tcPr>
            <w:tcW w:w="4896" w:type="dxa"/>
            <w:vAlign w:val="top"/>
          </w:tcPr>
          <w:p w14:paraId="210839CB">
            <w:pPr>
              <w:pStyle w:val="23"/>
              <w:spacing w:before="165" w:line="212" w:lineRule="auto"/>
              <w:ind w:left="1929"/>
              <w:rPr>
                <w:color w:val="auto"/>
                <w:highlight w:val="none"/>
              </w:rPr>
            </w:pPr>
            <w:r>
              <w:rPr>
                <w:color w:val="auto"/>
                <w:spacing w:val="7"/>
                <w:highlight w:val="none"/>
              </w:rPr>
              <w:t>综合办公室</w:t>
            </w:r>
          </w:p>
        </w:tc>
        <w:tc>
          <w:tcPr>
            <w:tcW w:w="1050" w:type="dxa"/>
            <w:vAlign w:val="top"/>
          </w:tcPr>
          <w:p w14:paraId="09F3F721">
            <w:pPr>
              <w:pStyle w:val="23"/>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7A30960D">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≥6</w:t>
            </w:r>
          </w:p>
        </w:tc>
      </w:tr>
      <w:tr w14:paraId="1E1EB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4AA7F9BC">
            <w:pPr>
              <w:pStyle w:val="23"/>
              <w:spacing w:before="165" w:line="216" w:lineRule="auto"/>
              <w:ind w:left="547"/>
              <w:rPr>
                <w:color w:val="auto"/>
                <w:highlight w:val="none"/>
              </w:rPr>
            </w:pPr>
            <w:r>
              <w:rPr>
                <w:color w:val="auto"/>
                <w:highlight w:val="none"/>
              </w:rPr>
              <w:t>3</w:t>
            </w:r>
          </w:p>
        </w:tc>
        <w:tc>
          <w:tcPr>
            <w:tcW w:w="4896" w:type="dxa"/>
            <w:vAlign w:val="top"/>
          </w:tcPr>
          <w:p w14:paraId="36119A6A">
            <w:pPr>
              <w:pStyle w:val="23"/>
              <w:spacing w:before="165" w:line="216" w:lineRule="auto"/>
              <w:ind w:left="2138"/>
              <w:rPr>
                <w:color w:val="auto"/>
                <w:highlight w:val="none"/>
              </w:rPr>
            </w:pPr>
            <w:r>
              <w:rPr>
                <w:color w:val="auto"/>
                <w:spacing w:val="6"/>
                <w:highlight w:val="none"/>
              </w:rPr>
              <w:t>档案室</w:t>
            </w:r>
          </w:p>
        </w:tc>
        <w:tc>
          <w:tcPr>
            <w:tcW w:w="1050" w:type="dxa"/>
            <w:vAlign w:val="top"/>
          </w:tcPr>
          <w:p w14:paraId="3B6B23E0">
            <w:pPr>
              <w:pStyle w:val="23"/>
              <w:spacing w:before="148" w:line="231"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29CF382F">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≥20</w:t>
            </w:r>
          </w:p>
        </w:tc>
      </w:tr>
    </w:tbl>
    <w:p w14:paraId="50C2AFE6">
      <w:pPr>
        <w:spacing w:before="31" w:line="232" w:lineRule="auto"/>
        <w:ind w:left="118"/>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632A0FD8">
      <w:pPr>
        <w:spacing w:before="19" w:line="227" w:lineRule="auto"/>
        <w:ind w:left="55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1、本表数量为最低要求，办公生活用房应执行省交通运输厅对高速公路标准化管理的规定。</w:t>
      </w:r>
    </w:p>
    <w:p w14:paraId="57FDDAC2">
      <w:pPr>
        <w:spacing w:before="27" w:line="227" w:lineRule="auto"/>
        <w:ind w:left="54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2、监理驻地需与网络连接，充分考虑可视化管理的手段，网络流量达</w:t>
      </w:r>
      <w:r>
        <w:rPr>
          <w:rFonts w:ascii="宋体" w:hAnsi="宋体" w:eastAsia="宋体" w:cs="宋体"/>
          <w:color w:val="auto"/>
          <w:spacing w:val="-11"/>
          <w:sz w:val="20"/>
          <w:szCs w:val="20"/>
          <w:highlight w:val="none"/>
        </w:rPr>
        <w:t xml:space="preserve"> </w:t>
      </w:r>
      <w:r>
        <w:rPr>
          <w:rFonts w:ascii="宋体" w:hAnsi="宋体" w:eastAsia="宋体" w:cs="宋体"/>
          <w:color w:val="auto"/>
          <w:spacing w:val="7"/>
          <w:sz w:val="20"/>
          <w:szCs w:val="20"/>
          <w:highlight w:val="none"/>
        </w:rPr>
        <w:t>10M</w:t>
      </w:r>
      <w:r>
        <w:rPr>
          <w:rFonts w:ascii="宋体" w:hAnsi="宋体" w:eastAsia="宋体" w:cs="宋体"/>
          <w:color w:val="auto"/>
          <w:spacing w:val="-17"/>
          <w:sz w:val="20"/>
          <w:szCs w:val="20"/>
          <w:highlight w:val="none"/>
        </w:rPr>
        <w:t xml:space="preserve"> </w:t>
      </w:r>
      <w:r>
        <w:rPr>
          <w:rFonts w:ascii="宋体" w:hAnsi="宋体" w:eastAsia="宋体" w:cs="宋体"/>
          <w:color w:val="auto"/>
          <w:spacing w:val="7"/>
          <w:sz w:val="20"/>
          <w:szCs w:val="20"/>
          <w:highlight w:val="none"/>
        </w:rPr>
        <w:t>以上。</w:t>
      </w:r>
    </w:p>
    <w:p w14:paraId="15114442">
      <w:pPr>
        <w:spacing w:line="253" w:lineRule="auto"/>
        <w:rPr>
          <w:rFonts w:ascii="Arial"/>
          <w:color w:val="auto"/>
          <w:sz w:val="21"/>
          <w:highlight w:val="none"/>
        </w:rPr>
      </w:pPr>
    </w:p>
    <w:p w14:paraId="11E88841">
      <w:pPr>
        <w:spacing w:line="254" w:lineRule="auto"/>
        <w:rPr>
          <w:rFonts w:ascii="Arial"/>
          <w:color w:val="auto"/>
          <w:sz w:val="21"/>
          <w:highlight w:val="none"/>
        </w:rPr>
      </w:pPr>
    </w:p>
    <w:p w14:paraId="04F40CEA">
      <w:pPr>
        <w:spacing w:line="254" w:lineRule="auto"/>
        <w:rPr>
          <w:rFonts w:ascii="Arial"/>
          <w:color w:val="auto"/>
          <w:sz w:val="21"/>
          <w:highlight w:val="none"/>
        </w:rPr>
      </w:pPr>
    </w:p>
    <w:p w14:paraId="47681BC7">
      <w:pPr>
        <w:spacing w:line="254" w:lineRule="auto"/>
        <w:rPr>
          <w:rFonts w:ascii="Arial"/>
          <w:color w:val="auto"/>
          <w:sz w:val="21"/>
          <w:highlight w:val="none"/>
        </w:rPr>
      </w:pPr>
    </w:p>
    <w:p w14:paraId="2C1A1EA6">
      <w:pPr>
        <w:spacing w:line="254" w:lineRule="auto"/>
        <w:rPr>
          <w:rFonts w:ascii="Arial"/>
          <w:color w:val="auto"/>
          <w:sz w:val="21"/>
          <w:highlight w:val="none"/>
        </w:rPr>
      </w:pPr>
    </w:p>
    <w:p w14:paraId="69A3D7AD">
      <w:pPr>
        <w:spacing w:line="254" w:lineRule="auto"/>
        <w:rPr>
          <w:rFonts w:ascii="Arial"/>
          <w:color w:val="auto"/>
          <w:sz w:val="21"/>
          <w:highlight w:val="none"/>
        </w:rPr>
      </w:pPr>
    </w:p>
    <w:p w14:paraId="6556EA48">
      <w:pPr>
        <w:spacing w:line="254" w:lineRule="auto"/>
        <w:rPr>
          <w:rFonts w:ascii="Arial"/>
          <w:color w:val="auto"/>
          <w:sz w:val="21"/>
          <w:highlight w:val="none"/>
        </w:rPr>
      </w:pPr>
    </w:p>
    <w:p w14:paraId="35D852AD">
      <w:pPr>
        <w:spacing w:line="254" w:lineRule="auto"/>
        <w:rPr>
          <w:rFonts w:ascii="Arial"/>
          <w:color w:val="auto"/>
          <w:sz w:val="21"/>
          <w:highlight w:val="none"/>
        </w:rPr>
      </w:pPr>
    </w:p>
    <w:p w14:paraId="0609BD8E">
      <w:pPr>
        <w:spacing w:line="254" w:lineRule="auto"/>
        <w:rPr>
          <w:rFonts w:ascii="Arial"/>
          <w:color w:val="auto"/>
          <w:sz w:val="21"/>
          <w:highlight w:val="none"/>
        </w:rPr>
      </w:pPr>
    </w:p>
    <w:p w14:paraId="4FCB7077">
      <w:pPr>
        <w:spacing w:line="254" w:lineRule="auto"/>
        <w:rPr>
          <w:rFonts w:ascii="Arial"/>
          <w:color w:val="auto"/>
          <w:sz w:val="21"/>
          <w:highlight w:val="none"/>
        </w:rPr>
      </w:pPr>
    </w:p>
    <w:p w14:paraId="2FE0BE2F">
      <w:pPr>
        <w:spacing w:line="254" w:lineRule="auto"/>
        <w:rPr>
          <w:rFonts w:ascii="Arial"/>
          <w:color w:val="auto"/>
          <w:sz w:val="21"/>
          <w:highlight w:val="none"/>
        </w:rPr>
      </w:pPr>
    </w:p>
    <w:p w14:paraId="529BD55C">
      <w:pPr>
        <w:spacing w:line="254" w:lineRule="auto"/>
        <w:rPr>
          <w:rFonts w:ascii="Arial"/>
          <w:color w:val="auto"/>
          <w:sz w:val="21"/>
          <w:highlight w:val="none"/>
        </w:rPr>
      </w:pPr>
    </w:p>
    <w:p w14:paraId="209B5605">
      <w:pPr>
        <w:spacing w:line="254" w:lineRule="auto"/>
        <w:rPr>
          <w:rFonts w:ascii="Arial"/>
          <w:color w:val="auto"/>
          <w:sz w:val="21"/>
          <w:highlight w:val="none"/>
        </w:rPr>
      </w:pPr>
    </w:p>
    <w:p w14:paraId="640286B4">
      <w:pPr>
        <w:spacing w:line="254" w:lineRule="auto"/>
        <w:rPr>
          <w:rFonts w:ascii="Arial"/>
          <w:color w:val="auto"/>
          <w:sz w:val="21"/>
          <w:highlight w:val="none"/>
        </w:rPr>
      </w:pPr>
    </w:p>
    <w:p w14:paraId="6C886DD6">
      <w:pPr>
        <w:spacing w:line="254" w:lineRule="auto"/>
        <w:rPr>
          <w:rFonts w:ascii="Arial"/>
          <w:color w:val="auto"/>
          <w:sz w:val="21"/>
          <w:highlight w:val="none"/>
        </w:rPr>
      </w:pPr>
    </w:p>
    <w:p w14:paraId="1F77885D">
      <w:pPr>
        <w:spacing w:line="254" w:lineRule="auto"/>
        <w:rPr>
          <w:rFonts w:ascii="Arial"/>
          <w:color w:val="auto"/>
          <w:sz w:val="21"/>
          <w:highlight w:val="none"/>
        </w:rPr>
      </w:pPr>
    </w:p>
    <w:p w14:paraId="20DF8D1D">
      <w:pPr>
        <w:spacing w:line="235" w:lineRule="auto"/>
        <w:rPr>
          <w:rFonts w:ascii="宋体" w:hAnsi="宋体" w:eastAsia="宋体" w:cs="宋体"/>
          <w:color w:val="auto"/>
          <w:sz w:val="18"/>
          <w:szCs w:val="18"/>
          <w:highlight w:val="none"/>
        </w:rPr>
        <w:sectPr>
          <w:headerReference r:id="rId32" w:type="default"/>
          <w:footerReference r:id="rId33" w:type="default"/>
          <w:pgSz w:w="11906" w:h="16839"/>
          <w:pgMar w:top="1202" w:right="1305" w:bottom="1297" w:left="1305" w:header="0" w:footer="1067" w:gutter="0"/>
          <w:pgBorders>
            <w:top w:val="none" w:sz="0" w:space="0"/>
            <w:left w:val="none" w:sz="0" w:space="0"/>
            <w:bottom w:val="none" w:sz="0" w:space="0"/>
            <w:right w:val="none" w:sz="0" w:space="0"/>
          </w:pgBorders>
          <w:pgNumType w:fmt="decimal"/>
          <w:cols w:space="720" w:num="1"/>
        </w:sectPr>
      </w:pPr>
    </w:p>
    <w:p w14:paraId="7DB2865E">
      <w:pPr>
        <w:pageBreakBefore/>
        <w:spacing w:after="120" w:afterLines="50"/>
        <w:jc w:val="both"/>
        <w:outlineLvl w:val="3"/>
        <w:rPr>
          <w:rFonts w:hint="eastAsia" w:ascii="Times New Roman" w:hAnsi="Times New Roman" w:eastAsia="宋体" w:cs="宋体"/>
          <w:b/>
          <w:bCs/>
          <w:color w:val="auto"/>
          <w:kern w:val="21"/>
          <w:sz w:val="28"/>
          <w:szCs w:val="28"/>
          <w:highlight w:val="none"/>
          <w:lang w:eastAsia="zh-CN"/>
        </w:rPr>
      </w:pPr>
      <w:bookmarkStart w:id="719" w:name="bookmark15"/>
      <w:bookmarkEnd w:id="719"/>
      <w:bookmarkStart w:id="720" w:name="_Toc28212"/>
      <w:bookmarkStart w:id="721" w:name="_Toc19243"/>
      <w:bookmarkStart w:id="722" w:name="_Toc16576"/>
      <w:r>
        <w:rPr>
          <w:rFonts w:hint="eastAsia" w:ascii="Times New Roman" w:hAnsi="Times New Roman" w:eastAsia="宋体" w:cs="宋体"/>
          <w:b/>
          <w:bCs/>
          <w:color w:val="auto"/>
          <w:kern w:val="21"/>
          <w:sz w:val="28"/>
          <w:szCs w:val="28"/>
          <w:highlight w:val="none"/>
          <w:lang w:eastAsia="zh-CN"/>
        </w:rPr>
        <w:t>附件六：履约保证金</w:t>
      </w:r>
    </w:p>
    <w:p w14:paraId="0E338B07">
      <w:pPr>
        <w:spacing w:before="120" w:beforeLines="50"/>
        <w:jc w:val="center"/>
        <w:rPr>
          <w:rFonts w:hint="eastAsia" w:ascii="Times New Roman" w:hAnsi="Times New Roman" w:eastAsia="宋体" w:cs="宋体"/>
          <w:b/>
          <w:bCs/>
          <w:color w:val="auto"/>
          <w:kern w:val="21"/>
          <w:sz w:val="28"/>
          <w:szCs w:val="28"/>
          <w:highlight w:val="none"/>
        </w:rPr>
      </w:pPr>
      <w:r>
        <w:rPr>
          <w:rFonts w:hint="eastAsia" w:ascii="Times New Roman" w:hAnsi="Times New Roman" w:eastAsia="宋体" w:cs="宋体"/>
          <w:b/>
          <w:bCs/>
          <w:color w:val="auto"/>
          <w:kern w:val="21"/>
          <w:sz w:val="28"/>
          <w:szCs w:val="28"/>
          <w:highlight w:val="none"/>
          <w:lang w:eastAsia="zh-CN"/>
        </w:rPr>
        <w:t>履 约 保 证 金</w:t>
      </w:r>
    </w:p>
    <w:p w14:paraId="077FDF75">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04218F75">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w:t>
      </w:r>
    </w:p>
    <w:p w14:paraId="6B865825">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鉴于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（委托人名称，以下简称“委托人”）接受</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（监理人名称）（以下称“监理人”）于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日参加</w:t>
      </w:r>
      <w:r>
        <w:rPr>
          <w:rFonts w:hint="eastAsia" w:ascii="Times New Roman" w:hAnsi="Times New Roman" w:eastAsia="宋体" w:cs="宋体"/>
          <w:color w:val="auto"/>
          <w:kern w:val="21"/>
          <w:highlight w:val="none"/>
          <w:u w:val="single"/>
          <w:lang w:eastAsia="zh-CN"/>
        </w:rPr>
        <w:t>　　　（项目名称）　　施工监理</w:t>
      </w:r>
      <w:r>
        <w:rPr>
          <w:rFonts w:hint="eastAsia" w:ascii="Times New Roman" w:hAnsi="Times New Roman" w:eastAsia="宋体" w:cs="宋体"/>
          <w:color w:val="auto"/>
          <w:kern w:val="21"/>
          <w:highlight w:val="none"/>
          <w:lang w:eastAsia="zh-CN"/>
        </w:rPr>
        <w:t>的投标。我方愿意无条件地、不可撤销地就监理人履行与你方订立的合同，向你方提供担保。</w:t>
      </w:r>
    </w:p>
    <w:p w14:paraId="678D239E">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 担保金额人民币（大写）</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6CA0A22A">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担保有效期自委托人与监理人签订的合同生效之日起至委托人签发交工验收证书且监理人按照合同约定提交缺陷责任期保函之日止。</w:t>
      </w:r>
      <w:r>
        <w:rPr>
          <w:rFonts w:hint="eastAsia" w:ascii="Times New Roman" w:hAnsi="Times New Roman" w:eastAsia="宋体" w:cs="宋体"/>
          <w:color w:val="auto"/>
          <w:kern w:val="21"/>
          <w:highlight w:val="none"/>
          <w:vertAlign w:val="superscript"/>
          <w:lang w:eastAsia="zh-CN"/>
        </w:rPr>
        <w:footnoteReference w:id="1"/>
      </w:r>
    </w:p>
    <w:p w14:paraId="0E1A81F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在本担保有效期内，因监理人违反合同约定的义务给你方造成经济损失时，我方在收到你方以书面形式提出的在担保金额内的赔偿要求后，在7天内无条件支付，无须你方出具证明或陈述理由。</w:t>
      </w:r>
    </w:p>
    <w:p w14:paraId="1C9843EB">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 委托人和监理人按合同条款变更合同时，我方承担本担保规定的义务不变。</w:t>
      </w:r>
    </w:p>
    <w:p w14:paraId="40C85638">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5B12E9BA">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担 保 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（盖单位章）</w:t>
      </w:r>
    </w:p>
    <w:p w14:paraId="314BDDEF">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法定代表人或其委托代理人：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（签字）</w:t>
      </w:r>
    </w:p>
    <w:p w14:paraId="24B44F65">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地    址：</w:t>
      </w:r>
      <w:r>
        <w:rPr>
          <w:rFonts w:hint="eastAsia" w:ascii="Times New Roman" w:hAnsi="Times New Roman" w:eastAsia="宋体" w:cs="宋体"/>
          <w:color w:val="auto"/>
          <w:kern w:val="21"/>
          <w:highlight w:val="none"/>
          <w:u w:val="single"/>
          <w:lang w:eastAsia="zh-CN"/>
        </w:rPr>
        <w:t xml:space="preserve">                                 </w:t>
      </w:r>
    </w:p>
    <w:p w14:paraId="335FA6F9">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邮政编码：</w:t>
      </w:r>
      <w:r>
        <w:rPr>
          <w:rFonts w:hint="eastAsia" w:ascii="Times New Roman" w:hAnsi="Times New Roman" w:eastAsia="宋体" w:cs="宋体"/>
          <w:color w:val="auto"/>
          <w:kern w:val="21"/>
          <w:highlight w:val="none"/>
          <w:u w:val="single"/>
          <w:lang w:eastAsia="zh-CN"/>
        </w:rPr>
        <w:t xml:space="preserve">                                 </w:t>
      </w:r>
    </w:p>
    <w:p w14:paraId="33A38739">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电    话：</w:t>
      </w:r>
      <w:r>
        <w:rPr>
          <w:rFonts w:hint="eastAsia" w:ascii="Times New Roman" w:hAnsi="Times New Roman" w:eastAsia="宋体" w:cs="宋体"/>
          <w:color w:val="auto"/>
          <w:kern w:val="21"/>
          <w:highlight w:val="none"/>
          <w:u w:val="single"/>
          <w:lang w:eastAsia="zh-CN"/>
        </w:rPr>
        <w:t xml:space="preserve">                                 </w:t>
      </w:r>
    </w:p>
    <w:p w14:paraId="62A050A2">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传    真：</w:t>
      </w:r>
      <w:r>
        <w:rPr>
          <w:rFonts w:hint="eastAsia" w:ascii="Times New Roman" w:hAnsi="Times New Roman" w:eastAsia="宋体" w:cs="宋体"/>
          <w:color w:val="auto"/>
          <w:kern w:val="21"/>
          <w:highlight w:val="none"/>
          <w:u w:val="single"/>
          <w:lang w:eastAsia="zh-CN"/>
        </w:rPr>
        <w:t xml:space="preserve">                                 </w:t>
      </w:r>
    </w:p>
    <w:p w14:paraId="57F187BD">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 xml:space="preserve">            </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w:t>
      </w:r>
    </w:p>
    <w:p w14:paraId="05679011">
      <w:pPr>
        <w:spacing w:line="500" w:lineRule="exact"/>
        <w:rPr>
          <w:rFonts w:hint="eastAsia" w:ascii="Times New Roman" w:hAnsi="Times New Roman" w:eastAsia="宋体" w:cs="宋体"/>
          <w:color w:val="auto"/>
          <w:kern w:val="21"/>
          <w:sz w:val="24"/>
          <w:highlight w:val="none"/>
          <w:lang w:eastAsia="zh-CN"/>
        </w:rPr>
      </w:pPr>
    </w:p>
    <w:p w14:paraId="15E3E43A">
      <w:pPr>
        <w:pStyle w:val="21"/>
        <w:rPr>
          <w:rFonts w:hint="eastAsia" w:ascii="Times New Roman" w:hAnsi="Times New Roman" w:eastAsia="宋体" w:cs="宋体"/>
          <w:color w:val="auto"/>
          <w:kern w:val="21"/>
          <w:sz w:val="24"/>
          <w:highlight w:val="none"/>
          <w:lang w:eastAsia="zh-CN"/>
        </w:rPr>
      </w:pPr>
    </w:p>
    <w:p w14:paraId="4D74EE29">
      <w:pPr>
        <w:pStyle w:val="21"/>
        <w:rPr>
          <w:rFonts w:hint="eastAsia" w:ascii="Times New Roman" w:hAnsi="Times New Roman" w:eastAsia="宋体" w:cs="宋体"/>
          <w:color w:val="auto"/>
          <w:kern w:val="21"/>
          <w:sz w:val="24"/>
          <w:highlight w:val="none"/>
          <w:lang w:eastAsia="zh-CN"/>
        </w:rPr>
      </w:pPr>
    </w:p>
    <w:p w14:paraId="48E158B6">
      <w:pPr>
        <w:spacing w:before="190" w:line="227" w:lineRule="auto"/>
        <w:jc w:val="left"/>
        <w:outlineLvl w:val="1"/>
        <w:rPr>
          <w:rFonts w:ascii="宋体" w:hAnsi="宋体" w:eastAsia="宋体" w:cs="宋体"/>
          <w:b/>
          <w:bCs/>
          <w:color w:val="auto"/>
          <w:spacing w:val="7"/>
          <w:sz w:val="20"/>
          <w:szCs w:val="20"/>
          <w:highlight w:val="none"/>
        </w:rPr>
      </w:pPr>
      <w:bookmarkStart w:id="723" w:name="_Toc20591"/>
      <w:r>
        <w:rPr>
          <w:rFonts w:ascii="宋体" w:hAnsi="宋体" w:eastAsia="宋体" w:cs="宋体"/>
          <w:b/>
          <w:bCs/>
          <w:color w:val="auto"/>
          <w:spacing w:val="7"/>
          <w:sz w:val="20"/>
          <w:szCs w:val="20"/>
          <w:highlight w:val="none"/>
        </w:rPr>
        <w:t>附件七： 安全生产合同</w:t>
      </w:r>
      <w:bookmarkEnd w:id="720"/>
      <w:bookmarkEnd w:id="721"/>
      <w:bookmarkEnd w:id="722"/>
      <w:bookmarkEnd w:id="723"/>
    </w:p>
    <w:p w14:paraId="13CF1ECD">
      <w:pPr>
        <w:spacing w:line="388" w:lineRule="auto"/>
        <w:rPr>
          <w:rFonts w:ascii="Arial"/>
          <w:color w:val="auto"/>
          <w:sz w:val="21"/>
          <w:highlight w:val="none"/>
        </w:rPr>
      </w:pPr>
    </w:p>
    <w:p w14:paraId="60C13E78">
      <w:pPr>
        <w:spacing w:before="101" w:line="225" w:lineRule="auto"/>
        <w:ind w:left="3583"/>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安全生产合同</w:t>
      </w:r>
    </w:p>
    <w:p w14:paraId="3796A17C">
      <w:pPr>
        <w:spacing w:line="412" w:lineRule="auto"/>
        <w:rPr>
          <w:rFonts w:ascii="Arial"/>
          <w:color w:val="auto"/>
          <w:sz w:val="21"/>
          <w:highlight w:val="none"/>
        </w:rPr>
      </w:pPr>
    </w:p>
    <w:p w14:paraId="4312CB91">
      <w:pPr>
        <w:spacing w:before="78" w:line="359" w:lineRule="auto"/>
        <w:ind w:left="1"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根据《中华人民共和国安全生产法》、国务院《建设工程安全生产管理条例》、交通运输部《公路水运工程安全生产监督管理办法》《公路水运工程施</w:t>
      </w:r>
      <w:r>
        <w:rPr>
          <w:rFonts w:ascii="宋体" w:hAnsi="宋体" w:eastAsia="宋体" w:cs="宋体"/>
          <w:color w:val="auto"/>
          <w:spacing w:val="4"/>
          <w:sz w:val="24"/>
          <w:szCs w:val="24"/>
          <w:highlight w:val="none"/>
        </w:rPr>
        <w:t>工安全标准化指南》以及《公路工程施工监理规范》等有关规定，为切实做好</w:t>
      </w:r>
      <w:r>
        <w:rPr>
          <w:rFonts w:ascii="宋体" w:hAnsi="宋体" w:eastAsia="宋体" w:cs="宋体"/>
          <w:color w:val="auto"/>
          <w:spacing w:val="-109"/>
          <w:sz w:val="24"/>
          <w:szCs w:val="24"/>
          <w:highlight w:val="none"/>
        </w:rPr>
        <w:t xml:space="preserve"> </w:t>
      </w:r>
      <w:r>
        <w:rPr>
          <w:rFonts w:ascii="宋体" w:hAnsi="宋体" w:eastAsia="宋体" w:cs="宋体"/>
          <w:color w:val="auto"/>
          <w:spacing w:val="4"/>
          <w:sz w:val="24"/>
          <w:szCs w:val="24"/>
          <w:highlight w:val="none"/>
          <w:u w:val="single" w:color="auto"/>
        </w:rPr>
        <w:t xml:space="preserve">          工程</w:t>
      </w:r>
      <w:r>
        <w:rPr>
          <w:rFonts w:ascii="宋体" w:hAnsi="宋体" w:eastAsia="宋体" w:cs="宋体"/>
          <w:color w:val="auto"/>
          <w:spacing w:val="4"/>
          <w:sz w:val="24"/>
          <w:szCs w:val="24"/>
          <w:highlight w:val="none"/>
        </w:rPr>
        <w:t>安全</w:t>
      </w:r>
      <w:r>
        <w:rPr>
          <w:rFonts w:ascii="宋体" w:hAnsi="宋体" w:eastAsia="宋体" w:cs="宋体"/>
          <w:color w:val="auto"/>
          <w:spacing w:val="-2"/>
          <w:sz w:val="24"/>
          <w:szCs w:val="24"/>
          <w:highlight w:val="none"/>
        </w:rPr>
        <w:t>生产管理工作，明确项目参建各方的安全生产责任，促进实现工程项目安全管理目标，</w:t>
      </w:r>
      <w:r>
        <w:rPr>
          <w:rFonts w:ascii="宋体" w:hAnsi="宋体" w:eastAsia="宋体" w:cs="宋体"/>
          <w:color w:val="auto"/>
          <w:spacing w:val="3"/>
          <w:sz w:val="24"/>
          <w:szCs w:val="24"/>
          <w:highlight w:val="none"/>
        </w:rPr>
        <w:t>建设单位全称（以下简称“委托人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”）与监理单位全称（以下</w:t>
      </w:r>
      <w:r>
        <w:rPr>
          <w:rFonts w:ascii="宋体" w:hAnsi="宋体" w:eastAsia="宋体" w:cs="宋体"/>
          <w:color w:val="auto"/>
          <w:spacing w:val="2"/>
          <w:sz w:val="24"/>
          <w:szCs w:val="24"/>
          <w:highlight w:val="none"/>
        </w:rPr>
        <w:t>简称“监理人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”）签订</w:t>
      </w:r>
      <w:r>
        <w:rPr>
          <w:rFonts w:ascii="宋体" w:hAnsi="宋体" w:eastAsia="宋体" w:cs="宋体"/>
          <w:color w:val="auto"/>
          <w:spacing w:val="-2"/>
          <w:sz w:val="24"/>
          <w:szCs w:val="24"/>
          <w:highlight w:val="none"/>
        </w:rPr>
        <w:t>如下安全生产合同：</w:t>
      </w:r>
    </w:p>
    <w:p w14:paraId="45F8F116">
      <w:pPr>
        <w:spacing w:before="1" w:line="220"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一、委托人职责</w:t>
      </w:r>
    </w:p>
    <w:p w14:paraId="095E385F">
      <w:pPr>
        <w:spacing w:before="180"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1.按照法律法规及合同文件约定督促、检查监理人落实安全生产责任。</w:t>
      </w:r>
    </w:p>
    <w:p w14:paraId="06D23BB0">
      <w:pPr>
        <w:spacing w:before="180" w:line="290" w:lineRule="auto"/>
        <w:ind w:left="4"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2.按照有关规定对监理人的安全生产条件、安全生产信用情况、安全生产管</w:t>
      </w:r>
      <w:r>
        <w:rPr>
          <w:rFonts w:ascii="宋体" w:hAnsi="宋体" w:eastAsia="宋体" w:cs="宋体"/>
          <w:color w:val="auto"/>
          <w:spacing w:val="4"/>
          <w:sz w:val="24"/>
          <w:szCs w:val="24"/>
          <w:highlight w:val="none"/>
        </w:rPr>
        <w:t>理体</w:t>
      </w:r>
      <w:r>
        <w:rPr>
          <w:rFonts w:ascii="宋体" w:hAnsi="宋体" w:eastAsia="宋体" w:cs="宋体"/>
          <w:color w:val="auto"/>
          <w:spacing w:val="-1"/>
          <w:sz w:val="24"/>
          <w:szCs w:val="24"/>
          <w:highlight w:val="none"/>
        </w:rPr>
        <w:t>系及保障措施等提出明确要求并检查实施情况。</w:t>
      </w:r>
    </w:p>
    <w:p w14:paraId="359ECB00">
      <w:pPr>
        <w:spacing w:before="180" w:line="221"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二、监理人职责</w:t>
      </w:r>
    </w:p>
    <w:p w14:paraId="5E260F81">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1.严格遵守安全生产有关法律法规，落实合同中有关安全生产的要求。</w:t>
      </w:r>
    </w:p>
    <w:p w14:paraId="49F6EEAE">
      <w:pPr>
        <w:spacing w:before="18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2.具备相应的安全生产条件及安全生产资质，</w:t>
      </w:r>
      <w:r>
        <w:rPr>
          <w:rFonts w:ascii="宋体" w:hAnsi="宋体" w:eastAsia="宋体" w:cs="宋体"/>
          <w:color w:val="auto"/>
          <w:spacing w:val="-1"/>
          <w:sz w:val="24"/>
          <w:szCs w:val="24"/>
          <w:highlight w:val="none"/>
        </w:rPr>
        <w:t>对工程安全生产承担监理责任。</w:t>
      </w:r>
    </w:p>
    <w:p w14:paraId="6861655E">
      <w:pPr>
        <w:spacing w:before="184" w:line="289" w:lineRule="auto"/>
        <w:ind w:left="1" w:right="10"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3.建立健全安全生产制度、责任、组织机构等内部管理体系，配齐安全管理人员，</w:t>
      </w:r>
      <w:r>
        <w:rPr>
          <w:rFonts w:ascii="宋体" w:hAnsi="宋体" w:eastAsia="宋体" w:cs="宋体"/>
          <w:color w:val="auto"/>
          <w:sz w:val="24"/>
          <w:szCs w:val="24"/>
          <w:highlight w:val="none"/>
        </w:rPr>
        <w:t>落实安全生产培训教育，依法参加各类安全保险</w:t>
      </w:r>
      <w:r>
        <w:rPr>
          <w:rFonts w:ascii="宋体" w:hAnsi="宋体" w:eastAsia="宋体" w:cs="宋体"/>
          <w:color w:val="auto"/>
          <w:spacing w:val="-1"/>
          <w:sz w:val="24"/>
          <w:szCs w:val="24"/>
          <w:highlight w:val="none"/>
        </w:rPr>
        <w:t>，落实本单位安全管理责任。</w:t>
      </w:r>
    </w:p>
    <w:p w14:paraId="0C49858D">
      <w:pPr>
        <w:spacing w:before="180" w:line="289" w:lineRule="auto"/>
        <w:ind w:firstLine="47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4.对施工单位的施工安全提出明确要求并督促落实，检查施工单位安全生产管理</w:t>
      </w:r>
      <w:r>
        <w:rPr>
          <w:rFonts w:ascii="宋体" w:hAnsi="宋体" w:eastAsia="宋体" w:cs="宋体"/>
          <w:color w:val="auto"/>
          <w:sz w:val="24"/>
          <w:szCs w:val="24"/>
          <w:highlight w:val="none"/>
        </w:rPr>
        <w:t>体系建立及落实情况，检查有关人员资格及设备设</w:t>
      </w:r>
      <w:r>
        <w:rPr>
          <w:rFonts w:ascii="宋体" w:hAnsi="宋体" w:eastAsia="宋体" w:cs="宋体"/>
          <w:color w:val="auto"/>
          <w:spacing w:val="-1"/>
          <w:sz w:val="24"/>
          <w:szCs w:val="24"/>
          <w:highlight w:val="none"/>
        </w:rPr>
        <w:t>施相关安全手续等情况。</w:t>
      </w:r>
    </w:p>
    <w:p w14:paraId="250A93C4">
      <w:pPr>
        <w:spacing w:before="183" w:line="288" w:lineRule="auto"/>
        <w:ind w:left="2"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5.核查施工单位安全生产条件，审查施工组织设计安全技术措施、应急</w:t>
      </w:r>
      <w:r>
        <w:rPr>
          <w:rFonts w:ascii="宋体" w:hAnsi="宋体" w:eastAsia="宋体" w:cs="宋体"/>
          <w:color w:val="auto"/>
          <w:spacing w:val="4"/>
          <w:sz w:val="24"/>
          <w:szCs w:val="24"/>
          <w:highlight w:val="none"/>
        </w:rPr>
        <w:t>预案及施</w:t>
      </w:r>
      <w:r>
        <w:rPr>
          <w:rFonts w:ascii="宋体" w:hAnsi="宋体" w:eastAsia="宋体" w:cs="宋体"/>
          <w:color w:val="auto"/>
          <w:spacing w:val="-1"/>
          <w:sz w:val="24"/>
          <w:szCs w:val="24"/>
          <w:highlight w:val="none"/>
        </w:rPr>
        <w:t>工安全风险评估报告等，检查危险性较大工程专项施工方案实施情况。</w:t>
      </w:r>
    </w:p>
    <w:p w14:paraId="0A8553FB">
      <w:pPr>
        <w:spacing w:before="185" w:line="289" w:lineRule="auto"/>
        <w:ind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6.按有关规定对施工单位开展各类安全生产检查，发现生产安全事故隐患按有关</w:t>
      </w:r>
      <w:r>
        <w:rPr>
          <w:rFonts w:ascii="宋体" w:hAnsi="宋体" w:eastAsia="宋体" w:cs="宋体"/>
          <w:color w:val="auto"/>
          <w:spacing w:val="-2"/>
          <w:sz w:val="24"/>
          <w:szCs w:val="24"/>
          <w:highlight w:val="none"/>
        </w:rPr>
        <w:t>要求及时处理和报告。</w:t>
      </w:r>
    </w:p>
    <w:p w14:paraId="770CF01E">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7.建立安全监理内业台账档案。</w:t>
      </w:r>
    </w:p>
    <w:p w14:paraId="3A8EBB5D">
      <w:pPr>
        <w:spacing w:before="183"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8.落实安全生产法律法规、政策等规定的其他职责。</w:t>
      </w:r>
    </w:p>
    <w:p w14:paraId="51CBB3BB">
      <w:pPr>
        <w:spacing w:before="181" w:line="219" w:lineRule="auto"/>
        <w:ind w:left="48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三、违约责任</w:t>
      </w:r>
    </w:p>
    <w:p w14:paraId="757F10D1">
      <w:pPr>
        <w:spacing w:before="182" w:line="219"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如因一方违约造成安全事故，将依法追究法律责任。</w:t>
      </w:r>
    </w:p>
    <w:p w14:paraId="5EA68449">
      <w:pPr>
        <w:spacing w:before="181" w:line="219" w:lineRule="auto"/>
        <w:ind w:left="50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四、本合同正本一式两份，甲、乙双方各执一份；副本一式八份，甲、乙</w:t>
      </w:r>
      <w:r>
        <w:rPr>
          <w:rFonts w:ascii="宋体" w:hAnsi="宋体" w:eastAsia="宋体" w:cs="宋体"/>
          <w:b/>
          <w:bCs/>
          <w:color w:val="auto"/>
          <w:spacing w:val="-2"/>
          <w:sz w:val="24"/>
          <w:szCs w:val="24"/>
          <w:highlight w:val="none"/>
        </w:rPr>
        <w:t>双方各</w:t>
      </w:r>
    </w:p>
    <w:p w14:paraId="5C639B1C">
      <w:pPr>
        <w:spacing w:line="219" w:lineRule="auto"/>
        <w:rPr>
          <w:rFonts w:ascii="宋体" w:hAnsi="宋体" w:eastAsia="宋体" w:cs="宋体"/>
          <w:color w:val="auto"/>
          <w:sz w:val="24"/>
          <w:szCs w:val="24"/>
          <w:highlight w:val="none"/>
        </w:rPr>
        <w:sectPr>
          <w:footerReference r:id="rId34" w:type="default"/>
          <w:pgSz w:w="11906" w:h="16839"/>
          <w:pgMar w:top="1431" w:right="1418" w:bottom="1297" w:left="1425" w:header="0" w:footer="1066" w:gutter="0"/>
          <w:pgBorders>
            <w:top w:val="none" w:sz="0" w:space="0"/>
            <w:left w:val="none" w:sz="0" w:space="0"/>
            <w:bottom w:val="none" w:sz="0" w:space="0"/>
            <w:right w:val="none" w:sz="0" w:space="0"/>
          </w:pgBorders>
          <w:pgNumType w:fmt="decimal"/>
          <w:cols w:space="720" w:num="1"/>
        </w:sectPr>
      </w:pPr>
    </w:p>
    <w:p w14:paraId="23B4E800">
      <w:pPr>
        <w:spacing w:before="48" w:line="360" w:lineRule="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执四份。合同由双方法定代表人或其授权的</w:t>
      </w:r>
      <w:r>
        <w:rPr>
          <w:rFonts w:ascii="宋体" w:hAnsi="宋体" w:eastAsia="宋体" w:cs="宋体"/>
          <w:b/>
          <w:bCs/>
          <w:color w:val="auto"/>
          <w:spacing w:val="-1"/>
          <w:sz w:val="24"/>
          <w:szCs w:val="24"/>
          <w:highlight w:val="none"/>
        </w:rPr>
        <w:t>代理人签署并加盖公章后生效，全部工程</w:t>
      </w:r>
      <w:r>
        <w:rPr>
          <w:rFonts w:ascii="宋体" w:hAnsi="宋体" w:eastAsia="宋体" w:cs="宋体"/>
          <w:b/>
          <w:bCs/>
          <w:color w:val="auto"/>
          <w:spacing w:val="-4"/>
          <w:sz w:val="24"/>
          <w:szCs w:val="24"/>
          <w:highlight w:val="none"/>
        </w:rPr>
        <w:t>竣工验收后失效。</w:t>
      </w:r>
    </w:p>
    <w:p w14:paraId="5D460630">
      <w:pPr>
        <w:spacing w:before="19"/>
        <w:rPr>
          <w:color w:val="auto"/>
          <w:highlight w:val="none"/>
        </w:rPr>
      </w:pPr>
    </w:p>
    <w:p w14:paraId="4A9A12F5">
      <w:pPr>
        <w:spacing w:before="19"/>
        <w:rPr>
          <w:color w:val="auto"/>
          <w:highlight w:val="none"/>
        </w:rPr>
      </w:pPr>
    </w:p>
    <w:p w14:paraId="2541903B">
      <w:pPr>
        <w:spacing w:before="19"/>
        <w:rPr>
          <w:color w:val="auto"/>
          <w:highlight w:val="none"/>
        </w:rPr>
      </w:pPr>
    </w:p>
    <w:p w14:paraId="1C1FDB03">
      <w:pPr>
        <w:spacing w:before="18"/>
        <w:rPr>
          <w:color w:val="auto"/>
          <w:highlight w:val="none"/>
        </w:rPr>
      </w:pPr>
    </w:p>
    <w:p w14:paraId="73567CAE">
      <w:pPr>
        <w:rPr>
          <w:color w:val="auto"/>
          <w:highlight w:val="none"/>
        </w:rPr>
        <w:sectPr>
          <w:footerReference r:id="rId35" w:type="default"/>
          <w:pgSz w:w="11906" w:h="16839"/>
          <w:pgMar w:top="1405" w:right="1523" w:bottom="1297" w:left="1424" w:header="0" w:footer="1067" w:gutter="0"/>
          <w:pgBorders>
            <w:top w:val="none" w:sz="0" w:space="0"/>
            <w:left w:val="none" w:sz="0" w:space="0"/>
            <w:bottom w:val="none" w:sz="0" w:space="0"/>
            <w:right w:val="none" w:sz="0" w:space="0"/>
          </w:pgBorders>
          <w:pgNumType w:fmt="decimal"/>
          <w:cols w:equalWidth="0" w:num="1">
            <w:col w:w="8958"/>
          </w:cols>
        </w:sectPr>
      </w:pPr>
    </w:p>
    <w:p w14:paraId="0E897777">
      <w:pPr>
        <w:spacing w:before="47" w:line="219"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委托人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4"/>
          <w:sz w:val="24"/>
          <w:szCs w:val="24"/>
          <w:highlight w:val="none"/>
        </w:rPr>
        <w:t>盖章）</w:t>
      </w:r>
    </w:p>
    <w:p w14:paraId="51C21621">
      <w:pPr>
        <w:spacing w:line="415" w:lineRule="auto"/>
        <w:rPr>
          <w:rFonts w:ascii="Arial"/>
          <w:color w:val="auto"/>
          <w:sz w:val="21"/>
          <w:highlight w:val="none"/>
        </w:rPr>
      </w:pPr>
    </w:p>
    <w:p w14:paraId="79488C9F">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5C340C05">
      <w:pPr>
        <w:spacing w:line="414" w:lineRule="auto"/>
        <w:rPr>
          <w:rFonts w:ascii="Arial"/>
          <w:color w:val="auto"/>
          <w:sz w:val="21"/>
          <w:highlight w:val="none"/>
        </w:rPr>
      </w:pPr>
    </w:p>
    <w:p w14:paraId="206FCFDA">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1E4BB193">
      <w:pPr>
        <w:spacing w:line="411" w:lineRule="auto"/>
        <w:rPr>
          <w:rFonts w:ascii="Arial"/>
          <w:color w:val="auto"/>
          <w:sz w:val="21"/>
          <w:highlight w:val="none"/>
        </w:rPr>
      </w:pPr>
    </w:p>
    <w:p w14:paraId="3E82F62A">
      <w:pPr>
        <w:spacing w:before="79" w:line="229" w:lineRule="auto"/>
        <w:ind w:left="6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66D1E849">
      <w:pPr>
        <w:spacing w:before="171" w:line="221" w:lineRule="auto"/>
        <w:ind w:left="89"/>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3AE7514D">
      <w:pPr>
        <w:spacing w:line="283" w:lineRule="auto"/>
        <w:rPr>
          <w:rFonts w:ascii="Arial"/>
          <w:color w:val="auto"/>
          <w:sz w:val="21"/>
          <w:highlight w:val="none"/>
        </w:rPr>
      </w:pPr>
    </w:p>
    <w:p w14:paraId="52A43EF4">
      <w:pPr>
        <w:spacing w:line="284" w:lineRule="auto"/>
        <w:rPr>
          <w:rFonts w:ascii="Arial"/>
          <w:color w:val="auto"/>
          <w:sz w:val="21"/>
          <w:highlight w:val="none"/>
        </w:rPr>
      </w:pPr>
    </w:p>
    <w:p w14:paraId="391FCE66">
      <w:pPr>
        <w:spacing w:before="78" w:line="184" w:lineRule="auto"/>
        <w:ind w:left="102"/>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12BFED6D">
      <w:pPr>
        <w:spacing w:line="14" w:lineRule="auto"/>
        <w:rPr>
          <w:rFonts w:ascii="Arial"/>
          <w:color w:val="auto"/>
          <w:sz w:val="2"/>
          <w:highlight w:val="none"/>
        </w:rPr>
      </w:pPr>
      <w:r>
        <w:rPr>
          <w:rFonts w:ascii="Arial" w:hAnsi="Arial" w:eastAsia="Arial" w:cs="Arial"/>
          <w:color w:val="auto"/>
          <w:sz w:val="2"/>
          <w:szCs w:val="2"/>
          <w:highlight w:val="none"/>
        </w:rPr>
        <w:br w:type="column"/>
      </w:r>
    </w:p>
    <w:p w14:paraId="1D852A37">
      <w:pPr>
        <w:spacing w:before="46" w:line="219" w:lineRule="auto"/>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监理人</w:t>
      </w:r>
      <w:r>
        <w:rPr>
          <w:rFonts w:ascii="宋体" w:hAnsi="宋体" w:eastAsia="宋体" w:cs="宋体"/>
          <w:color w:val="auto"/>
          <w:spacing w:val="-17"/>
          <w:sz w:val="24"/>
          <w:szCs w:val="24"/>
          <w:highlight w:val="none"/>
        </w:rPr>
        <w:t>：</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全称</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盖章）</w:t>
      </w:r>
      <w:r>
        <w:rPr>
          <w:rFonts w:ascii="宋体" w:hAnsi="宋体" w:eastAsia="宋体" w:cs="宋体"/>
          <w:color w:val="auto"/>
          <w:sz w:val="24"/>
          <w:szCs w:val="24"/>
          <w:highlight w:val="none"/>
          <w:u w:val="single" w:color="auto"/>
        </w:rPr>
        <w:t xml:space="preserve">   </w:t>
      </w:r>
    </w:p>
    <w:p w14:paraId="34481341">
      <w:pPr>
        <w:spacing w:line="415" w:lineRule="auto"/>
        <w:rPr>
          <w:rFonts w:ascii="Arial"/>
          <w:color w:val="auto"/>
          <w:sz w:val="21"/>
          <w:highlight w:val="none"/>
        </w:rPr>
      </w:pPr>
    </w:p>
    <w:p w14:paraId="6D8465CB">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44EDACE6">
      <w:pPr>
        <w:spacing w:line="414" w:lineRule="auto"/>
        <w:rPr>
          <w:rFonts w:ascii="Arial"/>
          <w:color w:val="auto"/>
          <w:sz w:val="21"/>
          <w:highlight w:val="none"/>
        </w:rPr>
      </w:pPr>
    </w:p>
    <w:p w14:paraId="13C1D378">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2078135C">
      <w:pPr>
        <w:spacing w:line="411" w:lineRule="auto"/>
        <w:rPr>
          <w:rFonts w:ascii="Arial"/>
          <w:color w:val="auto"/>
          <w:sz w:val="21"/>
          <w:highlight w:val="none"/>
        </w:rPr>
      </w:pPr>
    </w:p>
    <w:p w14:paraId="22DF7CB8">
      <w:pPr>
        <w:spacing w:before="78" w:line="229" w:lineRule="auto"/>
        <w:ind w:left="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5CB9BF66">
      <w:pPr>
        <w:spacing w:before="172" w:line="221" w:lineRule="auto"/>
        <w:ind w:left="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5386148C">
      <w:pPr>
        <w:spacing w:line="283" w:lineRule="auto"/>
        <w:rPr>
          <w:rFonts w:ascii="Arial"/>
          <w:color w:val="auto"/>
          <w:sz w:val="21"/>
          <w:highlight w:val="none"/>
        </w:rPr>
      </w:pPr>
    </w:p>
    <w:p w14:paraId="2403A490">
      <w:pPr>
        <w:spacing w:line="284" w:lineRule="auto"/>
        <w:rPr>
          <w:rFonts w:ascii="Arial"/>
          <w:color w:val="auto"/>
          <w:sz w:val="21"/>
          <w:highlight w:val="none"/>
        </w:rPr>
      </w:pPr>
    </w:p>
    <w:p w14:paraId="4970B4D4">
      <w:pPr>
        <w:spacing w:before="78" w:line="184" w:lineRule="auto"/>
        <w:ind w:left="1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790EDF58">
      <w:pPr>
        <w:spacing w:line="184" w:lineRule="auto"/>
        <w:rPr>
          <w:rFonts w:ascii="宋体" w:hAnsi="宋体" w:eastAsia="宋体" w:cs="宋体"/>
          <w:color w:val="auto"/>
          <w:sz w:val="24"/>
          <w:szCs w:val="24"/>
          <w:highlight w:val="none"/>
        </w:rPr>
        <w:sectPr>
          <w:type w:val="continuous"/>
          <w:pgSz w:w="11906" w:h="16839"/>
          <w:pgMar w:top="1405" w:right="1523" w:bottom="1297" w:left="1424" w:header="0" w:footer="1067" w:gutter="0"/>
          <w:pgBorders>
            <w:top w:val="none" w:sz="0" w:space="0"/>
            <w:left w:val="none" w:sz="0" w:space="0"/>
            <w:bottom w:val="none" w:sz="0" w:space="0"/>
            <w:right w:val="none" w:sz="0" w:space="0"/>
          </w:pgBorders>
          <w:pgNumType w:fmt="decimal"/>
          <w:cols w:equalWidth="0" w:num="2">
            <w:col w:w="4582" w:space="100"/>
            <w:col w:w="4276"/>
          </w:cols>
        </w:sectPr>
      </w:pPr>
    </w:p>
    <w:p w14:paraId="35E2102F">
      <w:pPr>
        <w:spacing w:line="243" w:lineRule="auto"/>
        <w:rPr>
          <w:rFonts w:ascii="Arial"/>
          <w:color w:val="auto"/>
          <w:sz w:val="21"/>
          <w:highlight w:val="none"/>
        </w:rPr>
      </w:pPr>
    </w:p>
    <w:p w14:paraId="61FEE0CC">
      <w:pPr>
        <w:spacing w:line="243" w:lineRule="auto"/>
        <w:rPr>
          <w:rFonts w:ascii="Arial"/>
          <w:color w:val="auto"/>
          <w:sz w:val="21"/>
          <w:highlight w:val="none"/>
        </w:rPr>
      </w:pPr>
    </w:p>
    <w:p w14:paraId="6A35473A">
      <w:pPr>
        <w:spacing w:line="243" w:lineRule="auto"/>
        <w:rPr>
          <w:rFonts w:ascii="Arial"/>
          <w:color w:val="auto"/>
          <w:sz w:val="21"/>
          <w:highlight w:val="none"/>
        </w:rPr>
      </w:pPr>
    </w:p>
    <w:p w14:paraId="16E54575">
      <w:pPr>
        <w:spacing w:line="244" w:lineRule="auto"/>
        <w:rPr>
          <w:rFonts w:ascii="Arial"/>
          <w:color w:val="auto"/>
          <w:sz w:val="21"/>
          <w:highlight w:val="none"/>
        </w:rPr>
      </w:pPr>
    </w:p>
    <w:p w14:paraId="5C0C35A8">
      <w:pPr>
        <w:spacing w:line="244" w:lineRule="auto"/>
        <w:rPr>
          <w:rFonts w:ascii="Arial"/>
          <w:color w:val="auto"/>
          <w:sz w:val="21"/>
          <w:highlight w:val="none"/>
        </w:rPr>
      </w:pPr>
    </w:p>
    <w:p w14:paraId="58C13FFC">
      <w:pPr>
        <w:spacing w:line="244" w:lineRule="auto"/>
        <w:rPr>
          <w:rFonts w:ascii="Arial"/>
          <w:color w:val="auto"/>
          <w:sz w:val="21"/>
          <w:highlight w:val="none"/>
        </w:rPr>
      </w:pPr>
    </w:p>
    <w:p w14:paraId="0D657983">
      <w:pPr>
        <w:spacing w:line="244" w:lineRule="auto"/>
        <w:rPr>
          <w:rFonts w:ascii="Arial"/>
          <w:color w:val="auto"/>
          <w:sz w:val="21"/>
          <w:highlight w:val="none"/>
        </w:rPr>
      </w:pPr>
    </w:p>
    <w:p w14:paraId="78508A16">
      <w:pPr>
        <w:spacing w:line="244" w:lineRule="auto"/>
        <w:rPr>
          <w:rFonts w:ascii="Arial"/>
          <w:color w:val="auto"/>
          <w:sz w:val="21"/>
          <w:highlight w:val="none"/>
        </w:rPr>
      </w:pPr>
    </w:p>
    <w:p w14:paraId="16DCB847">
      <w:pPr>
        <w:spacing w:line="244" w:lineRule="auto"/>
        <w:rPr>
          <w:rFonts w:ascii="Arial"/>
          <w:color w:val="auto"/>
          <w:sz w:val="21"/>
          <w:highlight w:val="none"/>
        </w:rPr>
      </w:pPr>
    </w:p>
    <w:p w14:paraId="4E7D1ED3">
      <w:pPr>
        <w:spacing w:line="244" w:lineRule="auto"/>
        <w:rPr>
          <w:rFonts w:ascii="Arial"/>
          <w:color w:val="auto"/>
          <w:sz w:val="21"/>
          <w:highlight w:val="none"/>
        </w:rPr>
      </w:pPr>
    </w:p>
    <w:p w14:paraId="03656FEC">
      <w:pPr>
        <w:spacing w:line="244" w:lineRule="auto"/>
        <w:rPr>
          <w:rFonts w:ascii="Arial"/>
          <w:color w:val="auto"/>
          <w:sz w:val="21"/>
          <w:highlight w:val="none"/>
        </w:rPr>
      </w:pPr>
    </w:p>
    <w:p w14:paraId="7DB73422">
      <w:pPr>
        <w:spacing w:line="244" w:lineRule="auto"/>
        <w:rPr>
          <w:rFonts w:ascii="Arial"/>
          <w:color w:val="auto"/>
          <w:sz w:val="21"/>
          <w:highlight w:val="none"/>
        </w:rPr>
      </w:pPr>
    </w:p>
    <w:p w14:paraId="0719A4A2">
      <w:pPr>
        <w:spacing w:line="243" w:lineRule="auto"/>
        <w:rPr>
          <w:rFonts w:ascii="Arial"/>
          <w:color w:val="auto"/>
          <w:sz w:val="21"/>
          <w:highlight w:val="none"/>
        </w:rPr>
      </w:pPr>
      <w:bookmarkStart w:id="724" w:name="bookmark15"/>
      <w:bookmarkEnd w:id="724"/>
      <w:bookmarkStart w:id="725" w:name="bookmark154"/>
      <w:bookmarkEnd w:id="725"/>
    </w:p>
    <w:p w14:paraId="4276D614">
      <w:pPr>
        <w:spacing w:line="244" w:lineRule="auto"/>
        <w:rPr>
          <w:rFonts w:ascii="Arial"/>
          <w:color w:val="auto"/>
          <w:sz w:val="21"/>
          <w:highlight w:val="none"/>
        </w:rPr>
      </w:pPr>
    </w:p>
    <w:p w14:paraId="15604160">
      <w:pPr>
        <w:spacing w:line="244" w:lineRule="auto"/>
        <w:rPr>
          <w:rFonts w:ascii="Arial"/>
          <w:color w:val="auto"/>
          <w:sz w:val="21"/>
          <w:highlight w:val="none"/>
        </w:rPr>
      </w:pPr>
    </w:p>
    <w:p w14:paraId="4AD896E5">
      <w:pPr>
        <w:spacing w:line="244" w:lineRule="auto"/>
        <w:rPr>
          <w:rFonts w:ascii="Arial"/>
          <w:color w:val="auto"/>
          <w:sz w:val="21"/>
          <w:highlight w:val="none"/>
        </w:rPr>
      </w:pPr>
    </w:p>
    <w:p w14:paraId="00A935F8">
      <w:pPr>
        <w:spacing w:line="244" w:lineRule="auto"/>
        <w:rPr>
          <w:rFonts w:ascii="Arial"/>
          <w:color w:val="auto"/>
          <w:sz w:val="21"/>
          <w:highlight w:val="none"/>
        </w:rPr>
      </w:pPr>
    </w:p>
    <w:p w14:paraId="44BD1FEF">
      <w:pPr>
        <w:spacing w:line="244" w:lineRule="auto"/>
        <w:rPr>
          <w:rFonts w:ascii="Arial"/>
          <w:color w:val="auto"/>
          <w:sz w:val="21"/>
          <w:highlight w:val="none"/>
        </w:rPr>
      </w:pPr>
    </w:p>
    <w:p w14:paraId="575BD842">
      <w:pPr>
        <w:spacing w:line="244" w:lineRule="auto"/>
        <w:rPr>
          <w:rFonts w:ascii="Arial"/>
          <w:color w:val="auto"/>
          <w:sz w:val="21"/>
          <w:highlight w:val="none"/>
        </w:rPr>
      </w:pPr>
    </w:p>
    <w:p w14:paraId="460CE2A0">
      <w:pPr>
        <w:spacing w:line="244" w:lineRule="auto"/>
        <w:rPr>
          <w:rFonts w:ascii="Arial"/>
          <w:color w:val="auto"/>
          <w:sz w:val="21"/>
          <w:highlight w:val="none"/>
        </w:rPr>
      </w:pPr>
    </w:p>
    <w:p w14:paraId="10199812">
      <w:pPr>
        <w:spacing w:line="244" w:lineRule="auto"/>
        <w:rPr>
          <w:rFonts w:ascii="Arial"/>
          <w:color w:val="auto"/>
          <w:sz w:val="21"/>
          <w:highlight w:val="none"/>
        </w:rPr>
      </w:pPr>
    </w:p>
    <w:p w14:paraId="6B04E602">
      <w:pPr>
        <w:spacing w:line="244" w:lineRule="auto"/>
        <w:rPr>
          <w:rFonts w:ascii="Arial"/>
          <w:color w:val="auto"/>
          <w:sz w:val="21"/>
          <w:highlight w:val="none"/>
        </w:rPr>
      </w:pPr>
    </w:p>
    <w:p w14:paraId="01A59B03">
      <w:pPr>
        <w:spacing w:line="244" w:lineRule="auto"/>
        <w:rPr>
          <w:rFonts w:ascii="Arial"/>
          <w:color w:val="auto"/>
          <w:sz w:val="21"/>
          <w:highlight w:val="none"/>
        </w:rPr>
      </w:pPr>
    </w:p>
    <w:p w14:paraId="0AB29D7E">
      <w:pPr>
        <w:spacing w:line="244" w:lineRule="auto"/>
        <w:rPr>
          <w:rFonts w:ascii="Arial"/>
          <w:color w:val="auto"/>
          <w:sz w:val="21"/>
          <w:highlight w:val="none"/>
        </w:rPr>
      </w:pPr>
    </w:p>
    <w:p w14:paraId="52558C41">
      <w:pPr>
        <w:spacing w:line="244" w:lineRule="auto"/>
        <w:rPr>
          <w:rFonts w:ascii="Arial"/>
          <w:color w:val="auto"/>
          <w:sz w:val="21"/>
          <w:highlight w:val="none"/>
        </w:rPr>
      </w:pPr>
    </w:p>
    <w:p w14:paraId="4F9EDEB6">
      <w:pPr>
        <w:spacing w:line="244" w:lineRule="auto"/>
        <w:rPr>
          <w:rFonts w:ascii="Arial"/>
          <w:color w:val="auto"/>
          <w:sz w:val="21"/>
          <w:highlight w:val="none"/>
        </w:rPr>
      </w:pPr>
    </w:p>
    <w:p w14:paraId="5A93A2B9">
      <w:pPr>
        <w:spacing w:line="244" w:lineRule="auto"/>
        <w:rPr>
          <w:rFonts w:ascii="Arial"/>
          <w:color w:val="auto"/>
          <w:sz w:val="21"/>
          <w:highlight w:val="none"/>
        </w:rPr>
      </w:pPr>
    </w:p>
    <w:p w14:paraId="429DE9C2">
      <w:pPr>
        <w:spacing w:line="244" w:lineRule="auto"/>
        <w:rPr>
          <w:rFonts w:ascii="Arial"/>
          <w:color w:val="auto"/>
          <w:sz w:val="21"/>
          <w:highlight w:val="none"/>
        </w:rPr>
      </w:pPr>
    </w:p>
    <w:p w14:paraId="4EF615D5">
      <w:pPr>
        <w:spacing w:line="244" w:lineRule="auto"/>
        <w:rPr>
          <w:rFonts w:ascii="Arial"/>
          <w:color w:val="auto"/>
          <w:sz w:val="21"/>
          <w:highlight w:val="none"/>
        </w:rPr>
      </w:pPr>
    </w:p>
    <w:p w14:paraId="32DA537E">
      <w:pPr>
        <w:spacing w:before="169" w:line="219" w:lineRule="auto"/>
        <w:ind w:left="1839"/>
        <w:outlineLvl w:val="0"/>
        <w:rPr>
          <w:rFonts w:ascii="宋体" w:hAnsi="宋体" w:eastAsia="宋体" w:cs="宋体"/>
          <w:color w:val="auto"/>
          <w:sz w:val="52"/>
          <w:szCs w:val="52"/>
          <w:highlight w:val="none"/>
        </w:rPr>
      </w:pPr>
      <w:bookmarkStart w:id="726" w:name="bookmark15"/>
      <w:bookmarkEnd w:id="726"/>
      <w:bookmarkStart w:id="727" w:name="_Toc16388"/>
      <w:bookmarkStart w:id="728" w:name="_Toc14274"/>
      <w:r>
        <w:rPr>
          <w:rFonts w:ascii="宋体" w:hAnsi="宋体" w:eastAsia="宋体" w:cs="宋体"/>
          <w:b/>
          <w:bCs/>
          <w:color w:val="auto"/>
          <w:spacing w:val="-5"/>
          <w:sz w:val="52"/>
          <w:szCs w:val="52"/>
          <w:highlight w:val="none"/>
        </w:rPr>
        <w:t>第五章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委托人要求</w:t>
      </w:r>
      <w:bookmarkEnd w:id="727"/>
      <w:bookmarkEnd w:id="728"/>
    </w:p>
    <w:p w14:paraId="34DC6639">
      <w:pPr>
        <w:spacing w:line="219" w:lineRule="auto"/>
        <w:rPr>
          <w:rFonts w:ascii="宋体" w:hAnsi="宋体" w:eastAsia="宋体" w:cs="宋体"/>
          <w:color w:val="auto"/>
          <w:sz w:val="52"/>
          <w:szCs w:val="52"/>
          <w:highlight w:val="none"/>
        </w:rPr>
        <w:sectPr>
          <w:footerReference r:id="rId36" w:type="default"/>
          <w:pgSz w:w="11906" w:h="16839"/>
          <w:pgMar w:top="1431" w:right="1785" w:bottom="1297" w:left="1785" w:header="0" w:footer="1067" w:gutter="0"/>
          <w:pgBorders>
            <w:top w:val="none" w:sz="0" w:space="0"/>
            <w:left w:val="none" w:sz="0" w:space="0"/>
            <w:bottom w:val="none" w:sz="0" w:space="0"/>
            <w:right w:val="none" w:sz="0" w:space="0"/>
          </w:pgBorders>
          <w:pgNumType w:fmt="decimal"/>
          <w:cols w:space="720" w:num="1"/>
        </w:sectPr>
      </w:pPr>
    </w:p>
    <w:p w14:paraId="306145BA">
      <w:pPr>
        <w:spacing w:before="59" w:line="221" w:lineRule="auto"/>
        <w:ind w:left="3789"/>
        <w:rPr>
          <w:rFonts w:ascii="宋体" w:hAnsi="宋体" w:eastAsia="宋体" w:cs="宋体"/>
          <w:color w:val="auto"/>
          <w:sz w:val="30"/>
          <w:szCs w:val="30"/>
          <w:highlight w:val="none"/>
        </w:rPr>
      </w:pPr>
      <w:bookmarkStart w:id="729" w:name="bookmark155"/>
      <w:bookmarkEnd w:id="729"/>
      <w:r>
        <w:rPr>
          <w:rFonts w:ascii="宋体" w:hAnsi="宋体" w:eastAsia="宋体" w:cs="宋体"/>
          <w:color w:val="auto"/>
          <w:spacing w:val="-3"/>
          <w:sz w:val="30"/>
          <w:szCs w:val="30"/>
          <w:highlight w:val="none"/>
        </w:rPr>
        <w:t>委托人要求</w:t>
      </w:r>
    </w:p>
    <w:p w14:paraId="73553939">
      <w:pPr>
        <w:spacing w:line="265" w:lineRule="auto"/>
        <w:rPr>
          <w:rFonts w:ascii="Arial"/>
          <w:color w:val="auto"/>
          <w:sz w:val="21"/>
          <w:highlight w:val="none"/>
        </w:rPr>
      </w:pPr>
    </w:p>
    <w:p w14:paraId="675735F5">
      <w:pPr>
        <w:spacing w:line="265" w:lineRule="auto"/>
        <w:rPr>
          <w:rFonts w:ascii="Arial"/>
          <w:color w:val="auto"/>
          <w:sz w:val="21"/>
          <w:highlight w:val="none"/>
        </w:rPr>
      </w:pPr>
    </w:p>
    <w:p w14:paraId="6915C84C">
      <w:pPr>
        <w:spacing w:line="227" w:lineRule="auto"/>
        <w:ind w:left="419"/>
        <w:rPr>
          <w:rFonts w:ascii="宋体" w:hAnsi="宋体" w:eastAsia="宋体" w:cs="宋体"/>
          <w:color w:val="auto"/>
          <w:sz w:val="20"/>
          <w:szCs w:val="20"/>
          <w:highlight w:val="none"/>
        </w:rPr>
      </w:pPr>
    </w:p>
    <w:p w14:paraId="6508EC24">
      <w:pPr>
        <w:spacing w:before="199" w:line="221" w:lineRule="auto"/>
        <w:ind w:left="5"/>
        <w:outlineLvl w:val="1"/>
        <w:rPr>
          <w:rFonts w:ascii="宋体" w:hAnsi="宋体" w:eastAsia="宋体" w:cs="宋体"/>
          <w:color w:val="auto"/>
          <w:sz w:val="24"/>
          <w:szCs w:val="24"/>
          <w:highlight w:val="none"/>
        </w:rPr>
      </w:pPr>
      <w:bookmarkStart w:id="730" w:name="_Toc28710"/>
      <w:bookmarkStart w:id="731" w:name="_Toc9383"/>
      <w:bookmarkStart w:id="732" w:name="_Toc12007"/>
      <w:bookmarkStart w:id="733" w:name="_Toc10695"/>
      <w:r>
        <w:rPr>
          <w:rFonts w:ascii="宋体" w:hAnsi="宋体" w:eastAsia="宋体" w:cs="宋体"/>
          <w:b/>
          <w:bCs/>
          <w:color w:val="auto"/>
          <w:spacing w:val="-4"/>
          <w:sz w:val="24"/>
          <w:szCs w:val="24"/>
          <w:highlight w:val="none"/>
        </w:rPr>
        <w:t>一、监理要求</w:t>
      </w:r>
      <w:bookmarkEnd w:id="730"/>
      <w:bookmarkEnd w:id="731"/>
      <w:bookmarkEnd w:id="732"/>
      <w:bookmarkEnd w:id="733"/>
    </w:p>
    <w:p w14:paraId="1597FDB3">
      <w:pPr>
        <w:spacing w:before="16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招标人应当根据项目情况在本章中明确相应的监理要</w:t>
      </w:r>
      <w:r>
        <w:rPr>
          <w:rFonts w:ascii="宋体" w:hAnsi="宋体" w:eastAsia="宋体" w:cs="宋体"/>
          <w:color w:val="auto"/>
          <w:spacing w:val="-1"/>
          <w:sz w:val="24"/>
          <w:szCs w:val="24"/>
          <w:highlight w:val="none"/>
        </w:rPr>
        <w:t>求，一般应包括以下内容：</w:t>
      </w:r>
    </w:p>
    <w:p w14:paraId="18E11738">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（一）项目概况</w:t>
      </w:r>
    </w:p>
    <w:p w14:paraId="41A4860F">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1. 项目名称</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z w:val="24"/>
          <w:szCs w:val="24"/>
          <w:highlight w:val="none"/>
          <w:lang w:val="en-US" w:eastAsia="zh-CN"/>
        </w:rPr>
        <w:t>长征国家文化公园(乐昌段)旅游公路建设项目二期-X826线坪石至桃坪(K0+000-K21+000段)工程监理（第二次）</w:t>
      </w:r>
    </w:p>
    <w:p w14:paraId="36F84458">
      <w:pPr>
        <w:spacing w:before="152" w:line="309" w:lineRule="auto"/>
        <w:ind w:left="1" w:firstLine="497"/>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建设单位</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乐昌市地方公路站。</w:t>
      </w:r>
    </w:p>
    <w:p w14:paraId="1F2003A1">
      <w:pPr>
        <w:spacing w:before="152" w:line="309" w:lineRule="auto"/>
        <w:ind w:left="1" w:firstLine="497"/>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建设规模、技术标准、项目地理位置</w:t>
      </w:r>
      <w:r>
        <w:rPr>
          <w:rFonts w:hint="eastAsia" w:ascii="宋体" w:hAnsi="宋体" w:eastAsia="宋体" w:cs="宋体"/>
          <w:color w:val="auto"/>
          <w:spacing w:val="-2"/>
          <w:sz w:val="24"/>
          <w:szCs w:val="24"/>
          <w:highlight w:val="none"/>
          <w:lang w:eastAsia="zh-CN"/>
        </w:rPr>
        <w:t>：</w:t>
      </w:r>
    </w:p>
    <w:p w14:paraId="7E7C891C">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建设地点：韶关市乐昌市</w:t>
      </w:r>
    </w:p>
    <w:p w14:paraId="5E10AC1A">
      <w:pPr>
        <w:spacing w:before="152" w:line="309" w:lineRule="auto"/>
        <w:ind w:left="1" w:firstLine="497"/>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招标范围及规模：本项目为乐昌市县道X826线坪石至桃坪(K0+000-K21+000段)拓宽改造工程，工程建设内容为路基路面、桥涵、路线交叉、景观绿化、道路排水等附属设施进行升级改造。起点位于乐昌市坪石镇，起点与S248线呈T型平交，起点桩号K0+000，终点位于桃坪村，终点桩号K25+565，该公路是沿线居民出行的主要道路，路线全长25.565km。本项目仅对K0+000-K21+000段(含短链207.88m)进行设计，项目实际路线长度20.792公里。</w:t>
      </w:r>
    </w:p>
    <w:p w14:paraId="42C73E29">
      <w:pPr>
        <w:spacing w:before="157" w:line="220"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项目周边环境、文物情况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1E320081">
      <w:pPr>
        <w:spacing w:before="152"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水文、气候、气象及地质简况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6D9F382A">
      <w:pPr>
        <w:spacing w:before="156"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交通、电力、通讯及其他条件等</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3A22044B">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（二）监理范围及内容</w:t>
      </w:r>
    </w:p>
    <w:p w14:paraId="5B729DF5">
      <w:pPr>
        <w:spacing w:before="153" w:line="339" w:lineRule="auto"/>
        <w:ind w:right="128" w:firstLine="480"/>
        <w:rPr>
          <w:rFonts w:hint="default"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w:t>
      </w:r>
      <w:r>
        <w:rPr>
          <w:rFonts w:ascii="宋体" w:hAnsi="宋体" w:eastAsia="宋体" w:cs="宋体"/>
          <w:color w:val="auto"/>
          <w:spacing w:val="5"/>
          <w:sz w:val="24"/>
          <w:szCs w:val="24"/>
          <w:highlight w:val="none"/>
        </w:rPr>
        <w:t>包括监理范围及主要监理内容</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5B1C8639">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2、</w:t>
      </w:r>
      <w:r>
        <w:rPr>
          <w:rFonts w:ascii="宋体" w:hAnsi="宋体" w:eastAsia="宋体" w:cs="宋体"/>
          <w:color w:val="auto"/>
          <w:spacing w:val="5"/>
          <w:sz w:val="24"/>
          <w:szCs w:val="24"/>
          <w:highlight w:val="none"/>
        </w:rPr>
        <w:t>与监理范围对应的施工标段划分及各标段主要工程数量表等</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详见施工图</w:t>
      </w:r>
      <w:r>
        <w:rPr>
          <w:rFonts w:ascii="宋体" w:hAnsi="宋体" w:eastAsia="宋体" w:cs="宋体"/>
          <w:color w:val="auto"/>
          <w:spacing w:val="5"/>
          <w:sz w:val="24"/>
          <w:szCs w:val="24"/>
          <w:highlight w:val="none"/>
        </w:rPr>
        <w:t>。</w:t>
      </w:r>
    </w:p>
    <w:p w14:paraId="7A36B974">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en-US"/>
        </w:rPr>
        <w:t>（三）</w:t>
      </w:r>
      <w:r>
        <w:rPr>
          <w:rFonts w:ascii="宋体" w:hAnsi="宋体" w:eastAsia="宋体" w:cs="宋体"/>
          <w:color w:val="auto"/>
          <w:spacing w:val="5"/>
          <w:sz w:val="24"/>
          <w:szCs w:val="24"/>
          <w:highlight w:val="none"/>
        </w:rPr>
        <w:t>监理依据</w:t>
      </w:r>
    </w:p>
    <w:p w14:paraId="1182B3D3">
      <w:pPr>
        <w:spacing w:before="153" w:line="339" w:lineRule="auto"/>
        <w:ind w:right="128" w:firstLine="48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执行《公路工程施工监理规范》</w:t>
      </w:r>
    </w:p>
    <w:p w14:paraId="1BF2B96E">
      <w:pPr>
        <w:spacing w:before="153" w:line="339" w:lineRule="auto"/>
        <w:ind w:right="12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（四）监理人员和试验检测仪器设备要</w:t>
      </w:r>
      <w:r>
        <w:rPr>
          <w:rFonts w:ascii="宋体" w:hAnsi="宋体" w:eastAsia="宋体" w:cs="宋体"/>
          <w:color w:val="auto"/>
          <w:spacing w:val="-2"/>
          <w:sz w:val="24"/>
          <w:szCs w:val="24"/>
          <w:highlight w:val="none"/>
        </w:rPr>
        <w:t>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12CA759D">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（五）其他要求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4E74F02D">
      <w:pPr>
        <w:spacing w:before="186" w:line="220" w:lineRule="auto"/>
        <w:ind w:left="5"/>
        <w:outlineLvl w:val="1"/>
        <w:rPr>
          <w:rFonts w:ascii="宋体" w:hAnsi="宋体" w:eastAsia="宋体" w:cs="宋体"/>
          <w:color w:val="auto"/>
          <w:sz w:val="24"/>
          <w:szCs w:val="24"/>
          <w:highlight w:val="none"/>
        </w:rPr>
      </w:pPr>
      <w:bookmarkStart w:id="734" w:name="_Toc23072"/>
      <w:bookmarkStart w:id="735" w:name="_Toc20781"/>
      <w:bookmarkStart w:id="736" w:name="_Toc552"/>
      <w:bookmarkStart w:id="737" w:name="_Toc4797"/>
      <w:r>
        <w:rPr>
          <w:rFonts w:ascii="宋体" w:hAnsi="宋体" w:eastAsia="宋体" w:cs="宋体"/>
          <w:b/>
          <w:bCs/>
          <w:color w:val="auto"/>
          <w:spacing w:val="-4"/>
          <w:sz w:val="24"/>
          <w:szCs w:val="24"/>
          <w:highlight w:val="none"/>
        </w:rPr>
        <w:t>二、适用规范标准</w:t>
      </w:r>
      <w:bookmarkEnd w:id="734"/>
      <w:bookmarkEnd w:id="735"/>
      <w:bookmarkEnd w:id="736"/>
      <w:bookmarkEnd w:id="737"/>
    </w:p>
    <w:p w14:paraId="57A53931">
      <w:pPr>
        <w:spacing w:before="163" w:line="221"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（一）通用施工监理规范</w:t>
      </w:r>
    </w:p>
    <w:p w14:paraId="10990DDD">
      <w:pPr>
        <w:spacing w:before="15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执行最新《公路工程施工监理规范》。</w:t>
      </w:r>
    </w:p>
    <w:p w14:paraId="6389C19F">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（二）专用施工监理规范</w:t>
      </w:r>
    </w:p>
    <w:p w14:paraId="26FC8F5F">
      <w:pPr>
        <w:spacing w:before="180" w:line="406" w:lineRule="auto"/>
        <w:ind w:left="1" w:right="128" w:firstLine="419"/>
        <w:jc w:val="both"/>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专用施工监理规范由招标人根据工程的实际情况，在最新《公路工</w:t>
      </w:r>
      <w:r>
        <w:rPr>
          <w:rFonts w:ascii="宋体" w:hAnsi="宋体" w:eastAsia="宋体" w:cs="宋体"/>
          <w:color w:val="auto"/>
          <w:spacing w:val="10"/>
          <w:sz w:val="24"/>
          <w:szCs w:val="24"/>
          <w:highlight w:val="none"/>
        </w:rPr>
        <w:t>程施工监理规范》的基础上自行编制并纳入“委托人要求</w:t>
      </w:r>
      <w:r>
        <w:rPr>
          <w:rFonts w:ascii="宋体" w:hAnsi="宋体" w:eastAsia="宋体" w:cs="宋体"/>
          <w:color w:val="auto"/>
          <w:spacing w:val="-69"/>
          <w:sz w:val="24"/>
          <w:szCs w:val="24"/>
          <w:highlight w:val="none"/>
        </w:rPr>
        <w:t xml:space="preserve"> </w:t>
      </w:r>
      <w:r>
        <w:rPr>
          <w:rFonts w:ascii="宋体" w:hAnsi="宋体" w:eastAsia="宋体" w:cs="宋体"/>
          <w:color w:val="auto"/>
          <w:spacing w:val="10"/>
          <w:sz w:val="24"/>
          <w:szCs w:val="24"/>
          <w:highlight w:val="none"/>
        </w:rPr>
        <w:t>”中，但不得与国家、交通运输部及有关部门的法规、标准、规范等</w:t>
      </w:r>
      <w:r>
        <w:rPr>
          <w:rFonts w:ascii="宋体" w:hAnsi="宋体" w:eastAsia="宋体" w:cs="宋体"/>
          <w:color w:val="auto"/>
          <w:spacing w:val="2"/>
          <w:sz w:val="24"/>
          <w:szCs w:val="24"/>
          <w:highlight w:val="none"/>
        </w:rPr>
        <w:t>矛盾。</w:t>
      </w:r>
    </w:p>
    <w:p w14:paraId="2049BE44">
      <w:pPr>
        <w:spacing w:before="1" w:line="409" w:lineRule="auto"/>
        <w:ind w:left="19" w:right="30" w:firstLine="4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针对本工程或仅在本地区实行的与监理工作有</w:t>
      </w:r>
      <w:r>
        <w:rPr>
          <w:rFonts w:ascii="宋体" w:hAnsi="宋体" w:eastAsia="宋体" w:cs="宋体"/>
          <w:color w:val="auto"/>
          <w:spacing w:val="12"/>
          <w:sz w:val="24"/>
          <w:szCs w:val="24"/>
          <w:highlight w:val="none"/>
        </w:rPr>
        <w:t>关的管理办法、制度应一并纳入“委托人要求</w:t>
      </w:r>
      <w:r>
        <w:rPr>
          <w:rFonts w:ascii="宋体" w:hAnsi="宋体" w:eastAsia="宋体" w:cs="宋体"/>
          <w:color w:val="auto"/>
          <w:spacing w:val="-72"/>
          <w:sz w:val="24"/>
          <w:szCs w:val="24"/>
          <w:highlight w:val="none"/>
        </w:rPr>
        <w:t xml:space="preserve"> </w:t>
      </w:r>
      <w:r>
        <w:rPr>
          <w:rFonts w:ascii="宋体" w:hAnsi="宋体" w:eastAsia="宋体" w:cs="宋体"/>
          <w:color w:val="auto"/>
          <w:spacing w:val="12"/>
          <w:sz w:val="24"/>
          <w:szCs w:val="24"/>
          <w:highlight w:val="none"/>
        </w:rPr>
        <w:t>”</w:t>
      </w:r>
      <w:r>
        <w:rPr>
          <w:rFonts w:ascii="宋体" w:hAnsi="宋体" w:eastAsia="宋体" w:cs="宋体"/>
          <w:color w:val="auto"/>
          <w:spacing w:val="-10"/>
          <w:sz w:val="24"/>
          <w:szCs w:val="24"/>
          <w:highlight w:val="none"/>
        </w:rPr>
        <w:t>中。</w:t>
      </w:r>
    </w:p>
    <w:p w14:paraId="1BEECB16">
      <w:pPr>
        <w:spacing w:before="132"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（三）施工技术规范</w:t>
      </w:r>
    </w:p>
    <w:p w14:paraId="7C8C9E99">
      <w:pPr>
        <w:spacing w:before="154"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施工技术规范包括以下内容：</w:t>
      </w:r>
    </w:p>
    <w:p w14:paraId="526E95E1">
      <w:pPr>
        <w:spacing w:before="155"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 本工程施工标段招标文件中的技术规范；</w:t>
      </w:r>
    </w:p>
    <w:p w14:paraId="51033005">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 所有与工程施工有关的国家现行的公路建设</w:t>
      </w:r>
      <w:r>
        <w:rPr>
          <w:rFonts w:ascii="宋体" w:hAnsi="宋体" w:eastAsia="宋体" w:cs="宋体"/>
          <w:color w:val="auto"/>
          <w:spacing w:val="-1"/>
          <w:sz w:val="24"/>
          <w:szCs w:val="24"/>
          <w:highlight w:val="none"/>
        </w:rPr>
        <w:t>标准、规范、规程及相关文件。</w:t>
      </w:r>
    </w:p>
    <w:p w14:paraId="634FEA3D">
      <w:pPr>
        <w:spacing w:before="154"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（四）执行广东省《公路工程造价管理指南》。</w:t>
      </w:r>
    </w:p>
    <w:p w14:paraId="6DDC957A">
      <w:pPr>
        <w:spacing w:before="158"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（五）国家、行业、项目所在地适用本工程的其他规范、标准或规程。</w:t>
      </w:r>
    </w:p>
    <w:p w14:paraId="19E9F0BA">
      <w:pPr>
        <w:spacing w:before="187" w:line="219" w:lineRule="auto"/>
        <w:outlineLvl w:val="1"/>
        <w:rPr>
          <w:rFonts w:ascii="宋体" w:hAnsi="宋体" w:eastAsia="宋体" w:cs="宋体"/>
          <w:color w:val="auto"/>
          <w:sz w:val="24"/>
          <w:szCs w:val="24"/>
          <w:highlight w:val="none"/>
        </w:rPr>
      </w:pPr>
      <w:bookmarkStart w:id="738" w:name="_Toc13224"/>
      <w:bookmarkStart w:id="739" w:name="_Toc27662"/>
      <w:bookmarkStart w:id="740" w:name="_Toc10547"/>
      <w:bookmarkStart w:id="741" w:name="_Toc16973"/>
      <w:r>
        <w:rPr>
          <w:rFonts w:ascii="宋体" w:hAnsi="宋体" w:eastAsia="宋体" w:cs="宋体"/>
          <w:b/>
          <w:bCs/>
          <w:color w:val="auto"/>
          <w:spacing w:val="-3"/>
          <w:sz w:val="24"/>
          <w:szCs w:val="24"/>
          <w:highlight w:val="none"/>
        </w:rPr>
        <w:t>三、成果文件要求</w:t>
      </w:r>
      <w:bookmarkEnd w:id="738"/>
      <w:bookmarkEnd w:id="739"/>
      <w:bookmarkEnd w:id="740"/>
      <w:bookmarkEnd w:id="741"/>
    </w:p>
    <w:p w14:paraId="09B0C64B">
      <w:pPr>
        <w:spacing w:before="164" w:line="219" w:lineRule="auto"/>
        <w:ind w:left="491"/>
        <w:rPr>
          <w:rFonts w:hint="default" w:ascii="宋体" w:hAnsi="宋体" w:eastAsia="宋体" w:cs="宋体"/>
          <w:color w:val="auto"/>
          <w:sz w:val="24"/>
          <w:szCs w:val="24"/>
          <w:highlight w:val="none"/>
          <w:lang w:val="en-US"/>
        </w:rPr>
      </w:pPr>
      <w:r>
        <w:rPr>
          <w:rFonts w:ascii="宋体" w:hAnsi="宋体" w:eastAsia="宋体" w:cs="宋体"/>
          <w:color w:val="auto"/>
          <w:spacing w:val="-3"/>
          <w:sz w:val="24"/>
          <w:szCs w:val="24"/>
          <w:highlight w:val="none"/>
        </w:rPr>
        <w:t>（一）成果文件的组成</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14D3B1C">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（二）成果文件的深度</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7E39EB2D">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（三）成果文件的格式要求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5E22156A">
      <w:pPr>
        <w:spacing w:before="155"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（四）成果文件的份数要求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36EB1FE2">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（五）成果文件的载体要求</w:t>
      </w:r>
    </w:p>
    <w:p w14:paraId="504DAB7F">
      <w:pPr>
        <w:spacing w:before="157" w:line="220" w:lineRule="auto"/>
        <w:ind w:left="4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纸质版的要求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378E50E">
      <w:pPr>
        <w:spacing w:before="153" w:line="220" w:lineRule="auto"/>
        <w:ind w:left="482"/>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2.</w:t>
      </w:r>
      <w:r>
        <w:rPr>
          <w:rFonts w:ascii="宋体" w:hAnsi="宋体" w:eastAsia="宋体" w:cs="宋体"/>
          <w:color w:val="auto"/>
          <w:spacing w:val="40"/>
          <w:sz w:val="24"/>
          <w:szCs w:val="24"/>
          <w:highlight w:val="none"/>
        </w:rPr>
        <w:t xml:space="preserve"> </w:t>
      </w:r>
      <w:r>
        <w:rPr>
          <w:rFonts w:ascii="宋体" w:hAnsi="宋体" w:eastAsia="宋体" w:cs="宋体"/>
          <w:color w:val="auto"/>
          <w:spacing w:val="-6"/>
          <w:sz w:val="24"/>
          <w:szCs w:val="24"/>
          <w:highlight w:val="none"/>
        </w:rPr>
        <w:t>电子版的要求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0EBD1664">
      <w:pPr>
        <w:spacing w:before="153" w:line="220"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其他要求</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r>
        <w:rPr>
          <w:rFonts w:ascii="宋体" w:hAnsi="宋体" w:eastAsia="宋体" w:cs="宋体"/>
          <w:color w:val="auto"/>
          <w:spacing w:val="-2"/>
          <w:sz w:val="24"/>
          <w:szCs w:val="24"/>
          <w:highlight w:val="none"/>
        </w:rPr>
        <w:t>。</w:t>
      </w:r>
    </w:p>
    <w:p w14:paraId="46BC4134">
      <w:pPr>
        <w:spacing w:before="156"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（六）成果文件的其他要求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F0EA7D1">
      <w:pPr>
        <w:spacing w:before="186" w:line="219" w:lineRule="auto"/>
        <w:ind w:left="22"/>
        <w:outlineLvl w:val="1"/>
        <w:rPr>
          <w:rFonts w:ascii="宋体" w:hAnsi="宋体" w:eastAsia="宋体" w:cs="宋体"/>
          <w:color w:val="auto"/>
          <w:sz w:val="24"/>
          <w:szCs w:val="24"/>
          <w:highlight w:val="none"/>
        </w:rPr>
      </w:pPr>
      <w:bookmarkStart w:id="742" w:name="_Toc8609"/>
      <w:bookmarkStart w:id="743" w:name="_Toc23010"/>
      <w:bookmarkStart w:id="744" w:name="_Toc25997"/>
      <w:bookmarkStart w:id="745" w:name="_Toc16909"/>
      <w:r>
        <w:rPr>
          <w:rFonts w:ascii="宋体" w:hAnsi="宋体" w:eastAsia="宋体" w:cs="宋体"/>
          <w:b/>
          <w:bCs/>
          <w:color w:val="auto"/>
          <w:spacing w:val="-6"/>
          <w:sz w:val="24"/>
          <w:szCs w:val="24"/>
          <w:highlight w:val="none"/>
        </w:rPr>
        <w:t>四、委托人财产清单</w:t>
      </w:r>
      <w:bookmarkEnd w:id="742"/>
      <w:bookmarkEnd w:id="743"/>
      <w:bookmarkEnd w:id="744"/>
      <w:bookmarkEnd w:id="745"/>
    </w:p>
    <w:p w14:paraId="0F21E20A">
      <w:pPr>
        <w:spacing w:before="163"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（一）委托人提供的设备、设施</w:t>
      </w:r>
    </w:p>
    <w:p w14:paraId="402BF95F">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不提供。</w:t>
      </w:r>
    </w:p>
    <w:p w14:paraId="1993428E">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（二）委托人提供的资料</w:t>
      </w:r>
    </w:p>
    <w:p w14:paraId="5C7AC897">
      <w:pPr>
        <w:spacing w:before="155" w:line="299"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施工场地及毗邻区域内的供水、排水、供电、供气、供热、通信、广播电视等</w:t>
      </w:r>
      <w:r>
        <w:rPr>
          <w:rFonts w:ascii="宋体" w:hAnsi="宋体" w:eastAsia="宋体" w:cs="宋体"/>
          <w:color w:val="auto"/>
          <w:spacing w:val="5"/>
          <w:sz w:val="24"/>
          <w:szCs w:val="24"/>
          <w:highlight w:val="none"/>
        </w:rPr>
        <w:t>地下管线资料、气象和水文观测资料，相邻建筑物和构筑物、地下工程的有</w:t>
      </w:r>
      <w:r>
        <w:rPr>
          <w:rFonts w:ascii="宋体" w:hAnsi="宋体" w:eastAsia="宋体" w:cs="宋体"/>
          <w:color w:val="auto"/>
          <w:spacing w:val="4"/>
          <w:sz w:val="24"/>
          <w:szCs w:val="24"/>
          <w:highlight w:val="none"/>
        </w:rPr>
        <w:t>关资料，</w:t>
      </w:r>
      <w:r>
        <w:rPr>
          <w:rFonts w:ascii="宋体" w:hAnsi="宋体" w:eastAsia="宋体" w:cs="宋体"/>
          <w:color w:val="auto"/>
          <w:spacing w:val="-1"/>
          <w:sz w:val="24"/>
          <w:szCs w:val="24"/>
          <w:highlight w:val="none"/>
        </w:rPr>
        <w:t>以及其他与公路工程有关的原始资料</w:t>
      </w:r>
    </w:p>
    <w:p w14:paraId="07B66DC2">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定位放线的基准点、基准线和基准标高</w:t>
      </w:r>
    </w:p>
    <w:p w14:paraId="55C476D9">
      <w:pPr>
        <w:spacing w:before="15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委托人取得的有关审批、核准和备案材料</w:t>
      </w:r>
    </w:p>
    <w:p w14:paraId="6E94851E">
      <w:pPr>
        <w:spacing w:before="158"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勘察文件、设计文件等资料</w:t>
      </w:r>
    </w:p>
    <w:p w14:paraId="28E1BC64">
      <w:pPr>
        <w:spacing w:before="155"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技术标准、规范</w:t>
      </w:r>
    </w:p>
    <w:p w14:paraId="1BC7FF13">
      <w:pPr>
        <w:spacing w:before="154"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 工程承包合同及其他相关合同</w:t>
      </w:r>
    </w:p>
    <w:p w14:paraId="099B1FF7">
      <w:pPr>
        <w:spacing w:before="157" w:line="220" w:lineRule="auto"/>
        <w:ind w:left="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ascii="宋体" w:hAnsi="宋体" w:eastAsia="宋体" w:cs="宋体"/>
          <w:color w:val="auto"/>
          <w:spacing w:val="13"/>
          <w:sz w:val="24"/>
          <w:szCs w:val="24"/>
          <w:highlight w:val="none"/>
        </w:rPr>
        <w:t xml:space="preserve"> </w:t>
      </w:r>
      <w:r>
        <w:rPr>
          <w:rFonts w:ascii="宋体" w:hAnsi="宋体" w:eastAsia="宋体" w:cs="宋体"/>
          <w:color w:val="auto"/>
          <w:spacing w:val="-5"/>
          <w:sz w:val="24"/>
          <w:szCs w:val="24"/>
          <w:highlight w:val="none"/>
        </w:rPr>
        <w:t>其他资料</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p>
    <w:p w14:paraId="5E3F6D78">
      <w:pPr>
        <w:spacing w:before="153" w:line="378" w:lineRule="exact"/>
        <w:ind w:left="495"/>
        <w:rPr>
          <w:rFonts w:ascii="宋体" w:hAnsi="宋体" w:eastAsia="宋体" w:cs="宋体"/>
          <w:color w:val="auto"/>
          <w:sz w:val="24"/>
          <w:szCs w:val="24"/>
          <w:highlight w:val="none"/>
        </w:rPr>
      </w:pPr>
    </w:p>
    <w:p w14:paraId="2F001294">
      <w:pPr>
        <w:spacing w:before="61"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（三）委托人财产使用要求及退还要求</w:t>
      </w:r>
    </w:p>
    <w:p w14:paraId="1401A2CF">
      <w:pPr>
        <w:spacing w:line="219" w:lineRule="auto"/>
        <w:ind w:firstLine="468" w:firstLineChars="200"/>
        <w:rPr>
          <w:rFonts w:ascii="宋体" w:hAnsi="宋体" w:eastAsia="宋体" w:cs="宋体"/>
          <w:color w:val="auto"/>
          <w:spacing w:val="-3"/>
          <w:sz w:val="24"/>
          <w:szCs w:val="24"/>
          <w:highlight w:val="none"/>
        </w:rPr>
      </w:pPr>
    </w:p>
    <w:p w14:paraId="4B2BD6ED">
      <w:pPr>
        <w:spacing w:line="219" w:lineRule="auto"/>
        <w:ind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委托人财产使用要求</w:t>
      </w:r>
      <w:r>
        <w:rPr>
          <w:rFonts w:hint="eastAsia" w:ascii="宋体" w:hAnsi="宋体" w:eastAsia="宋体" w:cs="宋体"/>
          <w:color w:val="auto"/>
          <w:spacing w:val="-2"/>
          <w:sz w:val="24"/>
          <w:szCs w:val="24"/>
          <w:highlight w:val="none"/>
          <w:lang w:val="en-US" w:eastAsia="zh-CN"/>
        </w:rPr>
        <w:t>:/</w:t>
      </w:r>
    </w:p>
    <w:p w14:paraId="5FC7A505">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委托人财产退还要求</w:t>
      </w:r>
      <w:r>
        <w:rPr>
          <w:rFonts w:hint="eastAsia" w:ascii="宋体" w:hAnsi="宋体" w:eastAsia="宋体" w:cs="宋体"/>
          <w:color w:val="auto"/>
          <w:spacing w:val="-2"/>
          <w:sz w:val="24"/>
          <w:szCs w:val="24"/>
          <w:highlight w:val="none"/>
          <w:lang w:val="en-US" w:eastAsia="zh-CN"/>
        </w:rPr>
        <w:t>:/</w:t>
      </w:r>
    </w:p>
    <w:p w14:paraId="45D6D32F">
      <w:pPr>
        <w:spacing w:before="91" w:line="219" w:lineRule="auto"/>
        <w:ind w:left="4"/>
        <w:outlineLvl w:val="1"/>
        <w:rPr>
          <w:rFonts w:ascii="宋体" w:hAnsi="宋体" w:eastAsia="宋体" w:cs="宋体"/>
          <w:color w:val="auto"/>
          <w:sz w:val="24"/>
          <w:szCs w:val="24"/>
          <w:highlight w:val="none"/>
        </w:rPr>
      </w:pPr>
      <w:bookmarkStart w:id="746" w:name="_Toc505"/>
      <w:bookmarkStart w:id="747" w:name="_Toc887"/>
      <w:bookmarkStart w:id="748" w:name="_Toc12147"/>
      <w:bookmarkStart w:id="749" w:name="_Toc29738"/>
      <w:r>
        <w:rPr>
          <w:rFonts w:ascii="宋体" w:hAnsi="宋体" w:eastAsia="宋体" w:cs="宋体"/>
          <w:b/>
          <w:bCs/>
          <w:color w:val="auto"/>
          <w:spacing w:val="-3"/>
          <w:sz w:val="24"/>
          <w:szCs w:val="24"/>
          <w:highlight w:val="none"/>
        </w:rPr>
        <w:t>五、委托人提供的便利条件</w:t>
      </w:r>
      <w:bookmarkEnd w:id="746"/>
      <w:bookmarkEnd w:id="747"/>
      <w:bookmarkEnd w:id="748"/>
      <w:bookmarkEnd w:id="749"/>
    </w:p>
    <w:p w14:paraId="239E4AEE">
      <w:pPr>
        <w:spacing w:before="164" w:line="219" w:lineRule="auto"/>
        <w:ind w:left="492"/>
        <w:rPr>
          <w:rFonts w:hint="default" w:ascii="宋体" w:hAnsi="宋体" w:eastAsia="宋体" w:cs="宋体"/>
          <w:color w:val="auto"/>
          <w:sz w:val="24"/>
          <w:szCs w:val="24"/>
          <w:highlight w:val="none"/>
          <w:lang w:val="en-US"/>
        </w:rPr>
      </w:pPr>
      <w:r>
        <w:rPr>
          <w:rFonts w:ascii="宋体" w:hAnsi="宋体" w:eastAsia="宋体" w:cs="宋体"/>
          <w:color w:val="auto"/>
          <w:spacing w:val="-2"/>
          <w:sz w:val="24"/>
          <w:szCs w:val="24"/>
          <w:highlight w:val="none"/>
        </w:rPr>
        <w:t>（一）委托人提供的生活条件</w:t>
      </w:r>
      <w:r>
        <w:rPr>
          <w:rFonts w:hint="eastAsia" w:ascii="宋体" w:hAnsi="宋体" w:eastAsia="宋体" w:cs="宋体"/>
          <w:color w:val="auto"/>
          <w:spacing w:val="-2"/>
          <w:sz w:val="24"/>
          <w:szCs w:val="24"/>
          <w:highlight w:val="none"/>
          <w:lang w:val="en-US" w:eastAsia="zh-CN"/>
        </w:rPr>
        <w:t>:无</w:t>
      </w:r>
    </w:p>
    <w:p w14:paraId="41618BB5">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（二）委托人提供的交通条件</w:t>
      </w:r>
      <w:r>
        <w:rPr>
          <w:rFonts w:hint="eastAsia" w:ascii="宋体" w:hAnsi="宋体" w:eastAsia="宋体" w:cs="宋体"/>
          <w:color w:val="auto"/>
          <w:spacing w:val="-2"/>
          <w:sz w:val="24"/>
          <w:szCs w:val="24"/>
          <w:highlight w:val="none"/>
          <w:lang w:val="en-US" w:eastAsia="zh-CN"/>
        </w:rPr>
        <w:t>:/</w:t>
      </w:r>
    </w:p>
    <w:p w14:paraId="769C0D3C">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（三）委托人提供的网络、通讯条件</w:t>
      </w:r>
      <w:r>
        <w:rPr>
          <w:rFonts w:hint="eastAsia" w:ascii="宋体" w:hAnsi="宋体" w:eastAsia="宋体" w:cs="宋体"/>
          <w:color w:val="auto"/>
          <w:spacing w:val="-2"/>
          <w:sz w:val="24"/>
          <w:szCs w:val="24"/>
          <w:highlight w:val="none"/>
          <w:lang w:val="en-US" w:eastAsia="zh-CN"/>
        </w:rPr>
        <w:t>:/</w:t>
      </w:r>
    </w:p>
    <w:p w14:paraId="0E666FFA">
      <w:pPr>
        <w:spacing w:before="154" w:line="219" w:lineRule="auto"/>
        <w:ind w:left="492"/>
        <w:rPr>
          <w:rFonts w:hint="default"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（四）委托人提供的协助人员</w:t>
      </w:r>
      <w:r>
        <w:rPr>
          <w:rFonts w:hint="eastAsia" w:ascii="宋体" w:hAnsi="宋体" w:eastAsia="宋体" w:cs="宋体"/>
          <w:color w:val="auto"/>
          <w:spacing w:val="-2"/>
          <w:sz w:val="24"/>
          <w:szCs w:val="24"/>
          <w:highlight w:val="none"/>
          <w:lang w:val="en-US" w:eastAsia="zh-CN"/>
        </w:rPr>
        <w:t>:/</w:t>
      </w:r>
    </w:p>
    <w:p w14:paraId="5B364F97">
      <w:pPr>
        <w:spacing w:before="95" w:line="219" w:lineRule="auto"/>
        <w:ind w:left="2"/>
        <w:outlineLvl w:val="1"/>
        <w:rPr>
          <w:rFonts w:ascii="宋体" w:hAnsi="宋体" w:eastAsia="宋体" w:cs="宋体"/>
          <w:color w:val="auto"/>
          <w:sz w:val="24"/>
          <w:szCs w:val="24"/>
          <w:highlight w:val="none"/>
        </w:rPr>
      </w:pPr>
      <w:bookmarkStart w:id="750" w:name="_Toc18535"/>
      <w:bookmarkStart w:id="751" w:name="_Toc13303"/>
      <w:bookmarkStart w:id="752" w:name="_Toc1589"/>
      <w:bookmarkStart w:id="753" w:name="_Toc577"/>
      <w:r>
        <w:rPr>
          <w:rFonts w:ascii="宋体" w:hAnsi="宋体" w:eastAsia="宋体" w:cs="宋体"/>
          <w:b/>
          <w:bCs/>
          <w:color w:val="auto"/>
          <w:spacing w:val="-3"/>
          <w:sz w:val="24"/>
          <w:szCs w:val="24"/>
          <w:highlight w:val="none"/>
        </w:rPr>
        <w:t>六、监理人需要自备的工作条件</w:t>
      </w:r>
      <w:bookmarkEnd w:id="750"/>
      <w:bookmarkEnd w:id="751"/>
      <w:bookmarkEnd w:id="752"/>
      <w:bookmarkEnd w:id="753"/>
    </w:p>
    <w:p w14:paraId="58BF50C7">
      <w:pPr>
        <w:spacing w:before="16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（一）监理人自备的工作手册：如本项目必备的规范标准、图集等</w:t>
      </w:r>
    </w:p>
    <w:p w14:paraId="7EDDADC2">
      <w:pPr>
        <w:spacing w:before="154" w:line="279" w:lineRule="auto"/>
        <w:ind w:left="2" w:firstLine="48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（二）监理人自备的办公设备：如电脑、软件、投影、打印机、复</w:t>
      </w:r>
      <w:r>
        <w:rPr>
          <w:rFonts w:ascii="宋体" w:hAnsi="宋体" w:eastAsia="宋体" w:cs="宋体"/>
          <w:color w:val="auto"/>
          <w:spacing w:val="4"/>
          <w:sz w:val="24"/>
          <w:szCs w:val="24"/>
          <w:highlight w:val="none"/>
        </w:rPr>
        <w:t>印机、照相机</w:t>
      </w:r>
      <w:r>
        <w:rPr>
          <w:rFonts w:ascii="宋体" w:hAnsi="宋体" w:eastAsia="宋体" w:cs="宋体"/>
          <w:color w:val="auto"/>
          <w:sz w:val="24"/>
          <w:szCs w:val="24"/>
          <w:highlight w:val="none"/>
        </w:rPr>
        <w:t>等</w:t>
      </w:r>
    </w:p>
    <w:p w14:paraId="2D28F590">
      <w:pPr>
        <w:spacing w:before="156"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（三）监理人自备的交通工具：如出行车辆等</w:t>
      </w:r>
    </w:p>
    <w:p w14:paraId="713C2198">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（四）监理人自备的现场办公设施：如办公桌椅、文件柜等</w:t>
      </w:r>
    </w:p>
    <w:p w14:paraId="6E24CA48">
      <w:pPr>
        <w:spacing w:before="15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（五）监理人自备的安全设施：如安全帽、安全鞋、手电筒等</w:t>
      </w:r>
    </w:p>
    <w:p w14:paraId="189369F6">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（六）监理人自备的试验检测仪器、设备、工具</w:t>
      </w:r>
    </w:p>
    <w:p w14:paraId="7F252FE9">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（七）监理人自备的试验用房、样品用房</w:t>
      </w:r>
    </w:p>
    <w:p w14:paraId="4C33D8AF">
      <w:pPr>
        <w:spacing w:before="95" w:line="220" w:lineRule="auto"/>
        <w:outlineLvl w:val="1"/>
        <w:rPr>
          <w:rFonts w:ascii="宋体" w:hAnsi="宋体" w:eastAsia="宋体" w:cs="宋体"/>
          <w:color w:val="auto"/>
          <w:sz w:val="24"/>
          <w:szCs w:val="24"/>
          <w:highlight w:val="none"/>
        </w:rPr>
      </w:pPr>
      <w:bookmarkStart w:id="754" w:name="_Toc22017"/>
      <w:bookmarkStart w:id="755" w:name="_Toc17202"/>
      <w:bookmarkStart w:id="756" w:name="_Toc12595"/>
      <w:bookmarkStart w:id="757" w:name="_Toc23256"/>
      <w:r>
        <w:rPr>
          <w:rFonts w:ascii="宋体" w:hAnsi="宋体" w:eastAsia="宋体" w:cs="宋体"/>
          <w:b/>
          <w:bCs/>
          <w:color w:val="auto"/>
          <w:spacing w:val="-3"/>
          <w:sz w:val="24"/>
          <w:szCs w:val="24"/>
          <w:highlight w:val="none"/>
        </w:rPr>
        <w:t>七、委托人的其他要求</w:t>
      </w:r>
      <w:bookmarkEnd w:id="754"/>
      <w:bookmarkEnd w:id="755"/>
      <w:bookmarkEnd w:id="756"/>
      <w:bookmarkEnd w:id="757"/>
    </w:p>
    <w:p w14:paraId="79E503D4">
      <w:pPr>
        <w:spacing w:before="163" w:line="220" w:lineRule="auto"/>
        <w:ind w:left="480"/>
        <w:rPr>
          <w:rFonts w:hint="eastAsia"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委托人的其他要求</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7D6B4F7">
      <w:pPr>
        <w:spacing w:line="243" w:lineRule="auto"/>
        <w:rPr>
          <w:rFonts w:ascii="Arial"/>
          <w:color w:val="auto"/>
          <w:sz w:val="21"/>
          <w:highlight w:val="none"/>
        </w:rPr>
      </w:pPr>
    </w:p>
    <w:p w14:paraId="390C9116">
      <w:pPr>
        <w:spacing w:line="56" w:lineRule="exact"/>
        <w:ind w:firstLine="496"/>
        <w:rPr>
          <w:color w:val="auto"/>
          <w:highlight w:val="none"/>
        </w:rPr>
      </w:pPr>
    </w:p>
    <w:p w14:paraId="0E529DAB">
      <w:pPr>
        <w:spacing w:line="56" w:lineRule="exact"/>
        <w:rPr>
          <w:color w:val="auto"/>
          <w:highlight w:val="none"/>
        </w:rPr>
        <w:sectPr>
          <w:footerReference r:id="rId37" w:type="default"/>
          <w:pgSz w:w="11906" w:h="16839"/>
          <w:pgMar w:top="1431" w:right="1418" w:bottom="1297" w:left="1424" w:header="0" w:footer="1067" w:gutter="0"/>
          <w:pgBorders>
            <w:top w:val="none" w:sz="0" w:space="0"/>
            <w:left w:val="none" w:sz="0" w:space="0"/>
            <w:bottom w:val="none" w:sz="0" w:space="0"/>
            <w:right w:val="none" w:sz="0" w:space="0"/>
          </w:pgBorders>
          <w:pgNumType w:fmt="decimal"/>
          <w:cols w:space="720" w:num="1"/>
        </w:sectPr>
      </w:pPr>
    </w:p>
    <w:p w14:paraId="4A5F49B1">
      <w:pPr>
        <w:spacing w:line="243" w:lineRule="auto"/>
        <w:rPr>
          <w:rFonts w:ascii="Arial"/>
          <w:color w:val="auto"/>
          <w:sz w:val="21"/>
          <w:highlight w:val="none"/>
        </w:rPr>
      </w:pPr>
    </w:p>
    <w:p w14:paraId="313A1625">
      <w:pPr>
        <w:spacing w:line="243" w:lineRule="auto"/>
        <w:rPr>
          <w:rFonts w:ascii="Arial"/>
          <w:color w:val="auto"/>
          <w:sz w:val="21"/>
          <w:highlight w:val="none"/>
        </w:rPr>
      </w:pPr>
    </w:p>
    <w:p w14:paraId="456F2EF7">
      <w:pPr>
        <w:spacing w:line="243" w:lineRule="auto"/>
        <w:rPr>
          <w:rFonts w:ascii="Arial"/>
          <w:color w:val="auto"/>
          <w:sz w:val="21"/>
          <w:highlight w:val="none"/>
        </w:rPr>
      </w:pPr>
    </w:p>
    <w:p w14:paraId="48601925">
      <w:pPr>
        <w:spacing w:line="243" w:lineRule="auto"/>
        <w:rPr>
          <w:rFonts w:ascii="Arial"/>
          <w:color w:val="auto"/>
          <w:sz w:val="21"/>
          <w:highlight w:val="none"/>
        </w:rPr>
      </w:pPr>
    </w:p>
    <w:p w14:paraId="1BE44508">
      <w:pPr>
        <w:spacing w:line="243" w:lineRule="auto"/>
        <w:rPr>
          <w:rFonts w:ascii="Arial"/>
          <w:color w:val="auto"/>
          <w:sz w:val="21"/>
          <w:highlight w:val="none"/>
        </w:rPr>
      </w:pPr>
    </w:p>
    <w:p w14:paraId="5C063A8F">
      <w:pPr>
        <w:spacing w:line="243" w:lineRule="auto"/>
        <w:rPr>
          <w:rFonts w:ascii="Arial"/>
          <w:color w:val="auto"/>
          <w:sz w:val="21"/>
          <w:highlight w:val="none"/>
        </w:rPr>
      </w:pPr>
    </w:p>
    <w:p w14:paraId="20BD0599">
      <w:pPr>
        <w:spacing w:line="243" w:lineRule="auto"/>
        <w:rPr>
          <w:rFonts w:ascii="Arial"/>
          <w:color w:val="auto"/>
          <w:sz w:val="21"/>
          <w:highlight w:val="none"/>
        </w:rPr>
      </w:pPr>
    </w:p>
    <w:p w14:paraId="58152966">
      <w:pPr>
        <w:spacing w:line="243" w:lineRule="auto"/>
        <w:rPr>
          <w:rFonts w:ascii="Arial"/>
          <w:color w:val="auto"/>
          <w:sz w:val="21"/>
          <w:highlight w:val="none"/>
        </w:rPr>
      </w:pPr>
    </w:p>
    <w:p w14:paraId="76823AFA">
      <w:pPr>
        <w:spacing w:line="244" w:lineRule="auto"/>
        <w:rPr>
          <w:rFonts w:ascii="Arial"/>
          <w:color w:val="auto"/>
          <w:sz w:val="21"/>
          <w:highlight w:val="none"/>
        </w:rPr>
      </w:pPr>
    </w:p>
    <w:p w14:paraId="523AD015">
      <w:pPr>
        <w:spacing w:line="244" w:lineRule="auto"/>
        <w:rPr>
          <w:rFonts w:ascii="Arial"/>
          <w:color w:val="auto"/>
          <w:sz w:val="21"/>
          <w:highlight w:val="none"/>
        </w:rPr>
      </w:pPr>
    </w:p>
    <w:p w14:paraId="316AC1C7">
      <w:pPr>
        <w:spacing w:line="244" w:lineRule="auto"/>
        <w:rPr>
          <w:rFonts w:ascii="Arial"/>
          <w:color w:val="auto"/>
          <w:sz w:val="21"/>
          <w:highlight w:val="none"/>
        </w:rPr>
      </w:pPr>
    </w:p>
    <w:p w14:paraId="2D403D53">
      <w:pPr>
        <w:spacing w:line="244" w:lineRule="auto"/>
        <w:rPr>
          <w:rFonts w:ascii="Arial"/>
          <w:color w:val="auto"/>
          <w:sz w:val="21"/>
          <w:highlight w:val="none"/>
        </w:rPr>
      </w:pPr>
    </w:p>
    <w:p w14:paraId="7FD6A5F6">
      <w:pPr>
        <w:spacing w:line="244" w:lineRule="auto"/>
        <w:rPr>
          <w:rFonts w:ascii="Arial"/>
          <w:color w:val="auto"/>
          <w:sz w:val="21"/>
          <w:highlight w:val="none"/>
        </w:rPr>
      </w:pPr>
    </w:p>
    <w:p w14:paraId="0B33EFA2">
      <w:pPr>
        <w:spacing w:line="244" w:lineRule="auto"/>
        <w:rPr>
          <w:rFonts w:ascii="Arial"/>
          <w:color w:val="auto"/>
          <w:sz w:val="21"/>
          <w:highlight w:val="none"/>
        </w:rPr>
      </w:pPr>
    </w:p>
    <w:p w14:paraId="3778B6E2">
      <w:pPr>
        <w:spacing w:line="244" w:lineRule="auto"/>
        <w:rPr>
          <w:rFonts w:ascii="Arial"/>
          <w:color w:val="auto"/>
          <w:sz w:val="21"/>
          <w:highlight w:val="none"/>
        </w:rPr>
      </w:pPr>
    </w:p>
    <w:p w14:paraId="51C4CB68">
      <w:pPr>
        <w:spacing w:line="244" w:lineRule="auto"/>
        <w:rPr>
          <w:rFonts w:ascii="Arial"/>
          <w:color w:val="auto"/>
          <w:sz w:val="21"/>
          <w:highlight w:val="none"/>
        </w:rPr>
      </w:pPr>
    </w:p>
    <w:p w14:paraId="51B22F6D">
      <w:pPr>
        <w:spacing w:line="244" w:lineRule="auto"/>
        <w:rPr>
          <w:rFonts w:ascii="Arial"/>
          <w:color w:val="auto"/>
          <w:sz w:val="21"/>
          <w:highlight w:val="none"/>
        </w:rPr>
      </w:pPr>
    </w:p>
    <w:p w14:paraId="23B3FD56">
      <w:pPr>
        <w:spacing w:line="244" w:lineRule="auto"/>
        <w:rPr>
          <w:rFonts w:ascii="Arial"/>
          <w:color w:val="auto"/>
          <w:sz w:val="21"/>
          <w:highlight w:val="none"/>
        </w:rPr>
      </w:pPr>
    </w:p>
    <w:p w14:paraId="1073EFE9">
      <w:pPr>
        <w:spacing w:before="169" w:line="219" w:lineRule="auto"/>
        <w:ind w:left="1839"/>
        <w:outlineLvl w:val="0"/>
        <w:rPr>
          <w:rFonts w:ascii="宋体" w:hAnsi="宋体" w:eastAsia="宋体" w:cs="宋体"/>
          <w:color w:val="auto"/>
          <w:sz w:val="52"/>
          <w:szCs w:val="52"/>
          <w:highlight w:val="none"/>
        </w:rPr>
      </w:pPr>
      <w:bookmarkStart w:id="758" w:name="_Toc27803"/>
      <w:bookmarkStart w:id="759" w:name="_Toc25139"/>
      <w:r>
        <w:rPr>
          <w:rFonts w:ascii="宋体" w:hAnsi="宋体" w:eastAsia="宋体" w:cs="宋体"/>
          <w:b/>
          <w:bCs/>
          <w:color w:val="auto"/>
          <w:spacing w:val="-16"/>
          <w:sz w:val="52"/>
          <w:szCs w:val="52"/>
          <w:highlight w:val="none"/>
        </w:rPr>
        <w:t>第六章</w:t>
      </w:r>
      <w:r>
        <w:rPr>
          <w:rFonts w:ascii="宋体" w:hAnsi="宋体" w:eastAsia="宋体" w:cs="宋体"/>
          <w:color w:val="auto"/>
          <w:spacing w:val="39"/>
          <w:sz w:val="52"/>
          <w:szCs w:val="52"/>
          <w:highlight w:val="none"/>
        </w:rPr>
        <w:t xml:space="preserve">  </w:t>
      </w:r>
      <w:r>
        <w:rPr>
          <w:rFonts w:ascii="宋体" w:hAnsi="宋体" w:eastAsia="宋体" w:cs="宋体"/>
          <w:b/>
          <w:bCs/>
          <w:color w:val="auto"/>
          <w:spacing w:val="-16"/>
          <w:sz w:val="52"/>
          <w:szCs w:val="52"/>
          <w:highlight w:val="none"/>
        </w:rPr>
        <w:t>图纸和资料</w:t>
      </w:r>
      <w:bookmarkEnd w:id="758"/>
      <w:bookmarkEnd w:id="759"/>
    </w:p>
    <w:p w14:paraId="167D55D8">
      <w:pPr>
        <w:spacing w:line="306" w:lineRule="auto"/>
        <w:rPr>
          <w:rFonts w:ascii="Arial"/>
          <w:color w:val="auto"/>
          <w:sz w:val="21"/>
          <w:highlight w:val="none"/>
        </w:rPr>
      </w:pPr>
    </w:p>
    <w:p w14:paraId="62699094">
      <w:pPr>
        <w:spacing w:line="306" w:lineRule="auto"/>
        <w:rPr>
          <w:rFonts w:ascii="Arial"/>
          <w:color w:val="auto"/>
          <w:sz w:val="21"/>
          <w:highlight w:val="none"/>
        </w:rPr>
      </w:pPr>
    </w:p>
    <w:p w14:paraId="3F3DC71A">
      <w:pPr>
        <w:spacing w:before="134" w:line="225" w:lineRule="auto"/>
        <w:ind w:left="3356"/>
        <w:rPr>
          <w:rFonts w:ascii="宋体" w:hAnsi="宋体" w:eastAsia="宋体" w:cs="宋体"/>
          <w:color w:val="auto"/>
          <w:sz w:val="41"/>
          <w:szCs w:val="41"/>
          <w:highlight w:val="none"/>
        </w:rPr>
      </w:pPr>
      <w:r>
        <w:rPr>
          <w:rFonts w:ascii="宋体" w:hAnsi="宋体" w:eastAsia="宋体" w:cs="宋体"/>
          <w:b/>
          <w:bCs/>
          <w:color w:val="auto"/>
          <w:spacing w:val="-5"/>
          <w:sz w:val="41"/>
          <w:szCs w:val="41"/>
          <w:highlight w:val="none"/>
        </w:rPr>
        <w:t>（另册）</w:t>
      </w:r>
    </w:p>
    <w:p w14:paraId="3E0B6939">
      <w:pPr>
        <w:spacing w:line="225" w:lineRule="auto"/>
        <w:rPr>
          <w:rFonts w:ascii="宋体" w:hAnsi="宋体" w:eastAsia="宋体" w:cs="宋体"/>
          <w:color w:val="auto"/>
          <w:sz w:val="41"/>
          <w:szCs w:val="41"/>
          <w:highlight w:val="none"/>
        </w:rPr>
        <w:sectPr>
          <w:footerReference r:id="rId38" w:type="default"/>
          <w:pgSz w:w="11906" w:h="16839"/>
          <w:pgMar w:top="1431" w:right="1785" w:bottom="1297" w:left="1785" w:header="0" w:footer="1065" w:gutter="0"/>
          <w:pgBorders>
            <w:top w:val="none" w:sz="0" w:space="0"/>
            <w:left w:val="none" w:sz="0" w:space="0"/>
            <w:bottom w:val="none" w:sz="0" w:space="0"/>
            <w:right w:val="none" w:sz="0" w:space="0"/>
          </w:pgBorders>
          <w:pgNumType w:fmt="decimal"/>
          <w:cols w:space="720" w:num="1"/>
        </w:sectPr>
      </w:pPr>
    </w:p>
    <w:p w14:paraId="79D2BDEA">
      <w:pPr>
        <w:spacing w:line="243" w:lineRule="auto"/>
        <w:rPr>
          <w:rFonts w:ascii="Arial"/>
          <w:color w:val="auto"/>
          <w:sz w:val="21"/>
          <w:highlight w:val="none"/>
        </w:rPr>
      </w:pPr>
    </w:p>
    <w:p w14:paraId="4DAB138E">
      <w:pPr>
        <w:spacing w:line="243" w:lineRule="auto"/>
        <w:rPr>
          <w:rFonts w:ascii="Arial"/>
          <w:color w:val="auto"/>
          <w:sz w:val="21"/>
          <w:highlight w:val="none"/>
        </w:rPr>
      </w:pPr>
    </w:p>
    <w:p w14:paraId="70CFD352">
      <w:pPr>
        <w:spacing w:line="243" w:lineRule="auto"/>
        <w:rPr>
          <w:rFonts w:ascii="Arial"/>
          <w:color w:val="auto"/>
          <w:sz w:val="21"/>
          <w:highlight w:val="none"/>
        </w:rPr>
      </w:pPr>
    </w:p>
    <w:p w14:paraId="05627D3E">
      <w:pPr>
        <w:spacing w:line="243" w:lineRule="auto"/>
        <w:rPr>
          <w:rFonts w:ascii="Arial"/>
          <w:color w:val="auto"/>
          <w:sz w:val="21"/>
          <w:highlight w:val="none"/>
        </w:rPr>
      </w:pPr>
    </w:p>
    <w:p w14:paraId="073860AD">
      <w:pPr>
        <w:spacing w:line="243" w:lineRule="auto"/>
        <w:rPr>
          <w:rFonts w:ascii="Arial"/>
          <w:color w:val="auto"/>
          <w:sz w:val="21"/>
          <w:highlight w:val="none"/>
        </w:rPr>
      </w:pPr>
    </w:p>
    <w:p w14:paraId="4A78C0AC">
      <w:pPr>
        <w:spacing w:line="243" w:lineRule="auto"/>
        <w:rPr>
          <w:rFonts w:ascii="Arial"/>
          <w:color w:val="auto"/>
          <w:sz w:val="21"/>
          <w:highlight w:val="none"/>
        </w:rPr>
      </w:pPr>
    </w:p>
    <w:p w14:paraId="16A25EF2">
      <w:pPr>
        <w:spacing w:line="243" w:lineRule="auto"/>
        <w:rPr>
          <w:rFonts w:ascii="Arial"/>
          <w:color w:val="auto"/>
          <w:sz w:val="21"/>
          <w:highlight w:val="none"/>
        </w:rPr>
      </w:pPr>
    </w:p>
    <w:p w14:paraId="2C99028D">
      <w:pPr>
        <w:spacing w:line="243" w:lineRule="auto"/>
        <w:rPr>
          <w:rFonts w:ascii="Arial"/>
          <w:color w:val="auto"/>
          <w:sz w:val="21"/>
          <w:highlight w:val="none"/>
        </w:rPr>
      </w:pPr>
    </w:p>
    <w:p w14:paraId="423BD8EA">
      <w:pPr>
        <w:spacing w:line="244" w:lineRule="auto"/>
        <w:rPr>
          <w:rFonts w:ascii="Arial"/>
          <w:color w:val="auto"/>
          <w:sz w:val="21"/>
          <w:highlight w:val="none"/>
        </w:rPr>
      </w:pPr>
    </w:p>
    <w:p w14:paraId="2A78AD0B">
      <w:pPr>
        <w:spacing w:line="244" w:lineRule="auto"/>
        <w:rPr>
          <w:rFonts w:ascii="Arial"/>
          <w:color w:val="auto"/>
          <w:sz w:val="21"/>
          <w:highlight w:val="none"/>
        </w:rPr>
      </w:pPr>
    </w:p>
    <w:p w14:paraId="644ADB32">
      <w:pPr>
        <w:spacing w:line="244" w:lineRule="auto"/>
        <w:rPr>
          <w:rFonts w:ascii="Arial"/>
          <w:color w:val="auto"/>
          <w:sz w:val="21"/>
          <w:highlight w:val="none"/>
        </w:rPr>
      </w:pPr>
    </w:p>
    <w:p w14:paraId="20FFAE6A">
      <w:pPr>
        <w:spacing w:line="244" w:lineRule="auto"/>
        <w:rPr>
          <w:rFonts w:ascii="Arial"/>
          <w:color w:val="auto"/>
          <w:sz w:val="21"/>
          <w:highlight w:val="none"/>
        </w:rPr>
      </w:pPr>
    </w:p>
    <w:p w14:paraId="61B3C007">
      <w:pPr>
        <w:spacing w:line="244" w:lineRule="auto"/>
        <w:rPr>
          <w:rFonts w:ascii="Arial"/>
          <w:color w:val="auto"/>
          <w:sz w:val="21"/>
          <w:highlight w:val="none"/>
        </w:rPr>
      </w:pPr>
    </w:p>
    <w:p w14:paraId="643ADD4E">
      <w:pPr>
        <w:spacing w:line="244" w:lineRule="auto"/>
        <w:rPr>
          <w:rFonts w:ascii="Arial"/>
          <w:color w:val="auto"/>
          <w:sz w:val="21"/>
          <w:highlight w:val="none"/>
        </w:rPr>
      </w:pPr>
    </w:p>
    <w:p w14:paraId="35D79914">
      <w:pPr>
        <w:spacing w:line="244" w:lineRule="auto"/>
        <w:rPr>
          <w:rFonts w:ascii="Arial"/>
          <w:color w:val="auto"/>
          <w:sz w:val="21"/>
          <w:highlight w:val="none"/>
        </w:rPr>
      </w:pPr>
    </w:p>
    <w:p w14:paraId="7DC7046E">
      <w:pPr>
        <w:spacing w:line="244" w:lineRule="auto"/>
        <w:rPr>
          <w:rFonts w:ascii="Arial"/>
          <w:color w:val="auto"/>
          <w:sz w:val="21"/>
          <w:highlight w:val="none"/>
        </w:rPr>
      </w:pPr>
    </w:p>
    <w:p w14:paraId="52C67B7B">
      <w:pPr>
        <w:spacing w:line="244" w:lineRule="auto"/>
        <w:rPr>
          <w:rFonts w:ascii="Arial"/>
          <w:color w:val="auto"/>
          <w:sz w:val="21"/>
          <w:highlight w:val="none"/>
        </w:rPr>
      </w:pPr>
    </w:p>
    <w:p w14:paraId="47B2EE7C">
      <w:pPr>
        <w:spacing w:line="244" w:lineRule="auto"/>
        <w:rPr>
          <w:rFonts w:ascii="Arial"/>
          <w:color w:val="auto"/>
          <w:sz w:val="21"/>
          <w:highlight w:val="none"/>
        </w:rPr>
      </w:pPr>
    </w:p>
    <w:p w14:paraId="391BF48A">
      <w:pPr>
        <w:spacing w:line="244" w:lineRule="auto"/>
        <w:rPr>
          <w:rFonts w:ascii="Arial"/>
          <w:color w:val="auto"/>
          <w:sz w:val="21"/>
          <w:highlight w:val="none"/>
        </w:rPr>
      </w:pPr>
    </w:p>
    <w:p w14:paraId="610A650B">
      <w:pPr>
        <w:spacing w:line="244" w:lineRule="auto"/>
        <w:rPr>
          <w:rFonts w:ascii="Arial"/>
          <w:color w:val="auto"/>
          <w:sz w:val="21"/>
          <w:highlight w:val="none"/>
        </w:rPr>
      </w:pPr>
    </w:p>
    <w:p w14:paraId="2861408B">
      <w:pPr>
        <w:spacing w:before="169" w:line="236" w:lineRule="auto"/>
        <w:ind w:left="1804"/>
        <w:outlineLvl w:val="0"/>
        <w:rPr>
          <w:rFonts w:ascii="宋体" w:hAnsi="宋体" w:eastAsia="宋体" w:cs="宋体"/>
          <w:color w:val="auto"/>
          <w:sz w:val="28"/>
          <w:szCs w:val="28"/>
          <w:highlight w:val="none"/>
        </w:rPr>
      </w:pPr>
      <w:bookmarkStart w:id="760" w:name="bookmark20"/>
      <w:bookmarkEnd w:id="760"/>
      <w:bookmarkStart w:id="761" w:name="_Toc3352"/>
      <w:bookmarkStart w:id="762" w:name="_Toc9081"/>
      <w:r>
        <w:rPr>
          <w:rFonts w:ascii="宋体" w:hAnsi="宋体" w:eastAsia="宋体" w:cs="宋体"/>
          <w:b/>
          <w:bCs/>
          <w:color w:val="auto"/>
          <w:spacing w:val="-5"/>
          <w:sz w:val="52"/>
          <w:szCs w:val="52"/>
          <w:highlight w:val="none"/>
        </w:rPr>
        <w:t>第七章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投标文件格式</w:t>
      </w:r>
      <w:bookmarkEnd w:id="761"/>
      <w:bookmarkEnd w:id="762"/>
    </w:p>
    <w:p w14:paraId="3451DC13">
      <w:pPr>
        <w:spacing w:line="247" w:lineRule="auto"/>
        <w:rPr>
          <w:rFonts w:ascii="Arial"/>
          <w:color w:val="auto"/>
          <w:sz w:val="21"/>
          <w:highlight w:val="none"/>
        </w:rPr>
      </w:pPr>
    </w:p>
    <w:p w14:paraId="61055614">
      <w:pPr>
        <w:spacing w:line="247" w:lineRule="auto"/>
        <w:rPr>
          <w:rFonts w:ascii="Arial"/>
          <w:color w:val="auto"/>
          <w:sz w:val="21"/>
          <w:highlight w:val="none"/>
        </w:rPr>
      </w:pPr>
    </w:p>
    <w:p w14:paraId="015DE45F">
      <w:pPr>
        <w:spacing w:line="247" w:lineRule="auto"/>
        <w:rPr>
          <w:rFonts w:ascii="Arial"/>
          <w:color w:val="auto"/>
          <w:sz w:val="21"/>
          <w:highlight w:val="none"/>
        </w:rPr>
      </w:pPr>
    </w:p>
    <w:p w14:paraId="7AF9D3DC">
      <w:pPr>
        <w:spacing w:line="247" w:lineRule="auto"/>
        <w:rPr>
          <w:rFonts w:ascii="Arial"/>
          <w:color w:val="auto"/>
          <w:sz w:val="21"/>
          <w:highlight w:val="none"/>
        </w:rPr>
      </w:pPr>
    </w:p>
    <w:p w14:paraId="3DCCF93B">
      <w:pPr>
        <w:spacing w:line="247" w:lineRule="auto"/>
        <w:rPr>
          <w:rFonts w:ascii="Arial"/>
          <w:color w:val="auto"/>
          <w:sz w:val="21"/>
          <w:highlight w:val="none"/>
        </w:rPr>
      </w:pPr>
    </w:p>
    <w:p w14:paraId="55B9E09C">
      <w:pPr>
        <w:spacing w:line="247" w:lineRule="auto"/>
        <w:rPr>
          <w:rFonts w:ascii="Arial"/>
          <w:color w:val="auto"/>
          <w:sz w:val="21"/>
          <w:highlight w:val="none"/>
        </w:rPr>
      </w:pPr>
    </w:p>
    <w:p w14:paraId="60DEEA88">
      <w:pPr>
        <w:spacing w:line="247" w:lineRule="auto"/>
        <w:rPr>
          <w:rFonts w:ascii="Arial"/>
          <w:color w:val="auto"/>
          <w:sz w:val="21"/>
          <w:highlight w:val="none"/>
        </w:rPr>
      </w:pPr>
    </w:p>
    <w:p w14:paraId="135C61F1">
      <w:pPr>
        <w:spacing w:line="247" w:lineRule="auto"/>
        <w:rPr>
          <w:rFonts w:ascii="Arial"/>
          <w:color w:val="auto"/>
          <w:sz w:val="21"/>
          <w:highlight w:val="none"/>
        </w:rPr>
      </w:pPr>
    </w:p>
    <w:p w14:paraId="00A6820F">
      <w:pPr>
        <w:spacing w:line="247" w:lineRule="auto"/>
        <w:rPr>
          <w:rFonts w:ascii="Arial"/>
          <w:color w:val="auto"/>
          <w:sz w:val="21"/>
          <w:highlight w:val="none"/>
        </w:rPr>
      </w:pPr>
    </w:p>
    <w:p w14:paraId="32328CBF">
      <w:pPr>
        <w:spacing w:line="247" w:lineRule="auto"/>
        <w:rPr>
          <w:rFonts w:ascii="Arial"/>
          <w:color w:val="auto"/>
          <w:sz w:val="21"/>
          <w:highlight w:val="none"/>
        </w:rPr>
      </w:pPr>
    </w:p>
    <w:p w14:paraId="19C64D11">
      <w:pPr>
        <w:spacing w:line="247" w:lineRule="auto"/>
        <w:rPr>
          <w:rFonts w:ascii="Arial"/>
          <w:color w:val="auto"/>
          <w:sz w:val="21"/>
          <w:highlight w:val="none"/>
        </w:rPr>
      </w:pPr>
    </w:p>
    <w:p w14:paraId="527EE1F7">
      <w:pPr>
        <w:spacing w:line="247" w:lineRule="auto"/>
        <w:rPr>
          <w:rFonts w:ascii="Arial"/>
          <w:color w:val="auto"/>
          <w:sz w:val="21"/>
          <w:highlight w:val="none"/>
        </w:rPr>
      </w:pPr>
    </w:p>
    <w:p w14:paraId="794E30B2">
      <w:pPr>
        <w:spacing w:line="247" w:lineRule="auto"/>
        <w:rPr>
          <w:rFonts w:ascii="Arial"/>
          <w:color w:val="auto"/>
          <w:sz w:val="21"/>
          <w:highlight w:val="none"/>
        </w:rPr>
      </w:pPr>
    </w:p>
    <w:p w14:paraId="416ACD16">
      <w:pPr>
        <w:spacing w:line="247" w:lineRule="auto"/>
        <w:rPr>
          <w:rFonts w:ascii="Arial"/>
          <w:color w:val="auto"/>
          <w:sz w:val="21"/>
          <w:highlight w:val="none"/>
        </w:rPr>
      </w:pPr>
    </w:p>
    <w:p w14:paraId="70D989B7">
      <w:pPr>
        <w:spacing w:line="247" w:lineRule="auto"/>
        <w:rPr>
          <w:rFonts w:ascii="Arial"/>
          <w:color w:val="auto"/>
          <w:sz w:val="21"/>
          <w:highlight w:val="none"/>
        </w:rPr>
      </w:pPr>
    </w:p>
    <w:p w14:paraId="472FBBCF">
      <w:pPr>
        <w:spacing w:line="247" w:lineRule="auto"/>
        <w:rPr>
          <w:rFonts w:ascii="Arial"/>
          <w:color w:val="auto"/>
          <w:sz w:val="21"/>
          <w:highlight w:val="none"/>
        </w:rPr>
      </w:pPr>
    </w:p>
    <w:p w14:paraId="368EBF18">
      <w:pPr>
        <w:spacing w:line="247" w:lineRule="auto"/>
        <w:rPr>
          <w:rFonts w:ascii="Arial"/>
          <w:color w:val="auto"/>
          <w:sz w:val="21"/>
          <w:highlight w:val="none"/>
        </w:rPr>
      </w:pPr>
    </w:p>
    <w:p w14:paraId="02186EE2">
      <w:pPr>
        <w:spacing w:line="247" w:lineRule="auto"/>
        <w:rPr>
          <w:rFonts w:ascii="Arial"/>
          <w:color w:val="auto"/>
          <w:sz w:val="21"/>
          <w:highlight w:val="none"/>
        </w:rPr>
      </w:pPr>
    </w:p>
    <w:p w14:paraId="6A09EDD3">
      <w:pPr>
        <w:spacing w:line="247" w:lineRule="auto"/>
        <w:rPr>
          <w:rFonts w:ascii="Arial"/>
          <w:color w:val="auto"/>
          <w:sz w:val="21"/>
          <w:highlight w:val="none"/>
        </w:rPr>
      </w:pPr>
    </w:p>
    <w:p w14:paraId="1BFAB680">
      <w:pPr>
        <w:spacing w:line="247" w:lineRule="auto"/>
        <w:rPr>
          <w:rFonts w:ascii="Arial"/>
          <w:color w:val="auto"/>
          <w:sz w:val="21"/>
          <w:highlight w:val="none"/>
        </w:rPr>
      </w:pPr>
    </w:p>
    <w:p w14:paraId="1366FED4">
      <w:pPr>
        <w:spacing w:line="247" w:lineRule="auto"/>
        <w:rPr>
          <w:rFonts w:ascii="Arial"/>
          <w:color w:val="auto"/>
          <w:sz w:val="21"/>
          <w:highlight w:val="none"/>
        </w:rPr>
      </w:pPr>
    </w:p>
    <w:p w14:paraId="352F6386">
      <w:pPr>
        <w:spacing w:line="247" w:lineRule="auto"/>
        <w:rPr>
          <w:rFonts w:ascii="Arial"/>
          <w:color w:val="auto"/>
          <w:sz w:val="21"/>
          <w:highlight w:val="none"/>
        </w:rPr>
      </w:pPr>
    </w:p>
    <w:p w14:paraId="33C35484">
      <w:pPr>
        <w:spacing w:line="247" w:lineRule="auto"/>
        <w:rPr>
          <w:rFonts w:ascii="Arial"/>
          <w:color w:val="auto"/>
          <w:sz w:val="21"/>
          <w:highlight w:val="none"/>
        </w:rPr>
      </w:pPr>
    </w:p>
    <w:p w14:paraId="6B85C31F">
      <w:pPr>
        <w:spacing w:line="247" w:lineRule="auto"/>
        <w:rPr>
          <w:rFonts w:ascii="Arial"/>
          <w:color w:val="auto"/>
          <w:sz w:val="21"/>
          <w:highlight w:val="none"/>
        </w:rPr>
      </w:pPr>
    </w:p>
    <w:p w14:paraId="64FD7938">
      <w:pPr>
        <w:spacing w:line="247" w:lineRule="auto"/>
        <w:rPr>
          <w:rFonts w:ascii="Arial"/>
          <w:color w:val="auto"/>
          <w:sz w:val="21"/>
          <w:highlight w:val="none"/>
        </w:rPr>
      </w:pPr>
    </w:p>
    <w:p w14:paraId="3EF7AAE5">
      <w:pPr>
        <w:spacing w:line="247" w:lineRule="auto"/>
        <w:rPr>
          <w:rFonts w:ascii="Arial"/>
          <w:color w:val="auto"/>
          <w:sz w:val="21"/>
          <w:highlight w:val="none"/>
        </w:rPr>
      </w:pPr>
    </w:p>
    <w:p w14:paraId="2AC56107">
      <w:pPr>
        <w:spacing w:line="248" w:lineRule="auto"/>
        <w:rPr>
          <w:rFonts w:ascii="Arial"/>
          <w:color w:val="auto"/>
          <w:sz w:val="21"/>
          <w:highlight w:val="none"/>
        </w:rPr>
      </w:pPr>
    </w:p>
    <w:p w14:paraId="6F690056">
      <w:pPr>
        <w:spacing w:line="248" w:lineRule="auto"/>
        <w:rPr>
          <w:rFonts w:ascii="Arial"/>
          <w:color w:val="auto"/>
          <w:sz w:val="21"/>
          <w:highlight w:val="none"/>
        </w:rPr>
      </w:pPr>
    </w:p>
    <w:p w14:paraId="26FEB559">
      <w:pPr>
        <w:spacing w:line="248" w:lineRule="auto"/>
        <w:rPr>
          <w:rFonts w:ascii="Arial"/>
          <w:color w:val="auto"/>
          <w:sz w:val="21"/>
          <w:highlight w:val="none"/>
        </w:rPr>
      </w:pPr>
    </w:p>
    <w:p w14:paraId="1AECC9A3">
      <w:pPr>
        <w:spacing w:line="248" w:lineRule="auto"/>
        <w:rPr>
          <w:rFonts w:ascii="Arial"/>
          <w:color w:val="auto"/>
          <w:sz w:val="21"/>
          <w:highlight w:val="none"/>
        </w:rPr>
      </w:pPr>
    </w:p>
    <w:p w14:paraId="4D5D1EB8">
      <w:pPr>
        <w:spacing w:line="248" w:lineRule="auto"/>
        <w:rPr>
          <w:rFonts w:ascii="Arial"/>
          <w:color w:val="auto"/>
          <w:sz w:val="21"/>
          <w:highlight w:val="none"/>
        </w:rPr>
      </w:pPr>
    </w:p>
    <w:p w14:paraId="7FFDF662">
      <w:pPr>
        <w:spacing w:line="220" w:lineRule="auto"/>
        <w:rPr>
          <w:rFonts w:ascii="宋体" w:hAnsi="宋体" w:eastAsia="宋体" w:cs="宋体"/>
          <w:color w:val="auto"/>
          <w:sz w:val="18"/>
          <w:szCs w:val="18"/>
          <w:highlight w:val="none"/>
        </w:rPr>
        <w:sectPr>
          <w:footerReference r:id="rId39" w:type="default"/>
          <w:pgSz w:w="11906" w:h="16839"/>
          <w:pgMar w:top="1431" w:right="1785" w:bottom="1297" w:left="1417" w:header="0" w:footer="1067" w:gutter="0"/>
          <w:pgBorders>
            <w:top w:val="none" w:sz="0" w:space="0"/>
            <w:left w:val="none" w:sz="0" w:space="0"/>
            <w:bottom w:val="none" w:sz="0" w:space="0"/>
            <w:right w:val="none" w:sz="0" w:space="0"/>
          </w:pgBorders>
          <w:pgNumType w:fmt="decimal"/>
          <w:cols w:space="720" w:num="1"/>
        </w:sectPr>
      </w:pPr>
    </w:p>
    <w:p w14:paraId="6F824DE2">
      <w:pPr>
        <w:spacing w:line="289" w:lineRule="auto"/>
        <w:rPr>
          <w:rFonts w:ascii="Arial"/>
          <w:color w:val="auto"/>
          <w:sz w:val="21"/>
          <w:highlight w:val="none"/>
        </w:rPr>
      </w:pPr>
    </w:p>
    <w:p w14:paraId="35FBA68B">
      <w:pPr>
        <w:spacing w:line="290" w:lineRule="auto"/>
        <w:rPr>
          <w:rFonts w:ascii="Arial"/>
          <w:color w:val="auto"/>
          <w:sz w:val="21"/>
          <w:highlight w:val="none"/>
        </w:rPr>
      </w:pPr>
    </w:p>
    <w:p w14:paraId="034A3094">
      <w:pPr>
        <w:spacing w:line="290" w:lineRule="auto"/>
        <w:rPr>
          <w:rFonts w:ascii="Arial"/>
          <w:color w:val="auto"/>
          <w:sz w:val="21"/>
          <w:highlight w:val="none"/>
        </w:rPr>
      </w:pPr>
    </w:p>
    <w:p w14:paraId="3B6FF976">
      <w:pPr>
        <w:spacing w:line="290" w:lineRule="auto"/>
        <w:rPr>
          <w:rFonts w:ascii="Arial"/>
          <w:color w:val="auto"/>
          <w:sz w:val="21"/>
          <w:highlight w:val="none"/>
        </w:rPr>
      </w:pPr>
    </w:p>
    <w:p w14:paraId="26DB6BBD">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1AEE5245">
      <w:pPr>
        <w:spacing w:line="367" w:lineRule="auto"/>
        <w:rPr>
          <w:rFonts w:ascii="Arial"/>
          <w:color w:val="auto"/>
          <w:sz w:val="21"/>
          <w:highlight w:val="none"/>
        </w:rPr>
      </w:pPr>
    </w:p>
    <w:p w14:paraId="56F2B7D1">
      <w:pPr>
        <w:tabs>
          <w:tab w:val="left" w:pos="2256"/>
        </w:tabs>
        <w:spacing w:before="130" w:line="221" w:lineRule="auto"/>
        <w:ind w:left="630"/>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0"/>
          <w:sz w:val="40"/>
          <w:szCs w:val="40"/>
          <w:highlight w:val="none"/>
        </w:rPr>
        <w:t xml:space="preserve"> </w:t>
      </w:r>
      <w:r>
        <w:rPr>
          <w:rFonts w:ascii="宋体" w:hAnsi="宋体" w:eastAsia="宋体" w:cs="宋体"/>
          <w:color w:val="auto"/>
          <w:spacing w:val="-16"/>
          <w:sz w:val="40"/>
          <w:szCs w:val="40"/>
          <w:highlight w:val="none"/>
        </w:rPr>
        <w:t>标段施工监理招标</w:t>
      </w:r>
    </w:p>
    <w:p w14:paraId="2142D90E">
      <w:pPr>
        <w:spacing w:line="258" w:lineRule="auto"/>
        <w:rPr>
          <w:rFonts w:ascii="Arial"/>
          <w:color w:val="auto"/>
          <w:sz w:val="21"/>
          <w:highlight w:val="none"/>
        </w:rPr>
      </w:pPr>
    </w:p>
    <w:p w14:paraId="5A05EC19">
      <w:pPr>
        <w:spacing w:line="258" w:lineRule="auto"/>
        <w:rPr>
          <w:rFonts w:ascii="Arial"/>
          <w:color w:val="auto"/>
          <w:sz w:val="21"/>
          <w:highlight w:val="none"/>
        </w:rPr>
      </w:pPr>
    </w:p>
    <w:p w14:paraId="001348C6">
      <w:pPr>
        <w:spacing w:line="258" w:lineRule="auto"/>
        <w:rPr>
          <w:rFonts w:ascii="Arial"/>
          <w:color w:val="auto"/>
          <w:sz w:val="21"/>
          <w:highlight w:val="none"/>
        </w:rPr>
      </w:pPr>
    </w:p>
    <w:p w14:paraId="79036CC7">
      <w:pPr>
        <w:spacing w:line="258" w:lineRule="auto"/>
        <w:rPr>
          <w:rFonts w:ascii="Arial"/>
          <w:color w:val="auto"/>
          <w:sz w:val="21"/>
          <w:highlight w:val="none"/>
        </w:rPr>
      </w:pPr>
    </w:p>
    <w:p w14:paraId="19604B75">
      <w:pPr>
        <w:spacing w:line="259" w:lineRule="auto"/>
        <w:rPr>
          <w:rFonts w:ascii="Arial"/>
          <w:color w:val="auto"/>
          <w:sz w:val="21"/>
          <w:highlight w:val="none"/>
        </w:rPr>
      </w:pPr>
    </w:p>
    <w:p w14:paraId="3499EF69">
      <w:pPr>
        <w:spacing w:line="259" w:lineRule="auto"/>
        <w:rPr>
          <w:rFonts w:ascii="Arial"/>
          <w:color w:val="auto"/>
          <w:sz w:val="21"/>
          <w:highlight w:val="none"/>
        </w:rPr>
      </w:pPr>
    </w:p>
    <w:p w14:paraId="265A19A7">
      <w:pPr>
        <w:spacing w:line="259" w:lineRule="auto"/>
        <w:rPr>
          <w:rFonts w:ascii="Arial"/>
          <w:color w:val="auto"/>
          <w:sz w:val="21"/>
          <w:highlight w:val="none"/>
        </w:rPr>
      </w:pPr>
    </w:p>
    <w:p w14:paraId="782E6AA6">
      <w:pPr>
        <w:spacing w:line="259" w:lineRule="auto"/>
        <w:rPr>
          <w:rFonts w:ascii="Arial"/>
          <w:color w:val="auto"/>
          <w:sz w:val="21"/>
          <w:highlight w:val="none"/>
        </w:rPr>
      </w:pPr>
    </w:p>
    <w:p w14:paraId="39E2C110">
      <w:pPr>
        <w:spacing w:before="140"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24285491">
      <w:pPr>
        <w:spacing w:before="317" w:line="225" w:lineRule="auto"/>
        <w:ind w:left="2746"/>
        <w:outlineLvl w:val="0"/>
        <w:rPr>
          <w:rFonts w:ascii="宋体" w:hAnsi="宋体" w:eastAsia="宋体" w:cs="宋体"/>
          <w:color w:val="auto"/>
          <w:sz w:val="31"/>
          <w:szCs w:val="31"/>
          <w:highlight w:val="none"/>
        </w:rPr>
      </w:pPr>
      <w:bookmarkStart w:id="763" w:name="_Toc2139"/>
      <w:bookmarkStart w:id="764" w:name="_Toc16911"/>
      <w:bookmarkStart w:id="765" w:name="_Toc20560"/>
      <w:bookmarkStart w:id="766" w:name="_Toc31108"/>
      <w:bookmarkStart w:id="767" w:name="_Toc6901"/>
      <w:bookmarkStart w:id="768" w:name="_Toc17235"/>
      <w:bookmarkStart w:id="769" w:name="_Toc21593"/>
      <w:r>
        <w:rPr>
          <w:rFonts w:ascii="宋体" w:hAnsi="宋体" w:eastAsia="宋体" w:cs="宋体"/>
          <w:b/>
          <w:bCs/>
          <w:color w:val="auto"/>
          <w:spacing w:val="3"/>
          <w:sz w:val="31"/>
          <w:szCs w:val="31"/>
          <w:highlight w:val="none"/>
        </w:rPr>
        <w:t>（商务及技术文件）</w:t>
      </w:r>
      <w:bookmarkEnd w:id="763"/>
      <w:bookmarkEnd w:id="764"/>
      <w:bookmarkEnd w:id="765"/>
      <w:bookmarkEnd w:id="766"/>
      <w:bookmarkEnd w:id="767"/>
      <w:bookmarkEnd w:id="768"/>
      <w:bookmarkEnd w:id="769"/>
    </w:p>
    <w:p w14:paraId="2B407EEC">
      <w:pPr>
        <w:spacing w:line="249" w:lineRule="auto"/>
        <w:rPr>
          <w:rFonts w:ascii="Arial"/>
          <w:color w:val="auto"/>
          <w:sz w:val="21"/>
          <w:highlight w:val="none"/>
        </w:rPr>
      </w:pPr>
    </w:p>
    <w:p w14:paraId="25CC5246">
      <w:pPr>
        <w:spacing w:line="249" w:lineRule="auto"/>
        <w:rPr>
          <w:rFonts w:ascii="Arial"/>
          <w:color w:val="auto"/>
          <w:sz w:val="21"/>
          <w:highlight w:val="none"/>
        </w:rPr>
      </w:pPr>
    </w:p>
    <w:p w14:paraId="1D8B855D">
      <w:pPr>
        <w:spacing w:line="249" w:lineRule="auto"/>
        <w:rPr>
          <w:rFonts w:ascii="Arial"/>
          <w:color w:val="auto"/>
          <w:sz w:val="21"/>
          <w:highlight w:val="none"/>
        </w:rPr>
      </w:pPr>
    </w:p>
    <w:p w14:paraId="334F28D0">
      <w:pPr>
        <w:spacing w:line="249" w:lineRule="auto"/>
        <w:rPr>
          <w:rFonts w:ascii="Arial"/>
          <w:color w:val="auto"/>
          <w:sz w:val="21"/>
          <w:highlight w:val="none"/>
        </w:rPr>
      </w:pPr>
    </w:p>
    <w:p w14:paraId="44FEFE29">
      <w:pPr>
        <w:spacing w:line="249" w:lineRule="auto"/>
        <w:rPr>
          <w:rFonts w:ascii="Arial"/>
          <w:color w:val="auto"/>
          <w:sz w:val="21"/>
          <w:highlight w:val="none"/>
        </w:rPr>
      </w:pPr>
    </w:p>
    <w:p w14:paraId="2A81704F">
      <w:pPr>
        <w:spacing w:line="249" w:lineRule="auto"/>
        <w:rPr>
          <w:rFonts w:ascii="Arial"/>
          <w:color w:val="auto"/>
          <w:sz w:val="21"/>
          <w:highlight w:val="none"/>
        </w:rPr>
      </w:pPr>
    </w:p>
    <w:p w14:paraId="791E76BD">
      <w:pPr>
        <w:spacing w:line="249" w:lineRule="auto"/>
        <w:rPr>
          <w:rFonts w:ascii="Arial"/>
          <w:color w:val="auto"/>
          <w:sz w:val="21"/>
          <w:highlight w:val="none"/>
        </w:rPr>
      </w:pPr>
    </w:p>
    <w:p w14:paraId="460FC59F">
      <w:pPr>
        <w:spacing w:line="249" w:lineRule="auto"/>
        <w:rPr>
          <w:rFonts w:ascii="Arial"/>
          <w:color w:val="auto"/>
          <w:sz w:val="21"/>
          <w:highlight w:val="none"/>
        </w:rPr>
      </w:pPr>
    </w:p>
    <w:p w14:paraId="241D7300">
      <w:pPr>
        <w:spacing w:line="249" w:lineRule="auto"/>
        <w:rPr>
          <w:rFonts w:ascii="Arial"/>
          <w:color w:val="auto"/>
          <w:sz w:val="21"/>
          <w:highlight w:val="none"/>
        </w:rPr>
      </w:pPr>
    </w:p>
    <w:p w14:paraId="4814284B">
      <w:pPr>
        <w:spacing w:line="249" w:lineRule="auto"/>
        <w:rPr>
          <w:rFonts w:ascii="Arial"/>
          <w:color w:val="auto"/>
          <w:sz w:val="21"/>
          <w:highlight w:val="none"/>
        </w:rPr>
      </w:pPr>
    </w:p>
    <w:p w14:paraId="575E4ACD">
      <w:pPr>
        <w:spacing w:line="249" w:lineRule="auto"/>
        <w:rPr>
          <w:rFonts w:ascii="Arial"/>
          <w:color w:val="auto"/>
          <w:sz w:val="21"/>
          <w:highlight w:val="none"/>
        </w:rPr>
      </w:pPr>
    </w:p>
    <w:p w14:paraId="0CEA3876">
      <w:pPr>
        <w:spacing w:line="249" w:lineRule="auto"/>
        <w:rPr>
          <w:rFonts w:ascii="Arial"/>
          <w:color w:val="auto"/>
          <w:sz w:val="21"/>
          <w:highlight w:val="none"/>
        </w:rPr>
      </w:pPr>
    </w:p>
    <w:p w14:paraId="59B97EAD">
      <w:pPr>
        <w:spacing w:line="249" w:lineRule="auto"/>
        <w:rPr>
          <w:rFonts w:ascii="Arial"/>
          <w:color w:val="auto"/>
          <w:sz w:val="21"/>
          <w:highlight w:val="none"/>
        </w:rPr>
      </w:pPr>
    </w:p>
    <w:p w14:paraId="0962BB04">
      <w:pPr>
        <w:spacing w:line="249" w:lineRule="auto"/>
        <w:rPr>
          <w:rFonts w:ascii="Arial"/>
          <w:color w:val="auto"/>
          <w:sz w:val="21"/>
          <w:highlight w:val="none"/>
        </w:rPr>
      </w:pPr>
    </w:p>
    <w:p w14:paraId="033FE22C">
      <w:pPr>
        <w:spacing w:line="249" w:lineRule="auto"/>
        <w:rPr>
          <w:rFonts w:ascii="Arial"/>
          <w:color w:val="auto"/>
          <w:sz w:val="21"/>
          <w:highlight w:val="none"/>
        </w:rPr>
      </w:pPr>
    </w:p>
    <w:p w14:paraId="09F5FA07">
      <w:pPr>
        <w:spacing w:line="249" w:lineRule="auto"/>
        <w:rPr>
          <w:rFonts w:ascii="Arial"/>
          <w:color w:val="auto"/>
          <w:sz w:val="21"/>
          <w:highlight w:val="none"/>
        </w:rPr>
      </w:pPr>
    </w:p>
    <w:p w14:paraId="75045F5B">
      <w:pPr>
        <w:spacing w:line="250" w:lineRule="auto"/>
        <w:rPr>
          <w:rFonts w:ascii="Arial"/>
          <w:color w:val="auto"/>
          <w:sz w:val="21"/>
          <w:highlight w:val="none"/>
        </w:rPr>
      </w:pPr>
    </w:p>
    <w:p w14:paraId="0D5B3680">
      <w:pPr>
        <w:spacing w:line="250" w:lineRule="auto"/>
        <w:rPr>
          <w:rFonts w:ascii="Arial"/>
          <w:color w:val="auto"/>
          <w:sz w:val="21"/>
          <w:highlight w:val="none"/>
        </w:rPr>
      </w:pPr>
    </w:p>
    <w:p w14:paraId="7713D934">
      <w:pPr>
        <w:spacing w:line="250" w:lineRule="auto"/>
        <w:rPr>
          <w:rFonts w:ascii="Arial"/>
          <w:color w:val="auto"/>
          <w:sz w:val="21"/>
          <w:highlight w:val="none"/>
        </w:rPr>
      </w:pPr>
    </w:p>
    <w:p w14:paraId="26557EF3">
      <w:pPr>
        <w:spacing w:line="250" w:lineRule="auto"/>
        <w:rPr>
          <w:rFonts w:ascii="Arial"/>
          <w:color w:val="auto"/>
          <w:sz w:val="21"/>
          <w:highlight w:val="none"/>
        </w:rPr>
      </w:pPr>
    </w:p>
    <w:p w14:paraId="50256F73">
      <w:pPr>
        <w:spacing w:line="250" w:lineRule="auto"/>
        <w:rPr>
          <w:rFonts w:ascii="Arial"/>
          <w:color w:val="auto"/>
          <w:sz w:val="21"/>
          <w:highlight w:val="none"/>
        </w:rPr>
      </w:pPr>
    </w:p>
    <w:p w14:paraId="1D2FB352">
      <w:pPr>
        <w:spacing w:before="91" w:line="219" w:lineRule="auto"/>
        <w:ind w:left="400"/>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投标人</w:t>
      </w:r>
      <w:r>
        <w:rPr>
          <w:rFonts w:ascii="宋体" w:hAnsi="宋体" w:eastAsia="宋体" w:cs="宋体"/>
          <w:color w:val="auto"/>
          <w:spacing w:val="-19"/>
          <w:sz w:val="28"/>
          <w:szCs w:val="28"/>
          <w:highlight w:val="none"/>
        </w:rPr>
        <w:t>：</w:t>
      </w:r>
      <w:r>
        <w:rPr>
          <w:rFonts w:ascii="宋体" w:hAnsi="宋体" w:eastAsia="宋体" w:cs="宋体"/>
          <w:color w:val="auto"/>
          <w:sz w:val="28"/>
          <w:szCs w:val="28"/>
          <w:highlight w:val="none"/>
          <w:u w:val="single" w:color="auto"/>
        </w:rPr>
        <w:t xml:space="preserve">                                  </w:t>
      </w:r>
      <w:r>
        <w:rPr>
          <w:rFonts w:ascii="宋体" w:hAnsi="宋体" w:eastAsia="宋体" w:cs="宋体"/>
          <w:color w:val="auto"/>
          <w:spacing w:val="-19"/>
          <w:sz w:val="28"/>
          <w:szCs w:val="28"/>
          <w:highlight w:val="none"/>
        </w:rPr>
        <w:t>（</w:t>
      </w:r>
      <w:r>
        <w:rPr>
          <w:rFonts w:ascii="宋体" w:hAnsi="宋体" w:eastAsia="宋体" w:cs="宋体"/>
          <w:color w:val="auto"/>
          <w:spacing w:val="3"/>
          <w:sz w:val="28"/>
          <w:szCs w:val="28"/>
          <w:highlight w:val="none"/>
        </w:rPr>
        <w:t>盖单位章）</w:t>
      </w:r>
    </w:p>
    <w:p w14:paraId="2FE9860C">
      <w:pPr>
        <w:spacing w:line="452" w:lineRule="auto"/>
        <w:rPr>
          <w:rFonts w:ascii="Arial"/>
          <w:color w:val="auto"/>
          <w:sz w:val="21"/>
          <w:highlight w:val="none"/>
        </w:rPr>
      </w:pPr>
    </w:p>
    <w:p w14:paraId="64BCA9AD">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5B91AF28">
      <w:pPr>
        <w:spacing w:line="220" w:lineRule="auto"/>
        <w:rPr>
          <w:rFonts w:ascii="宋体" w:hAnsi="宋体" w:eastAsia="宋体" w:cs="宋体"/>
          <w:color w:val="auto"/>
          <w:sz w:val="28"/>
          <w:szCs w:val="28"/>
          <w:highlight w:val="none"/>
        </w:rPr>
        <w:sectPr>
          <w:footerReference r:id="rId40" w:type="default"/>
          <w:pgSz w:w="11906" w:h="16839"/>
          <w:pgMar w:top="1431" w:right="1785" w:bottom="1297" w:left="1785" w:header="0" w:footer="1066" w:gutter="0"/>
          <w:pgBorders>
            <w:top w:val="none" w:sz="0" w:space="0"/>
            <w:left w:val="none" w:sz="0" w:space="0"/>
            <w:bottom w:val="none" w:sz="0" w:space="0"/>
            <w:right w:val="none" w:sz="0" w:space="0"/>
          </w:pgBorders>
          <w:pgNumType w:fmt="decimal"/>
          <w:cols w:space="720" w:num="1"/>
        </w:sectPr>
      </w:pPr>
    </w:p>
    <w:p w14:paraId="61334ABF">
      <w:pPr>
        <w:spacing w:before="63" w:line="227" w:lineRule="auto"/>
        <w:ind w:left="3517"/>
        <w:rPr>
          <w:rFonts w:ascii="宋体" w:hAnsi="宋体" w:eastAsia="宋体" w:cs="宋体"/>
          <w:color w:val="auto"/>
          <w:sz w:val="31"/>
          <w:szCs w:val="31"/>
          <w:highlight w:val="none"/>
        </w:rPr>
      </w:pPr>
      <w:r>
        <w:rPr>
          <w:rFonts w:ascii="宋体" w:hAnsi="宋体" w:eastAsia="宋体" w:cs="宋体"/>
          <w:b/>
          <w:bCs/>
          <w:color w:val="auto"/>
          <w:spacing w:val="-36"/>
          <w:sz w:val="31"/>
          <w:szCs w:val="31"/>
          <w:highlight w:val="none"/>
        </w:rPr>
        <w:t>目</w:t>
      </w:r>
      <w:r>
        <w:rPr>
          <w:rFonts w:ascii="宋体" w:hAnsi="宋体" w:eastAsia="宋体" w:cs="宋体"/>
          <w:color w:val="auto"/>
          <w:spacing w:val="8"/>
          <w:sz w:val="31"/>
          <w:szCs w:val="31"/>
          <w:highlight w:val="none"/>
        </w:rPr>
        <w:t xml:space="preserve">     </w:t>
      </w:r>
      <w:r>
        <w:rPr>
          <w:rFonts w:ascii="宋体" w:hAnsi="宋体" w:eastAsia="宋体" w:cs="宋体"/>
          <w:b/>
          <w:bCs/>
          <w:color w:val="auto"/>
          <w:spacing w:val="-36"/>
          <w:sz w:val="31"/>
          <w:szCs w:val="31"/>
          <w:highlight w:val="none"/>
        </w:rPr>
        <w:t>录</w:t>
      </w:r>
    </w:p>
    <w:p w14:paraId="37CA5D06">
      <w:pPr>
        <w:spacing w:line="348" w:lineRule="auto"/>
        <w:rPr>
          <w:rFonts w:ascii="Arial"/>
          <w:color w:val="auto"/>
          <w:sz w:val="21"/>
          <w:highlight w:val="none"/>
        </w:rPr>
      </w:pPr>
    </w:p>
    <w:p w14:paraId="666879FD">
      <w:pPr>
        <w:spacing w:line="348" w:lineRule="auto"/>
        <w:rPr>
          <w:rFonts w:ascii="Arial"/>
          <w:color w:val="auto"/>
          <w:sz w:val="21"/>
          <w:highlight w:val="none"/>
        </w:rPr>
      </w:pPr>
    </w:p>
    <w:p w14:paraId="72065604">
      <w:pPr>
        <w:spacing w:before="78" w:line="220" w:lineRule="auto"/>
        <w:ind w:left="495"/>
        <w:outlineLvl w:val="1"/>
        <w:rPr>
          <w:rFonts w:ascii="宋体" w:hAnsi="宋体" w:eastAsia="宋体" w:cs="宋体"/>
          <w:color w:val="auto"/>
          <w:sz w:val="24"/>
          <w:szCs w:val="24"/>
          <w:highlight w:val="none"/>
        </w:rPr>
      </w:pPr>
      <w:bookmarkStart w:id="770" w:name="_Toc28143"/>
      <w:bookmarkStart w:id="771" w:name="_Toc17970"/>
      <w:bookmarkStart w:id="772" w:name="_Toc31035"/>
      <w:bookmarkStart w:id="773" w:name="_Toc8188"/>
      <w:bookmarkStart w:id="774" w:name="_Toc16430"/>
      <w:bookmarkStart w:id="775" w:name="_Toc1920"/>
      <w:bookmarkStart w:id="776" w:name="_Toc13893"/>
      <w:r>
        <w:rPr>
          <w:rFonts w:ascii="宋体" w:hAnsi="宋体" w:eastAsia="宋体" w:cs="宋体"/>
          <w:color w:val="auto"/>
          <w:spacing w:val="-3"/>
          <w:sz w:val="24"/>
          <w:szCs w:val="24"/>
          <w:highlight w:val="none"/>
        </w:rPr>
        <w:t>一、投标函</w:t>
      </w:r>
      <w:bookmarkEnd w:id="770"/>
      <w:bookmarkEnd w:id="771"/>
      <w:bookmarkEnd w:id="772"/>
      <w:bookmarkEnd w:id="773"/>
      <w:bookmarkEnd w:id="774"/>
      <w:bookmarkEnd w:id="775"/>
      <w:bookmarkEnd w:id="776"/>
    </w:p>
    <w:p w14:paraId="4EDF19A6">
      <w:pPr>
        <w:spacing w:before="152"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二、授权委托书或法定代表人身份证明</w:t>
      </w:r>
    </w:p>
    <w:p w14:paraId="55EF2EA6">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三、联合体协议书（如有）</w:t>
      </w:r>
    </w:p>
    <w:p w14:paraId="3AE3BB74">
      <w:pPr>
        <w:spacing w:before="157" w:line="220" w:lineRule="auto"/>
        <w:ind w:left="5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四、投标保证金</w:t>
      </w:r>
    </w:p>
    <w:p w14:paraId="71C07C4C">
      <w:pPr>
        <w:spacing w:before="154" w:line="219" w:lineRule="auto"/>
        <w:ind w:left="49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五、资格审查资料</w:t>
      </w:r>
    </w:p>
    <w:p w14:paraId="76DD052D">
      <w:pPr>
        <w:spacing w:before="154" w:line="220"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六、其他资料</w:t>
      </w:r>
    </w:p>
    <w:p w14:paraId="2BFF5640">
      <w:pPr>
        <w:spacing w:before="155"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七、技术建议书</w:t>
      </w:r>
    </w:p>
    <w:p w14:paraId="4341AF47">
      <w:pPr>
        <w:spacing w:line="219" w:lineRule="auto"/>
        <w:rPr>
          <w:rFonts w:ascii="宋体" w:hAnsi="宋体" w:eastAsia="宋体" w:cs="宋体"/>
          <w:color w:val="auto"/>
          <w:sz w:val="24"/>
          <w:szCs w:val="24"/>
          <w:highlight w:val="none"/>
        </w:rPr>
        <w:sectPr>
          <w:footerReference r:id="rId41" w:type="default"/>
          <w:pgSz w:w="11906" w:h="16839"/>
          <w:pgMar w:top="1403" w:right="1785" w:bottom="1297" w:left="1785" w:header="0" w:footer="1067" w:gutter="0"/>
          <w:pgBorders>
            <w:top w:val="none" w:sz="0" w:space="0"/>
            <w:left w:val="none" w:sz="0" w:space="0"/>
            <w:bottom w:val="none" w:sz="0" w:space="0"/>
            <w:right w:val="none" w:sz="0" w:space="0"/>
          </w:pgBorders>
          <w:pgNumType w:fmt="decimal"/>
          <w:cols w:space="720" w:num="1"/>
        </w:sectPr>
      </w:pPr>
    </w:p>
    <w:p w14:paraId="7C6EA1EB">
      <w:pPr>
        <w:spacing w:before="163" w:line="220" w:lineRule="auto"/>
        <w:ind w:left="394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4BB7F949">
      <w:pPr>
        <w:spacing w:line="320" w:lineRule="auto"/>
        <w:rPr>
          <w:rFonts w:ascii="Arial"/>
          <w:color w:val="auto"/>
          <w:sz w:val="21"/>
          <w:highlight w:val="none"/>
        </w:rPr>
      </w:pPr>
    </w:p>
    <w:p w14:paraId="410D1E26">
      <w:pPr>
        <w:tabs>
          <w:tab w:val="left" w:pos="2880"/>
        </w:tabs>
        <w:spacing w:before="78"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
          <w:sz w:val="24"/>
          <w:szCs w:val="24"/>
          <w:highlight w:val="none"/>
        </w:rPr>
        <w:t>（招标人名称</w:t>
      </w:r>
      <w:r>
        <w:rPr>
          <w:rFonts w:ascii="宋体" w:hAnsi="宋体" w:eastAsia="宋体" w:cs="宋体"/>
          <w:color w:val="auto"/>
          <w:spacing w:val="2"/>
          <w:sz w:val="24"/>
          <w:szCs w:val="24"/>
          <w:highlight w:val="none"/>
        </w:rPr>
        <w:t>）：</w:t>
      </w:r>
    </w:p>
    <w:p w14:paraId="5F27C883">
      <w:pPr>
        <w:spacing w:before="233" w:line="286" w:lineRule="auto"/>
        <w:ind w:left="12" w:right="8" w:firstLine="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1．我方已仔细研究</w:t>
      </w:r>
      <w:r>
        <w:rPr>
          <w:rFonts w:ascii="宋体" w:hAnsi="宋体" w:eastAsia="宋体" w:cs="宋体"/>
          <w:color w:val="auto"/>
          <w:spacing w:val="1"/>
          <w:sz w:val="24"/>
          <w:szCs w:val="24"/>
          <w:highlight w:val="none"/>
          <w:u w:val="single" w:color="auto"/>
        </w:rPr>
        <w:t xml:space="preserve">                  （项目名称</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标段施工监理招标文件</w:t>
      </w:r>
      <w:r>
        <w:rPr>
          <w:rFonts w:ascii="宋体" w:hAnsi="宋体" w:eastAsia="宋体" w:cs="宋体"/>
          <w:color w:val="auto"/>
          <w:spacing w:val="4"/>
          <w:sz w:val="24"/>
          <w:szCs w:val="24"/>
          <w:highlight w:val="none"/>
        </w:rPr>
        <w:t>的全部内容（含补遗书</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在考察工程现场后，愿意以第二个信封（报价文件）中的投标总报价（或根据招标文件规定修正核实后确定的另一金额</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按合同约定完成施</w:t>
      </w:r>
      <w:r>
        <w:rPr>
          <w:rFonts w:ascii="宋体" w:hAnsi="宋体" w:eastAsia="宋体" w:cs="宋体"/>
          <w:color w:val="auto"/>
          <w:spacing w:val="-3"/>
          <w:sz w:val="24"/>
          <w:szCs w:val="24"/>
          <w:highlight w:val="none"/>
        </w:rPr>
        <w:t>工监理工作。</w:t>
      </w:r>
    </w:p>
    <w:p w14:paraId="52915872">
      <w:pPr>
        <w:spacing w:before="11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2．我方承诺在招标文件规定的投标有效期内不撤销投标文件。</w:t>
      </w:r>
    </w:p>
    <w:p w14:paraId="5BAE407A">
      <w:pPr>
        <w:spacing w:before="114" w:line="263" w:lineRule="auto"/>
        <w:ind w:left="8" w:right="8" w:firstLine="485"/>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3．总监理工程师或驻地监理工程师姓名</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年龄</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职</w:t>
      </w:r>
      <w:r>
        <w:rPr>
          <w:rFonts w:ascii="宋体" w:hAnsi="宋体" w:eastAsia="宋体" w:cs="宋体"/>
          <w:color w:val="auto"/>
          <w:spacing w:val="1"/>
          <w:sz w:val="24"/>
          <w:szCs w:val="24"/>
          <w:highlight w:val="none"/>
        </w:rPr>
        <w:t>称</w:t>
      </w:r>
      <w:r>
        <w:rPr>
          <w:rFonts w:ascii="宋体" w:hAnsi="宋体" w:eastAsia="宋体" w:cs="宋体"/>
          <w:color w:val="auto"/>
          <w:spacing w:val="-2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监理工程师证书：</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rPr>
        <w:t>。</w:t>
      </w:r>
    </w:p>
    <w:p w14:paraId="5F77C467">
      <w:pPr>
        <w:spacing w:before="117" w:line="219" w:lineRule="auto"/>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 质量要求</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9"/>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安全目标</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监理服务期限：</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w:t>
      </w:r>
    </w:p>
    <w:p w14:paraId="6C47DBA4">
      <w:pPr>
        <w:spacing w:before="114"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如我方中标，我方承诺：</w:t>
      </w:r>
    </w:p>
    <w:p w14:paraId="0E4B2CD7">
      <w:pPr>
        <w:spacing w:before="115"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（1）在收到中标通知书后，在规定的期限内与你方签订合同；</w:t>
      </w:r>
    </w:p>
    <w:p w14:paraId="77632A51">
      <w:pPr>
        <w:spacing w:before="116"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（2）在签订合同时不向你方提出附加条件；</w:t>
      </w:r>
    </w:p>
    <w:p w14:paraId="6E1680A5">
      <w:pPr>
        <w:spacing w:before="114"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（3）按照招标文件要求提交履约保证金；</w:t>
      </w:r>
    </w:p>
    <w:p w14:paraId="461A5086">
      <w:pPr>
        <w:spacing w:before="117"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（4）在合同约定的期限内完成合同规定的全部义务；</w:t>
      </w:r>
    </w:p>
    <w:p w14:paraId="6C8DDE7A">
      <w:pPr>
        <w:spacing w:before="117" w:line="290" w:lineRule="auto"/>
        <w:ind w:left="11" w:right="8" w:firstLine="489"/>
        <w:rPr>
          <w:rFonts w:ascii="宋体" w:hAnsi="宋体" w:eastAsia="宋体" w:cs="宋体"/>
          <w:color w:val="auto"/>
          <w:sz w:val="12"/>
          <w:szCs w:val="12"/>
          <w:highlight w:val="none"/>
        </w:rPr>
      </w:pPr>
      <w:r>
        <w:rPr>
          <w:rFonts w:ascii="宋体" w:hAnsi="宋体" w:eastAsia="宋体" w:cs="宋体"/>
          <w:color w:val="auto"/>
          <w:spacing w:val="1"/>
          <w:sz w:val="24"/>
          <w:szCs w:val="24"/>
          <w:highlight w:val="none"/>
        </w:rPr>
        <w:t>（5）在你方和我方进行合同谈判之前，我方将按照合同附件提出的最低要求填报</w:t>
      </w:r>
      <w:r>
        <w:rPr>
          <w:rFonts w:ascii="宋体" w:hAnsi="宋体" w:eastAsia="宋体" w:cs="宋体"/>
          <w:color w:val="auto"/>
          <w:spacing w:val="5"/>
          <w:sz w:val="24"/>
          <w:szCs w:val="24"/>
          <w:highlight w:val="none"/>
        </w:rPr>
        <w:t>派驻本标段的其他主要监理人员及主要试验检测设备，经你方审批后作</w:t>
      </w:r>
      <w:r>
        <w:rPr>
          <w:rFonts w:ascii="宋体" w:hAnsi="宋体" w:eastAsia="宋体" w:cs="宋体"/>
          <w:color w:val="auto"/>
          <w:spacing w:val="4"/>
          <w:sz w:val="24"/>
          <w:szCs w:val="24"/>
          <w:highlight w:val="none"/>
        </w:rPr>
        <w:t>为派驻本标段</w:t>
      </w:r>
      <w:r>
        <w:rPr>
          <w:rFonts w:ascii="宋体" w:hAnsi="宋体" w:eastAsia="宋体" w:cs="宋体"/>
          <w:color w:val="auto"/>
          <w:spacing w:val="5"/>
          <w:sz w:val="24"/>
          <w:szCs w:val="24"/>
          <w:highlight w:val="none"/>
        </w:rPr>
        <w:t>的主要监理人员和主要试验检测设备且不进行更换。如我方拟派驻的人</w:t>
      </w:r>
      <w:r>
        <w:rPr>
          <w:rFonts w:ascii="宋体" w:hAnsi="宋体" w:eastAsia="宋体" w:cs="宋体"/>
          <w:color w:val="auto"/>
          <w:spacing w:val="4"/>
          <w:sz w:val="24"/>
          <w:szCs w:val="24"/>
          <w:highlight w:val="none"/>
        </w:rPr>
        <w:t>员和设备不满</w:t>
      </w:r>
      <w:r>
        <w:rPr>
          <w:rFonts w:ascii="宋体" w:hAnsi="宋体" w:eastAsia="宋体" w:cs="宋体"/>
          <w:color w:val="auto"/>
          <w:spacing w:val="-1"/>
          <w:sz w:val="24"/>
          <w:szCs w:val="24"/>
          <w:highlight w:val="none"/>
        </w:rPr>
        <w:t>足合同附件要求，你方有权取消我方中标资格。</w:t>
      </w:r>
    </w:p>
    <w:p w14:paraId="6021372E">
      <w:pPr>
        <w:spacing w:before="2" w:line="311" w:lineRule="auto"/>
        <w:ind w:left="13" w:right="8"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（6）我方在此承诺：拟投入本项目的总监理工程师（包括备选人，如有）无在岗</w:t>
      </w:r>
      <w:r>
        <w:rPr>
          <w:rFonts w:ascii="宋体" w:hAnsi="宋体" w:eastAsia="宋体" w:cs="宋体"/>
          <w:color w:val="auto"/>
          <w:spacing w:val="5"/>
          <w:sz w:val="24"/>
          <w:szCs w:val="24"/>
          <w:highlight w:val="none"/>
        </w:rPr>
        <w:t>项目（指目前未在其他项目上任职，或虽在其他项目上任职但本项</w:t>
      </w:r>
      <w:r>
        <w:rPr>
          <w:rFonts w:ascii="宋体" w:hAnsi="宋体" w:eastAsia="宋体" w:cs="宋体"/>
          <w:color w:val="auto"/>
          <w:spacing w:val="4"/>
          <w:sz w:val="24"/>
          <w:szCs w:val="24"/>
          <w:highlight w:val="none"/>
        </w:rPr>
        <w:t>目中标后能够从该</w:t>
      </w:r>
      <w:r>
        <w:rPr>
          <w:rFonts w:ascii="宋体" w:hAnsi="宋体" w:eastAsia="宋体" w:cs="宋体"/>
          <w:color w:val="auto"/>
          <w:spacing w:val="-1"/>
          <w:sz w:val="24"/>
          <w:szCs w:val="24"/>
          <w:highlight w:val="none"/>
        </w:rPr>
        <w:t>项目撤离）,否则自愿按照招标人的有关规定接受处罚。</w:t>
      </w:r>
    </w:p>
    <w:p w14:paraId="7946F0C0">
      <w:pPr>
        <w:spacing w:before="185" w:line="289" w:lineRule="auto"/>
        <w:ind w:left="8" w:righ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6．我方在此声明，所递交的投标文件及有关资料内</w:t>
      </w:r>
      <w:r>
        <w:rPr>
          <w:rFonts w:ascii="宋体" w:hAnsi="宋体" w:eastAsia="宋体" w:cs="宋体"/>
          <w:color w:val="auto"/>
          <w:spacing w:val="1"/>
          <w:sz w:val="24"/>
          <w:szCs w:val="24"/>
          <w:highlight w:val="none"/>
        </w:rPr>
        <w:t>容完整、真实和准确，且不存</w:t>
      </w:r>
      <w:r>
        <w:rPr>
          <w:rFonts w:ascii="宋体" w:hAnsi="宋体" w:eastAsia="宋体" w:cs="宋体"/>
          <w:color w:val="auto"/>
          <w:spacing w:val="-3"/>
          <w:sz w:val="24"/>
          <w:szCs w:val="24"/>
          <w:highlight w:val="none"/>
        </w:rPr>
        <w:t>在招标文件第二章“投标人须知</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”第</w:t>
      </w:r>
      <w:r>
        <w:rPr>
          <w:rFonts w:ascii="宋体" w:hAnsi="宋体" w:eastAsia="宋体" w:cs="宋体"/>
          <w:color w:val="auto"/>
          <w:spacing w:val="-32"/>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项和第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3"/>
          <w:sz w:val="24"/>
          <w:szCs w:val="24"/>
          <w:highlight w:val="none"/>
        </w:rPr>
        <w:t>1.4.4</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项规定的任何一种情</w:t>
      </w:r>
      <w:r>
        <w:rPr>
          <w:rFonts w:ascii="宋体" w:hAnsi="宋体" w:eastAsia="宋体" w:cs="宋体"/>
          <w:color w:val="auto"/>
          <w:spacing w:val="-4"/>
          <w:sz w:val="24"/>
          <w:szCs w:val="24"/>
          <w:highlight w:val="none"/>
        </w:rPr>
        <w:t>形。</w:t>
      </w:r>
    </w:p>
    <w:p w14:paraId="351F73B7">
      <w:pPr>
        <w:spacing w:before="184"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7.我方在此承诺：权利义务满足招标文件规定。</w:t>
      </w:r>
    </w:p>
    <w:p w14:paraId="2B16B52E">
      <w:pPr>
        <w:spacing w:before="180" w:line="290" w:lineRule="auto"/>
        <w:ind w:left="9" w:right="8"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8．在合同协议书正式签署生效之前，本投标函连同你</w:t>
      </w:r>
      <w:r>
        <w:rPr>
          <w:rFonts w:ascii="宋体" w:hAnsi="宋体" w:eastAsia="宋体" w:cs="宋体"/>
          <w:color w:val="auto"/>
          <w:spacing w:val="1"/>
          <w:sz w:val="24"/>
          <w:szCs w:val="24"/>
          <w:highlight w:val="none"/>
        </w:rPr>
        <w:t>方的中标通知书将构成我们</w:t>
      </w:r>
      <w:r>
        <w:rPr>
          <w:rFonts w:ascii="宋体" w:hAnsi="宋体" w:eastAsia="宋体" w:cs="宋体"/>
          <w:color w:val="auto"/>
          <w:spacing w:val="-1"/>
          <w:sz w:val="24"/>
          <w:szCs w:val="24"/>
          <w:highlight w:val="none"/>
        </w:rPr>
        <w:t>双方之间共同遵守的文件，对双方具有约束力。</w:t>
      </w:r>
    </w:p>
    <w:p w14:paraId="01951FF0">
      <w:pPr>
        <w:spacing w:before="269"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其他补充说明）。</w:t>
      </w:r>
    </w:p>
    <w:p w14:paraId="5968684F">
      <w:pPr>
        <w:spacing w:line="311" w:lineRule="auto"/>
        <w:rPr>
          <w:rFonts w:ascii="Arial"/>
          <w:color w:val="auto"/>
          <w:sz w:val="21"/>
          <w:highlight w:val="none"/>
        </w:rPr>
      </w:pPr>
    </w:p>
    <w:p w14:paraId="4AA4A39D">
      <w:pPr>
        <w:spacing w:before="79" w:line="342" w:lineRule="auto"/>
        <w:jc w:val="right"/>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p>
    <w:p w14:paraId="4EB78F1D">
      <w:pPr>
        <w:spacing w:line="220" w:lineRule="auto"/>
        <w:rPr>
          <w:rFonts w:ascii="宋体" w:hAnsi="宋体" w:eastAsia="宋体" w:cs="宋体"/>
          <w:color w:val="auto"/>
          <w:sz w:val="18"/>
          <w:szCs w:val="18"/>
          <w:highlight w:val="none"/>
        </w:rPr>
      </w:pPr>
    </w:p>
    <w:p w14:paraId="2FA1A6D8">
      <w:pPr>
        <w:spacing w:before="111" w:line="219" w:lineRule="auto"/>
        <w:jc w:val="right"/>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法定代表人或其委托代理人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rPr>
        <w:t>签字）</w:t>
      </w:r>
    </w:p>
    <w:p w14:paraId="26223B83">
      <w:pPr>
        <w:spacing w:before="115" w:line="229" w:lineRule="auto"/>
        <w:ind w:left="30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5560B990">
      <w:pPr>
        <w:spacing w:before="101" w:line="224" w:lineRule="auto"/>
        <w:ind w:left="3078"/>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32EDE96A">
      <w:pPr>
        <w:spacing w:before="109" w:line="221" w:lineRule="auto"/>
        <w:ind w:left="30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11A6C841">
      <w:pPr>
        <w:spacing w:before="112" w:line="219" w:lineRule="auto"/>
        <w:ind w:left="305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7CF011FC">
      <w:pPr>
        <w:spacing w:before="114" w:line="219" w:lineRule="auto"/>
        <w:ind w:left="30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6DD83509">
      <w:pPr>
        <w:tabs>
          <w:tab w:val="left" w:pos="5450"/>
        </w:tabs>
        <w:spacing w:before="116" w:line="219" w:lineRule="auto"/>
        <w:ind w:left="4370"/>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bookmarkStart w:id="777" w:name="_Toc32114"/>
      <w:bookmarkStart w:id="778" w:name="_Toc7996"/>
      <w:bookmarkStart w:id="779" w:name="_Toc10560"/>
      <w:bookmarkStart w:id="780" w:name="_Toc20695"/>
      <w:bookmarkStart w:id="781" w:name="_Toc5273"/>
      <w:bookmarkStart w:id="782" w:name="_Toc7682"/>
      <w:bookmarkStart w:id="783" w:name="_Toc21541"/>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bookmarkEnd w:id="777"/>
      <w:bookmarkEnd w:id="778"/>
      <w:bookmarkEnd w:id="779"/>
      <w:bookmarkEnd w:id="780"/>
      <w:bookmarkEnd w:id="781"/>
      <w:bookmarkEnd w:id="782"/>
      <w:bookmarkEnd w:id="783"/>
    </w:p>
    <w:p w14:paraId="2418E683">
      <w:pPr>
        <w:spacing w:line="219" w:lineRule="auto"/>
        <w:rPr>
          <w:rFonts w:ascii="宋体" w:hAnsi="宋体" w:eastAsia="宋体" w:cs="宋体"/>
          <w:color w:val="auto"/>
          <w:sz w:val="24"/>
          <w:szCs w:val="24"/>
          <w:highlight w:val="none"/>
        </w:rPr>
        <w:sectPr>
          <w:footerReference r:id="rId42" w:type="default"/>
          <w:pgSz w:w="11906" w:h="16839"/>
          <w:pgMar w:top="1431" w:right="1690" w:bottom="1297" w:left="1785" w:header="0" w:footer="1067" w:gutter="0"/>
          <w:pgBorders>
            <w:top w:val="none" w:sz="0" w:space="0"/>
            <w:left w:val="none" w:sz="0" w:space="0"/>
            <w:bottom w:val="none" w:sz="0" w:space="0"/>
            <w:right w:val="none" w:sz="0" w:space="0"/>
          </w:pgBorders>
          <w:pgNumType w:fmt="decimal"/>
          <w:cols w:space="720" w:num="1"/>
        </w:sectPr>
      </w:pPr>
    </w:p>
    <w:p w14:paraId="67A45279">
      <w:pPr>
        <w:spacing w:before="163" w:line="219" w:lineRule="auto"/>
        <w:ind w:left="260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二、授权委托书或法定代表人身份证明</w:t>
      </w:r>
    </w:p>
    <w:p w14:paraId="59239FDD">
      <w:pPr>
        <w:spacing w:line="267" w:lineRule="auto"/>
        <w:rPr>
          <w:rFonts w:ascii="Arial"/>
          <w:color w:val="auto"/>
          <w:sz w:val="21"/>
          <w:highlight w:val="none"/>
        </w:rPr>
      </w:pPr>
    </w:p>
    <w:p w14:paraId="55E3BDB6">
      <w:pPr>
        <w:spacing w:line="267" w:lineRule="auto"/>
        <w:rPr>
          <w:rFonts w:ascii="Arial"/>
          <w:color w:val="auto"/>
          <w:sz w:val="21"/>
          <w:highlight w:val="none"/>
        </w:rPr>
      </w:pPr>
    </w:p>
    <w:p w14:paraId="6976E200">
      <w:pPr>
        <w:spacing w:line="267" w:lineRule="auto"/>
        <w:rPr>
          <w:rFonts w:ascii="Arial"/>
          <w:color w:val="auto"/>
          <w:sz w:val="21"/>
          <w:highlight w:val="none"/>
        </w:rPr>
      </w:pPr>
    </w:p>
    <w:p w14:paraId="71639BC2">
      <w:pPr>
        <w:spacing w:before="98" w:line="219" w:lineRule="auto"/>
        <w:ind w:left="3455"/>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（一）授权委托书</w:t>
      </w:r>
    </w:p>
    <w:p w14:paraId="38020592">
      <w:pPr>
        <w:spacing w:line="345" w:lineRule="auto"/>
        <w:rPr>
          <w:rFonts w:ascii="Arial"/>
          <w:color w:val="auto"/>
          <w:sz w:val="21"/>
          <w:highlight w:val="none"/>
        </w:rPr>
      </w:pPr>
    </w:p>
    <w:p w14:paraId="7510D8ED">
      <w:pPr>
        <w:spacing w:line="345" w:lineRule="auto"/>
        <w:rPr>
          <w:rFonts w:ascii="Arial"/>
          <w:color w:val="auto"/>
          <w:sz w:val="21"/>
          <w:highlight w:val="none"/>
        </w:rPr>
      </w:pPr>
    </w:p>
    <w:p w14:paraId="18E6B331">
      <w:pPr>
        <w:spacing w:before="78" w:line="338" w:lineRule="auto"/>
        <w:ind w:firstLine="589"/>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w:t>
      </w:r>
      <w:r>
        <w:rPr>
          <w:rFonts w:ascii="宋体" w:hAnsi="宋体" w:eastAsia="宋体" w:cs="宋体"/>
          <w:color w:val="auto"/>
          <w:spacing w:val="-68"/>
          <w:sz w:val="24"/>
          <w:szCs w:val="24"/>
          <w:highlight w:val="none"/>
        </w:rPr>
        <w:t xml:space="preserve"> </w:t>
      </w:r>
      <w:r>
        <w:rPr>
          <w:rFonts w:ascii="宋体" w:hAnsi="宋体" w:eastAsia="宋体" w:cs="宋体"/>
          <w:color w:val="auto"/>
          <w:spacing w:val="-5"/>
          <w:sz w:val="24"/>
          <w:szCs w:val="24"/>
          <w:highlight w:val="none"/>
        </w:rPr>
        <w:t>人</w:t>
      </w:r>
      <w:r>
        <w:rPr>
          <w:rFonts w:ascii="宋体" w:hAnsi="宋体" w:eastAsia="宋体" w:cs="宋体"/>
          <w:color w:val="auto"/>
          <w:spacing w:val="-82"/>
          <w:sz w:val="24"/>
          <w:szCs w:val="24"/>
          <w:highlight w:val="none"/>
        </w:rPr>
        <w:t xml:space="preserve"> </w:t>
      </w:r>
      <w:r>
        <w:rPr>
          <w:rFonts w:ascii="宋体" w:hAnsi="宋体" w:eastAsia="宋体" w:cs="宋体"/>
          <w:color w:val="auto"/>
          <w:spacing w:val="-5"/>
          <w:sz w:val="24"/>
          <w:szCs w:val="24"/>
          <w:highlight w:val="none"/>
          <w:u w:val="single" w:color="auto"/>
        </w:rPr>
        <w:t xml:space="preserve">        （姓</w:t>
      </w:r>
      <w:r>
        <w:rPr>
          <w:rFonts w:ascii="宋体" w:hAnsi="宋体" w:eastAsia="宋体" w:cs="宋体"/>
          <w:color w:val="auto"/>
          <w:spacing w:val="-69"/>
          <w:sz w:val="24"/>
          <w:szCs w:val="24"/>
          <w:highlight w:val="none"/>
          <w:u w:val="single" w:color="auto"/>
        </w:rPr>
        <w:t xml:space="preserve"> </w:t>
      </w:r>
      <w:r>
        <w:rPr>
          <w:rFonts w:ascii="宋体" w:hAnsi="宋体" w:eastAsia="宋体" w:cs="宋体"/>
          <w:color w:val="auto"/>
          <w:spacing w:val="-5"/>
          <w:sz w:val="24"/>
          <w:szCs w:val="24"/>
          <w:highlight w:val="none"/>
          <w:u w:val="single" w:color="auto"/>
        </w:rPr>
        <w:t>名</w:t>
      </w:r>
      <w:r>
        <w:rPr>
          <w:rFonts w:ascii="宋体" w:hAnsi="宋体" w:eastAsia="宋体" w:cs="宋体"/>
          <w:color w:val="auto"/>
          <w:spacing w:val="-45"/>
          <w:sz w:val="24"/>
          <w:szCs w:val="24"/>
          <w:highlight w:val="none"/>
          <w:u w:val="single" w:color="auto"/>
        </w:rPr>
        <w:t xml:space="preserve"> </w:t>
      </w:r>
      <w:r>
        <w:rPr>
          <w:rFonts w:ascii="宋体" w:hAnsi="宋体" w:eastAsia="宋体" w:cs="宋体"/>
          <w:color w:val="auto"/>
          <w:spacing w:val="-5"/>
          <w:sz w:val="24"/>
          <w:szCs w:val="24"/>
          <w:highlight w:val="none"/>
          <w:u w:val="single" w:color="auto"/>
        </w:rPr>
        <w:t>）</w:t>
      </w:r>
      <w:r>
        <w:rPr>
          <w:rFonts w:ascii="宋体" w:hAnsi="宋体" w:eastAsia="宋体" w:cs="宋体"/>
          <w:color w:val="auto"/>
          <w:spacing w:val="-67"/>
          <w:sz w:val="24"/>
          <w:szCs w:val="24"/>
          <w:highlight w:val="none"/>
          <w:u w:val="single" w:color="auto"/>
        </w:rPr>
        <w:t xml:space="preserve"> </w:t>
      </w:r>
      <w:r>
        <w:rPr>
          <w:rFonts w:ascii="宋体" w:hAnsi="宋体" w:eastAsia="宋体" w:cs="宋体"/>
          <w:color w:val="auto"/>
          <w:spacing w:val="-5"/>
          <w:sz w:val="24"/>
          <w:szCs w:val="24"/>
          <w:highlight w:val="none"/>
        </w:rPr>
        <w:t>系</w:t>
      </w:r>
      <w:r>
        <w:rPr>
          <w:rFonts w:ascii="宋体" w:hAnsi="宋体" w:eastAsia="宋体" w:cs="宋体"/>
          <w:color w:val="auto"/>
          <w:spacing w:val="-80"/>
          <w:sz w:val="24"/>
          <w:szCs w:val="24"/>
          <w:highlight w:val="none"/>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32"/>
          <w:sz w:val="24"/>
          <w:szCs w:val="24"/>
          <w:highlight w:val="none"/>
          <w:u w:val="single" w:color="auto"/>
        </w:rPr>
        <w:t xml:space="preserve"> </w:t>
      </w:r>
      <w:r>
        <w:rPr>
          <w:rFonts w:ascii="宋体" w:hAnsi="宋体" w:eastAsia="宋体" w:cs="宋体"/>
          <w:color w:val="auto"/>
          <w:spacing w:val="-5"/>
          <w:sz w:val="24"/>
          <w:szCs w:val="24"/>
          <w:highlight w:val="none"/>
          <w:u w:val="single" w:color="auto"/>
        </w:rPr>
        <w:t>投</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标</w:t>
      </w:r>
      <w:r>
        <w:rPr>
          <w:rFonts w:ascii="宋体" w:hAnsi="宋体" w:eastAsia="宋体" w:cs="宋体"/>
          <w:color w:val="auto"/>
          <w:spacing w:val="-68"/>
          <w:sz w:val="24"/>
          <w:szCs w:val="24"/>
          <w:highlight w:val="none"/>
          <w:u w:val="single" w:color="auto"/>
        </w:rPr>
        <w:t xml:space="preserve"> </w:t>
      </w:r>
      <w:r>
        <w:rPr>
          <w:rFonts w:ascii="宋体" w:hAnsi="宋体" w:eastAsia="宋体" w:cs="宋体"/>
          <w:color w:val="auto"/>
          <w:spacing w:val="-6"/>
          <w:sz w:val="24"/>
          <w:szCs w:val="24"/>
          <w:highlight w:val="none"/>
          <w:u w:val="single" w:color="auto"/>
        </w:rPr>
        <w:t>人</w:t>
      </w:r>
      <w:r>
        <w:rPr>
          <w:rFonts w:ascii="宋体" w:hAnsi="宋体" w:eastAsia="宋体" w:cs="宋体"/>
          <w:color w:val="auto"/>
          <w:spacing w:val="-70"/>
          <w:sz w:val="24"/>
          <w:szCs w:val="24"/>
          <w:highlight w:val="none"/>
          <w:u w:val="single" w:color="auto"/>
        </w:rPr>
        <w:t xml:space="preserve"> </w:t>
      </w:r>
      <w:r>
        <w:rPr>
          <w:rFonts w:ascii="宋体" w:hAnsi="宋体" w:eastAsia="宋体" w:cs="宋体"/>
          <w:color w:val="auto"/>
          <w:spacing w:val="-6"/>
          <w:sz w:val="24"/>
          <w:szCs w:val="24"/>
          <w:highlight w:val="none"/>
          <w:u w:val="single" w:color="auto"/>
        </w:rPr>
        <w:t>名</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称</w:t>
      </w:r>
      <w:r>
        <w:rPr>
          <w:rFonts w:ascii="宋体" w:hAnsi="宋体" w:eastAsia="宋体" w:cs="宋体"/>
          <w:color w:val="auto"/>
          <w:spacing w:val="-46"/>
          <w:sz w:val="24"/>
          <w:szCs w:val="24"/>
          <w:highlight w:val="none"/>
          <w:u w:val="single" w:color="auto"/>
        </w:rPr>
        <w:t xml:space="preserve"> </w:t>
      </w:r>
      <w:r>
        <w:rPr>
          <w:rFonts w:ascii="宋体" w:hAnsi="宋体" w:eastAsia="宋体" w:cs="宋体"/>
          <w:color w:val="auto"/>
          <w:spacing w:val="-6"/>
          <w:sz w:val="24"/>
          <w:szCs w:val="24"/>
          <w:highlight w:val="none"/>
          <w:u w:val="single" w:color="auto"/>
        </w:rPr>
        <w:t>）</w:t>
      </w:r>
      <w:r>
        <w:rPr>
          <w:rFonts w:ascii="宋体" w:hAnsi="宋体" w:eastAsia="宋体" w:cs="宋体"/>
          <w:color w:val="auto"/>
          <w:spacing w:val="-51"/>
          <w:sz w:val="24"/>
          <w:szCs w:val="24"/>
          <w:highlight w:val="none"/>
          <w:u w:val="single" w:color="auto"/>
        </w:rPr>
        <w:t xml:space="preserve"> </w:t>
      </w:r>
      <w:r>
        <w:rPr>
          <w:rFonts w:ascii="宋体" w:hAnsi="宋体" w:eastAsia="宋体" w:cs="宋体"/>
          <w:color w:val="auto"/>
          <w:spacing w:val="-6"/>
          <w:sz w:val="24"/>
          <w:szCs w:val="24"/>
          <w:highlight w:val="none"/>
        </w:rPr>
        <w:t>的</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法</w:t>
      </w:r>
      <w:r>
        <w:rPr>
          <w:rFonts w:ascii="宋体" w:hAnsi="宋体" w:eastAsia="宋体" w:cs="宋体"/>
          <w:color w:val="auto"/>
          <w:spacing w:val="-67"/>
          <w:sz w:val="24"/>
          <w:szCs w:val="24"/>
          <w:highlight w:val="none"/>
        </w:rPr>
        <w:t xml:space="preserve"> </w:t>
      </w:r>
      <w:r>
        <w:rPr>
          <w:rFonts w:ascii="宋体" w:hAnsi="宋体" w:eastAsia="宋体" w:cs="宋体"/>
          <w:color w:val="auto"/>
          <w:spacing w:val="-6"/>
          <w:sz w:val="24"/>
          <w:szCs w:val="24"/>
          <w:highlight w:val="none"/>
        </w:rPr>
        <w:t>定</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代表</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人</w:t>
      </w:r>
      <w:r>
        <w:rPr>
          <w:rFonts w:ascii="宋体" w:hAnsi="宋体" w:eastAsia="宋体" w:cs="宋体"/>
          <w:color w:val="auto"/>
          <w:spacing w:val="-52"/>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现</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委托</w:t>
      </w:r>
      <w:r>
        <w:rPr>
          <w:rFonts w:ascii="宋体" w:hAnsi="宋体" w:eastAsia="宋体" w:cs="宋体"/>
          <w:color w:val="auto"/>
          <w:spacing w:val="1"/>
          <w:sz w:val="24"/>
          <w:szCs w:val="24"/>
          <w:highlight w:val="none"/>
          <w:u w:val="single" w:color="auto"/>
        </w:rPr>
        <w:t>（姓名）</w:t>
      </w:r>
      <w:r>
        <w:rPr>
          <w:rFonts w:ascii="宋体" w:hAnsi="宋体" w:eastAsia="宋体" w:cs="宋体"/>
          <w:color w:val="auto"/>
          <w:spacing w:val="1"/>
          <w:sz w:val="24"/>
          <w:szCs w:val="24"/>
          <w:highlight w:val="none"/>
        </w:rPr>
        <w:t>为我方代理人。代理人根据授权，以我方名义签署、澄清确认、递交、撤回、</w:t>
      </w:r>
      <w:r>
        <w:rPr>
          <w:rFonts w:ascii="宋体" w:hAnsi="宋体" w:eastAsia="宋体" w:cs="宋体"/>
          <w:color w:val="auto"/>
          <w:spacing w:val="6"/>
          <w:sz w:val="24"/>
          <w:szCs w:val="24"/>
          <w:highlight w:val="none"/>
        </w:rPr>
        <w:t>修改</w:t>
      </w:r>
      <w:r>
        <w:rPr>
          <w:rFonts w:ascii="宋体" w:hAnsi="宋体" w:eastAsia="宋体" w:cs="宋体"/>
          <w:color w:val="auto"/>
          <w:spacing w:val="6"/>
          <w:sz w:val="24"/>
          <w:szCs w:val="24"/>
          <w:highlight w:val="none"/>
          <w:u w:val="single" w:color="auto"/>
        </w:rPr>
        <w:t xml:space="preserve">                     （项目名称）</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标段施工监理投标文件、签订合同和处理有关事宜，其法律后果由我方承担。</w:t>
      </w:r>
    </w:p>
    <w:p w14:paraId="0A4A7ACE">
      <w:pPr>
        <w:spacing w:line="218" w:lineRule="auto"/>
        <w:ind w:left="58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委托期限：</w:t>
      </w:r>
      <w:r>
        <w:rPr>
          <w:rFonts w:ascii="宋体" w:hAnsi="宋体" w:eastAsia="宋体" w:cs="宋体"/>
          <w:color w:val="auto"/>
          <w:spacing w:val="-58"/>
          <w:sz w:val="24"/>
          <w:szCs w:val="24"/>
          <w:highlight w:val="none"/>
        </w:rPr>
        <w:t xml:space="preserve"> </w:t>
      </w:r>
      <w:r>
        <w:rPr>
          <w:rFonts w:ascii="宋体" w:hAnsi="宋体" w:eastAsia="宋体" w:cs="宋体"/>
          <w:color w:val="auto"/>
          <w:spacing w:val="-3"/>
          <w:sz w:val="24"/>
          <w:szCs w:val="24"/>
          <w:highlight w:val="none"/>
        </w:rPr>
        <w:t>自本委托书签署之日起至投标有效期期满。</w:t>
      </w:r>
    </w:p>
    <w:p w14:paraId="0C0CFCEC">
      <w:pPr>
        <w:spacing w:before="158" w:line="219" w:lineRule="auto"/>
        <w:ind w:left="5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代理人无转委托权。</w:t>
      </w:r>
    </w:p>
    <w:p w14:paraId="3831B114">
      <w:pPr>
        <w:spacing w:line="275" w:lineRule="auto"/>
        <w:rPr>
          <w:rFonts w:ascii="Arial"/>
          <w:color w:val="auto"/>
          <w:sz w:val="21"/>
          <w:highlight w:val="none"/>
        </w:rPr>
      </w:pPr>
    </w:p>
    <w:p w14:paraId="5E88FFDA">
      <w:pPr>
        <w:spacing w:line="276" w:lineRule="auto"/>
        <w:rPr>
          <w:rFonts w:ascii="Arial"/>
          <w:color w:val="auto"/>
          <w:sz w:val="21"/>
          <w:highlight w:val="none"/>
        </w:rPr>
      </w:pPr>
    </w:p>
    <w:p w14:paraId="49DE8E03">
      <w:pPr>
        <w:spacing w:before="65" w:line="227" w:lineRule="auto"/>
        <w:ind w:left="1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附：法定代表人身份证扫描件及委托代理人身份证扫描件。</w:t>
      </w:r>
    </w:p>
    <w:p w14:paraId="33B1FF64">
      <w:pPr>
        <w:spacing w:line="252" w:lineRule="auto"/>
        <w:rPr>
          <w:rFonts w:ascii="Arial"/>
          <w:color w:val="auto"/>
          <w:sz w:val="21"/>
          <w:highlight w:val="none"/>
        </w:rPr>
      </w:pPr>
    </w:p>
    <w:p w14:paraId="416AA94B">
      <w:pPr>
        <w:spacing w:line="253" w:lineRule="auto"/>
        <w:rPr>
          <w:rFonts w:ascii="Arial"/>
          <w:color w:val="auto"/>
          <w:sz w:val="21"/>
          <w:highlight w:val="none"/>
        </w:rPr>
      </w:pPr>
    </w:p>
    <w:p w14:paraId="23E011DE">
      <w:pPr>
        <w:spacing w:before="78" w:line="219" w:lineRule="auto"/>
        <w:ind w:left="34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盖单位章）</w:t>
      </w:r>
    </w:p>
    <w:p w14:paraId="6FAC44AE">
      <w:pPr>
        <w:spacing w:line="434" w:lineRule="auto"/>
        <w:rPr>
          <w:rFonts w:ascii="Arial"/>
          <w:color w:val="auto"/>
          <w:sz w:val="21"/>
          <w:highlight w:val="none"/>
        </w:rPr>
      </w:pPr>
    </w:p>
    <w:p w14:paraId="52F9BC0F">
      <w:pPr>
        <w:spacing w:before="79" w:line="219" w:lineRule="auto"/>
        <w:ind w:left="339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45DAEC29">
      <w:pPr>
        <w:spacing w:line="433" w:lineRule="auto"/>
        <w:rPr>
          <w:rFonts w:ascii="Arial"/>
          <w:color w:val="auto"/>
          <w:sz w:val="21"/>
          <w:highlight w:val="none"/>
        </w:rPr>
      </w:pPr>
    </w:p>
    <w:p w14:paraId="71748727">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1518784A">
      <w:pPr>
        <w:spacing w:line="436" w:lineRule="auto"/>
        <w:rPr>
          <w:rFonts w:ascii="Arial"/>
          <w:color w:val="auto"/>
          <w:sz w:val="21"/>
          <w:highlight w:val="none"/>
        </w:rPr>
      </w:pPr>
    </w:p>
    <w:p w14:paraId="4E2DDC3B">
      <w:pPr>
        <w:spacing w:before="78" w:line="219" w:lineRule="auto"/>
        <w:ind w:left="33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3"/>
          <w:sz w:val="24"/>
          <w:szCs w:val="24"/>
          <w:highlight w:val="none"/>
        </w:rPr>
        <w:t>签字）</w:t>
      </w:r>
    </w:p>
    <w:p w14:paraId="225B2332">
      <w:pPr>
        <w:spacing w:line="433" w:lineRule="auto"/>
        <w:rPr>
          <w:rFonts w:ascii="Arial"/>
          <w:color w:val="auto"/>
          <w:sz w:val="21"/>
          <w:highlight w:val="none"/>
        </w:rPr>
      </w:pPr>
    </w:p>
    <w:p w14:paraId="2E1FCC05">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0CB8A0F2">
      <w:pPr>
        <w:spacing w:line="433" w:lineRule="auto"/>
        <w:rPr>
          <w:rFonts w:ascii="Arial"/>
          <w:color w:val="auto"/>
          <w:sz w:val="21"/>
          <w:highlight w:val="none"/>
        </w:rPr>
      </w:pPr>
    </w:p>
    <w:p w14:paraId="6BD471BB">
      <w:pPr>
        <w:tabs>
          <w:tab w:val="left" w:pos="5559"/>
        </w:tabs>
        <w:spacing w:before="79" w:line="219" w:lineRule="auto"/>
        <w:ind w:left="471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6"/>
          <w:sz w:val="24"/>
          <w:szCs w:val="24"/>
          <w:highlight w:val="none"/>
        </w:rPr>
        <w:t xml:space="preserve"> </w:t>
      </w:r>
      <w:r>
        <w:rPr>
          <w:rFonts w:ascii="宋体" w:hAnsi="宋体" w:eastAsia="宋体" w:cs="宋体"/>
          <w:color w:val="auto"/>
          <w:spacing w:val="-6"/>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6"/>
          <w:sz w:val="24"/>
          <w:szCs w:val="24"/>
          <w:highlight w:val="none"/>
        </w:rPr>
        <w:t xml:space="preserve">月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0"/>
          <w:sz w:val="24"/>
          <w:szCs w:val="24"/>
          <w:highlight w:val="none"/>
        </w:rPr>
        <w:t xml:space="preserve"> </w:t>
      </w:r>
      <w:r>
        <w:rPr>
          <w:rFonts w:ascii="宋体" w:hAnsi="宋体" w:eastAsia="宋体" w:cs="宋体"/>
          <w:color w:val="auto"/>
          <w:spacing w:val="-6"/>
          <w:sz w:val="24"/>
          <w:szCs w:val="24"/>
          <w:highlight w:val="none"/>
        </w:rPr>
        <w:t>日</w:t>
      </w:r>
    </w:p>
    <w:p w14:paraId="2F2C5820">
      <w:pPr>
        <w:spacing w:line="394" w:lineRule="auto"/>
        <w:rPr>
          <w:rFonts w:ascii="Arial"/>
          <w:color w:val="auto"/>
          <w:sz w:val="21"/>
          <w:highlight w:val="none"/>
        </w:rPr>
      </w:pPr>
    </w:p>
    <w:p w14:paraId="4EFD2F45">
      <w:pPr>
        <w:spacing w:before="65" w:line="232" w:lineRule="auto"/>
        <w:ind w:left="10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52425A4C">
      <w:pPr>
        <w:spacing w:before="149" w:line="299" w:lineRule="auto"/>
        <w:ind w:left="111" w:right="51" w:firstLine="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1.法定代表人和委托代理人必须在授权书上签名；如果由投标人的委托代理人签署投标文</w:t>
      </w:r>
      <w:r>
        <w:rPr>
          <w:rFonts w:ascii="宋体" w:hAnsi="宋体" w:eastAsia="宋体" w:cs="宋体"/>
          <w:color w:val="auto"/>
          <w:spacing w:val="8"/>
          <w:sz w:val="20"/>
          <w:szCs w:val="20"/>
          <w:highlight w:val="none"/>
        </w:rPr>
        <w:t>件，则不需提交（二）法定代表人身份证明；</w:t>
      </w:r>
    </w:p>
    <w:p w14:paraId="074E2815">
      <w:pPr>
        <w:spacing w:before="151" w:line="227" w:lineRule="auto"/>
        <w:ind w:left="5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2.以联合体形式投标的，本授权委托书应由联合体牵头人的法定代表人按上述规定签署。</w:t>
      </w:r>
    </w:p>
    <w:p w14:paraId="50434E53">
      <w:pPr>
        <w:spacing w:before="155" w:line="227" w:lineRule="auto"/>
        <w:ind w:left="5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3.如果由投标人的法定代表人签署投标文件，则无须提交授权委托</w:t>
      </w:r>
      <w:r>
        <w:rPr>
          <w:rFonts w:ascii="宋体" w:hAnsi="宋体" w:eastAsia="宋体" w:cs="宋体"/>
          <w:color w:val="auto"/>
          <w:spacing w:val="8"/>
          <w:sz w:val="20"/>
          <w:szCs w:val="20"/>
          <w:highlight w:val="none"/>
        </w:rPr>
        <w:t>书。</w:t>
      </w:r>
    </w:p>
    <w:p w14:paraId="083B7117">
      <w:pPr>
        <w:spacing w:line="227" w:lineRule="auto"/>
        <w:rPr>
          <w:rFonts w:ascii="宋体" w:hAnsi="宋体" w:eastAsia="宋体" w:cs="宋体"/>
          <w:color w:val="auto"/>
          <w:sz w:val="20"/>
          <w:szCs w:val="20"/>
          <w:highlight w:val="none"/>
        </w:rPr>
        <w:sectPr>
          <w:footerReference r:id="rId43" w:type="default"/>
          <w:pgSz w:w="11906" w:h="16839"/>
          <w:pgMar w:top="1431" w:right="1418" w:bottom="1297" w:left="1316" w:header="0" w:footer="1067" w:gutter="0"/>
          <w:pgBorders>
            <w:top w:val="none" w:sz="0" w:space="0"/>
            <w:left w:val="none" w:sz="0" w:space="0"/>
            <w:bottom w:val="none" w:sz="0" w:space="0"/>
            <w:right w:val="none" w:sz="0" w:space="0"/>
          </w:pgBorders>
          <w:pgNumType w:fmt="decimal"/>
          <w:cols w:space="720" w:num="1"/>
        </w:sectPr>
      </w:pPr>
    </w:p>
    <w:p w14:paraId="741CD7C2">
      <w:pPr>
        <w:spacing w:before="60" w:line="219" w:lineRule="auto"/>
        <w:ind w:left="2669"/>
        <w:outlineLvl w:val="1"/>
        <w:rPr>
          <w:rFonts w:ascii="宋体" w:hAnsi="宋体" w:eastAsia="宋体" w:cs="宋体"/>
          <w:color w:val="auto"/>
          <w:sz w:val="30"/>
          <w:szCs w:val="30"/>
          <w:highlight w:val="none"/>
        </w:rPr>
      </w:pPr>
      <w:bookmarkStart w:id="784" w:name="_Toc12748"/>
      <w:bookmarkStart w:id="785" w:name="_Toc5490"/>
      <w:bookmarkStart w:id="786" w:name="_Toc3375"/>
      <w:bookmarkStart w:id="787" w:name="_Toc21914"/>
      <w:bookmarkStart w:id="788" w:name="_Toc17150"/>
      <w:bookmarkStart w:id="789" w:name="_Toc7818"/>
      <w:bookmarkStart w:id="790" w:name="_Toc3163"/>
      <w:r>
        <w:rPr>
          <w:rFonts w:ascii="宋体" w:hAnsi="宋体" w:eastAsia="宋体" w:cs="宋体"/>
          <w:b/>
          <w:bCs/>
          <w:color w:val="auto"/>
          <w:spacing w:val="-4"/>
          <w:sz w:val="30"/>
          <w:szCs w:val="30"/>
          <w:highlight w:val="none"/>
        </w:rPr>
        <w:t>（二）</w:t>
      </w:r>
      <w:r>
        <w:rPr>
          <w:rFonts w:ascii="宋体" w:hAnsi="宋体" w:eastAsia="宋体" w:cs="宋体"/>
          <w:color w:val="auto"/>
          <w:spacing w:val="-4"/>
          <w:sz w:val="30"/>
          <w:szCs w:val="30"/>
          <w:highlight w:val="none"/>
        </w:rPr>
        <w:t xml:space="preserve"> </w:t>
      </w:r>
      <w:r>
        <w:rPr>
          <w:rFonts w:ascii="宋体" w:hAnsi="宋体" w:eastAsia="宋体" w:cs="宋体"/>
          <w:b/>
          <w:bCs/>
          <w:color w:val="auto"/>
          <w:spacing w:val="-4"/>
          <w:sz w:val="30"/>
          <w:szCs w:val="30"/>
          <w:highlight w:val="none"/>
        </w:rPr>
        <w:t>法定代表人身份证明</w:t>
      </w:r>
      <w:bookmarkEnd w:id="784"/>
      <w:bookmarkEnd w:id="785"/>
      <w:bookmarkEnd w:id="786"/>
      <w:bookmarkEnd w:id="787"/>
      <w:bookmarkEnd w:id="788"/>
      <w:bookmarkEnd w:id="789"/>
      <w:bookmarkEnd w:id="790"/>
    </w:p>
    <w:p w14:paraId="2B58A3CE">
      <w:pPr>
        <w:spacing w:line="342" w:lineRule="auto"/>
        <w:rPr>
          <w:rFonts w:ascii="Arial"/>
          <w:color w:val="auto"/>
          <w:sz w:val="21"/>
          <w:highlight w:val="none"/>
        </w:rPr>
      </w:pPr>
    </w:p>
    <w:p w14:paraId="06F79E74">
      <w:pPr>
        <w:spacing w:line="343" w:lineRule="auto"/>
        <w:rPr>
          <w:rFonts w:ascii="Arial"/>
          <w:color w:val="auto"/>
          <w:sz w:val="21"/>
          <w:highlight w:val="none"/>
        </w:rPr>
      </w:pPr>
    </w:p>
    <w:p w14:paraId="692D35AC">
      <w:pPr>
        <w:spacing w:before="78" w:line="220" w:lineRule="auto"/>
        <w:ind w:left="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投标人名称：</w:t>
      </w:r>
      <w:r>
        <w:rPr>
          <w:rFonts w:ascii="宋体" w:hAnsi="宋体" w:eastAsia="宋体" w:cs="宋体"/>
          <w:color w:val="auto"/>
          <w:sz w:val="24"/>
          <w:szCs w:val="24"/>
          <w:highlight w:val="none"/>
          <w:u w:val="single" w:color="auto"/>
        </w:rPr>
        <w:t xml:space="preserve">                             </w:t>
      </w:r>
    </w:p>
    <w:p w14:paraId="78C83299">
      <w:pPr>
        <w:spacing w:before="155" w:line="338" w:lineRule="auto"/>
        <w:ind w:left="4" w:right="184" w:hanging="4"/>
        <w:rPr>
          <w:rFonts w:ascii="宋体" w:hAnsi="宋体" w:eastAsia="宋体" w:cs="宋体"/>
          <w:color w:val="auto"/>
          <w:sz w:val="24"/>
          <w:szCs w:val="24"/>
          <w:highlight w:val="none"/>
        </w:rPr>
      </w:pPr>
      <w:r>
        <w:rPr>
          <w:rFonts w:ascii="宋体" w:hAnsi="宋体" w:eastAsia="宋体" w:cs="宋体"/>
          <w:color w:val="auto"/>
          <w:sz w:val="24"/>
          <w:szCs w:val="24"/>
          <w:highlight w:val="none"/>
        </w:rPr>
        <w:t>姓名</w:t>
      </w:r>
      <w:r>
        <w:rPr>
          <w:rFonts w:ascii="宋体" w:hAnsi="宋体" w:eastAsia="宋体" w:cs="宋体"/>
          <w:color w:val="auto"/>
          <w:spacing w:val="-11"/>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
          <w:sz w:val="24"/>
          <w:szCs w:val="24"/>
          <w:highlight w:val="none"/>
          <w:u w:val="single" w:color="auto"/>
        </w:rPr>
        <w:t>（</w:t>
      </w:r>
      <w:r>
        <w:rPr>
          <w:rFonts w:ascii="宋体" w:hAnsi="宋体" w:eastAsia="宋体" w:cs="宋体"/>
          <w:color w:val="auto"/>
          <w:sz w:val="24"/>
          <w:szCs w:val="24"/>
          <w:highlight w:val="none"/>
          <w:u w:val="single" w:color="auto"/>
        </w:rPr>
        <w:t>法定代表人签字）</w:t>
      </w:r>
      <w:r>
        <w:rPr>
          <w:rFonts w:ascii="宋体" w:hAnsi="宋体" w:eastAsia="宋体" w:cs="宋体"/>
          <w:color w:val="auto"/>
          <w:sz w:val="24"/>
          <w:szCs w:val="24"/>
          <w:highlight w:val="none"/>
        </w:rPr>
        <w:t>性别：</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 xml:space="preserve"> 年龄：</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职务：</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系</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
          <w:sz w:val="24"/>
          <w:szCs w:val="24"/>
          <w:highlight w:val="none"/>
        </w:rPr>
        <w:t>的法定代表人。</w:t>
      </w:r>
    </w:p>
    <w:p w14:paraId="5CB8A222">
      <w:pPr>
        <w:spacing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7412C3AA">
      <w:pPr>
        <w:spacing w:line="276" w:lineRule="auto"/>
        <w:rPr>
          <w:rFonts w:ascii="Arial"/>
          <w:color w:val="auto"/>
          <w:sz w:val="21"/>
          <w:highlight w:val="none"/>
        </w:rPr>
      </w:pPr>
    </w:p>
    <w:p w14:paraId="7AFA5299">
      <w:pPr>
        <w:spacing w:line="277" w:lineRule="auto"/>
        <w:rPr>
          <w:rFonts w:ascii="Arial"/>
          <w:color w:val="auto"/>
          <w:sz w:val="21"/>
          <w:highlight w:val="none"/>
        </w:rPr>
      </w:pPr>
    </w:p>
    <w:p w14:paraId="541DA340">
      <w:pPr>
        <w:spacing w:before="65" w:line="227" w:lineRule="auto"/>
        <w:ind w:left="1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附：法定代表人身份证扫描件。</w:t>
      </w:r>
    </w:p>
    <w:p w14:paraId="45DF5553">
      <w:pPr>
        <w:spacing w:line="279" w:lineRule="auto"/>
        <w:rPr>
          <w:rFonts w:ascii="Arial"/>
          <w:color w:val="auto"/>
          <w:sz w:val="21"/>
          <w:highlight w:val="none"/>
        </w:rPr>
      </w:pPr>
    </w:p>
    <w:p w14:paraId="1FFE6817">
      <w:pPr>
        <w:spacing w:line="280" w:lineRule="auto"/>
        <w:rPr>
          <w:rFonts w:ascii="Arial"/>
          <w:color w:val="auto"/>
          <w:sz w:val="21"/>
          <w:highlight w:val="none"/>
        </w:rPr>
      </w:pPr>
    </w:p>
    <w:p w14:paraId="4C748479">
      <w:pPr>
        <w:spacing w:line="280" w:lineRule="auto"/>
        <w:rPr>
          <w:rFonts w:ascii="Arial"/>
          <w:color w:val="auto"/>
          <w:sz w:val="21"/>
          <w:highlight w:val="none"/>
        </w:rPr>
      </w:pPr>
    </w:p>
    <w:p w14:paraId="5D3D85DB">
      <w:pPr>
        <w:spacing w:line="280" w:lineRule="auto"/>
        <w:rPr>
          <w:rFonts w:ascii="Arial"/>
          <w:color w:val="auto"/>
          <w:sz w:val="21"/>
          <w:highlight w:val="none"/>
        </w:rPr>
      </w:pPr>
    </w:p>
    <w:p w14:paraId="360A9AFB">
      <w:pPr>
        <w:spacing w:line="280" w:lineRule="auto"/>
        <w:rPr>
          <w:rFonts w:ascii="Arial"/>
          <w:color w:val="auto"/>
          <w:sz w:val="21"/>
          <w:highlight w:val="none"/>
        </w:rPr>
      </w:pPr>
    </w:p>
    <w:p w14:paraId="6E7EB92C">
      <w:pPr>
        <w:tabs>
          <w:tab w:val="left" w:pos="5390"/>
        </w:tabs>
        <w:spacing w:before="79" w:line="342" w:lineRule="auto"/>
        <w:ind w:left="4309" w:right="1164" w:hanging="1187"/>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rPr>
        <w:t>盖单位章）</w:t>
      </w: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1"/>
          <w:sz w:val="24"/>
          <w:szCs w:val="24"/>
          <w:highlight w:val="none"/>
        </w:rPr>
        <w:t xml:space="preserve"> </w:t>
      </w:r>
      <w:r>
        <w:rPr>
          <w:rFonts w:ascii="宋体" w:hAnsi="宋体" w:eastAsia="宋体" w:cs="宋体"/>
          <w:color w:val="auto"/>
          <w:spacing w:val="-9"/>
          <w:sz w:val="24"/>
          <w:szCs w:val="24"/>
          <w:highlight w:val="none"/>
        </w:rPr>
        <w:t>日</w:t>
      </w:r>
    </w:p>
    <w:p w14:paraId="5A7FE784">
      <w:pPr>
        <w:spacing w:line="241" w:lineRule="auto"/>
        <w:rPr>
          <w:rFonts w:ascii="Arial"/>
          <w:color w:val="auto"/>
          <w:sz w:val="21"/>
          <w:highlight w:val="none"/>
        </w:rPr>
      </w:pPr>
    </w:p>
    <w:p w14:paraId="67AA0163">
      <w:pPr>
        <w:spacing w:line="241" w:lineRule="auto"/>
        <w:rPr>
          <w:rFonts w:ascii="Arial"/>
          <w:color w:val="auto"/>
          <w:sz w:val="21"/>
          <w:highlight w:val="none"/>
        </w:rPr>
      </w:pPr>
    </w:p>
    <w:p w14:paraId="68084F41">
      <w:pPr>
        <w:spacing w:line="241" w:lineRule="auto"/>
        <w:rPr>
          <w:rFonts w:ascii="Arial"/>
          <w:color w:val="auto"/>
          <w:sz w:val="21"/>
          <w:highlight w:val="none"/>
        </w:rPr>
      </w:pPr>
    </w:p>
    <w:p w14:paraId="3B3DEF47">
      <w:pPr>
        <w:spacing w:line="241" w:lineRule="auto"/>
        <w:rPr>
          <w:rFonts w:ascii="Arial"/>
          <w:color w:val="auto"/>
          <w:sz w:val="21"/>
          <w:highlight w:val="none"/>
        </w:rPr>
      </w:pPr>
    </w:p>
    <w:p w14:paraId="0C01D7EF">
      <w:pPr>
        <w:spacing w:line="241" w:lineRule="auto"/>
        <w:rPr>
          <w:rFonts w:ascii="Arial"/>
          <w:color w:val="auto"/>
          <w:sz w:val="21"/>
          <w:highlight w:val="none"/>
        </w:rPr>
      </w:pPr>
    </w:p>
    <w:p w14:paraId="64702F33">
      <w:pPr>
        <w:spacing w:line="241" w:lineRule="auto"/>
        <w:rPr>
          <w:rFonts w:ascii="Arial"/>
          <w:color w:val="auto"/>
          <w:sz w:val="21"/>
          <w:highlight w:val="none"/>
        </w:rPr>
      </w:pPr>
    </w:p>
    <w:p w14:paraId="342BC73C">
      <w:pPr>
        <w:spacing w:line="241" w:lineRule="auto"/>
        <w:rPr>
          <w:rFonts w:ascii="Arial"/>
          <w:color w:val="auto"/>
          <w:sz w:val="21"/>
          <w:highlight w:val="none"/>
        </w:rPr>
      </w:pPr>
    </w:p>
    <w:p w14:paraId="44E97441">
      <w:pPr>
        <w:spacing w:before="65" w:line="228" w:lineRule="auto"/>
        <w:ind w:left="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注：法定代表人必须在法定代表人身份证明上签名。</w:t>
      </w:r>
    </w:p>
    <w:p w14:paraId="328D5D4D">
      <w:pPr>
        <w:spacing w:line="228" w:lineRule="auto"/>
        <w:rPr>
          <w:rFonts w:ascii="宋体" w:hAnsi="宋体" w:eastAsia="宋体" w:cs="宋体"/>
          <w:color w:val="auto"/>
          <w:sz w:val="20"/>
          <w:szCs w:val="20"/>
          <w:highlight w:val="none"/>
        </w:rPr>
        <w:sectPr>
          <w:footerReference r:id="rId44" w:type="default"/>
          <w:pgSz w:w="11906" w:h="16839"/>
          <w:pgMar w:top="1401" w:right="1785" w:bottom="1297" w:left="1425" w:header="0" w:footer="1067" w:gutter="0"/>
          <w:pgBorders>
            <w:top w:val="none" w:sz="0" w:space="0"/>
            <w:left w:val="none" w:sz="0" w:space="0"/>
            <w:bottom w:val="none" w:sz="0" w:space="0"/>
            <w:right w:val="none" w:sz="0" w:space="0"/>
          </w:pgBorders>
          <w:pgNumType w:fmt="decimal"/>
          <w:cols w:space="720" w:num="1"/>
        </w:sectPr>
      </w:pPr>
    </w:p>
    <w:p w14:paraId="73611F6D">
      <w:pPr>
        <w:spacing w:before="163" w:line="219" w:lineRule="auto"/>
        <w:ind w:left="357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三、联合体协议书</w:t>
      </w:r>
    </w:p>
    <w:p w14:paraId="22A5C184">
      <w:pPr>
        <w:spacing w:line="253" w:lineRule="auto"/>
        <w:rPr>
          <w:rFonts w:ascii="Arial"/>
          <w:color w:val="auto"/>
          <w:sz w:val="21"/>
          <w:highlight w:val="none"/>
        </w:rPr>
      </w:pPr>
    </w:p>
    <w:p w14:paraId="5BBD59D7">
      <w:pPr>
        <w:spacing w:line="253" w:lineRule="auto"/>
        <w:rPr>
          <w:rFonts w:ascii="Arial"/>
          <w:color w:val="auto"/>
          <w:sz w:val="21"/>
          <w:highlight w:val="none"/>
        </w:rPr>
      </w:pPr>
    </w:p>
    <w:p w14:paraId="4B3AABFE">
      <w:pPr>
        <w:spacing w:line="253" w:lineRule="auto"/>
        <w:rPr>
          <w:rFonts w:ascii="Arial"/>
          <w:color w:val="auto"/>
          <w:sz w:val="21"/>
          <w:highlight w:val="none"/>
        </w:rPr>
      </w:pPr>
    </w:p>
    <w:p w14:paraId="31FB8C54">
      <w:pPr>
        <w:tabs>
          <w:tab w:val="left" w:pos="2406"/>
        </w:tabs>
        <w:spacing w:before="78" w:line="308" w:lineRule="auto"/>
        <w:ind w:firstLine="351"/>
        <w:jc w:val="both"/>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7"/>
          <w:sz w:val="24"/>
          <w:szCs w:val="24"/>
          <w:highlight w:val="none"/>
          <w:u w:val="single" w:color="auto"/>
        </w:rPr>
        <w:t>（所有成员单位名称）</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7"/>
          <w:sz w:val="24"/>
          <w:szCs w:val="24"/>
          <w:highlight w:val="none"/>
        </w:rPr>
        <w:t>自愿组成</w:t>
      </w:r>
      <w:r>
        <w:rPr>
          <w:rFonts w:ascii="宋体" w:hAnsi="宋体" w:eastAsia="宋体" w:cs="宋体"/>
          <w:color w:val="auto"/>
          <w:spacing w:val="-7"/>
          <w:sz w:val="24"/>
          <w:szCs w:val="24"/>
          <w:highlight w:val="none"/>
          <w:u w:val="single" w:color="auto"/>
        </w:rPr>
        <w:t xml:space="preserve">      </w:t>
      </w:r>
      <w:r>
        <w:rPr>
          <w:rFonts w:ascii="宋体" w:hAnsi="宋体" w:eastAsia="宋体" w:cs="宋体"/>
          <w:color w:val="auto"/>
          <w:spacing w:val="-8"/>
          <w:sz w:val="24"/>
          <w:szCs w:val="24"/>
          <w:highlight w:val="none"/>
          <w:u w:val="single" w:color="auto"/>
        </w:rPr>
        <w:t xml:space="preserve">  （联合体名称）</w:t>
      </w:r>
      <w:r>
        <w:rPr>
          <w:rFonts w:ascii="宋体" w:hAnsi="宋体" w:eastAsia="宋体" w:cs="宋体"/>
          <w:color w:val="auto"/>
          <w:spacing w:val="-8"/>
          <w:sz w:val="24"/>
          <w:szCs w:val="24"/>
          <w:highlight w:val="none"/>
        </w:rPr>
        <w:t>联合体，</w:t>
      </w:r>
      <w:r>
        <w:rPr>
          <w:rFonts w:ascii="宋体" w:hAnsi="宋体" w:eastAsia="宋体" w:cs="宋体"/>
          <w:color w:val="auto"/>
          <w:spacing w:val="4"/>
          <w:sz w:val="24"/>
          <w:szCs w:val="24"/>
          <w:highlight w:val="none"/>
        </w:rPr>
        <w:t>共同参加</w:t>
      </w:r>
      <w:r>
        <w:rPr>
          <w:rFonts w:ascii="宋体" w:hAnsi="宋体" w:eastAsia="宋体" w:cs="宋体"/>
          <w:color w:val="auto"/>
          <w:spacing w:val="4"/>
          <w:sz w:val="24"/>
          <w:szCs w:val="24"/>
          <w:highlight w:val="none"/>
          <w:u w:val="single" w:color="auto"/>
        </w:rPr>
        <w:t xml:space="preserve">         （项目名称）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4"/>
          <w:sz w:val="24"/>
          <w:szCs w:val="24"/>
          <w:highlight w:val="none"/>
        </w:rPr>
        <w:t>标段施工监理投标。现就联合体投标</w:t>
      </w:r>
      <w:r>
        <w:rPr>
          <w:rFonts w:ascii="宋体" w:hAnsi="宋体" w:eastAsia="宋体" w:cs="宋体"/>
          <w:color w:val="auto"/>
          <w:spacing w:val="3"/>
          <w:sz w:val="24"/>
          <w:szCs w:val="24"/>
          <w:highlight w:val="none"/>
        </w:rPr>
        <w:t>事宜订立</w:t>
      </w:r>
      <w:r>
        <w:rPr>
          <w:rFonts w:ascii="宋体" w:hAnsi="宋体" w:eastAsia="宋体" w:cs="宋体"/>
          <w:color w:val="auto"/>
          <w:spacing w:val="-2"/>
          <w:sz w:val="24"/>
          <w:szCs w:val="24"/>
          <w:highlight w:val="none"/>
        </w:rPr>
        <w:t>如下协议。</w:t>
      </w:r>
    </w:p>
    <w:p w14:paraId="05271A24">
      <w:pPr>
        <w:spacing w:line="218" w:lineRule="auto"/>
        <w:ind w:left="40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w:t>
      </w:r>
      <w:r>
        <w:rPr>
          <w:rFonts w:ascii="宋体" w:hAnsi="宋体" w:eastAsia="宋体" w:cs="宋体"/>
          <w:color w:val="auto"/>
          <w:spacing w:val="-1"/>
          <w:sz w:val="24"/>
          <w:szCs w:val="24"/>
          <w:highlight w:val="none"/>
          <w:u w:val="single" w:color="auto"/>
        </w:rPr>
        <w:t xml:space="preserve">          （某成员单位名称）</w:t>
      </w:r>
      <w:r>
        <w:rPr>
          <w:rFonts w:ascii="宋体" w:hAnsi="宋体" w:eastAsia="宋体" w:cs="宋体"/>
          <w:color w:val="auto"/>
          <w:spacing w:val="-1"/>
          <w:sz w:val="24"/>
          <w:szCs w:val="24"/>
          <w:highlight w:val="none"/>
        </w:rPr>
        <w:t>为</w:t>
      </w:r>
      <w:r>
        <w:rPr>
          <w:rFonts w:ascii="宋体" w:hAnsi="宋体" w:eastAsia="宋体" w:cs="宋体"/>
          <w:color w:val="auto"/>
          <w:spacing w:val="-1"/>
          <w:sz w:val="24"/>
          <w:szCs w:val="24"/>
          <w:highlight w:val="none"/>
          <w:u w:val="single" w:color="auto"/>
        </w:rPr>
        <w:t xml:space="preserve">        （联合体名称）</w:t>
      </w:r>
      <w:r>
        <w:rPr>
          <w:rFonts w:ascii="宋体" w:hAnsi="宋体" w:eastAsia="宋体" w:cs="宋体"/>
          <w:color w:val="auto"/>
          <w:spacing w:val="-1"/>
          <w:sz w:val="24"/>
          <w:szCs w:val="24"/>
          <w:highlight w:val="none"/>
        </w:rPr>
        <w:t>牵头人。</w:t>
      </w:r>
    </w:p>
    <w:p w14:paraId="04CD3930">
      <w:pPr>
        <w:spacing w:before="115" w:line="278" w:lineRule="auto"/>
        <w:ind w:right="109" w:firstLine="3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2.联合体各成员授权牵头人代表联合体参加投标活动，签署</w:t>
      </w:r>
      <w:r>
        <w:rPr>
          <w:rFonts w:ascii="宋体" w:hAnsi="宋体" w:eastAsia="宋体" w:cs="宋体"/>
          <w:color w:val="auto"/>
          <w:sz w:val="24"/>
          <w:szCs w:val="24"/>
          <w:highlight w:val="none"/>
        </w:rPr>
        <w:t>文件，提交和接收相关</w:t>
      </w:r>
      <w:r>
        <w:rPr>
          <w:rFonts w:ascii="宋体" w:hAnsi="宋体" w:eastAsia="宋体" w:cs="宋体"/>
          <w:color w:val="auto"/>
          <w:spacing w:val="5"/>
          <w:sz w:val="24"/>
          <w:szCs w:val="24"/>
          <w:highlight w:val="none"/>
        </w:rPr>
        <w:t>的资料、信息及指示，进行合同谈判活动，负责合同实施阶段的组织和协调工</w:t>
      </w:r>
      <w:r>
        <w:rPr>
          <w:rFonts w:ascii="宋体" w:hAnsi="宋体" w:eastAsia="宋体" w:cs="宋体"/>
          <w:color w:val="auto"/>
          <w:spacing w:val="4"/>
          <w:sz w:val="24"/>
          <w:szCs w:val="24"/>
          <w:highlight w:val="none"/>
        </w:rPr>
        <w:t>作，以</w:t>
      </w:r>
      <w:r>
        <w:rPr>
          <w:rFonts w:ascii="宋体" w:hAnsi="宋体" w:eastAsia="宋体" w:cs="宋体"/>
          <w:color w:val="auto"/>
          <w:spacing w:val="-1"/>
          <w:sz w:val="24"/>
          <w:szCs w:val="24"/>
          <w:highlight w:val="none"/>
        </w:rPr>
        <w:t>及处理与本招标项目有关的一切事宜。</w:t>
      </w:r>
    </w:p>
    <w:p w14:paraId="561D2F17">
      <w:pPr>
        <w:spacing w:before="113" w:line="279" w:lineRule="auto"/>
        <w:ind w:left="6" w:right="109" w:firstLine="3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3.联合体牵头人在本项目中签署的一切文件和处理的一</w:t>
      </w:r>
      <w:r>
        <w:rPr>
          <w:rFonts w:ascii="宋体" w:hAnsi="宋体" w:eastAsia="宋体" w:cs="宋体"/>
          <w:color w:val="auto"/>
          <w:sz w:val="24"/>
          <w:szCs w:val="24"/>
          <w:highlight w:val="none"/>
        </w:rPr>
        <w:t>切事宜，联合体各成员均予</w:t>
      </w:r>
      <w:r>
        <w:rPr>
          <w:rFonts w:ascii="宋体" w:hAnsi="宋体" w:eastAsia="宋体" w:cs="宋体"/>
          <w:color w:val="auto"/>
          <w:spacing w:val="5"/>
          <w:sz w:val="24"/>
          <w:szCs w:val="24"/>
          <w:highlight w:val="none"/>
        </w:rPr>
        <w:t>以承认。联合体各成员将严格按照招标文件、投标文件和合同</w:t>
      </w:r>
      <w:r>
        <w:rPr>
          <w:rFonts w:ascii="宋体" w:hAnsi="宋体" w:eastAsia="宋体" w:cs="宋体"/>
          <w:color w:val="auto"/>
          <w:spacing w:val="4"/>
          <w:sz w:val="24"/>
          <w:szCs w:val="24"/>
          <w:highlight w:val="none"/>
        </w:rPr>
        <w:t>的要求全面履行义务，</w:t>
      </w:r>
      <w:r>
        <w:rPr>
          <w:rFonts w:ascii="宋体" w:hAnsi="宋体" w:eastAsia="宋体" w:cs="宋体"/>
          <w:color w:val="auto"/>
          <w:spacing w:val="-2"/>
          <w:sz w:val="24"/>
          <w:szCs w:val="24"/>
          <w:highlight w:val="none"/>
        </w:rPr>
        <w:t>并向招标人承担连带责任。</w:t>
      </w:r>
    </w:p>
    <w:p w14:paraId="40BC4D6D">
      <w:pPr>
        <w:spacing w:before="115" w:line="279" w:lineRule="auto"/>
        <w:ind w:right="107"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4.联合体各成员单位内部的职责分工如下</w:t>
      </w:r>
      <w:r>
        <w:rPr>
          <w:rFonts w:ascii="宋体" w:hAnsi="宋体" w:eastAsia="宋体" w:cs="宋体"/>
          <w:color w:val="auto"/>
          <w:spacing w:val="-13"/>
          <w:sz w:val="24"/>
          <w:szCs w:val="24"/>
          <w:highlight w:val="none"/>
        </w:rPr>
        <w:t>：</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2"/>
          <w:sz w:val="24"/>
          <w:szCs w:val="24"/>
          <w:highlight w:val="none"/>
          <w:u w:val="single" w:color="auto"/>
        </w:rPr>
        <w:t>牵头人名称）</w:t>
      </w:r>
      <w:r>
        <w:rPr>
          <w:rFonts w:ascii="宋体" w:hAnsi="宋体" w:eastAsia="宋体" w:cs="宋体"/>
          <w:color w:val="auto"/>
          <w:spacing w:val="2"/>
          <w:sz w:val="24"/>
          <w:szCs w:val="24"/>
          <w:highlight w:val="none"/>
        </w:rPr>
        <w:t>承担</w:t>
      </w:r>
      <w:r>
        <w:rPr>
          <w:rFonts w:ascii="宋体" w:hAnsi="宋体" w:eastAsia="宋体" w:cs="宋体"/>
          <w:color w:val="auto"/>
          <w:spacing w:val="-118"/>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专业工</w:t>
      </w:r>
      <w:r>
        <w:rPr>
          <w:rFonts w:ascii="宋体" w:hAnsi="宋体" w:eastAsia="宋体" w:cs="宋体"/>
          <w:color w:val="auto"/>
          <w:spacing w:val="9"/>
          <w:sz w:val="24"/>
          <w:szCs w:val="24"/>
          <w:highlight w:val="none"/>
        </w:rPr>
        <w:t>程</w:t>
      </w:r>
      <w:r>
        <w:rPr>
          <w:rFonts w:ascii="宋体" w:hAnsi="宋体" w:eastAsia="宋体" w:cs="宋体"/>
          <w:color w:val="auto"/>
          <w:spacing w:val="-71"/>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占总工程量的</w:t>
      </w:r>
      <w:r>
        <w:rPr>
          <w:rFonts w:ascii="宋体" w:hAnsi="宋体" w:eastAsia="宋体" w:cs="宋体"/>
          <w:color w:val="auto"/>
          <w:spacing w:val="-101"/>
          <w:sz w:val="24"/>
          <w:szCs w:val="24"/>
          <w:highlight w:val="none"/>
        </w:rPr>
        <w:t xml:space="preserve"> </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7"/>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71"/>
          <w:sz w:val="24"/>
          <w:szCs w:val="24"/>
          <w:highlight w:val="none"/>
        </w:rPr>
        <w:t xml:space="preserve"> </w:t>
      </w:r>
      <w:r>
        <w:rPr>
          <w:rFonts w:ascii="宋体" w:hAnsi="宋体" w:eastAsia="宋体" w:cs="宋体"/>
          <w:color w:val="auto"/>
          <w:spacing w:val="-19"/>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9"/>
          <w:sz w:val="24"/>
          <w:szCs w:val="24"/>
          <w:highlight w:val="none"/>
          <w:u w:val="single" w:color="auto"/>
        </w:rPr>
        <w:t>（</w:t>
      </w:r>
      <w:r>
        <w:rPr>
          <w:rFonts w:ascii="宋体" w:hAnsi="宋体" w:eastAsia="宋体" w:cs="宋体"/>
          <w:color w:val="auto"/>
          <w:spacing w:val="9"/>
          <w:sz w:val="24"/>
          <w:szCs w:val="24"/>
          <w:highlight w:val="none"/>
          <w:u w:val="single" w:color="auto"/>
        </w:rPr>
        <w:t>成员一名称）</w:t>
      </w:r>
      <w:r>
        <w:rPr>
          <w:rFonts w:ascii="宋体" w:hAnsi="宋体" w:eastAsia="宋体" w:cs="宋体"/>
          <w:color w:val="auto"/>
          <w:spacing w:val="9"/>
          <w:sz w:val="24"/>
          <w:szCs w:val="24"/>
          <w:highlight w:val="none"/>
        </w:rPr>
        <w:t>承担</w:t>
      </w:r>
      <w:r>
        <w:rPr>
          <w:rFonts w:ascii="宋体" w:hAnsi="宋体" w:eastAsia="宋体" w:cs="宋体"/>
          <w:color w:val="auto"/>
          <w:spacing w:val="-97"/>
          <w:sz w:val="24"/>
          <w:szCs w:val="24"/>
          <w:highlight w:val="none"/>
        </w:rPr>
        <w:t xml:space="preserve"> </w:t>
      </w:r>
      <w:r>
        <w:rPr>
          <w:rFonts w:ascii="宋体" w:hAnsi="宋体" w:eastAsia="宋体" w:cs="宋体"/>
          <w:color w:val="auto"/>
          <w:spacing w:val="19"/>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9"/>
          <w:sz w:val="24"/>
          <w:szCs w:val="24"/>
          <w:highlight w:val="none"/>
        </w:rPr>
        <w:t>专业工程</w:t>
      </w:r>
      <w:r>
        <w:rPr>
          <w:rFonts w:ascii="宋体" w:hAnsi="宋体" w:eastAsia="宋体" w:cs="宋体"/>
          <w:color w:val="auto"/>
          <w:spacing w:val="-72"/>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w:t>
      </w:r>
      <w:r>
        <w:rPr>
          <w:rFonts w:ascii="宋体" w:hAnsi="宋体" w:eastAsia="宋体" w:cs="宋体"/>
          <w:color w:val="auto"/>
          <w:spacing w:val="-1"/>
          <w:sz w:val="24"/>
          <w:szCs w:val="24"/>
          <w:highlight w:val="none"/>
        </w:rPr>
        <w:t>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2934B9D8">
      <w:pPr>
        <w:spacing w:before="110" w:line="264" w:lineRule="auto"/>
        <w:ind w:right="109" w:firstLine="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5.投标工作和联合体在中标后工程实施过程中的有关费用按各自承担的</w:t>
      </w:r>
      <w:r>
        <w:rPr>
          <w:rFonts w:ascii="宋体" w:hAnsi="宋体" w:eastAsia="宋体" w:cs="宋体"/>
          <w:color w:val="auto"/>
          <w:spacing w:val="4"/>
          <w:sz w:val="24"/>
          <w:szCs w:val="24"/>
          <w:highlight w:val="none"/>
        </w:rPr>
        <w:t>工作量分</w:t>
      </w:r>
      <w:r>
        <w:rPr>
          <w:rFonts w:ascii="宋体" w:hAnsi="宋体" w:eastAsia="宋体" w:cs="宋体"/>
          <w:color w:val="auto"/>
          <w:spacing w:val="-5"/>
          <w:sz w:val="24"/>
          <w:szCs w:val="24"/>
          <w:highlight w:val="none"/>
        </w:rPr>
        <w:t>摊。</w:t>
      </w:r>
    </w:p>
    <w:p w14:paraId="3724E790">
      <w:pPr>
        <w:spacing w:before="115" w:line="263" w:lineRule="auto"/>
        <w:ind w:left="5" w:right="109" w:firstLine="47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6.本协议书自所有成员单位法定代表人签字或盖单位章之日起生效，合同履行完</w:t>
      </w:r>
      <w:r>
        <w:rPr>
          <w:rFonts w:ascii="宋体" w:hAnsi="宋体" w:eastAsia="宋体" w:cs="宋体"/>
          <w:color w:val="auto"/>
          <w:spacing w:val="-3"/>
          <w:sz w:val="24"/>
          <w:szCs w:val="24"/>
          <w:highlight w:val="none"/>
        </w:rPr>
        <w:t>毕后自动失效。</w:t>
      </w:r>
    </w:p>
    <w:p w14:paraId="58F1C1E4">
      <w:pPr>
        <w:spacing w:before="115"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7.本协议书一式</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份，联合体成员和招标人各执一份。</w:t>
      </w:r>
    </w:p>
    <w:p w14:paraId="3EE9F521">
      <w:pPr>
        <w:spacing w:line="433" w:lineRule="auto"/>
        <w:rPr>
          <w:rFonts w:ascii="Arial"/>
          <w:color w:val="auto"/>
          <w:sz w:val="21"/>
          <w:highlight w:val="none"/>
        </w:rPr>
      </w:pPr>
    </w:p>
    <w:p w14:paraId="73C5FCE2">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联合体牵头人名称</w:t>
      </w:r>
      <w:r>
        <w:rPr>
          <w:rFonts w:ascii="宋体" w:hAnsi="宋体" w:eastAsia="宋体" w:cs="宋体"/>
          <w:color w:val="auto"/>
          <w:spacing w:val="-13"/>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盖单位章）</w:t>
      </w:r>
    </w:p>
    <w:p w14:paraId="0724FE42">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150757D3">
      <w:pPr>
        <w:spacing w:line="432" w:lineRule="auto"/>
        <w:rPr>
          <w:rFonts w:ascii="Arial"/>
          <w:color w:val="auto"/>
          <w:sz w:val="21"/>
          <w:highlight w:val="none"/>
        </w:rPr>
      </w:pPr>
    </w:p>
    <w:p w14:paraId="35E1855E">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联合体成员名称</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2"/>
          <w:sz w:val="24"/>
          <w:szCs w:val="24"/>
          <w:highlight w:val="none"/>
        </w:rPr>
        <w:t>盖单位章）</w:t>
      </w:r>
    </w:p>
    <w:p w14:paraId="070218DC">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105F947A">
      <w:pPr>
        <w:spacing w:before="225"/>
        <w:rPr>
          <w:color w:val="auto"/>
          <w:highlight w:val="none"/>
        </w:rPr>
      </w:pPr>
    </w:p>
    <w:p w14:paraId="16D4F1F0">
      <w:pPr>
        <w:rPr>
          <w:color w:val="auto"/>
          <w:highlight w:val="none"/>
        </w:rPr>
        <w:sectPr>
          <w:footerReference r:id="rId45" w:type="default"/>
          <w:pgSz w:w="11906" w:h="16839"/>
          <w:pgMar w:top="1431" w:right="1308" w:bottom="1297" w:left="1424" w:header="0" w:footer="1067" w:gutter="0"/>
          <w:pgBorders>
            <w:top w:val="none" w:sz="0" w:space="0"/>
            <w:left w:val="none" w:sz="0" w:space="0"/>
            <w:bottom w:val="none" w:sz="0" w:space="0"/>
            <w:right w:val="none" w:sz="0" w:space="0"/>
          </w:pgBorders>
          <w:pgNumType w:fmt="decimal"/>
          <w:cols w:equalWidth="0" w:num="1">
            <w:col w:w="9174"/>
          </w:cols>
        </w:sectPr>
      </w:pPr>
    </w:p>
    <w:p w14:paraId="0BED8268">
      <w:pPr>
        <w:spacing w:before="48" w:line="378" w:lineRule="exact"/>
        <w:ind w:left="496"/>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762F945E">
      <w:pPr>
        <w:spacing w:line="14" w:lineRule="auto"/>
        <w:rPr>
          <w:rFonts w:ascii="Arial"/>
          <w:color w:val="auto"/>
          <w:sz w:val="2"/>
          <w:highlight w:val="none"/>
        </w:rPr>
      </w:pPr>
      <w:r>
        <w:rPr>
          <w:rFonts w:ascii="Arial" w:hAnsi="Arial" w:eastAsia="Arial" w:cs="Arial"/>
          <w:color w:val="auto"/>
          <w:sz w:val="2"/>
          <w:szCs w:val="2"/>
          <w:highlight w:val="none"/>
        </w:rPr>
        <w:br w:type="column"/>
      </w:r>
    </w:p>
    <w:p w14:paraId="710ECF92">
      <w:pPr>
        <w:spacing w:line="367" w:lineRule="auto"/>
        <w:rPr>
          <w:rFonts w:ascii="Arial"/>
          <w:color w:val="auto"/>
          <w:sz w:val="21"/>
          <w:highlight w:val="none"/>
        </w:rPr>
      </w:pPr>
    </w:p>
    <w:p w14:paraId="6F373D16">
      <w:pPr>
        <w:tabs>
          <w:tab w:val="left" w:pos="840"/>
        </w:tabs>
        <w:spacing w:before="78" w:line="184" w:lineRule="auto"/>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bookmarkStart w:id="791" w:name="_Toc30473"/>
      <w:bookmarkStart w:id="792" w:name="_Toc24344"/>
      <w:bookmarkStart w:id="793" w:name="_Toc32529"/>
      <w:bookmarkStart w:id="794" w:name="_Toc8840"/>
      <w:bookmarkStart w:id="795" w:name="_Toc23611"/>
      <w:bookmarkStart w:id="796" w:name="_Toc6496"/>
      <w:bookmarkStart w:id="797" w:name="_Toc31102"/>
      <w:r>
        <w:rPr>
          <w:rFonts w:ascii="宋体" w:hAnsi="宋体" w:eastAsia="宋体" w:cs="宋体"/>
          <w:color w:val="auto"/>
          <w:spacing w:val="-7"/>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7"/>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7"/>
          <w:sz w:val="24"/>
          <w:szCs w:val="24"/>
          <w:highlight w:val="none"/>
        </w:rPr>
        <w:t>日</w:t>
      </w:r>
      <w:bookmarkEnd w:id="791"/>
      <w:bookmarkEnd w:id="792"/>
      <w:bookmarkEnd w:id="793"/>
      <w:bookmarkEnd w:id="794"/>
      <w:bookmarkEnd w:id="795"/>
      <w:bookmarkEnd w:id="796"/>
      <w:bookmarkEnd w:id="797"/>
    </w:p>
    <w:p w14:paraId="5748F2B2">
      <w:pPr>
        <w:spacing w:line="184" w:lineRule="auto"/>
        <w:rPr>
          <w:rFonts w:ascii="宋体" w:hAnsi="宋体" w:eastAsia="宋体" w:cs="宋体"/>
          <w:color w:val="auto"/>
          <w:sz w:val="24"/>
          <w:szCs w:val="24"/>
          <w:highlight w:val="none"/>
        </w:rPr>
        <w:sectPr>
          <w:type w:val="continuous"/>
          <w:pgSz w:w="11906" w:h="16839"/>
          <w:pgMar w:top="1431" w:right="1308" w:bottom="1297" w:left="1424" w:header="0" w:footer="1067" w:gutter="0"/>
          <w:pgBorders>
            <w:top w:val="none" w:sz="0" w:space="0"/>
            <w:left w:val="none" w:sz="0" w:space="0"/>
            <w:bottom w:val="none" w:sz="0" w:space="0"/>
            <w:right w:val="none" w:sz="0" w:space="0"/>
          </w:pgBorders>
          <w:pgNumType w:fmt="decimal"/>
          <w:cols w:equalWidth="0" w:num="2">
            <w:col w:w="6204" w:space="100"/>
            <w:col w:w="2870"/>
          </w:cols>
        </w:sectPr>
      </w:pPr>
    </w:p>
    <w:p w14:paraId="59725A4D">
      <w:pPr>
        <w:spacing w:before="163" w:line="220" w:lineRule="auto"/>
        <w:ind w:left="3725"/>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四、投标保证金</w:t>
      </w:r>
    </w:p>
    <w:p w14:paraId="1AA43557">
      <w:pPr>
        <w:spacing w:line="252" w:lineRule="auto"/>
        <w:rPr>
          <w:rFonts w:ascii="Arial"/>
          <w:color w:val="auto"/>
          <w:sz w:val="21"/>
          <w:highlight w:val="none"/>
        </w:rPr>
      </w:pPr>
    </w:p>
    <w:p w14:paraId="703DAC2A">
      <w:pPr>
        <w:spacing w:line="253" w:lineRule="auto"/>
        <w:rPr>
          <w:rFonts w:ascii="Arial"/>
          <w:color w:val="auto"/>
          <w:sz w:val="21"/>
          <w:highlight w:val="none"/>
        </w:rPr>
      </w:pPr>
    </w:p>
    <w:p w14:paraId="0B35BA32">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如采用银行转账，投标人应在此提供汇款凭证的复印件。</w:t>
      </w:r>
    </w:p>
    <w:p w14:paraId="7DA284F8">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如采用投标保证保险的，附电子保单打印件。</w:t>
      </w:r>
    </w:p>
    <w:p w14:paraId="4ADE8D4D">
      <w:pPr>
        <w:spacing w:before="113" w:line="292" w:lineRule="auto"/>
        <w:ind w:left="14" w:right="2" w:firstLine="507"/>
        <w:rPr>
          <w:rFonts w:ascii="宋体" w:hAnsi="宋体" w:eastAsia="宋体" w:cs="宋体"/>
          <w:color w:val="auto"/>
          <w:sz w:val="24"/>
          <w:szCs w:val="24"/>
          <w:highlight w:val="none"/>
        </w:rPr>
        <w:sectPr>
          <w:footerReference r:id="rId46" w:type="default"/>
          <w:pgSz w:w="11906" w:h="16839"/>
          <w:pgMar w:top="1431" w:right="1415" w:bottom="1297" w:left="1416" w:header="0" w:footer="1067" w:gutter="0"/>
          <w:pgBorders>
            <w:top w:val="none" w:sz="0" w:space="0"/>
            <w:left w:val="none" w:sz="0" w:space="0"/>
            <w:bottom w:val="none" w:sz="0" w:space="0"/>
            <w:right w:val="none" w:sz="0" w:space="0"/>
          </w:pgBorders>
          <w:pgNumType w:fmt="decimal"/>
          <w:cols w:equalWidth="0" w:num="1">
            <w:col w:w="9075"/>
          </w:cols>
        </w:sectPr>
      </w:pPr>
      <w:r>
        <w:rPr>
          <w:rFonts w:ascii="宋体" w:hAnsi="宋体" w:eastAsia="宋体" w:cs="宋体"/>
          <w:color w:val="auto"/>
          <w:spacing w:val="4"/>
          <w:sz w:val="24"/>
          <w:szCs w:val="24"/>
          <w:highlight w:val="none"/>
        </w:rPr>
        <w:t>如采用银行保函，投标人应在此提供银行保函复印件。</w:t>
      </w:r>
    </w:p>
    <w:p w14:paraId="02C26D61">
      <w:pPr>
        <w:spacing w:line="57" w:lineRule="exact"/>
        <w:rPr>
          <w:rFonts w:ascii="宋体" w:hAnsi="宋体" w:eastAsia="宋体" w:cs="宋体"/>
          <w:color w:val="auto"/>
          <w:sz w:val="4"/>
          <w:szCs w:val="4"/>
          <w:highlight w:val="none"/>
        </w:rPr>
        <w:sectPr>
          <w:type w:val="continuous"/>
          <w:pgSz w:w="11906" w:h="16839"/>
          <w:pgMar w:top="1431" w:right="1415" w:bottom="1297" w:left="1416" w:header="0" w:footer="1067" w:gutter="0"/>
          <w:pgBorders>
            <w:top w:val="none" w:sz="0" w:space="0"/>
            <w:left w:val="none" w:sz="0" w:space="0"/>
            <w:bottom w:val="none" w:sz="0" w:space="0"/>
            <w:right w:val="none" w:sz="0" w:space="0"/>
          </w:pgBorders>
          <w:pgNumType w:fmt="decimal"/>
          <w:cols w:equalWidth="0" w:num="2">
            <w:col w:w="1589" w:space="1"/>
            <w:col w:w="7484"/>
          </w:cols>
        </w:sectPr>
      </w:pPr>
    </w:p>
    <w:p w14:paraId="6F180D91">
      <w:pPr>
        <w:spacing w:line="282" w:lineRule="auto"/>
        <w:rPr>
          <w:rFonts w:ascii="Arial"/>
          <w:color w:val="auto"/>
          <w:sz w:val="21"/>
          <w:highlight w:val="none"/>
        </w:rPr>
      </w:pPr>
    </w:p>
    <w:p w14:paraId="6CC02DC5">
      <w:pPr>
        <w:spacing w:line="282" w:lineRule="auto"/>
        <w:rPr>
          <w:rFonts w:ascii="Arial"/>
          <w:color w:val="auto"/>
          <w:sz w:val="21"/>
          <w:highlight w:val="none"/>
        </w:rPr>
      </w:pPr>
    </w:p>
    <w:p w14:paraId="690B50E3">
      <w:pPr>
        <w:tabs>
          <w:tab w:val="left" w:pos="1920"/>
        </w:tabs>
        <w:spacing w:before="79"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1B0FCF03">
      <w:pPr>
        <w:spacing w:line="253" w:lineRule="auto"/>
        <w:rPr>
          <w:rFonts w:ascii="Arial"/>
          <w:color w:val="auto"/>
          <w:sz w:val="21"/>
          <w:highlight w:val="none"/>
        </w:rPr>
      </w:pPr>
    </w:p>
    <w:p w14:paraId="05B8F104">
      <w:pPr>
        <w:spacing w:line="254" w:lineRule="auto"/>
        <w:rPr>
          <w:rFonts w:ascii="Arial"/>
          <w:color w:val="auto"/>
          <w:sz w:val="21"/>
          <w:highlight w:val="none"/>
        </w:rPr>
      </w:pPr>
    </w:p>
    <w:p w14:paraId="56B4C45F">
      <w:pPr>
        <w:spacing w:before="79" w:line="339" w:lineRule="auto"/>
        <w:ind w:left="8"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鉴于</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以下称“投标人</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”）于</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1"/>
          <w:sz w:val="24"/>
          <w:szCs w:val="24"/>
          <w:highlight w:val="none"/>
        </w:rPr>
        <w:t>年</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月</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
          <w:sz w:val="24"/>
          <w:szCs w:val="24"/>
          <w:highlight w:val="none"/>
        </w:rPr>
        <w:t>日参</w:t>
      </w:r>
      <w:r>
        <w:rPr>
          <w:rFonts w:ascii="宋体" w:hAnsi="宋体" w:eastAsia="宋体" w:cs="宋体"/>
          <w:color w:val="auto"/>
          <w:spacing w:val="5"/>
          <w:sz w:val="24"/>
          <w:szCs w:val="24"/>
          <w:highlight w:val="none"/>
        </w:rPr>
        <w:t>加</w:t>
      </w:r>
      <w:r>
        <w:rPr>
          <w:rFonts w:ascii="宋体" w:hAnsi="宋体" w:eastAsia="宋体" w:cs="宋体"/>
          <w:color w:val="auto"/>
          <w:spacing w:val="-115"/>
          <w:sz w:val="24"/>
          <w:szCs w:val="24"/>
          <w:highlight w:val="none"/>
        </w:rPr>
        <w:t xml:space="preserve"> </w:t>
      </w:r>
      <w:r>
        <w:rPr>
          <w:rFonts w:ascii="宋体" w:hAnsi="宋体" w:eastAsia="宋体" w:cs="宋体"/>
          <w:color w:val="auto"/>
          <w:spacing w:val="5"/>
          <w:sz w:val="24"/>
          <w:szCs w:val="24"/>
          <w:highlight w:val="none"/>
          <w:u w:val="single" w:color="auto"/>
        </w:rPr>
        <w:t xml:space="preserve">          （项目名称）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标段施工监理的投标</w:t>
      </w:r>
      <w:r>
        <w:rPr>
          <w:rFonts w:ascii="宋体" w:hAnsi="宋体" w:eastAsia="宋体" w:cs="宋体"/>
          <w:color w:val="auto"/>
          <w:spacing w:val="-30"/>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30"/>
          <w:sz w:val="24"/>
          <w:szCs w:val="24"/>
          <w:highlight w:val="none"/>
          <w:u w:val="single" w:color="auto"/>
        </w:rPr>
        <w:t>（</w:t>
      </w:r>
      <w:r>
        <w:rPr>
          <w:rFonts w:ascii="宋体" w:hAnsi="宋体" w:eastAsia="宋体" w:cs="宋体"/>
          <w:color w:val="auto"/>
          <w:spacing w:val="5"/>
          <w:sz w:val="24"/>
          <w:szCs w:val="24"/>
          <w:highlight w:val="none"/>
          <w:u w:val="single" w:color="auto"/>
        </w:rPr>
        <w:t>担保人名称，以</w:t>
      </w:r>
      <w:r>
        <w:rPr>
          <w:rFonts w:ascii="宋体" w:hAnsi="宋体" w:eastAsia="宋体" w:cs="宋体"/>
          <w:color w:val="auto"/>
          <w:spacing w:val="4"/>
          <w:sz w:val="24"/>
          <w:szCs w:val="24"/>
          <w:highlight w:val="none"/>
          <w:u w:val="single" w:color="auto"/>
        </w:rPr>
        <w:t>下简称“我方</w:t>
      </w:r>
      <w:r>
        <w:rPr>
          <w:rFonts w:ascii="宋体" w:hAnsi="宋体" w:eastAsia="宋体" w:cs="宋体"/>
          <w:color w:val="auto"/>
          <w:spacing w:val="-83"/>
          <w:sz w:val="24"/>
          <w:szCs w:val="24"/>
          <w:highlight w:val="none"/>
          <w:u w:val="single" w:color="auto"/>
        </w:rPr>
        <w:t xml:space="preserve"> </w:t>
      </w:r>
      <w:r>
        <w:rPr>
          <w:rFonts w:ascii="宋体" w:hAnsi="宋体" w:eastAsia="宋体" w:cs="宋体"/>
          <w:color w:val="auto"/>
          <w:spacing w:val="4"/>
          <w:sz w:val="24"/>
          <w:szCs w:val="24"/>
          <w:highlight w:val="none"/>
          <w:u w:val="single" w:color="auto"/>
        </w:rPr>
        <w:t>”）</w:t>
      </w:r>
      <w:r>
        <w:rPr>
          <w:rFonts w:ascii="宋体" w:hAnsi="宋体" w:eastAsia="宋体" w:cs="宋体"/>
          <w:color w:val="auto"/>
          <w:spacing w:val="4"/>
          <w:sz w:val="24"/>
          <w:szCs w:val="24"/>
          <w:highlight w:val="none"/>
        </w:rPr>
        <w:t>无条件地、不可撤销地保证：若投标人在投标有效期内撤销</w:t>
      </w:r>
      <w:r>
        <w:rPr>
          <w:rFonts w:ascii="宋体" w:hAnsi="宋体" w:eastAsia="宋体" w:cs="宋体"/>
          <w:color w:val="auto"/>
          <w:spacing w:val="3"/>
          <w:sz w:val="24"/>
          <w:szCs w:val="24"/>
          <w:highlight w:val="none"/>
        </w:rPr>
        <w:t>投标文</w:t>
      </w:r>
      <w:r>
        <w:rPr>
          <w:rFonts w:ascii="宋体" w:hAnsi="宋体" w:eastAsia="宋体" w:cs="宋体"/>
          <w:color w:val="auto"/>
          <w:spacing w:val="5"/>
          <w:sz w:val="24"/>
          <w:szCs w:val="24"/>
          <w:highlight w:val="none"/>
        </w:rPr>
        <w:t>件，中标后无正当理由不与招标人订立合同，在签订合同时向招标人提出附加条件，不按照招标文件要求提交履约保证金，或发生招标文件明确规定可以不予退还</w:t>
      </w:r>
      <w:r>
        <w:rPr>
          <w:rFonts w:ascii="宋体" w:hAnsi="宋体" w:eastAsia="宋体" w:cs="宋体"/>
          <w:color w:val="auto"/>
          <w:spacing w:val="4"/>
          <w:sz w:val="24"/>
          <w:szCs w:val="24"/>
          <w:highlight w:val="none"/>
        </w:rPr>
        <w:t>投标保</w:t>
      </w:r>
      <w:r>
        <w:rPr>
          <w:rFonts w:ascii="宋体" w:hAnsi="宋体" w:eastAsia="宋体" w:cs="宋体"/>
          <w:color w:val="auto"/>
          <w:spacing w:val="3"/>
          <w:sz w:val="24"/>
          <w:szCs w:val="24"/>
          <w:highlight w:val="none"/>
        </w:rPr>
        <w:t>证金的其他情形，我方承担保证责任。收到你方书面通</w:t>
      </w:r>
      <w:r>
        <w:rPr>
          <w:rFonts w:ascii="宋体" w:hAnsi="宋体" w:eastAsia="宋体" w:cs="宋体"/>
          <w:color w:val="auto"/>
          <w:spacing w:val="2"/>
          <w:sz w:val="24"/>
          <w:szCs w:val="24"/>
          <w:highlight w:val="none"/>
        </w:rPr>
        <w:t>知后，我方在</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 日内向你方无</w:t>
      </w:r>
      <w:r>
        <w:rPr>
          <w:rFonts w:ascii="宋体" w:hAnsi="宋体" w:eastAsia="宋体" w:cs="宋体"/>
          <w:color w:val="auto"/>
          <w:spacing w:val="-1"/>
          <w:sz w:val="24"/>
          <w:szCs w:val="24"/>
          <w:highlight w:val="none"/>
        </w:rPr>
        <w:t>条件支付人民币（大写）</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
          <w:sz w:val="24"/>
          <w:szCs w:val="24"/>
          <w:highlight w:val="none"/>
        </w:rPr>
        <w:t>元。</w:t>
      </w:r>
    </w:p>
    <w:p w14:paraId="1E77EC60">
      <w:pPr>
        <w:spacing w:before="2" w:line="339" w:lineRule="auto"/>
        <w:ind w:left="29" w:right="2" w:firstLine="4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本保函在投标有效期或经延长的投标有效期内保持有效。要求我方承担保证责任</w:t>
      </w:r>
      <w:r>
        <w:rPr>
          <w:rFonts w:ascii="宋体" w:hAnsi="宋体" w:eastAsia="宋体" w:cs="宋体"/>
          <w:color w:val="auto"/>
          <w:spacing w:val="-1"/>
          <w:sz w:val="24"/>
          <w:szCs w:val="24"/>
          <w:highlight w:val="none"/>
        </w:rPr>
        <w:t>的通知应在上述期限内送达我方。你方延长投标有效期的决定，应通知我方。</w:t>
      </w:r>
    </w:p>
    <w:p w14:paraId="4F5A8861">
      <w:pPr>
        <w:spacing w:line="264" w:lineRule="auto"/>
        <w:rPr>
          <w:rFonts w:ascii="Arial"/>
          <w:color w:val="auto"/>
          <w:sz w:val="21"/>
          <w:highlight w:val="none"/>
        </w:rPr>
      </w:pPr>
    </w:p>
    <w:p w14:paraId="11C1BC48">
      <w:pPr>
        <w:spacing w:line="264" w:lineRule="auto"/>
        <w:rPr>
          <w:rFonts w:ascii="Arial"/>
          <w:color w:val="auto"/>
          <w:sz w:val="21"/>
          <w:highlight w:val="none"/>
        </w:rPr>
      </w:pPr>
    </w:p>
    <w:p w14:paraId="23B732B0">
      <w:pPr>
        <w:spacing w:line="264" w:lineRule="auto"/>
        <w:rPr>
          <w:rFonts w:ascii="Arial"/>
          <w:color w:val="auto"/>
          <w:sz w:val="21"/>
          <w:highlight w:val="none"/>
        </w:rPr>
      </w:pPr>
    </w:p>
    <w:p w14:paraId="54D8FD14">
      <w:pPr>
        <w:spacing w:before="78" w:line="219" w:lineRule="auto"/>
        <w:ind w:left="19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担保人名称</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6"/>
          <w:sz w:val="24"/>
          <w:szCs w:val="24"/>
          <w:highlight w:val="none"/>
        </w:rPr>
        <w:t>（</w:t>
      </w:r>
      <w:r>
        <w:rPr>
          <w:rFonts w:ascii="宋体" w:hAnsi="宋体" w:eastAsia="宋体" w:cs="宋体"/>
          <w:color w:val="auto"/>
          <w:spacing w:val="2"/>
          <w:sz w:val="24"/>
          <w:szCs w:val="24"/>
          <w:highlight w:val="none"/>
        </w:rPr>
        <w:t>盖单位章）</w:t>
      </w:r>
    </w:p>
    <w:p w14:paraId="17693AF2">
      <w:pPr>
        <w:spacing w:before="155" w:line="219" w:lineRule="auto"/>
        <w:ind w:left="19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55FBB940">
      <w:pPr>
        <w:spacing w:before="157" w:line="229" w:lineRule="auto"/>
        <w:ind w:left="1989"/>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地</w:t>
      </w:r>
      <w:r>
        <w:rPr>
          <w:rFonts w:ascii="宋体" w:hAnsi="宋体" w:eastAsia="宋体" w:cs="宋体"/>
          <w:color w:val="auto"/>
          <w:spacing w:val="2"/>
          <w:sz w:val="24"/>
          <w:szCs w:val="24"/>
          <w:highlight w:val="none"/>
        </w:rPr>
        <w:t xml:space="preserve">    </w:t>
      </w:r>
      <w:r>
        <w:rPr>
          <w:rFonts w:ascii="宋体" w:hAnsi="宋体" w:eastAsia="宋体" w:cs="宋体"/>
          <w:color w:val="auto"/>
          <w:spacing w:val="-17"/>
          <w:sz w:val="24"/>
          <w:szCs w:val="24"/>
          <w:highlight w:val="none"/>
        </w:rPr>
        <w:t>址</w:t>
      </w:r>
      <w:r>
        <w:rPr>
          <w:rFonts w:ascii="宋体" w:hAnsi="宋体" w:eastAsia="宋体" w:cs="宋体"/>
          <w:color w:val="auto"/>
          <w:spacing w:val="-88"/>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54B75826">
      <w:pPr>
        <w:spacing w:before="142" w:line="219" w:lineRule="auto"/>
        <w:ind w:left="200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邮政编码：</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p>
    <w:p w14:paraId="747D1524">
      <w:pPr>
        <w:spacing w:before="155" w:line="221" w:lineRule="auto"/>
        <w:ind w:left="2017"/>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电</w:t>
      </w:r>
      <w:r>
        <w:rPr>
          <w:rFonts w:ascii="宋体" w:hAnsi="宋体" w:eastAsia="宋体" w:cs="宋体"/>
          <w:color w:val="auto"/>
          <w:spacing w:val="2"/>
          <w:sz w:val="24"/>
          <w:szCs w:val="24"/>
          <w:highlight w:val="none"/>
        </w:rPr>
        <w:t xml:space="preserve">    </w:t>
      </w:r>
      <w:r>
        <w:rPr>
          <w:rFonts w:ascii="宋体" w:hAnsi="宋体" w:eastAsia="宋体" w:cs="宋体"/>
          <w:color w:val="auto"/>
          <w:spacing w:val="-26"/>
          <w:sz w:val="24"/>
          <w:szCs w:val="24"/>
          <w:highlight w:val="none"/>
        </w:rPr>
        <w:t>话</w:t>
      </w:r>
      <w:r>
        <w:rPr>
          <w:rFonts w:ascii="宋体" w:hAnsi="宋体" w:eastAsia="宋体" w:cs="宋体"/>
          <w:color w:val="auto"/>
          <w:spacing w:val="-89"/>
          <w:sz w:val="24"/>
          <w:szCs w:val="24"/>
          <w:highlight w:val="none"/>
        </w:rPr>
        <w:t xml:space="preserve"> </w:t>
      </w:r>
      <w:r>
        <w:rPr>
          <w:rFonts w:ascii="宋体" w:hAnsi="宋体" w:eastAsia="宋体" w:cs="宋体"/>
          <w:color w:val="auto"/>
          <w:spacing w:val="-26"/>
          <w:sz w:val="24"/>
          <w:szCs w:val="24"/>
          <w:highlight w:val="none"/>
        </w:rPr>
        <w:t>：</w:t>
      </w:r>
      <w:r>
        <w:rPr>
          <w:rFonts w:ascii="宋体" w:hAnsi="宋体" w:eastAsia="宋体" w:cs="宋体"/>
          <w:color w:val="auto"/>
          <w:sz w:val="24"/>
          <w:szCs w:val="24"/>
          <w:highlight w:val="none"/>
          <w:u w:val="single" w:color="auto"/>
        </w:rPr>
        <w:t xml:space="preserve">                                        </w:t>
      </w:r>
    </w:p>
    <w:p w14:paraId="42584E20">
      <w:pPr>
        <w:spacing w:before="153" w:line="219" w:lineRule="auto"/>
        <w:ind w:left="1987"/>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传</w:t>
      </w:r>
      <w:r>
        <w:rPr>
          <w:rFonts w:ascii="宋体" w:hAnsi="宋体" w:eastAsia="宋体" w:cs="宋体"/>
          <w:color w:val="auto"/>
          <w:spacing w:val="3"/>
          <w:sz w:val="24"/>
          <w:szCs w:val="24"/>
          <w:highlight w:val="none"/>
        </w:rPr>
        <w:t xml:space="preserve">    </w:t>
      </w:r>
      <w:r>
        <w:rPr>
          <w:rFonts w:ascii="宋体" w:hAnsi="宋体" w:eastAsia="宋体" w:cs="宋体"/>
          <w:color w:val="auto"/>
          <w:spacing w:val="-17"/>
          <w:sz w:val="24"/>
          <w:szCs w:val="24"/>
          <w:highlight w:val="none"/>
        </w:rPr>
        <w:t>真</w:t>
      </w:r>
      <w:r>
        <w:rPr>
          <w:rFonts w:ascii="宋体" w:hAnsi="宋体" w:eastAsia="宋体" w:cs="宋体"/>
          <w:color w:val="auto"/>
          <w:spacing w:val="-90"/>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504AAD8B">
      <w:pPr>
        <w:tabs>
          <w:tab w:val="left" w:pos="5999"/>
        </w:tabs>
        <w:spacing w:before="155" w:line="219" w:lineRule="auto"/>
        <w:ind w:left="503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9"/>
          <w:sz w:val="24"/>
          <w:szCs w:val="24"/>
          <w:highlight w:val="none"/>
        </w:rPr>
        <w:t>日</w:t>
      </w:r>
    </w:p>
    <w:p w14:paraId="78FF9C50">
      <w:pPr>
        <w:spacing w:before="182" w:line="406" w:lineRule="auto"/>
        <w:ind w:left="21" w:right="2" w:hanging="1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注：本保函格式只作为参考，投标人可根据当地银行及相关规定的格</w:t>
      </w:r>
      <w:r>
        <w:rPr>
          <w:rFonts w:ascii="宋体" w:hAnsi="宋体" w:eastAsia="宋体" w:cs="宋体"/>
          <w:color w:val="auto"/>
          <w:spacing w:val="10"/>
          <w:sz w:val="20"/>
          <w:szCs w:val="20"/>
          <w:highlight w:val="none"/>
        </w:rPr>
        <w:t>式填写，但主要内容须与本保函内容原则上保持一致。如：“本保函在投标有效期或经延长的投标有</w:t>
      </w:r>
      <w:r>
        <w:rPr>
          <w:rFonts w:ascii="宋体" w:hAnsi="宋体" w:eastAsia="宋体" w:cs="宋体"/>
          <w:color w:val="auto"/>
          <w:spacing w:val="9"/>
          <w:sz w:val="20"/>
          <w:szCs w:val="20"/>
          <w:highlight w:val="none"/>
        </w:rPr>
        <w:t>效期内保持有效</w:t>
      </w:r>
      <w:r>
        <w:rPr>
          <w:rFonts w:ascii="宋体" w:hAnsi="宋体" w:eastAsia="宋体" w:cs="宋体"/>
          <w:color w:val="auto"/>
          <w:spacing w:val="-69"/>
          <w:sz w:val="20"/>
          <w:szCs w:val="20"/>
          <w:highlight w:val="none"/>
        </w:rPr>
        <w:t xml:space="preserve"> </w:t>
      </w:r>
      <w:r>
        <w:rPr>
          <w:rFonts w:ascii="宋体" w:hAnsi="宋体" w:eastAsia="宋体" w:cs="宋体"/>
          <w:color w:val="auto"/>
          <w:spacing w:val="9"/>
          <w:sz w:val="20"/>
          <w:szCs w:val="20"/>
          <w:highlight w:val="none"/>
        </w:rPr>
        <w:t>”可改为本</w:t>
      </w:r>
    </w:p>
    <w:p w14:paraId="5E75FCD1">
      <w:pPr>
        <w:spacing w:line="228" w:lineRule="auto"/>
        <w:ind w:left="8"/>
        <w:outlineLvl w:val="1"/>
        <w:rPr>
          <w:rFonts w:ascii="宋体" w:hAnsi="宋体" w:eastAsia="宋体" w:cs="宋体"/>
          <w:color w:val="auto"/>
          <w:sz w:val="20"/>
          <w:szCs w:val="20"/>
          <w:highlight w:val="none"/>
        </w:rPr>
      </w:pPr>
      <w:bookmarkStart w:id="798" w:name="bookmark158"/>
      <w:bookmarkEnd w:id="798"/>
      <w:bookmarkStart w:id="799" w:name="_Toc5778"/>
      <w:bookmarkStart w:id="800" w:name="_Toc19508"/>
      <w:bookmarkStart w:id="801" w:name="_Toc22558"/>
      <w:bookmarkStart w:id="802" w:name="_Toc23260"/>
      <w:bookmarkStart w:id="803" w:name="_Toc9490"/>
      <w:bookmarkStart w:id="804" w:name="_Toc22362"/>
      <w:bookmarkStart w:id="805" w:name="_Toc14781"/>
      <w:r>
        <w:rPr>
          <w:rFonts w:ascii="宋体" w:hAnsi="宋体" w:eastAsia="宋体" w:cs="宋体"/>
          <w:color w:val="auto"/>
          <w:spacing w:val="8"/>
          <w:sz w:val="20"/>
          <w:szCs w:val="20"/>
          <w:highlight w:val="none"/>
        </w:rPr>
        <w:t>保函自</w:t>
      </w:r>
      <w:r>
        <w:rPr>
          <w:rFonts w:ascii="宋体" w:hAnsi="宋体" w:eastAsia="宋体" w:cs="宋体"/>
          <w:color w:val="auto"/>
          <w:spacing w:val="8"/>
          <w:sz w:val="20"/>
          <w:szCs w:val="20"/>
          <w:highlight w:val="none"/>
          <w:u w:val="single" w:color="auto"/>
        </w:rPr>
        <w:t xml:space="preserve">     （生效日期）</w:t>
      </w:r>
      <w:r>
        <w:rPr>
          <w:rFonts w:ascii="宋体" w:hAnsi="宋体" w:eastAsia="宋体" w:cs="宋体"/>
          <w:color w:val="auto"/>
          <w:spacing w:val="8"/>
          <w:sz w:val="20"/>
          <w:szCs w:val="20"/>
          <w:highlight w:val="none"/>
        </w:rPr>
        <w:t>之日起生效，至</w:t>
      </w:r>
      <w:r>
        <w:rPr>
          <w:rFonts w:ascii="宋体" w:hAnsi="宋体" w:eastAsia="宋体" w:cs="宋体"/>
          <w:color w:val="auto"/>
          <w:spacing w:val="8"/>
          <w:sz w:val="20"/>
          <w:szCs w:val="20"/>
          <w:highlight w:val="none"/>
          <w:u w:val="single" w:color="auto"/>
        </w:rPr>
        <w:t xml:space="preserve">     （失效日期）</w:t>
      </w:r>
      <w:r>
        <w:rPr>
          <w:rFonts w:ascii="宋体" w:hAnsi="宋体" w:eastAsia="宋体" w:cs="宋体"/>
          <w:color w:val="auto"/>
          <w:spacing w:val="8"/>
          <w:sz w:val="20"/>
          <w:szCs w:val="20"/>
          <w:highlight w:val="none"/>
        </w:rPr>
        <w:t>之日失效。</w:t>
      </w:r>
      <w:bookmarkEnd w:id="799"/>
      <w:bookmarkEnd w:id="800"/>
      <w:bookmarkEnd w:id="801"/>
      <w:bookmarkEnd w:id="802"/>
      <w:bookmarkEnd w:id="803"/>
      <w:bookmarkEnd w:id="804"/>
      <w:bookmarkEnd w:id="805"/>
    </w:p>
    <w:p w14:paraId="54BE9E8C">
      <w:pPr>
        <w:spacing w:line="184" w:lineRule="auto"/>
        <w:rPr>
          <w:rFonts w:ascii="宋体" w:hAnsi="宋体" w:eastAsia="宋体" w:cs="宋体"/>
          <w:color w:val="auto"/>
          <w:sz w:val="18"/>
          <w:szCs w:val="18"/>
          <w:highlight w:val="none"/>
        </w:rPr>
        <w:sectPr>
          <w:type w:val="continuous"/>
          <w:pgSz w:w="11906" w:h="16839"/>
          <w:pgMar w:top="1431" w:right="1415" w:bottom="1297" w:left="1416" w:header="0" w:footer="1067" w:gutter="0"/>
          <w:pgBorders>
            <w:top w:val="none" w:sz="0" w:space="0"/>
            <w:left w:val="none" w:sz="0" w:space="0"/>
            <w:bottom w:val="none" w:sz="0" w:space="0"/>
            <w:right w:val="none" w:sz="0" w:space="0"/>
          </w:pgBorders>
          <w:pgNumType w:fmt="decimal"/>
          <w:cols w:equalWidth="0" w:num="1">
            <w:col w:w="9075"/>
          </w:cols>
        </w:sectPr>
      </w:pPr>
    </w:p>
    <w:p w14:paraId="2D3CB86D">
      <w:pPr>
        <w:spacing w:before="164" w:line="219" w:lineRule="auto"/>
        <w:ind w:left="3578"/>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五、资格审查资料</w:t>
      </w:r>
    </w:p>
    <w:p w14:paraId="21A08734">
      <w:pPr>
        <w:spacing w:before="322" w:line="219" w:lineRule="auto"/>
        <w:ind w:left="2896"/>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（一）投标人基本情况表</w:t>
      </w:r>
    </w:p>
    <w:p w14:paraId="392A5478">
      <w:pPr>
        <w:spacing w:line="182" w:lineRule="exact"/>
        <w:rPr>
          <w:color w:val="auto"/>
          <w:highlight w:val="none"/>
        </w:rPr>
      </w:pPr>
    </w:p>
    <w:tbl>
      <w:tblPr>
        <w:tblStyle w:val="22"/>
        <w:tblW w:w="8890"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897"/>
        <w:gridCol w:w="1025"/>
        <w:gridCol w:w="1286"/>
        <w:gridCol w:w="414"/>
        <w:gridCol w:w="872"/>
        <w:gridCol w:w="828"/>
        <w:gridCol w:w="284"/>
        <w:gridCol w:w="1234"/>
      </w:tblGrid>
      <w:tr w14:paraId="4D8BB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005D58CE">
            <w:pPr>
              <w:pStyle w:val="23"/>
              <w:spacing w:before="176" w:line="228" w:lineRule="auto"/>
              <w:ind w:left="509"/>
              <w:rPr>
                <w:color w:val="auto"/>
                <w:highlight w:val="none"/>
              </w:rPr>
            </w:pPr>
            <w:r>
              <w:rPr>
                <w:color w:val="auto"/>
                <w:spacing w:val="7"/>
                <w:highlight w:val="none"/>
              </w:rPr>
              <w:t>投标人名称</w:t>
            </w:r>
          </w:p>
        </w:tc>
        <w:tc>
          <w:tcPr>
            <w:tcW w:w="6840" w:type="dxa"/>
            <w:gridSpan w:val="8"/>
            <w:vAlign w:val="top"/>
          </w:tcPr>
          <w:p w14:paraId="68A01D24">
            <w:pPr>
              <w:rPr>
                <w:rFonts w:ascii="Arial"/>
                <w:color w:val="auto"/>
                <w:sz w:val="21"/>
                <w:highlight w:val="none"/>
              </w:rPr>
            </w:pPr>
          </w:p>
        </w:tc>
      </w:tr>
      <w:tr w14:paraId="429D4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459A6F0B">
            <w:pPr>
              <w:pStyle w:val="23"/>
              <w:spacing w:before="173" w:line="229" w:lineRule="auto"/>
              <w:ind w:left="609"/>
              <w:rPr>
                <w:color w:val="auto"/>
                <w:highlight w:val="none"/>
              </w:rPr>
            </w:pPr>
            <w:r>
              <w:rPr>
                <w:color w:val="auto"/>
                <w:spacing w:val="7"/>
                <w:highlight w:val="none"/>
              </w:rPr>
              <w:t>注册地址</w:t>
            </w:r>
          </w:p>
        </w:tc>
        <w:tc>
          <w:tcPr>
            <w:tcW w:w="3208" w:type="dxa"/>
            <w:gridSpan w:val="3"/>
            <w:vAlign w:val="top"/>
          </w:tcPr>
          <w:p w14:paraId="46F19272">
            <w:pPr>
              <w:rPr>
                <w:rFonts w:ascii="Arial"/>
                <w:color w:val="auto"/>
                <w:sz w:val="21"/>
                <w:highlight w:val="none"/>
              </w:rPr>
            </w:pPr>
          </w:p>
        </w:tc>
        <w:tc>
          <w:tcPr>
            <w:tcW w:w="1286" w:type="dxa"/>
            <w:gridSpan w:val="2"/>
            <w:vAlign w:val="top"/>
          </w:tcPr>
          <w:p w14:paraId="1D1CA5C1">
            <w:pPr>
              <w:pStyle w:val="23"/>
              <w:spacing w:before="173" w:line="228" w:lineRule="auto"/>
              <w:ind w:left="244"/>
              <w:rPr>
                <w:color w:val="auto"/>
                <w:highlight w:val="none"/>
              </w:rPr>
            </w:pPr>
            <w:r>
              <w:rPr>
                <w:color w:val="auto"/>
                <w:spacing w:val="3"/>
                <w:highlight w:val="none"/>
              </w:rPr>
              <w:t>邮政编码</w:t>
            </w:r>
          </w:p>
        </w:tc>
        <w:tc>
          <w:tcPr>
            <w:tcW w:w="2346" w:type="dxa"/>
            <w:gridSpan w:val="3"/>
            <w:vAlign w:val="top"/>
          </w:tcPr>
          <w:p w14:paraId="58E69AFD">
            <w:pPr>
              <w:rPr>
                <w:rFonts w:ascii="Arial"/>
                <w:color w:val="auto"/>
                <w:sz w:val="21"/>
                <w:highlight w:val="none"/>
              </w:rPr>
            </w:pPr>
          </w:p>
        </w:tc>
      </w:tr>
      <w:tr w14:paraId="3B38B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restart"/>
            <w:tcBorders>
              <w:bottom w:val="nil"/>
            </w:tcBorders>
            <w:vAlign w:val="top"/>
          </w:tcPr>
          <w:p w14:paraId="787ADC55">
            <w:pPr>
              <w:spacing w:line="331" w:lineRule="auto"/>
              <w:rPr>
                <w:rFonts w:ascii="Arial"/>
                <w:color w:val="auto"/>
                <w:sz w:val="21"/>
                <w:highlight w:val="none"/>
              </w:rPr>
            </w:pPr>
          </w:p>
          <w:p w14:paraId="6F9C0D8D">
            <w:pPr>
              <w:pStyle w:val="23"/>
              <w:spacing w:before="65" w:line="229" w:lineRule="auto"/>
              <w:ind w:left="610"/>
              <w:rPr>
                <w:color w:val="auto"/>
                <w:highlight w:val="none"/>
              </w:rPr>
            </w:pPr>
            <w:r>
              <w:rPr>
                <w:color w:val="auto"/>
                <w:spacing w:val="7"/>
                <w:highlight w:val="none"/>
              </w:rPr>
              <w:t>联系方式</w:t>
            </w:r>
          </w:p>
        </w:tc>
        <w:tc>
          <w:tcPr>
            <w:tcW w:w="897" w:type="dxa"/>
            <w:vAlign w:val="top"/>
          </w:tcPr>
          <w:p w14:paraId="4B3FD88B">
            <w:pPr>
              <w:pStyle w:val="23"/>
              <w:spacing w:before="173" w:line="230" w:lineRule="auto"/>
              <w:ind w:left="137"/>
              <w:rPr>
                <w:color w:val="auto"/>
                <w:highlight w:val="none"/>
              </w:rPr>
            </w:pPr>
            <w:r>
              <w:rPr>
                <w:color w:val="auto"/>
                <w:spacing w:val="6"/>
                <w:highlight w:val="none"/>
              </w:rPr>
              <w:t>联系人</w:t>
            </w:r>
          </w:p>
        </w:tc>
        <w:tc>
          <w:tcPr>
            <w:tcW w:w="2311" w:type="dxa"/>
            <w:gridSpan w:val="2"/>
            <w:vAlign w:val="top"/>
          </w:tcPr>
          <w:p w14:paraId="33186ADB">
            <w:pPr>
              <w:rPr>
                <w:rFonts w:ascii="Arial"/>
                <w:color w:val="auto"/>
                <w:sz w:val="21"/>
                <w:highlight w:val="none"/>
              </w:rPr>
            </w:pPr>
          </w:p>
        </w:tc>
        <w:tc>
          <w:tcPr>
            <w:tcW w:w="1286" w:type="dxa"/>
            <w:gridSpan w:val="2"/>
            <w:vAlign w:val="top"/>
          </w:tcPr>
          <w:p w14:paraId="510535D3">
            <w:pPr>
              <w:pStyle w:val="23"/>
              <w:spacing w:before="173" w:line="230" w:lineRule="auto"/>
              <w:ind w:left="411"/>
              <w:rPr>
                <w:color w:val="auto"/>
                <w:highlight w:val="none"/>
              </w:rPr>
            </w:pPr>
            <w:r>
              <w:rPr>
                <w:color w:val="auto"/>
                <w:spacing w:val="-12"/>
                <w:highlight w:val="none"/>
              </w:rPr>
              <w:t>电</w:t>
            </w:r>
            <w:r>
              <w:rPr>
                <w:color w:val="auto"/>
                <w:spacing w:val="16"/>
                <w:highlight w:val="none"/>
              </w:rPr>
              <w:t xml:space="preserve"> </w:t>
            </w:r>
            <w:r>
              <w:rPr>
                <w:color w:val="auto"/>
                <w:spacing w:val="-12"/>
                <w:highlight w:val="none"/>
              </w:rPr>
              <w:t>话</w:t>
            </w:r>
          </w:p>
        </w:tc>
        <w:tc>
          <w:tcPr>
            <w:tcW w:w="2346" w:type="dxa"/>
            <w:gridSpan w:val="3"/>
            <w:vAlign w:val="top"/>
          </w:tcPr>
          <w:p w14:paraId="78787713">
            <w:pPr>
              <w:rPr>
                <w:rFonts w:ascii="Arial"/>
                <w:color w:val="auto"/>
                <w:sz w:val="21"/>
                <w:highlight w:val="none"/>
              </w:rPr>
            </w:pPr>
          </w:p>
        </w:tc>
      </w:tr>
      <w:tr w14:paraId="428AA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continue"/>
            <w:tcBorders>
              <w:top w:val="nil"/>
            </w:tcBorders>
            <w:vAlign w:val="top"/>
          </w:tcPr>
          <w:p w14:paraId="2D1989EA">
            <w:pPr>
              <w:rPr>
                <w:rFonts w:ascii="Arial"/>
                <w:color w:val="auto"/>
                <w:sz w:val="21"/>
                <w:highlight w:val="none"/>
              </w:rPr>
            </w:pPr>
          </w:p>
        </w:tc>
        <w:tc>
          <w:tcPr>
            <w:tcW w:w="897" w:type="dxa"/>
            <w:vAlign w:val="top"/>
          </w:tcPr>
          <w:p w14:paraId="63EB5712">
            <w:pPr>
              <w:pStyle w:val="23"/>
              <w:spacing w:before="174" w:line="227" w:lineRule="auto"/>
              <w:ind w:left="135"/>
              <w:rPr>
                <w:color w:val="auto"/>
                <w:highlight w:val="none"/>
              </w:rPr>
            </w:pPr>
            <w:r>
              <w:rPr>
                <w:color w:val="auto"/>
                <w:spacing w:val="1"/>
                <w:highlight w:val="none"/>
              </w:rPr>
              <w:t>传</w:t>
            </w:r>
            <w:r>
              <w:rPr>
                <w:color w:val="auto"/>
                <w:spacing w:val="10"/>
                <w:highlight w:val="none"/>
              </w:rPr>
              <w:t xml:space="preserve">  </w:t>
            </w:r>
            <w:r>
              <w:rPr>
                <w:color w:val="auto"/>
                <w:spacing w:val="1"/>
                <w:highlight w:val="none"/>
              </w:rPr>
              <w:t>真</w:t>
            </w:r>
          </w:p>
        </w:tc>
        <w:tc>
          <w:tcPr>
            <w:tcW w:w="2311" w:type="dxa"/>
            <w:gridSpan w:val="2"/>
            <w:vAlign w:val="top"/>
          </w:tcPr>
          <w:p w14:paraId="5A57FB64">
            <w:pPr>
              <w:rPr>
                <w:rFonts w:ascii="Arial"/>
                <w:color w:val="auto"/>
                <w:sz w:val="21"/>
                <w:highlight w:val="none"/>
              </w:rPr>
            </w:pPr>
          </w:p>
        </w:tc>
        <w:tc>
          <w:tcPr>
            <w:tcW w:w="1286" w:type="dxa"/>
            <w:gridSpan w:val="2"/>
            <w:vAlign w:val="top"/>
          </w:tcPr>
          <w:p w14:paraId="58F53D3B">
            <w:pPr>
              <w:pStyle w:val="23"/>
              <w:spacing w:before="174" w:line="228" w:lineRule="auto"/>
              <w:ind w:left="253"/>
              <w:rPr>
                <w:color w:val="auto"/>
                <w:highlight w:val="none"/>
              </w:rPr>
            </w:pPr>
            <w:r>
              <w:rPr>
                <w:color w:val="auto"/>
                <w:spacing w:val="1"/>
                <w:highlight w:val="none"/>
              </w:rPr>
              <w:t>电子邮件</w:t>
            </w:r>
          </w:p>
        </w:tc>
        <w:tc>
          <w:tcPr>
            <w:tcW w:w="2346" w:type="dxa"/>
            <w:gridSpan w:val="3"/>
            <w:vAlign w:val="top"/>
          </w:tcPr>
          <w:p w14:paraId="1831A1AF">
            <w:pPr>
              <w:rPr>
                <w:rFonts w:ascii="Arial"/>
                <w:color w:val="auto"/>
                <w:sz w:val="21"/>
                <w:highlight w:val="none"/>
              </w:rPr>
            </w:pPr>
          </w:p>
        </w:tc>
      </w:tr>
      <w:tr w14:paraId="1120C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7F8BC72A">
            <w:pPr>
              <w:pStyle w:val="23"/>
              <w:spacing w:before="172" w:line="228" w:lineRule="auto"/>
              <w:ind w:left="507"/>
              <w:rPr>
                <w:color w:val="auto"/>
                <w:highlight w:val="none"/>
              </w:rPr>
            </w:pPr>
            <w:r>
              <w:rPr>
                <w:color w:val="auto"/>
                <w:spacing w:val="7"/>
                <w:highlight w:val="none"/>
              </w:rPr>
              <w:t>法定代表人</w:t>
            </w:r>
          </w:p>
        </w:tc>
        <w:tc>
          <w:tcPr>
            <w:tcW w:w="897" w:type="dxa"/>
            <w:vAlign w:val="top"/>
          </w:tcPr>
          <w:p w14:paraId="132D124A">
            <w:pPr>
              <w:pStyle w:val="23"/>
              <w:spacing w:before="172" w:line="228" w:lineRule="auto"/>
              <w:ind w:left="242"/>
              <w:rPr>
                <w:color w:val="auto"/>
                <w:highlight w:val="none"/>
              </w:rPr>
            </w:pPr>
            <w:r>
              <w:rPr>
                <w:color w:val="auto"/>
                <w:spacing w:val="4"/>
                <w:highlight w:val="none"/>
              </w:rPr>
              <w:t>姓名</w:t>
            </w:r>
          </w:p>
        </w:tc>
        <w:tc>
          <w:tcPr>
            <w:tcW w:w="1025" w:type="dxa"/>
            <w:vAlign w:val="top"/>
          </w:tcPr>
          <w:p w14:paraId="1F1C95BE">
            <w:pPr>
              <w:rPr>
                <w:rFonts w:ascii="Arial"/>
                <w:color w:val="auto"/>
                <w:sz w:val="21"/>
                <w:highlight w:val="none"/>
              </w:rPr>
            </w:pPr>
          </w:p>
        </w:tc>
        <w:tc>
          <w:tcPr>
            <w:tcW w:w="1286" w:type="dxa"/>
            <w:vAlign w:val="top"/>
          </w:tcPr>
          <w:p w14:paraId="4AA03770">
            <w:pPr>
              <w:pStyle w:val="23"/>
              <w:spacing w:before="172" w:line="228" w:lineRule="auto"/>
              <w:ind w:left="229"/>
              <w:rPr>
                <w:color w:val="auto"/>
                <w:highlight w:val="none"/>
              </w:rPr>
            </w:pPr>
            <w:r>
              <w:rPr>
                <w:color w:val="auto"/>
                <w:spacing w:val="7"/>
                <w:highlight w:val="none"/>
              </w:rPr>
              <w:t>技术职称</w:t>
            </w:r>
          </w:p>
        </w:tc>
        <w:tc>
          <w:tcPr>
            <w:tcW w:w="1286" w:type="dxa"/>
            <w:gridSpan w:val="2"/>
            <w:vAlign w:val="top"/>
          </w:tcPr>
          <w:p w14:paraId="393EE1E2">
            <w:pPr>
              <w:rPr>
                <w:rFonts w:ascii="Arial"/>
                <w:color w:val="auto"/>
                <w:sz w:val="21"/>
                <w:highlight w:val="none"/>
              </w:rPr>
            </w:pPr>
          </w:p>
        </w:tc>
        <w:tc>
          <w:tcPr>
            <w:tcW w:w="1112" w:type="dxa"/>
            <w:gridSpan w:val="2"/>
            <w:vAlign w:val="top"/>
          </w:tcPr>
          <w:p w14:paraId="0426645F">
            <w:pPr>
              <w:pStyle w:val="23"/>
              <w:spacing w:before="173" w:line="230" w:lineRule="auto"/>
              <w:ind w:left="378"/>
              <w:rPr>
                <w:color w:val="auto"/>
                <w:highlight w:val="none"/>
              </w:rPr>
            </w:pPr>
            <w:r>
              <w:rPr>
                <w:color w:val="auto"/>
                <w:spacing w:val="-8"/>
                <w:highlight w:val="none"/>
              </w:rPr>
              <w:t>电话</w:t>
            </w:r>
          </w:p>
        </w:tc>
        <w:tc>
          <w:tcPr>
            <w:tcW w:w="1234" w:type="dxa"/>
            <w:vAlign w:val="top"/>
          </w:tcPr>
          <w:p w14:paraId="0A144F05">
            <w:pPr>
              <w:rPr>
                <w:rFonts w:ascii="Arial"/>
                <w:color w:val="auto"/>
                <w:sz w:val="21"/>
                <w:highlight w:val="none"/>
              </w:rPr>
            </w:pPr>
          </w:p>
        </w:tc>
      </w:tr>
      <w:tr w14:paraId="043C9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40D3180F">
            <w:pPr>
              <w:pStyle w:val="23"/>
              <w:spacing w:before="174" w:line="228" w:lineRule="auto"/>
              <w:ind w:left="507"/>
              <w:rPr>
                <w:color w:val="auto"/>
                <w:highlight w:val="none"/>
              </w:rPr>
            </w:pPr>
            <w:r>
              <w:rPr>
                <w:color w:val="auto"/>
                <w:spacing w:val="7"/>
                <w:highlight w:val="none"/>
              </w:rPr>
              <w:t>技术负责人</w:t>
            </w:r>
          </w:p>
        </w:tc>
        <w:tc>
          <w:tcPr>
            <w:tcW w:w="897" w:type="dxa"/>
            <w:vAlign w:val="top"/>
          </w:tcPr>
          <w:p w14:paraId="475D79BF">
            <w:pPr>
              <w:pStyle w:val="23"/>
              <w:spacing w:before="174" w:line="228" w:lineRule="auto"/>
              <w:ind w:left="242"/>
              <w:rPr>
                <w:color w:val="auto"/>
                <w:highlight w:val="none"/>
              </w:rPr>
            </w:pPr>
            <w:r>
              <w:rPr>
                <w:color w:val="auto"/>
                <w:spacing w:val="4"/>
                <w:highlight w:val="none"/>
              </w:rPr>
              <w:t>姓名</w:t>
            </w:r>
          </w:p>
        </w:tc>
        <w:tc>
          <w:tcPr>
            <w:tcW w:w="1025" w:type="dxa"/>
            <w:vAlign w:val="top"/>
          </w:tcPr>
          <w:p w14:paraId="0A6944DE">
            <w:pPr>
              <w:rPr>
                <w:rFonts w:ascii="Arial"/>
                <w:color w:val="auto"/>
                <w:sz w:val="21"/>
                <w:highlight w:val="none"/>
              </w:rPr>
            </w:pPr>
          </w:p>
        </w:tc>
        <w:tc>
          <w:tcPr>
            <w:tcW w:w="1286" w:type="dxa"/>
            <w:vAlign w:val="top"/>
          </w:tcPr>
          <w:p w14:paraId="5C939A3A">
            <w:pPr>
              <w:pStyle w:val="23"/>
              <w:spacing w:before="174" w:line="228" w:lineRule="auto"/>
              <w:ind w:left="229"/>
              <w:rPr>
                <w:color w:val="auto"/>
                <w:highlight w:val="none"/>
              </w:rPr>
            </w:pPr>
            <w:r>
              <w:rPr>
                <w:color w:val="auto"/>
                <w:spacing w:val="7"/>
                <w:highlight w:val="none"/>
              </w:rPr>
              <w:t>技术职称</w:t>
            </w:r>
          </w:p>
        </w:tc>
        <w:tc>
          <w:tcPr>
            <w:tcW w:w="1286" w:type="dxa"/>
            <w:gridSpan w:val="2"/>
            <w:vAlign w:val="top"/>
          </w:tcPr>
          <w:p w14:paraId="0BD61234">
            <w:pPr>
              <w:rPr>
                <w:rFonts w:ascii="Arial"/>
                <w:color w:val="auto"/>
                <w:sz w:val="21"/>
                <w:highlight w:val="none"/>
              </w:rPr>
            </w:pPr>
          </w:p>
        </w:tc>
        <w:tc>
          <w:tcPr>
            <w:tcW w:w="1112" w:type="dxa"/>
            <w:gridSpan w:val="2"/>
            <w:vAlign w:val="top"/>
          </w:tcPr>
          <w:p w14:paraId="574F2A04">
            <w:pPr>
              <w:pStyle w:val="23"/>
              <w:spacing w:before="174" w:line="230" w:lineRule="auto"/>
              <w:ind w:left="378"/>
              <w:rPr>
                <w:color w:val="auto"/>
                <w:highlight w:val="none"/>
              </w:rPr>
            </w:pPr>
            <w:r>
              <w:rPr>
                <w:color w:val="auto"/>
                <w:spacing w:val="-8"/>
                <w:highlight w:val="none"/>
              </w:rPr>
              <w:t>电话</w:t>
            </w:r>
          </w:p>
        </w:tc>
        <w:tc>
          <w:tcPr>
            <w:tcW w:w="1234" w:type="dxa"/>
            <w:vAlign w:val="top"/>
          </w:tcPr>
          <w:p w14:paraId="4B3B2C02">
            <w:pPr>
              <w:rPr>
                <w:rFonts w:ascii="Arial"/>
                <w:color w:val="auto"/>
                <w:sz w:val="21"/>
                <w:highlight w:val="none"/>
              </w:rPr>
            </w:pPr>
          </w:p>
        </w:tc>
      </w:tr>
      <w:tr w14:paraId="25886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77A8DB45">
            <w:pPr>
              <w:pStyle w:val="23"/>
              <w:spacing w:before="173" w:line="227" w:lineRule="auto"/>
              <w:ind w:left="193"/>
              <w:rPr>
                <w:color w:val="auto"/>
                <w:highlight w:val="none"/>
              </w:rPr>
            </w:pPr>
            <w:r>
              <w:rPr>
                <w:color w:val="auto"/>
                <w:spacing w:val="8"/>
                <w:highlight w:val="none"/>
              </w:rPr>
              <w:t>企业监理资质证书</w:t>
            </w:r>
          </w:p>
        </w:tc>
        <w:tc>
          <w:tcPr>
            <w:tcW w:w="6840" w:type="dxa"/>
            <w:gridSpan w:val="8"/>
            <w:vAlign w:val="top"/>
          </w:tcPr>
          <w:p w14:paraId="23611514">
            <w:pPr>
              <w:pStyle w:val="23"/>
              <w:spacing w:before="173" w:line="227" w:lineRule="auto"/>
              <w:ind w:left="219"/>
              <w:rPr>
                <w:color w:val="auto"/>
                <w:highlight w:val="none"/>
              </w:rPr>
            </w:pPr>
            <w:r>
              <w:rPr>
                <w:color w:val="auto"/>
                <w:spacing w:val="4"/>
                <w:highlight w:val="none"/>
              </w:rPr>
              <w:t>发证机关：</w:t>
            </w:r>
            <w:r>
              <w:rPr>
                <w:color w:val="auto"/>
                <w:spacing w:val="10"/>
                <w:highlight w:val="none"/>
              </w:rPr>
              <w:t xml:space="preserve">     </w:t>
            </w:r>
            <w:r>
              <w:rPr>
                <w:color w:val="auto"/>
                <w:spacing w:val="4"/>
                <w:highlight w:val="none"/>
              </w:rPr>
              <w:t>类型：</w:t>
            </w:r>
            <w:r>
              <w:rPr>
                <w:color w:val="auto"/>
                <w:spacing w:val="6"/>
                <w:highlight w:val="none"/>
              </w:rPr>
              <w:t xml:space="preserve">              </w:t>
            </w:r>
            <w:r>
              <w:rPr>
                <w:color w:val="auto"/>
                <w:spacing w:val="4"/>
                <w:highlight w:val="none"/>
              </w:rPr>
              <w:t>等级：</w:t>
            </w:r>
            <w:r>
              <w:rPr>
                <w:color w:val="auto"/>
                <w:spacing w:val="9"/>
                <w:highlight w:val="none"/>
              </w:rPr>
              <w:t xml:space="preserve">      </w:t>
            </w:r>
            <w:r>
              <w:rPr>
                <w:color w:val="auto"/>
                <w:spacing w:val="4"/>
                <w:highlight w:val="none"/>
              </w:rPr>
              <w:t>证书号：</w:t>
            </w:r>
          </w:p>
        </w:tc>
      </w:tr>
      <w:tr w14:paraId="58FFD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17461BE">
            <w:pPr>
              <w:pStyle w:val="23"/>
              <w:spacing w:before="174" w:line="227" w:lineRule="auto"/>
              <w:ind w:left="194"/>
              <w:rPr>
                <w:color w:val="auto"/>
                <w:highlight w:val="none"/>
              </w:rPr>
            </w:pPr>
            <w:r>
              <w:rPr>
                <w:color w:val="auto"/>
                <w:spacing w:val="8"/>
                <w:highlight w:val="none"/>
              </w:rPr>
              <w:t>统一社会信用代码</w:t>
            </w:r>
          </w:p>
        </w:tc>
        <w:tc>
          <w:tcPr>
            <w:tcW w:w="3208" w:type="dxa"/>
            <w:gridSpan w:val="3"/>
            <w:vAlign w:val="top"/>
          </w:tcPr>
          <w:p w14:paraId="4F9B3633">
            <w:pPr>
              <w:rPr>
                <w:rFonts w:ascii="Arial"/>
                <w:color w:val="auto"/>
                <w:sz w:val="21"/>
                <w:highlight w:val="none"/>
              </w:rPr>
            </w:pPr>
          </w:p>
        </w:tc>
        <w:tc>
          <w:tcPr>
            <w:tcW w:w="3632" w:type="dxa"/>
            <w:gridSpan w:val="5"/>
            <w:vAlign w:val="top"/>
          </w:tcPr>
          <w:p w14:paraId="3F0CD818">
            <w:pPr>
              <w:pStyle w:val="23"/>
              <w:spacing w:before="174" w:line="228" w:lineRule="auto"/>
              <w:ind w:left="1199"/>
              <w:rPr>
                <w:color w:val="auto"/>
                <w:highlight w:val="none"/>
              </w:rPr>
            </w:pPr>
            <w:r>
              <w:rPr>
                <w:color w:val="auto"/>
                <w:spacing w:val="5"/>
                <w:highlight w:val="none"/>
              </w:rPr>
              <w:t>员工总人数：</w:t>
            </w:r>
          </w:p>
        </w:tc>
      </w:tr>
      <w:tr w14:paraId="79048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3850C3F8">
            <w:pPr>
              <w:pStyle w:val="23"/>
              <w:spacing w:before="173" w:line="227" w:lineRule="auto"/>
              <w:ind w:left="609"/>
              <w:rPr>
                <w:color w:val="auto"/>
                <w:highlight w:val="none"/>
              </w:rPr>
            </w:pPr>
            <w:r>
              <w:rPr>
                <w:color w:val="auto"/>
                <w:spacing w:val="7"/>
                <w:highlight w:val="none"/>
              </w:rPr>
              <w:t>注册资本</w:t>
            </w:r>
          </w:p>
        </w:tc>
        <w:tc>
          <w:tcPr>
            <w:tcW w:w="3208" w:type="dxa"/>
            <w:gridSpan w:val="3"/>
            <w:vAlign w:val="top"/>
          </w:tcPr>
          <w:p w14:paraId="1BBCAF3B">
            <w:pPr>
              <w:rPr>
                <w:rFonts w:ascii="Arial"/>
                <w:color w:val="auto"/>
                <w:sz w:val="21"/>
                <w:highlight w:val="none"/>
              </w:rPr>
            </w:pPr>
          </w:p>
        </w:tc>
        <w:tc>
          <w:tcPr>
            <w:tcW w:w="414" w:type="dxa"/>
            <w:vMerge w:val="restart"/>
            <w:tcBorders>
              <w:bottom w:val="nil"/>
            </w:tcBorders>
            <w:textDirection w:val="tbRlV"/>
            <w:vAlign w:val="top"/>
          </w:tcPr>
          <w:p w14:paraId="5A024472">
            <w:pPr>
              <w:pStyle w:val="23"/>
              <w:spacing w:before="91" w:line="216" w:lineRule="auto"/>
              <w:ind w:left="629"/>
              <w:rPr>
                <w:color w:val="auto"/>
                <w:highlight w:val="none"/>
              </w:rPr>
            </w:pPr>
            <w:r>
              <w:rPr>
                <w:color w:val="auto"/>
                <w:spacing w:val="8"/>
                <w:highlight w:val="none"/>
              </w:rPr>
              <w:t>其</w:t>
            </w:r>
            <w:r>
              <w:rPr>
                <w:color w:val="auto"/>
                <w:spacing w:val="15"/>
                <w:highlight w:val="none"/>
              </w:rPr>
              <w:t xml:space="preserve">  </w:t>
            </w:r>
            <w:r>
              <w:rPr>
                <w:color w:val="auto"/>
                <w:spacing w:val="8"/>
                <w:highlight w:val="none"/>
              </w:rPr>
              <w:t>中</w:t>
            </w:r>
          </w:p>
        </w:tc>
        <w:tc>
          <w:tcPr>
            <w:tcW w:w="1700" w:type="dxa"/>
            <w:gridSpan w:val="2"/>
            <w:vAlign w:val="top"/>
          </w:tcPr>
          <w:p w14:paraId="2E209A83">
            <w:pPr>
              <w:pStyle w:val="23"/>
              <w:spacing w:before="172" w:line="228" w:lineRule="auto"/>
              <w:ind w:left="233"/>
              <w:rPr>
                <w:color w:val="auto"/>
                <w:highlight w:val="none"/>
              </w:rPr>
            </w:pPr>
            <w:r>
              <w:rPr>
                <w:color w:val="auto"/>
                <w:spacing w:val="7"/>
                <w:highlight w:val="none"/>
              </w:rPr>
              <w:t>高级职称人员</w:t>
            </w:r>
          </w:p>
        </w:tc>
        <w:tc>
          <w:tcPr>
            <w:tcW w:w="1518" w:type="dxa"/>
            <w:gridSpan w:val="2"/>
            <w:vAlign w:val="top"/>
          </w:tcPr>
          <w:p w14:paraId="37DF73E6">
            <w:pPr>
              <w:rPr>
                <w:rFonts w:ascii="Arial"/>
                <w:color w:val="auto"/>
                <w:sz w:val="21"/>
                <w:highlight w:val="none"/>
              </w:rPr>
            </w:pPr>
          </w:p>
        </w:tc>
      </w:tr>
      <w:tr w14:paraId="72DA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36DC7015">
            <w:pPr>
              <w:pStyle w:val="23"/>
              <w:spacing w:before="175" w:line="228" w:lineRule="auto"/>
              <w:ind w:left="611"/>
              <w:rPr>
                <w:color w:val="auto"/>
                <w:highlight w:val="none"/>
              </w:rPr>
            </w:pPr>
            <w:r>
              <w:rPr>
                <w:color w:val="auto"/>
                <w:spacing w:val="6"/>
                <w:highlight w:val="none"/>
              </w:rPr>
              <w:t>成立日期</w:t>
            </w:r>
          </w:p>
        </w:tc>
        <w:tc>
          <w:tcPr>
            <w:tcW w:w="3208" w:type="dxa"/>
            <w:gridSpan w:val="3"/>
            <w:vAlign w:val="top"/>
          </w:tcPr>
          <w:p w14:paraId="30967CCE">
            <w:pPr>
              <w:rPr>
                <w:rFonts w:ascii="Arial"/>
                <w:color w:val="auto"/>
                <w:sz w:val="21"/>
                <w:highlight w:val="none"/>
              </w:rPr>
            </w:pPr>
          </w:p>
        </w:tc>
        <w:tc>
          <w:tcPr>
            <w:tcW w:w="414" w:type="dxa"/>
            <w:vMerge w:val="continue"/>
            <w:tcBorders>
              <w:top w:val="nil"/>
              <w:bottom w:val="nil"/>
            </w:tcBorders>
            <w:textDirection w:val="tbRlV"/>
            <w:vAlign w:val="top"/>
          </w:tcPr>
          <w:p w14:paraId="57E3F74F">
            <w:pPr>
              <w:rPr>
                <w:rFonts w:ascii="Arial"/>
                <w:color w:val="auto"/>
                <w:sz w:val="21"/>
                <w:highlight w:val="none"/>
              </w:rPr>
            </w:pPr>
          </w:p>
        </w:tc>
        <w:tc>
          <w:tcPr>
            <w:tcW w:w="1700" w:type="dxa"/>
            <w:gridSpan w:val="2"/>
            <w:vAlign w:val="top"/>
          </w:tcPr>
          <w:p w14:paraId="58697ECB">
            <w:pPr>
              <w:pStyle w:val="23"/>
              <w:spacing w:before="175" w:line="228" w:lineRule="auto"/>
              <w:ind w:left="247"/>
              <w:rPr>
                <w:color w:val="auto"/>
                <w:highlight w:val="none"/>
              </w:rPr>
            </w:pPr>
            <w:r>
              <w:rPr>
                <w:color w:val="auto"/>
                <w:spacing w:val="4"/>
                <w:highlight w:val="none"/>
              </w:rPr>
              <w:t>中级职称人员</w:t>
            </w:r>
          </w:p>
        </w:tc>
        <w:tc>
          <w:tcPr>
            <w:tcW w:w="1518" w:type="dxa"/>
            <w:gridSpan w:val="2"/>
            <w:vAlign w:val="top"/>
          </w:tcPr>
          <w:p w14:paraId="7E774838">
            <w:pPr>
              <w:rPr>
                <w:rFonts w:ascii="Arial"/>
                <w:color w:val="auto"/>
                <w:sz w:val="21"/>
                <w:highlight w:val="none"/>
              </w:rPr>
            </w:pPr>
          </w:p>
        </w:tc>
      </w:tr>
      <w:tr w14:paraId="24AC7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6F96655">
            <w:pPr>
              <w:pStyle w:val="23"/>
              <w:spacing w:before="174" w:line="227" w:lineRule="auto"/>
              <w:ind w:left="189"/>
              <w:rPr>
                <w:color w:val="auto"/>
                <w:highlight w:val="none"/>
              </w:rPr>
            </w:pPr>
            <w:r>
              <w:rPr>
                <w:color w:val="auto"/>
                <w:spacing w:val="8"/>
                <w:highlight w:val="none"/>
              </w:rPr>
              <w:t>基本账户开户银行</w:t>
            </w:r>
          </w:p>
        </w:tc>
        <w:tc>
          <w:tcPr>
            <w:tcW w:w="3208" w:type="dxa"/>
            <w:gridSpan w:val="3"/>
            <w:vAlign w:val="top"/>
          </w:tcPr>
          <w:p w14:paraId="63C9EA3D">
            <w:pPr>
              <w:rPr>
                <w:rFonts w:ascii="Arial"/>
                <w:color w:val="auto"/>
                <w:sz w:val="21"/>
                <w:highlight w:val="none"/>
              </w:rPr>
            </w:pPr>
          </w:p>
        </w:tc>
        <w:tc>
          <w:tcPr>
            <w:tcW w:w="414" w:type="dxa"/>
            <w:vMerge w:val="continue"/>
            <w:tcBorders>
              <w:top w:val="nil"/>
              <w:bottom w:val="nil"/>
            </w:tcBorders>
            <w:textDirection w:val="tbRlV"/>
            <w:vAlign w:val="top"/>
          </w:tcPr>
          <w:p w14:paraId="6EEB800B">
            <w:pPr>
              <w:rPr>
                <w:rFonts w:ascii="Arial"/>
                <w:color w:val="auto"/>
                <w:sz w:val="21"/>
                <w:highlight w:val="none"/>
              </w:rPr>
            </w:pPr>
          </w:p>
        </w:tc>
        <w:tc>
          <w:tcPr>
            <w:tcW w:w="1700" w:type="dxa"/>
            <w:gridSpan w:val="2"/>
            <w:vAlign w:val="top"/>
          </w:tcPr>
          <w:p w14:paraId="27FF90FF">
            <w:pPr>
              <w:pStyle w:val="23"/>
              <w:spacing w:before="173" w:line="228" w:lineRule="auto"/>
              <w:ind w:left="228"/>
              <w:rPr>
                <w:color w:val="auto"/>
                <w:highlight w:val="none"/>
              </w:rPr>
            </w:pPr>
            <w:r>
              <w:rPr>
                <w:color w:val="auto"/>
                <w:spacing w:val="8"/>
                <w:highlight w:val="none"/>
              </w:rPr>
              <w:t>技术人员数量</w:t>
            </w:r>
          </w:p>
        </w:tc>
        <w:tc>
          <w:tcPr>
            <w:tcW w:w="1518" w:type="dxa"/>
            <w:gridSpan w:val="2"/>
            <w:vAlign w:val="top"/>
          </w:tcPr>
          <w:p w14:paraId="36343202">
            <w:pPr>
              <w:rPr>
                <w:rFonts w:ascii="Arial"/>
                <w:color w:val="auto"/>
                <w:sz w:val="21"/>
                <w:highlight w:val="none"/>
              </w:rPr>
            </w:pPr>
          </w:p>
        </w:tc>
      </w:tr>
      <w:tr w14:paraId="1B02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3EA9552">
            <w:pPr>
              <w:pStyle w:val="23"/>
              <w:spacing w:before="175" w:line="227" w:lineRule="auto"/>
              <w:ind w:left="189"/>
              <w:rPr>
                <w:color w:val="auto"/>
                <w:highlight w:val="none"/>
              </w:rPr>
            </w:pPr>
            <w:r>
              <w:rPr>
                <w:color w:val="auto"/>
                <w:spacing w:val="8"/>
                <w:highlight w:val="none"/>
              </w:rPr>
              <w:t>基本账户银行账号</w:t>
            </w:r>
          </w:p>
        </w:tc>
        <w:tc>
          <w:tcPr>
            <w:tcW w:w="3208" w:type="dxa"/>
            <w:gridSpan w:val="3"/>
            <w:vAlign w:val="top"/>
          </w:tcPr>
          <w:p w14:paraId="4BC397A3">
            <w:pPr>
              <w:rPr>
                <w:rFonts w:ascii="Arial"/>
                <w:color w:val="auto"/>
                <w:sz w:val="21"/>
                <w:highlight w:val="none"/>
              </w:rPr>
            </w:pPr>
          </w:p>
        </w:tc>
        <w:tc>
          <w:tcPr>
            <w:tcW w:w="414" w:type="dxa"/>
            <w:vMerge w:val="continue"/>
            <w:tcBorders>
              <w:top w:val="nil"/>
            </w:tcBorders>
            <w:textDirection w:val="tbRlV"/>
            <w:vAlign w:val="top"/>
          </w:tcPr>
          <w:p w14:paraId="0F39BEF9">
            <w:pPr>
              <w:rPr>
                <w:rFonts w:ascii="Arial"/>
                <w:color w:val="auto"/>
                <w:sz w:val="21"/>
                <w:highlight w:val="none"/>
              </w:rPr>
            </w:pPr>
          </w:p>
        </w:tc>
        <w:tc>
          <w:tcPr>
            <w:tcW w:w="1700" w:type="dxa"/>
            <w:gridSpan w:val="2"/>
            <w:vAlign w:val="top"/>
          </w:tcPr>
          <w:p w14:paraId="3EDDF4B7">
            <w:pPr>
              <w:pStyle w:val="23"/>
              <w:spacing w:before="175" w:line="228" w:lineRule="auto"/>
              <w:ind w:left="230"/>
              <w:rPr>
                <w:color w:val="auto"/>
                <w:highlight w:val="none"/>
              </w:rPr>
            </w:pPr>
            <w:r>
              <w:rPr>
                <w:color w:val="auto"/>
                <w:spacing w:val="7"/>
                <w:highlight w:val="none"/>
              </w:rPr>
              <w:t>各类注册人员</w:t>
            </w:r>
          </w:p>
        </w:tc>
        <w:tc>
          <w:tcPr>
            <w:tcW w:w="1518" w:type="dxa"/>
            <w:gridSpan w:val="2"/>
            <w:vAlign w:val="top"/>
          </w:tcPr>
          <w:p w14:paraId="39BBF1D1">
            <w:pPr>
              <w:rPr>
                <w:rFonts w:ascii="Arial"/>
                <w:color w:val="auto"/>
                <w:sz w:val="21"/>
                <w:highlight w:val="none"/>
              </w:rPr>
            </w:pPr>
          </w:p>
        </w:tc>
      </w:tr>
      <w:tr w14:paraId="25833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265F87D9">
            <w:pPr>
              <w:pStyle w:val="23"/>
              <w:spacing w:before="174" w:line="228" w:lineRule="auto"/>
              <w:ind w:left="717"/>
              <w:rPr>
                <w:color w:val="auto"/>
                <w:highlight w:val="none"/>
              </w:rPr>
            </w:pPr>
            <w:r>
              <w:rPr>
                <w:color w:val="auto"/>
                <w:spacing w:val="6"/>
                <w:highlight w:val="none"/>
              </w:rPr>
              <w:t>经营范围</w:t>
            </w:r>
          </w:p>
        </w:tc>
        <w:tc>
          <w:tcPr>
            <w:tcW w:w="6840" w:type="dxa"/>
            <w:gridSpan w:val="8"/>
            <w:vAlign w:val="top"/>
          </w:tcPr>
          <w:p w14:paraId="58CAD95E">
            <w:pPr>
              <w:rPr>
                <w:rFonts w:ascii="Arial"/>
                <w:color w:val="auto"/>
                <w:sz w:val="21"/>
                <w:highlight w:val="none"/>
              </w:rPr>
            </w:pPr>
          </w:p>
        </w:tc>
      </w:tr>
      <w:tr w14:paraId="22444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050" w:type="dxa"/>
            <w:vAlign w:val="top"/>
          </w:tcPr>
          <w:p w14:paraId="5873FCBE">
            <w:pPr>
              <w:spacing w:line="266" w:lineRule="auto"/>
              <w:rPr>
                <w:rFonts w:ascii="Arial"/>
                <w:color w:val="auto"/>
                <w:sz w:val="21"/>
                <w:highlight w:val="none"/>
              </w:rPr>
            </w:pPr>
          </w:p>
          <w:p w14:paraId="50AE07C7">
            <w:pPr>
              <w:spacing w:line="266" w:lineRule="auto"/>
              <w:rPr>
                <w:rFonts w:ascii="Arial"/>
                <w:color w:val="auto"/>
                <w:sz w:val="21"/>
                <w:highlight w:val="none"/>
              </w:rPr>
            </w:pPr>
          </w:p>
          <w:p w14:paraId="2208E29D">
            <w:pPr>
              <w:spacing w:line="266" w:lineRule="auto"/>
              <w:rPr>
                <w:rFonts w:ascii="Arial"/>
                <w:color w:val="auto"/>
                <w:sz w:val="21"/>
                <w:highlight w:val="none"/>
              </w:rPr>
            </w:pPr>
          </w:p>
          <w:p w14:paraId="09CA6CA4">
            <w:pPr>
              <w:spacing w:line="266" w:lineRule="auto"/>
              <w:rPr>
                <w:rFonts w:ascii="Arial"/>
                <w:color w:val="auto"/>
                <w:sz w:val="21"/>
                <w:highlight w:val="none"/>
              </w:rPr>
            </w:pPr>
          </w:p>
          <w:p w14:paraId="40905541">
            <w:pPr>
              <w:pStyle w:val="23"/>
              <w:spacing w:before="65" w:line="228" w:lineRule="auto"/>
              <w:ind w:left="192"/>
              <w:rPr>
                <w:color w:val="auto"/>
                <w:highlight w:val="none"/>
              </w:rPr>
            </w:pPr>
            <w:r>
              <w:rPr>
                <w:color w:val="auto"/>
                <w:spacing w:val="8"/>
                <w:highlight w:val="none"/>
              </w:rPr>
              <w:t>投标人关联企业情</w:t>
            </w:r>
          </w:p>
          <w:p w14:paraId="700E742D">
            <w:pPr>
              <w:pStyle w:val="23"/>
              <w:spacing w:before="192" w:line="228" w:lineRule="auto"/>
              <w:ind w:left="928"/>
              <w:rPr>
                <w:color w:val="auto"/>
                <w:highlight w:val="none"/>
              </w:rPr>
            </w:pPr>
            <w:r>
              <w:rPr>
                <w:color w:val="auto"/>
                <w:highlight w:val="none"/>
              </w:rPr>
              <w:t>况</w:t>
            </w:r>
          </w:p>
        </w:tc>
        <w:tc>
          <w:tcPr>
            <w:tcW w:w="6840" w:type="dxa"/>
            <w:gridSpan w:val="8"/>
            <w:vAlign w:val="top"/>
          </w:tcPr>
          <w:p w14:paraId="6AAF4542">
            <w:pPr>
              <w:pStyle w:val="23"/>
              <w:spacing w:before="160" w:line="227" w:lineRule="auto"/>
              <w:ind w:left="115"/>
              <w:rPr>
                <w:color w:val="auto"/>
                <w:highlight w:val="none"/>
              </w:rPr>
            </w:pPr>
            <w:r>
              <w:rPr>
                <w:color w:val="auto"/>
                <w:spacing w:val="8"/>
                <w:highlight w:val="none"/>
              </w:rPr>
              <w:t>投标人应提供关联企业情况，包括：</w:t>
            </w:r>
          </w:p>
          <w:p w14:paraId="531A7185">
            <w:pPr>
              <w:pStyle w:val="23"/>
              <w:spacing w:before="154" w:line="322" w:lineRule="auto"/>
              <w:ind w:left="112" w:right="108" w:hanging="95"/>
              <w:rPr>
                <w:color w:val="auto"/>
                <w:highlight w:val="none"/>
              </w:rPr>
            </w:pPr>
            <w:r>
              <w:rPr>
                <w:color w:val="auto"/>
                <w:spacing w:val="11"/>
                <w:highlight w:val="none"/>
              </w:rPr>
              <w:t>（1）投标人的所有股东名称及相应股权（出资额）</w:t>
            </w:r>
            <w:r>
              <w:rPr>
                <w:color w:val="auto"/>
                <w:spacing w:val="-45"/>
                <w:highlight w:val="none"/>
              </w:rPr>
              <w:t xml:space="preserve"> </w:t>
            </w:r>
            <w:r>
              <w:rPr>
                <w:color w:val="auto"/>
                <w:spacing w:val="11"/>
                <w:highlight w:val="none"/>
              </w:rPr>
              <w:t>比例；如投标人为上</w:t>
            </w:r>
            <w:r>
              <w:rPr>
                <w:color w:val="auto"/>
                <w:spacing w:val="12"/>
                <w:highlight w:val="none"/>
              </w:rPr>
              <w:t>市公司，投标人应提供股权占公司股份总数</w:t>
            </w:r>
            <w:r>
              <w:rPr>
                <w:color w:val="auto"/>
                <w:spacing w:val="12"/>
                <w:highlight w:val="none"/>
                <w:u w:val="single" w:color="auto"/>
              </w:rPr>
              <w:t xml:space="preserve"> 5 </w:t>
            </w:r>
            <w:r>
              <w:rPr>
                <w:color w:val="auto"/>
                <w:spacing w:val="12"/>
                <w:highlight w:val="none"/>
              </w:rPr>
              <w:t>%以上的所有股东名称及</w:t>
            </w:r>
            <w:r>
              <w:rPr>
                <w:color w:val="auto"/>
                <w:spacing w:val="7"/>
                <w:highlight w:val="none"/>
              </w:rPr>
              <w:t>相应股权比例；</w:t>
            </w:r>
          </w:p>
          <w:p w14:paraId="03B574F6">
            <w:pPr>
              <w:pStyle w:val="23"/>
              <w:spacing w:before="155" w:line="298" w:lineRule="auto"/>
              <w:ind w:left="135" w:right="127" w:hanging="118"/>
              <w:rPr>
                <w:color w:val="auto"/>
                <w:highlight w:val="none"/>
              </w:rPr>
            </w:pPr>
            <w:r>
              <w:rPr>
                <w:color w:val="auto"/>
                <w:spacing w:val="12"/>
                <w:highlight w:val="none"/>
              </w:rPr>
              <w:t>（2）投标人投资（控股）或管理的下属企业名称、持有股权（出资额）</w:t>
            </w:r>
            <w:r>
              <w:rPr>
                <w:color w:val="auto"/>
                <w:spacing w:val="-5"/>
                <w:highlight w:val="none"/>
              </w:rPr>
              <w:t>比例；</w:t>
            </w:r>
          </w:p>
          <w:p w14:paraId="0D8C3995">
            <w:pPr>
              <w:pStyle w:val="23"/>
              <w:spacing w:before="152" w:line="214" w:lineRule="auto"/>
              <w:ind w:left="17"/>
              <w:rPr>
                <w:color w:val="auto"/>
                <w:highlight w:val="none"/>
              </w:rPr>
            </w:pPr>
            <w:r>
              <w:rPr>
                <w:color w:val="auto"/>
                <w:spacing w:val="9"/>
                <w:highlight w:val="none"/>
              </w:rPr>
              <w:t>（3）与投标人单位负责人（即法定代表人）为同一人的其他</w:t>
            </w:r>
            <w:r>
              <w:rPr>
                <w:color w:val="auto"/>
                <w:spacing w:val="8"/>
                <w:highlight w:val="none"/>
              </w:rPr>
              <w:t>单位名称。</w:t>
            </w:r>
          </w:p>
        </w:tc>
      </w:tr>
      <w:tr w14:paraId="63EF9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11E158B2">
            <w:pPr>
              <w:pStyle w:val="23"/>
              <w:spacing w:before="175" w:line="229" w:lineRule="auto"/>
              <w:ind w:left="823"/>
              <w:rPr>
                <w:color w:val="auto"/>
                <w:highlight w:val="none"/>
              </w:rPr>
            </w:pPr>
            <w:r>
              <w:rPr>
                <w:color w:val="auto"/>
                <w:spacing w:val="3"/>
                <w:highlight w:val="none"/>
              </w:rPr>
              <w:t>备注</w:t>
            </w:r>
          </w:p>
        </w:tc>
        <w:tc>
          <w:tcPr>
            <w:tcW w:w="6840" w:type="dxa"/>
            <w:gridSpan w:val="8"/>
            <w:vAlign w:val="top"/>
          </w:tcPr>
          <w:p w14:paraId="30A79D59">
            <w:pPr>
              <w:rPr>
                <w:rFonts w:ascii="Arial"/>
                <w:color w:val="auto"/>
                <w:sz w:val="21"/>
                <w:highlight w:val="none"/>
              </w:rPr>
            </w:pPr>
          </w:p>
        </w:tc>
      </w:tr>
    </w:tbl>
    <w:p w14:paraId="418CA1CD">
      <w:pPr>
        <w:spacing w:before="119" w:line="227" w:lineRule="auto"/>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注：1.投标人应根据招标文件第二章“投标人须知</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”第3.5.1项的要求在本表后附相关证明材料。</w:t>
      </w:r>
    </w:p>
    <w:p w14:paraId="1D79F036">
      <w:pPr>
        <w:spacing w:before="114" w:line="228"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2.以联合体形式参与投标的，联合体各成员</w:t>
      </w:r>
      <w:r>
        <w:rPr>
          <w:rFonts w:ascii="宋体" w:hAnsi="宋体" w:eastAsia="宋体" w:cs="宋体"/>
          <w:color w:val="auto"/>
          <w:spacing w:val="8"/>
          <w:sz w:val="20"/>
          <w:szCs w:val="20"/>
          <w:highlight w:val="none"/>
        </w:rPr>
        <w:t>应分别填写。</w:t>
      </w:r>
    </w:p>
    <w:p w14:paraId="6BCDE689">
      <w:pPr>
        <w:spacing w:line="228" w:lineRule="auto"/>
        <w:rPr>
          <w:rFonts w:ascii="宋体" w:hAnsi="宋体" w:eastAsia="宋体" w:cs="宋体"/>
          <w:color w:val="auto"/>
          <w:sz w:val="20"/>
          <w:szCs w:val="20"/>
          <w:highlight w:val="none"/>
        </w:rPr>
        <w:sectPr>
          <w:footerReference r:id="rId47" w:type="default"/>
          <w:pgSz w:w="11906" w:h="16839"/>
          <w:pgMar w:top="1431" w:right="1505" w:bottom="1297" w:left="1424" w:header="0" w:footer="1067" w:gutter="0"/>
          <w:pgBorders>
            <w:top w:val="none" w:sz="0" w:space="0"/>
            <w:left w:val="none" w:sz="0" w:space="0"/>
            <w:bottom w:val="none" w:sz="0" w:space="0"/>
            <w:right w:val="none" w:sz="0" w:space="0"/>
          </w:pgBorders>
          <w:pgNumType w:fmt="decimal"/>
          <w:cols w:space="720" w:num="1"/>
        </w:sectPr>
      </w:pPr>
    </w:p>
    <w:p w14:paraId="46760DB6">
      <w:pPr>
        <w:spacing w:before="59" w:line="219" w:lineRule="auto"/>
        <w:ind w:left="2567"/>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（二）投标人企业组织机构框图</w:t>
      </w:r>
    </w:p>
    <w:p w14:paraId="08BBBBC9">
      <w:pPr>
        <w:spacing w:line="184" w:lineRule="exact"/>
        <w:rPr>
          <w:color w:val="auto"/>
          <w:highlight w:val="none"/>
        </w:rPr>
      </w:pPr>
    </w:p>
    <w:tbl>
      <w:tblPr>
        <w:tblStyle w:val="22"/>
        <w:tblW w:w="889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5"/>
      </w:tblGrid>
      <w:tr w14:paraId="1C785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8" w:hRule="atLeast"/>
        </w:trPr>
        <w:tc>
          <w:tcPr>
            <w:tcW w:w="8895" w:type="dxa"/>
            <w:vAlign w:val="top"/>
          </w:tcPr>
          <w:p w14:paraId="6CE79786">
            <w:pPr>
              <w:spacing w:line="307" w:lineRule="auto"/>
              <w:rPr>
                <w:rFonts w:ascii="Arial"/>
                <w:color w:val="auto"/>
                <w:sz w:val="21"/>
                <w:highlight w:val="none"/>
              </w:rPr>
            </w:pPr>
          </w:p>
          <w:p w14:paraId="16FA4117">
            <w:pPr>
              <w:spacing w:line="307" w:lineRule="auto"/>
              <w:rPr>
                <w:rFonts w:ascii="Arial"/>
                <w:color w:val="auto"/>
                <w:sz w:val="21"/>
                <w:highlight w:val="none"/>
              </w:rPr>
            </w:pPr>
          </w:p>
          <w:p w14:paraId="74E07067">
            <w:pPr>
              <w:pStyle w:val="23"/>
              <w:spacing w:before="65" w:line="228" w:lineRule="auto"/>
              <w:ind w:left="407"/>
              <w:rPr>
                <w:color w:val="auto"/>
                <w:highlight w:val="none"/>
              </w:rPr>
            </w:pPr>
            <w:r>
              <w:rPr>
                <w:color w:val="auto"/>
                <w:spacing w:val="5"/>
                <w:highlight w:val="none"/>
              </w:rPr>
              <w:t>以框图方式表示</w:t>
            </w:r>
          </w:p>
        </w:tc>
      </w:tr>
      <w:tr w14:paraId="377AF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6" w:hRule="atLeast"/>
        </w:trPr>
        <w:tc>
          <w:tcPr>
            <w:tcW w:w="8895" w:type="dxa"/>
            <w:vAlign w:val="top"/>
          </w:tcPr>
          <w:p w14:paraId="7BDB5D3D">
            <w:pPr>
              <w:pStyle w:val="23"/>
              <w:spacing w:before="163" w:line="228" w:lineRule="auto"/>
              <w:ind w:left="386"/>
              <w:rPr>
                <w:color w:val="auto"/>
                <w:highlight w:val="none"/>
              </w:rPr>
            </w:pPr>
            <w:r>
              <w:rPr>
                <w:color w:val="auto"/>
                <w:spacing w:val="3"/>
                <w:highlight w:val="none"/>
              </w:rPr>
              <w:t>说明</w:t>
            </w:r>
          </w:p>
        </w:tc>
      </w:tr>
    </w:tbl>
    <w:p w14:paraId="20033576">
      <w:pPr>
        <w:rPr>
          <w:rFonts w:ascii="Arial"/>
          <w:color w:val="auto"/>
          <w:sz w:val="21"/>
          <w:highlight w:val="none"/>
        </w:rPr>
      </w:pPr>
    </w:p>
    <w:p w14:paraId="567E464C">
      <w:pPr>
        <w:rPr>
          <w:rFonts w:ascii="Arial" w:hAnsi="Arial" w:eastAsia="Arial" w:cs="Arial"/>
          <w:color w:val="auto"/>
          <w:sz w:val="21"/>
          <w:szCs w:val="21"/>
          <w:highlight w:val="none"/>
        </w:rPr>
        <w:sectPr>
          <w:footerReference r:id="rId48" w:type="default"/>
          <w:pgSz w:w="11906" w:h="16839"/>
          <w:pgMar w:top="1401" w:right="1698" w:bottom="1297" w:left="1301" w:header="0" w:footer="1067" w:gutter="0"/>
          <w:pgBorders>
            <w:top w:val="none" w:sz="0" w:space="0"/>
            <w:left w:val="none" w:sz="0" w:space="0"/>
            <w:bottom w:val="none" w:sz="0" w:space="0"/>
            <w:right w:val="none" w:sz="0" w:space="0"/>
          </w:pgBorders>
          <w:pgNumType w:fmt="decimal"/>
          <w:cols w:space="720" w:num="1"/>
        </w:sectPr>
      </w:pPr>
    </w:p>
    <w:p w14:paraId="0F2DA5E0">
      <w:pPr>
        <w:spacing w:line="330" w:lineRule="auto"/>
        <w:rPr>
          <w:rFonts w:ascii="Arial"/>
          <w:color w:val="auto"/>
          <w:sz w:val="21"/>
          <w:highlight w:val="none"/>
        </w:rPr>
      </w:pPr>
    </w:p>
    <w:p w14:paraId="12BB4A76">
      <w:pPr>
        <w:spacing w:line="330" w:lineRule="auto"/>
        <w:rPr>
          <w:rFonts w:ascii="Arial"/>
          <w:color w:val="auto"/>
          <w:sz w:val="21"/>
          <w:highlight w:val="none"/>
        </w:rPr>
      </w:pPr>
    </w:p>
    <w:p w14:paraId="3F9BC757">
      <w:pPr>
        <w:spacing w:before="98" w:line="219" w:lineRule="auto"/>
        <w:ind w:left="4578"/>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（三）近年完成的类似项目情况汇总表</w:t>
      </w:r>
    </w:p>
    <w:p w14:paraId="20C6B5A8">
      <w:pPr>
        <w:spacing w:line="181" w:lineRule="exact"/>
        <w:rPr>
          <w:color w:val="auto"/>
          <w:highlight w:val="none"/>
        </w:rPr>
      </w:pPr>
    </w:p>
    <w:tbl>
      <w:tblPr>
        <w:tblStyle w:val="22"/>
        <w:tblW w:w="139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031"/>
        <w:gridCol w:w="1289"/>
        <w:gridCol w:w="1031"/>
        <w:gridCol w:w="1434"/>
        <w:gridCol w:w="1307"/>
        <w:gridCol w:w="1140"/>
        <w:gridCol w:w="796"/>
        <w:gridCol w:w="742"/>
        <w:gridCol w:w="1723"/>
        <w:gridCol w:w="1031"/>
        <w:gridCol w:w="1842"/>
      </w:tblGrid>
      <w:tr w14:paraId="322F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32" w:type="dxa"/>
            <w:textDirection w:val="tbRlV"/>
            <w:vAlign w:val="top"/>
          </w:tcPr>
          <w:p w14:paraId="320D98F7">
            <w:pPr>
              <w:pStyle w:val="23"/>
              <w:spacing w:before="210" w:line="218" w:lineRule="auto"/>
              <w:ind w:left="170"/>
              <w:rPr>
                <w:color w:val="auto"/>
                <w:highlight w:val="none"/>
              </w:rPr>
            </w:pPr>
            <w:r>
              <w:rPr>
                <w:color w:val="auto"/>
                <w:spacing w:val="8"/>
                <w:highlight w:val="none"/>
              </w:rPr>
              <w:t>序</w:t>
            </w:r>
            <w:r>
              <w:rPr>
                <w:color w:val="auto"/>
                <w:spacing w:val="-35"/>
                <w:highlight w:val="none"/>
              </w:rPr>
              <w:t xml:space="preserve"> </w:t>
            </w:r>
            <w:r>
              <w:rPr>
                <w:color w:val="auto"/>
                <w:spacing w:val="8"/>
                <w:highlight w:val="none"/>
              </w:rPr>
              <w:t>号</w:t>
            </w:r>
          </w:p>
        </w:tc>
        <w:tc>
          <w:tcPr>
            <w:tcW w:w="1031" w:type="dxa"/>
            <w:vAlign w:val="top"/>
          </w:tcPr>
          <w:p w14:paraId="362DBC85">
            <w:pPr>
              <w:pStyle w:val="23"/>
              <w:spacing w:before="170" w:line="255" w:lineRule="auto"/>
              <w:ind w:left="413" w:right="202" w:hanging="207"/>
              <w:rPr>
                <w:color w:val="auto"/>
                <w:highlight w:val="none"/>
              </w:rPr>
            </w:pPr>
            <w:r>
              <w:rPr>
                <w:color w:val="auto"/>
                <w:spacing w:val="5"/>
                <w:highlight w:val="none"/>
              </w:rPr>
              <w:t>项目名</w:t>
            </w:r>
            <w:r>
              <w:rPr>
                <w:color w:val="auto"/>
                <w:spacing w:val="1"/>
                <w:highlight w:val="none"/>
              </w:rPr>
              <w:t>称</w:t>
            </w:r>
          </w:p>
        </w:tc>
        <w:tc>
          <w:tcPr>
            <w:tcW w:w="1289" w:type="dxa"/>
            <w:vAlign w:val="top"/>
          </w:tcPr>
          <w:p w14:paraId="0C768F61">
            <w:pPr>
              <w:pStyle w:val="23"/>
              <w:spacing w:before="170" w:line="255" w:lineRule="auto"/>
              <w:ind w:left="546" w:right="173" w:hanging="371"/>
              <w:rPr>
                <w:color w:val="auto"/>
                <w:highlight w:val="none"/>
              </w:rPr>
            </w:pPr>
            <w:r>
              <w:rPr>
                <w:color w:val="auto"/>
                <w:spacing w:val="6"/>
                <w:highlight w:val="none"/>
              </w:rPr>
              <w:t>新建/改扩</w:t>
            </w:r>
            <w:r>
              <w:rPr>
                <w:color w:val="auto"/>
                <w:highlight w:val="none"/>
              </w:rPr>
              <w:t>建</w:t>
            </w:r>
          </w:p>
        </w:tc>
        <w:tc>
          <w:tcPr>
            <w:tcW w:w="1031" w:type="dxa"/>
            <w:vAlign w:val="top"/>
          </w:tcPr>
          <w:p w14:paraId="03724B81">
            <w:pPr>
              <w:pStyle w:val="23"/>
              <w:spacing w:before="170" w:line="255" w:lineRule="auto"/>
              <w:ind w:left="418" w:right="201" w:hanging="208"/>
              <w:rPr>
                <w:color w:val="auto"/>
                <w:highlight w:val="none"/>
              </w:rPr>
            </w:pPr>
            <w:r>
              <w:rPr>
                <w:color w:val="auto"/>
                <w:spacing w:val="4"/>
                <w:highlight w:val="none"/>
              </w:rPr>
              <w:t>公路等</w:t>
            </w:r>
            <w:r>
              <w:rPr>
                <w:color w:val="auto"/>
                <w:highlight w:val="none"/>
              </w:rPr>
              <w:t>级</w:t>
            </w:r>
          </w:p>
        </w:tc>
        <w:tc>
          <w:tcPr>
            <w:tcW w:w="1434" w:type="dxa"/>
            <w:vAlign w:val="top"/>
          </w:tcPr>
          <w:p w14:paraId="54B32F42">
            <w:pPr>
              <w:pStyle w:val="23"/>
              <w:spacing w:before="171" w:line="255" w:lineRule="auto"/>
              <w:ind w:left="633" w:right="190" w:hanging="432"/>
              <w:rPr>
                <w:color w:val="auto"/>
                <w:highlight w:val="none"/>
              </w:rPr>
            </w:pPr>
            <w:r>
              <w:rPr>
                <w:color w:val="auto"/>
                <w:spacing w:val="7"/>
                <w:highlight w:val="none"/>
              </w:rPr>
              <w:t>交工验收时</w:t>
            </w:r>
            <w:r>
              <w:rPr>
                <w:color w:val="auto"/>
                <w:highlight w:val="none"/>
              </w:rPr>
              <w:t>间</w:t>
            </w:r>
          </w:p>
        </w:tc>
        <w:tc>
          <w:tcPr>
            <w:tcW w:w="1307" w:type="dxa"/>
            <w:vAlign w:val="top"/>
          </w:tcPr>
          <w:p w14:paraId="66A4D46F">
            <w:pPr>
              <w:rPr>
                <w:rFonts w:ascii="Arial"/>
                <w:color w:val="auto"/>
                <w:sz w:val="21"/>
                <w:highlight w:val="none"/>
              </w:rPr>
            </w:pPr>
          </w:p>
          <w:p w14:paraId="6AF1B443">
            <w:pPr>
              <w:pStyle w:val="23"/>
              <w:spacing w:before="65" w:line="228" w:lineRule="auto"/>
              <w:ind w:left="135"/>
              <w:rPr>
                <w:color w:val="auto"/>
                <w:highlight w:val="none"/>
              </w:rPr>
            </w:pPr>
            <w:r>
              <w:rPr>
                <w:color w:val="auto"/>
                <w:spacing w:val="7"/>
                <w:highlight w:val="none"/>
              </w:rPr>
              <w:t>路基（</w:t>
            </w:r>
            <w:r>
              <w:rPr>
                <w:color w:val="auto"/>
                <w:highlight w:val="none"/>
              </w:rPr>
              <w:t>km</w:t>
            </w:r>
            <w:r>
              <w:rPr>
                <w:color w:val="auto"/>
                <w:spacing w:val="7"/>
                <w:highlight w:val="none"/>
              </w:rPr>
              <w:t>）</w:t>
            </w:r>
          </w:p>
        </w:tc>
        <w:tc>
          <w:tcPr>
            <w:tcW w:w="1140" w:type="dxa"/>
            <w:vAlign w:val="top"/>
          </w:tcPr>
          <w:p w14:paraId="2E3F2115">
            <w:pPr>
              <w:pStyle w:val="23"/>
              <w:spacing w:before="171" w:line="260" w:lineRule="auto"/>
              <w:ind w:left="272" w:right="270" w:firstLine="97"/>
              <w:rPr>
                <w:color w:val="auto"/>
                <w:highlight w:val="none"/>
              </w:rPr>
            </w:pPr>
            <w:r>
              <w:rPr>
                <w:color w:val="auto"/>
                <w:spacing w:val="3"/>
                <w:highlight w:val="none"/>
              </w:rPr>
              <w:t>路面</w:t>
            </w:r>
            <w:r>
              <w:rPr>
                <w:color w:val="auto"/>
                <w:spacing w:val="-2"/>
                <w:highlight w:val="none"/>
              </w:rPr>
              <w:t>（km）</w:t>
            </w:r>
          </w:p>
        </w:tc>
        <w:tc>
          <w:tcPr>
            <w:tcW w:w="796" w:type="dxa"/>
            <w:vAlign w:val="top"/>
          </w:tcPr>
          <w:p w14:paraId="4330E6BC">
            <w:pPr>
              <w:pStyle w:val="23"/>
              <w:spacing w:before="170" w:line="254" w:lineRule="auto"/>
              <w:ind w:left="194" w:right="186"/>
              <w:rPr>
                <w:color w:val="auto"/>
                <w:highlight w:val="none"/>
              </w:rPr>
            </w:pPr>
            <w:r>
              <w:rPr>
                <w:color w:val="auto"/>
                <w:spacing w:val="4"/>
                <w:highlight w:val="none"/>
              </w:rPr>
              <w:t>桥梁概况</w:t>
            </w:r>
          </w:p>
        </w:tc>
        <w:tc>
          <w:tcPr>
            <w:tcW w:w="742" w:type="dxa"/>
            <w:vAlign w:val="top"/>
          </w:tcPr>
          <w:p w14:paraId="21EC1775">
            <w:pPr>
              <w:pStyle w:val="23"/>
              <w:spacing w:before="170" w:line="254" w:lineRule="auto"/>
              <w:ind w:left="166" w:right="160" w:firstLine="10"/>
              <w:rPr>
                <w:color w:val="auto"/>
                <w:highlight w:val="none"/>
              </w:rPr>
            </w:pPr>
            <w:r>
              <w:rPr>
                <w:color w:val="auto"/>
                <w:spacing w:val="-1"/>
                <w:highlight w:val="none"/>
              </w:rPr>
              <w:t>隧道</w:t>
            </w:r>
            <w:r>
              <w:rPr>
                <w:color w:val="auto"/>
                <w:spacing w:val="4"/>
                <w:highlight w:val="none"/>
              </w:rPr>
              <w:t>概况</w:t>
            </w:r>
          </w:p>
        </w:tc>
        <w:tc>
          <w:tcPr>
            <w:tcW w:w="1723" w:type="dxa"/>
            <w:vAlign w:val="top"/>
          </w:tcPr>
          <w:p w14:paraId="6B8A657E">
            <w:pPr>
              <w:pStyle w:val="23"/>
              <w:spacing w:before="170" w:line="229" w:lineRule="auto"/>
              <w:ind w:left="137"/>
              <w:rPr>
                <w:color w:val="auto"/>
                <w:highlight w:val="none"/>
              </w:rPr>
            </w:pPr>
            <w:r>
              <w:rPr>
                <w:color w:val="auto"/>
                <w:spacing w:val="8"/>
                <w:highlight w:val="none"/>
              </w:rPr>
              <w:t>交通安全设施工</w:t>
            </w:r>
          </w:p>
          <w:p w14:paraId="305C7896">
            <w:pPr>
              <w:pStyle w:val="23"/>
              <w:spacing w:before="25" w:line="228" w:lineRule="auto"/>
              <w:ind w:left="448"/>
              <w:rPr>
                <w:color w:val="auto"/>
                <w:highlight w:val="none"/>
              </w:rPr>
            </w:pPr>
            <w:r>
              <w:rPr>
                <w:color w:val="auto"/>
                <w:spacing w:val="7"/>
                <w:highlight w:val="none"/>
              </w:rPr>
              <w:t>程（</w:t>
            </w:r>
            <w:r>
              <w:rPr>
                <w:color w:val="auto"/>
                <w:highlight w:val="none"/>
              </w:rPr>
              <w:t>km</w:t>
            </w:r>
            <w:r>
              <w:rPr>
                <w:color w:val="auto"/>
                <w:spacing w:val="7"/>
                <w:highlight w:val="none"/>
              </w:rPr>
              <w:t>）</w:t>
            </w:r>
          </w:p>
        </w:tc>
        <w:tc>
          <w:tcPr>
            <w:tcW w:w="1031" w:type="dxa"/>
            <w:vAlign w:val="top"/>
          </w:tcPr>
          <w:p w14:paraId="72B623D1">
            <w:pPr>
              <w:pStyle w:val="23"/>
              <w:spacing w:before="37" w:line="250" w:lineRule="auto"/>
              <w:ind w:left="417" w:right="197" w:hanging="211"/>
              <w:rPr>
                <w:color w:val="auto"/>
                <w:highlight w:val="none"/>
              </w:rPr>
            </w:pPr>
            <w:r>
              <w:rPr>
                <w:color w:val="auto"/>
                <w:spacing w:val="7"/>
                <w:highlight w:val="none"/>
              </w:rPr>
              <w:t>机电工</w:t>
            </w:r>
            <w:r>
              <w:rPr>
                <w:color w:val="auto"/>
                <w:spacing w:val="1"/>
                <w:highlight w:val="none"/>
              </w:rPr>
              <w:t>程</w:t>
            </w:r>
          </w:p>
          <w:p w14:paraId="398D4820">
            <w:pPr>
              <w:pStyle w:val="23"/>
              <w:spacing w:line="218" w:lineRule="auto"/>
              <w:ind w:left="217"/>
              <w:rPr>
                <w:color w:val="auto"/>
                <w:highlight w:val="none"/>
              </w:rPr>
            </w:pPr>
            <w:r>
              <w:rPr>
                <w:color w:val="auto"/>
                <w:spacing w:val="1"/>
                <w:highlight w:val="none"/>
              </w:rPr>
              <w:t>（</w:t>
            </w:r>
            <w:r>
              <w:rPr>
                <w:color w:val="auto"/>
                <w:highlight w:val="none"/>
              </w:rPr>
              <w:t>km</w:t>
            </w:r>
            <w:r>
              <w:rPr>
                <w:color w:val="auto"/>
                <w:spacing w:val="1"/>
                <w:highlight w:val="none"/>
              </w:rPr>
              <w:t>）</w:t>
            </w:r>
          </w:p>
        </w:tc>
        <w:tc>
          <w:tcPr>
            <w:tcW w:w="1842" w:type="dxa"/>
            <w:vAlign w:val="top"/>
          </w:tcPr>
          <w:p w14:paraId="45F4C0E5">
            <w:pPr>
              <w:pStyle w:val="23"/>
              <w:spacing w:before="170" w:line="256" w:lineRule="auto"/>
              <w:ind w:left="821" w:right="184" w:hanging="630"/>
              <w:rPr>
                <w:color w:val="auto"/>
                <w:highlight w:val="none"/>
              </w:rPr>
            </w:pPr>
            <w:r>
              <w:rPr>
                <w:color w:val="auto"/>
                <w:spacing w:val="8"/>
                <w:highlight w:val="none"/>
              </w:rPr>
              <w:t>证明资料所在页</w:t>
            </w:r>
            <w:r>
              <w:rPr>
                <w:color w:val="auto"/>
                <w:spacing w:val="1"/>
                <w:highlight w:val="none"/>
              </w:rPr>
              <w:t>码</w:t>
            </w:r>
          </w:p>
        </w:tc>
      </w:tr>
      <w:tr w14:paraId="2B433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48CFFD3B">
            <w:pPr>
              <w:rPr>
                <w:rFonts w:ascii="Arial"/>
                <w:color w:val="auto"/>
                <w:sz w:val="21"/>
                <w:highlight w:val="none"/>
              </w:rPr>
            </w:pPr>
          </w:p>
        </w:tc>
        <w:tc>
          <w:tcPr>
            <w:tcW w:w="1031" w:type="dxa"/>
            <w:vAlign w:val="top"/>
          </w:tcPr>
          <w:p w14:paraId="457E78FE">
            <w:pPr>
              <w:rPr>
                <w:rFonts w:ascii="Arial"/>
                <w:color w:val="auto"/>
                <w:sz w:val="21"/>
                <w:highlight w:val="none"/>
              </w:rPr>
            </w:pPr>
          </w:p>
        </w:tc>
        <w:tc>
          <w:tcPr>
            <w:tcW w:w="1289" w:type="dxa"/>
            <w:vAlign w:val="top"/>
          </w:tcPr>
          <w:p w14:paraId="693D1103">
            <w:pPr>
              <w:rPr>
                <w:rFonts w:ascii="Arial"/>
                <w:color w:val="auto"/>
                <w:sz w:val="21"/>
                <w:highlight w:val="none"/>
              </w:rPr>
            </w:pPr>
          </w:p>
        </w:tc>
        <w:tc>
          <w:tcPr>
            <w:tcW w:w="1031" w:type="dxa"/>
            <w:vAlign w:val="top"/>
          </w:tcPr>
          <w:p w14:paraId="0D7896C1">
            <w:pPr>
              <w:rPr>
                <w:rFonts w:ascii="Arial"/>
                <w:color w:val="auto"/>
                <w:sz w:val="21"/>
                <w:highlight w:val="none"/>
              </w:rPr>
            </w:pPr>
          </w:p>
        </w:tc>
        <w:tc>
          <w:tcPr>
            <w:tcW w:w="1434" w:type="dxa"/>
            <w:vAlign w:val="top"/>
          </w:tcPr>
          <w:p w14:paraId="12F185BB">
            <w:pPr>
              <w:rPr>
                <w:rFonts w:ascii="Arial"/>
                <w:color w:val="auto"/>
                <w:sz w:val="21"/>
                <w:highlight w:val="none"/>
              </w:rPr>
            </w:pPr>
          </w:p>
        </w:tc>
        <w:tc>
          <w:tcPr>
            <w:tcW w:w="1307" w:type="dxa"/>
            <w:vAlign w:val="top"/>
          </w:tcPr>
          <w:p w14:paraId="7B44912F">
            <w:pPr>
              <w:rPr>
                <w:rFonts w:ascii="Arial"/>
                <w:color w:val="auto"/>
                <w:sz w:val="21"/>
                <w:highlight w:val="none"/>
              </w:rPr>
            </w:pPr>
          </w:p>
        </w:tc>
        <w:tc>
          <w:tcPr>
            <w:tcW w:w="1140" w:type="dxa"/>
            <w:vAlign w:val="top"/>
          </w:tcPr>
          <w:p w14:paraId="7003A7D4">
            <w:pPr>
              <w:rPr>
                <w:rFonts w:ascii="Arial"/>
                <w:color w:val="auto"/>
                <w:sz w:val="21"/>
                <w:highlight w:val="none"/>
              </w:rPr>
            </w:pPr>
          </w:p>
        </w:tc>
        <w:tc>
          <w:tcPr>
            <w:tcW w:w="796" w:type="dxa"/>
            <w:vAlign w:val="top"/>
          </w:tcPr>
          <w:p w14:paraId="6D9A09E1">
            <w:pPr>
              <w:rPr>
                <w:rFonts w:ascii="Arial"/>
                <w:color w:val="auto"/>
                <w:sz w:val="21"/>
                <w:highlight w:val="none"/>
              </w:rPr>
            </w:pPr>
          </w:p>
        </w:tc>
        <w:tc>
          <w:tcPr>
            <w:tcW w:w="742" w:type="dxa"/>
            <w:vAlign w:val="top"/>
          </w:tcPr>
          <w:p w14:paraId="6347ABBA">
            <w:pPr>
              <w:rPr>
                <w:rFonts w:ascii="Arial"/>
                <w:color w:val="auto"/>
                <w:sz w:val="21"/>
                <w:highlight w:val="none"/>
              </w:rPr>
            </w:pPr>
          </w:p>
        </w:tc>
        <w:tc>
          <w:tcPr>
            <w:tcW w:w="1723" w:type="dxa"/>
            <w:vAlign w:val="top"/>
          </w:tcPr>
          <w:p w14:paraId="311ADA0F">
            <w:pPr>
              <w:rPr>
                <w:rFonts w:ascii="Arial"/>
                <w:color w:val="auto"/>
                <w:sz w:val="21"/>
                <w:highlight w:val="none"/>
              </w:rPr>
            </w:pPr>
          </w:p>
        </w:tc>
        <w:tc>
          <w:tcPr>
            <w:tcW w:w="1031" w:type="dxa"/>
            <w:vAlign w:val="top"/>
          </w:tcPr>
          <w:p w14:paraId="62A33705">
            <w:pPr>
              <w:rPr>
                <w:rFonts w:ascii="Arial"/>
                <w:color w:val="auto"/>
                <w:sz w:val="21"/>
                <w:highlight w:val="none"/>
              </w:rPr>
            </w:pPr>
          </w:p>
        </w:tc>
        <w:tc>
          <w:tcPr>
            <w:tcW w:w="1842" w:type="dxa"/>
            <w:vAlign w:val="top"/>
          </w:tcPr>
          <w:p w14:paraId="05E1C6E3">
            <w:pPr>
              <w:rPr>
                <w:rFonts w:ascii="Arial"/>
                <w:color w:val="auto"/>
                <w:sz w:val="21"/>
                <w:highlight w:val="none"/>
              </w:rPr>
            </w:pPr>
          </w:p>
        </w:tc>
      </w:tr>
      <w:tr w14:paraId="43689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3734426C">
            <w:pPr>
              <w:rPr>
                <w:rFonts w:ascii="Arial"/>
                <w:color w:val="auto"/>
                <w:sz w:val="21"/>
                <w:highlight w:val="none"/>
              </w:rPr>
            </w:pPr>
          </w:p>
        </w:tc>
        <w:tc>
          <w:tcPr>
            <w:tcW w:w="1031" w:type="dxa"/>
            <w:vAlign w:val="top"/>
          </w:tcPr>
          <w:p w14:paraId="72232932">
            <w:pPr>
              <w:rPr>
                <w:rFonts w:ascii="Arial"/>
                <w:color w:val="auto"/>
                <w:sz w:val="21"/>
                <w:highlight w:val="none"/>
              </w:rPr>
            </w:pPr>
          </w:p>
        </w:tc>
        <w:tc>
          <w:tcPr>
            <w:tcW w:w="1289" w:type="dxa"/>
            <w:vAlign w:val="top"/>
          </w:tcPr>
          <w:p w14:paraId="04DEB2D3">
            <w:pPr>
              <w:rPr>
                <w:rFonts w:ascii="Arial"/>
                <w:color w:val="auto"/>
                <w:sz w:val="21"/>
                <w:highlight w:val="none"/>
              </w:rPr>
            </w:pPr>
          </w:p>
        </w:tc>
        <w:tc>
          <w:tcPr>
            <w:tcW w:w="1031" w:type="dxa"/>
            <w:vAlign w:val="top"/>
          </w:tcPr>
          <w:p w14:paraId="3372876D">
            <w:pPr>
              <w:rPr>
                <w:rFonts w:ascii="Arial"/>
                <w:color w:val="auto"/>
                <w:sz w:val="21"/>
                <w:highlight w:val="none"/>
              </w:rPr>
            </w:pPr>
          </w:p>
        </w:tc>
        <w:tc>
          <w:tcPr>
            <w:tcW w:w="1434" w:type="dxa"/>
            <w:vAlign w:val="top"/>
          </w:tcPr>
          <w:p w14:paraId="19774051">
            <w:pPr>
              <w:rPr>
                <w:rFonts w:ascii="Arial"/>
                <w:color w:val="auto"/>
                <w:sz w:val="21"/>
                <w:highlight w:val="none"/>
              </w:rPr>
            </w:pPr>
          </w:p>
        </w:tc>
        <w:tc>
          <w:tcPr>
            <w:tcW w:w="1307" w:type="dxa"/>
            <w:vAlign w:val="top"/>
          </w:tcPr>
          <w:p w14:paraId="13292CAC">
            <w:pPr>
              <w:rPr>
                <w:rFonts w:ascii="Arial"/>
                <w:color w:val="auto"/>
                <w:sz w:val="21"/>
                <w:highlight w:val="none"/>
              </w:rPr>
            </w:pPr>
          </w:p>
        </w:tc>
        <w:tc>
          <w:tcPr>
            <w:tcW w:w="1140" w:type="dxa"/>
            <w:vAlign w:val="top"/>
          </w:tcPr>
          <w:p w14:paraId="185D7C81">
            <w:pPr>
              <w:rPr>
                <w:rFonts w:ascii="Arial"/>
                <w:color w:val="auto"/>
                <w:sz w:val="21"/>
                <w:highlight w:val="none"/>
              </w:rPr>
            </w:pPr>
          </w:p>
        </w:tc>
        <w:tc>
          <w:tcPr>
            <w:tcW w:w="796" w:type="dxa"/>
            <w:vAlign w:val="top"/>
          </w:tcPr>
          <w:p w14:paraId="0E5CCB40">
            <w:pPr>
              <w:rPr>
                <w:rFonts w:ascii="Arial"/>
                <w:color w:val="auto"/>
                <w:sz w:val="21"/>
                <w:highlight w:val="none"/>
              </w:rPr>
            </w:pPr>
          </w:p>
        </w:tc>
        <w:tc>
          <w:tcPr>
            <w:tcW w:w="742" w:type="dxa"/>
            <w:vAlign w:val="top"/>
          </w:tcPr>
          <w:p w14:paraId="46EE4502">
            <w:pPr>
              <w:rPr>
                <w:rFonts w:ascii="Arial"/>
                <w:color w:val="auto"/>
                <w:sz w:val="21"/>
                <w:highlight w:val="none"/>
              </w:rPr>
            </w:pPr>
          </w:p>
        </w:tc>
        <w:tc>
          <w:tcPr>
            <w:tcW w:w="1723" w:type="dxa"/>
            <w:vAlign w:val="top"/>
          </w:tcPr>
          <w:p w14:paraId="7926D7ED">
            <w:pPr>
              <w:rPr>
                <w:rFonts w:ascii="Arial"/>
                <w:color w:val="auto"/>
                <w:sz w:val="21"/>
                <w:highlight w:val="none"/>
              </w:rPr>
            </w:pPr>
          </w:p>
        </w:tc>
        <w:tc>
          <w:tcPr>
            <w:tcW w:w="1031" w:type="dxa"/>
            <w:vAlign w:val="top"/>
          </w:tcPr>
          <w:p w14:paraId="6663C388">
            <w:pPr>
              <w:rPr>
                <w:rFonts w:ascii="Arial"/>
                <w:color w:val="auto"/>
                <w:sz w:val="21"/>
                <w:highlight w:val="none"/>
              </w:rPr>
            </w:pPr>
          </w:p>
        </w:tc>
        <w:tc>
          <w:tcPr>
            <w:tcW w:w="1842" w:type="dxa"/>
            <w:vAlign w:val="top"/>
          </w:tcPr>
          <w:p w14:paraId="6F27AA13">
            <w:pPr>
              <w:rPr>
                <w:rFonts w:ascii="Arial"/>
                <w:color w:val="auto"/>
                <w:sz w:val="21"/>
                <w:highlight w:val="none"/>
              </w:rPr>
            </w:pPr>
          </w:p>
        </w:tc>
      </w:tr>
      <w:tr w14:paraId="56FE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69681545">
            <w:pPr>
              <w:rPr>
                <w:rFonts w:ascii="Arial"/>
                <w:color w:val="auto"/>
                <w:sz w:val="21"/>
                <w:highlight w:val="none"/>
              </w:rPr>
            </w:pPr>
          </w:p>
        </w:tc>
        <w:tc>
          <w:tcPr>
            <w:tcW w:w="1031" w:type="dxa"/>
            <w:vAlign w:val="top"/>
          </w:tcPr>
          <w:p w14:paraId="65644724">
            <w:pPr>
              <w:rPr>
                <w:rFonts w:ascii="Arial"/>
                <w:color w:val="auto"/>
                <w:sz w:val="21"/>
                <w:highlight w:val="none"/>
              </w:rPr>
            </w:pPr>
          </w:p>
        </w:tc>
        <w:tc>
          <w:tcPr>
            <w:tcW w:w="1289" w:type="dxa"/>
            <w:vAlign w:val="top"/>
          </w:tcPr>
          <w:p w14:paraId="6CA96DF2">
            <w:pPr>
              <w:rPr>
                <w:rFonts w:ascii="Arial"/>
                <w:color w:val="auto"/>
                <w:sz w:val="21"/>
                <w:highlight w:val="none"/>
              </w:rPr>
            </w:pPr>
          </w:p>
        </w:tc>
        <w:tc>
          <w:tcPr>
            <w:tcW w:w="1031" w:type="dxa"/>
            <w:vAlign w:val="top"/>
          </w:tcPr>
          <w:p w14:paraId="4DA44813">
            <w:pPr>
              <w:rPr>
                <w:rFonts w:ascii="Arial"/>
                <w:color w:val="auto"/>
                <w:sz w:val="21"/>
                <w:highlight w:val="none"/>
              </w:rPr>
            </w:pPr>
          </w:p>
        </w:tc>
        <w:tc>
          <w:tcPr>
            <w:tcW w:w="1434" w:type="dxa"/>
            <w:vAlign w:val="top"/>
          </w:tcPr>
          <w:p w14:paraId="28C7A8A5">
            <w:pPr>
              <w:rPr>
                <w:rFonts w:ascii="Arial"/>
                <w:color w:val="auto"/>
                <w:sz w:val="21"/>
                <w:highlight w:val="none"/>
              </w:rPr>
            </w:pPr>
          </w:p>
        </w:tc>
        <w:tc>
          <w:tcPr>
            <w:tcW w:w="1307" w:type="dxa"/>
            <w:vAlign w:val="top"/>
          </w:tcPr>
          <w:p w14:paraId="36227362">
            <w:pPr>
              <w:rPr>
                <w:rFonts w:ascii="Arial"/>
                <w:color w:val="auto"/>
                <w:sz w:val="21"/>
                <w:highlight w:val="none"/>
              </w:rPr>
            </w:pPr>
          </w:p>
        </w:tc>
        <w:tc>
          <w:tcPr>
            <w:tcW w:w="1140" w:type="dxa"/>
            <w:vAlign w:val="top"/>
          </w:tcPr>
          <w:p w14:paraId="1A2576D3">
            <w:pPr>
              <w:rPr>
                <w:rFonts w:ascii="Arial"/>
                <w:color w:val="auto"/>
                <w:sz w:val="21"/>
                <w:highlight w:val="none"/>
              </w:rPr>
            </w:pPr>
          </w:p>
        </w:tc>
        <w:tc>
          <w:tcPr>
            <w:tcW w:w="796" w:type="dxa"/>
            <w:vAlign w:val="top"/>
          </w:tcPr>
          <w:p w14:paraId="532F005C">
            <w:pPr>
              <w:rPr>
                <w:rFonts w:ascii="Arial"/>
                <w:color w:val="auto"/>
                <w:sz w:val="21"/>
                <w:highlight w:val="none"/>
              </w:rPr>
            </w:pPr>
          </w:p>
        </w:tc>
        <w:tc>
          <w:tcPr>
            <w:tcW w:w="742" w:type="dxa"/>
            <w:vAlign w:val="top"/>
          </w:tcPr>
          <w:p w14:paraId="51EBFEA4">
            <w:pPr>
              <w:rPr>
                <w:rFonts w:ascii="Arial"/>
                <w:color w:val="auto"/>
                <w:sz w:val="21"/>
                <w:highlight w:val="none"/>
              </w:rPr>
            </w:pPr>
          </w:p>
        </w:tc>
        <w:tc>
          <w:tcPr>
            <w:tcW w:w="1723" w:type="dxa"/>
            <w:vAlign w:val="top"/>
          </w:tcPr>
          <w:p w14:paraId="315CC603">
            <w:pPr>
              <w:rPr>
                <w:rFonts w:ascii="Arial"/>
                <w:color w:val="auto"/>
                <w:sz w:val="21"/>
                <w:highlight w:val="none"/>
              </w:rPr>
            </w:pPr>
          </w:p>
        </w:tc>
        <w:tc>
          <w:tcPr>
            <w:tcW w:w="1031" w:type="dxa"/>
            <w:vAlign w:val="top"/>
          </w:tcPr>
          <w:p w14:paraId="5DBA2E23">
            <w:pPr>
              <w:rPr>
                <w:rFonts w:ascii="Arial"/>
                <w:color w:val="auto"/>
                <w:sz w:val="21"/>
                <w:highlight w:val="none"/>
              </w:rPr>
            </w:pPr>
          </w:p>
        </w:tc>
        <w:tc>
          <w:tcPr>
            <w:tcW w:w="1842" w:type="dxa"/>
            <w:vAlign w:val="top"/>
          </w:tcPr>
          <w:p w14:paraId="46954491">
            <w:pPr>
              <w:rPr>
                <w:rFonts w:ascii="Arial"/>
                <w:color w:val="auto"/>
                <w:sz w:val="21"/>
                <w:highlight w:val="none"/>
              </w:rPr>
            </w:pPr>
          </w:p>
        </w:tc>
      </w:tr>
      <w:tr w14:paraId="1D967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C72F7F7">
            <w:pPr>
              <w:rPr>
                <w:rFonts w:ascii="Arial"/>
                <w:color w:val="auto"/>
                <w:sz w:val="21"/>
                <w:highlight w:val="none"/>
              </w:rPr>
            </w:pPr>
          </w:p>
        </w:tc>
        <w:tc>
          <w:tcPr>
            <w:tcW w:w="1031" w:type="dxa"/>
            <w:vAlign w:val="top"/>
          </w:tcPr>
          <w:p w14:paraId="575DE2AE">
            <w:pPr>
              <w:rPr>
                <w:rFonts w:ascii="Arial"/>
                <w:color w:val="auto"/>
                <w:sz w:val="21"/>
                <w:highlight w:val="none"/>
              </w:rPr>
            </w:pPr>
          </w:p>
        </w:tc>
        <w:tc>
          <w:tcPr>
            <w:tcW w:w="1289" w:type="dxa"/>
            <w:vAlign w:val="top"/>
          </w:tcPr>
          <w:p w14:paraId="31431E77">
            <w:pPr>
              <w:rPr>
                <w:rFonts w:ascii="Arial"/>
                <w:color w:val="auto"/>
                <w:sz w:val="21"/>
                <w:highlight w:val="none"/>
              </w:rPr>
            </w:pPr>
          </w:p>
        </w:tc>
        <w:tc>
          <w:tcPr>
            <w:tcW w:w="1031" w:type="dxa"/>
            <w:vAlign w:val="top"/>
          </w:tcPr>
          <w:p w14:paraId="4C877C26">
            <w:pPr>
              <w:rPr>
                <w:rFonts w:ascii="Arial"/>
                <w:color w:val="auto"/>
                <w:sz w:val="21"/>
                <w:highlight w:val="none"/>
              </w:rPr>
            </w:pPr>
          </w:p>
        </w:tc>
        <w:tc>
          <w:tcPr>
            <w:tcW w:w="1434" w:type="dxa"/>
            <w:vAlign w:val="top"/>
          </w:tcPr>
          <w:p w14:paraId="1BFE5CAF">
            <w:pPr>
              <w:rPr>
                <w:rFonts w:ascii="Arial"/>
                <w:color w:val="auto"/>
                <w:sz w:val="21"/>
                <w:highlight w:val="none"/>
              </w:rPr>
            </w:pPr>
          </w:p>
        </w:tc>
        <w:tc>
          <w:tcPr>
            <w:tcW w:w="1307" w:type="dxa"/>
            <w:vAlign w:val="top"/>
          </w:tcPr>
          <w:p w14:paraId="23B27427">
            <w:pPr>
              <w:rPr>
                <w:rFonts w:ascii="Arial"/>
                <w:color w:val="auto"/>
                <w:sz w:val="21"/>
                <w:highlight w:val="none"/>
              </w:rPr>
            </w:pPr>
          </w:p>
        </w:tc>
        <w:tc>
          <w:tcPr>
            <w:tcW w:w="1140" w:type="dxa"/>
            <w:vAlign w:val="top"/>
          </w:tcPr>
          <w:p w14:paraId="3ADB1FF4">
            <w:pPr>
              <w:rPr>
                <w:rFonts w:ascii="Arial"/>
                <w:color w:val="auto"/>
                <w:sz w:val="21"/>
                <w:highlight w:val="none"/>
              </w:rPr>
            </w:pPr>
          </w:p>
        </w:tc>
        <w:tc>
          <w:tcPr>
            <w:tcW w:w="796" w:type="dxa"/>
            <w:vAlign w:val="top"/>
          </w:tcPr>
          <w:p w14:paraId="5BE398B1">
            <w:pPr>
              <w:rPr>
                <w:rFonts w:ascii="Arial"/>
                <w:color w:val="auto"/>
                <w:sz w:val="21"/>
                <w:highlight w:val="none"/>
              </w:rPr>
            </w:pPr>
          </w:p>
        </w:tc>
        <w:tc>
          <w:tcPr>
            <w:tcW w:w="742" w:type="dxa"/>
            <w:vAlign w:val="top"/>
          </w:tcPr>
          <w:p w14:paraId="704EFC95">
            <w:pPr>
              <w:rPr>
                <w:rFonts w:ascii="Arial"/>
                <w:color w:val="auto"/>
                <w:sz w:val="21"/>
                <w:highlight w:val="none"/>
              </w:rPr>
            </w:pPr>
          </w:p>
        </w:tc>
        <w:tc>
          <w:tcPr>
            <w:tcW w:w="1723" w:type="dxa"/>
            <w:vAlign w:val="top"/>
          </w:tcPr>
          <w:p w14:paraId="78AA25CF">
            <w:pPr>
              <w:rPr>
                <w:rFonts w:ascii="Arial"/>
                <w:color w:val="auto"/>
                <w:sz w:val="21"/>
                <w:highlight w:val="none"/>
              </w:rPr>
            </w:pPr>
          </w:p>
        </w:tc>
        <w:tc>
          <w:tcPr>
            <w:tcW w:w="1031" w:type="dxa"/>
            <w:vAlign w:val="top"/>
          </w:tcPr>
          <w:p w14:paraId="6EEC75DE">
            <w:pPr>
              <w:rPr>
                <w:rFonts w:ascii="Arial"/>
                <w:color w:val="auto"/>
                <w:sz w:val="21"/>
                <w:highlight w:val="none"/>
              </w:rPr>
            </w:pPr>
          </w:p>
        </w:tc>
        <w:tc>
          <w:tcPr>
            <w:tcW w:w="1842" w:type="dxa"/>
            <w:vAlign w:val="top"/>
          </w:tcPr>
          <w:p w14:paraId="38A91F6B">
            <w:pPr>
              <w:rPr>
                <w:rFonts w:ascii="Arial"/>
                <w:color w:val="auto"/>
                <w:sz w:val="21"/>
                <w:highlight w:val="none"/>
              </w:rPr>
            </w:pPr>
          </w:p>
        </w:tc>
      </w:tr>
      <w:tr w14:paraId="58F1D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1F264BFA">
            <w:pPr>
              <w:rPr>
                <w:rFonts w:ascii="Arial"/>
                <w:color w:val="auto"/>
                <w:sz w:val="21"/>
                <w:highlight w:val="none"/>
              </w:rPr>
            </w:pPr>
          </w:p>
        </w:tc>
        <w:tc>
          <w:tcPr>
            <w:tcW w:w="1031" w:type="dxa"/>
            <w:vAlign w:val="top"/>
          </w:tcPr>
          <w:p w14:paraId="117AC089">
            <w:pPr>
              <w:rPr>
                <w:rFonts w:ascii="Arial"/>
                <w:color w:val="auto"/>
                <w:sz w:val="21"/>
                <w:highlight w:val="none"/>
              </w:rPr>
            </w:pPr>
          </w:p>
        </w:tc>
        <w:tc>
          <w:tcPr>
            <w:tcW w:w="1289" w:type="dxa"/>
            <w:vAlign w:val="top"/>
          </w:tcPr>
          <w:p w14:paraId="7B896E1B">
            <w:pPr>
              <w:rPr>
                <w:rFonts w:ascii="Arial"/>
                <w:color w:val="auto"/>
                <w:sz w:val="21"/>
                <w:highlight w:val="none"/>
              </w:rPr>
            </w:pPr>
          </w:p>
        </w:tc>
        <w:tc>
          <w:tcPr>
            <w:tcW w:w="1031" w:type="dxa"/>
            <w:vAlign w:val="top"/>
          </w:tcPr>
          <w:p w14:paraId="73F97EAF">
            <w:pPr>
              <w:rPr>
                <w:rFonts w:ascii="Arial"/>
                <w:color w:val="auto"/>
                <w:sz w:val="21"/>
                <w:highlight w:val="none"/>
              </w:rPr>
            </w:pPr>
          </w:p>
        </w:tc>
        <w:tc>
          <w:tcPr>
            <w:tcW w:w="1434" w:type="dxa"/>
            <w:vAlign w:val="top"/>
          </w:tcPr>
          <w:p w14:paraId="14886F24">
            <w:pPr>
              <w:rPr>
                <w:rFonts w:ascii="Arial"/>
                <w:color w:val="auto"/>
                <w:sz w:val="21"/>
                <w:highlight w:val="none"/>
              </w:rPr>
            </w:pPr>
          </w:p>
        </w:tc>
        <w:tc>
          <w:tcPr>
            <w:tcW w:w="1307" w:type="dxa"/>
            <w:vAlign w:val="top"/>
          </w:tcPr>
          <w:p w14:paraId="637B87D2">
            <w:pPr>
              <w:rPr>
                <w:rFonts w:ascii="Arial"/>
                <w:color w:val="auto"/>
                <w:sz w:val="21"/>
                <w:highlight w:val="none"/>
              </w:rPr>
            </w:pPr>
          </w:p>
        </w:tc>
        <w:tc>
          <w:tcPr>
            <w:tcW w:w="1140" w:type="dxa"/>
            <w:vAlign w:val="top"/>
          </w:tcPr>
          <w:p w14:paraId="0607F9F2">
            <w:pPr>
              <w:rPr>
                <w:rFonts w:ascii="Arial"/>
                <w:color w:val="auto"/>
                <w:sz w:val="21"/>
                <w:highlight w:val="none"/>
              </w:rPr>
            </w:pPr>
          </w:p>
        </w:tc>
        <w:tc>
          <w:tcPr>
            <w:tcW w:w="796" w:type="dxa"/>
            <w:vAlign w:val="top"/>
          </w:tcPr>
          <w:p w14:paraId="3A69BFC2">
            <w:pPr>
              <w:rPr>
                <w:rFonts w:ascii="Arial"/>
                <w:color w:val="auto"/>
                <w:sz w:val="21"/>
                <w:highlight w:val="none"/>
              </w:rPr>
            </w:pPr>
          </w:p>
        </w:tc>
        <w:tc>
          <w:tcPr>
            <w:tcW w:w="742" w:type="dxa"/>
            <w:vAlign w:val="top"/>
          </w:tcPr>
          <w:p w14:paraId="7D7C4F93">
            <w:pPr>
              <w:rPr>
                <w:rFonts w:ascii="Arial"/>
                <w:color w:val="auto"/>
                <w:sz w:val="21"/>
                <w:highlight w:val="none"/>
              </w:rPr>
            </w:pPr>
          </w:p>
        </w:tc>
        <w:tc>
          <w:tcPr>
            <w:tcW w:w="1723" w:type="dxa"/>
            <w:vAlign w:val="top"/>
          </w:tcPr>
          <w:p w14:paraId="456B7ABF">
            <w:pPr>
              <w:rPr>
                <w:rFonts w:ascii="Arial"/>
                <w:color w:val="auto"/>
                <w:sz w:val="21"/>
                <w:highlight w:val="none"/>
              </w:rPr>
            </w:pPr>
          </w:p>
        </w:tc>
        <w:tc>
          <w:tcPr>
            <w:tcW w:w="1031" w:type="dxa"/>
            <w:vAlign w:val="top"/>
          </w:tcPr>
          <w:p w14:paraId="393BF7ED">
            <w:pPr>
              <w:rPr>
                <w:rFonts w:ascii="Arial"/>
                <w:color w:val="auto"/>
                <w:sz w:val="21"/>
                <w:highlight w:val="none"/>
              </w:rPr>
            </w:pPr>
          </w:p>
        </w:tc>
        <w:tc>
          <w:tcPr>
            <w:tcW w:w="1842" w:type="dxa"/>
            <w:vAlign w:val="top"/>
          </w:tcPr>
          <w:p w14:paraId="723A0C46">
            <w:pPr>
              <w:rPr>
                <w:rFonts w:ascii="Arial"/>
                <w:color w:val="auto"/>
                <w:sz w:val="21"/>
                <w:highlight w:val="none"/>
              </w:rPr>
            </w:pPr>
          </w:p>
        </w:tc>
      </w:tr>
      <w:tr w14:paraId="63BA3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7C39F60A">
            <w:pPr>
              <w:rPr>
                <w:rFonts w:ascii="Arial"/>
                <w:color w:val="auto"/>
                <w:sz w:val="21"/>
                <w:highlight w:val="none"/>
              </w:rPr>
            </w:pPr>
          </w:p>
        </w:tc>
        <w:tc>
          <w:tcPr>
            <w:tcW w:w="1031" w:type="dxa"/>
            <w:vAlign w:val="top"/>
          </w:tcPr>
          <w:p w14:paraId="4E550D63">
            <w:pPr>
              <w:rPr>
                <w:rFonts w:ascii="Arial"/>
                <w:color w:val="auto"/>
                <w:sz w:val="21"/>
                <w:highlight w:val="none"/>
              </w:rPr>
            </w:pPr>
          </w:p>
        </w:tc>
        <w:tc>
          <w:tcPr>
            <w:tcW w:w="1289" w:type="dxa"/>
            <w:vAlign w:val="top"/>
          </w:tcPr>
          <w:p w14:paraId="55E572D9">
            <w:pPr>
              <w:rPr>
                <w:rFonts w:ascii="Arial"/>
                <w:color w:val="auto"/>
                <w:sz w:val="21"/>
                <w:highlight w:val="none"/>
              </w:rPr>
            </w:pPr>
          </w:p>
        </w:tc>
        <w:tc>
          <w:tcPr>
            <w:tcW w:w="1031" w:type="dxa"/>
            <w:vAlign w:val="top"/>
          </w:tcPr>
          <w:p w14:paraId="1552D84A">
            <w:pPr>
              <w:rPr>
                <w:rFonts w:ascii="Arial"/>
                <w:color w:val="auto"/>
                <w:sz w:val="21"/>
                <w:highlight w:val="none"/>
              </w:rPr>
            </w:pPr>
          </w:p>
        </w:tc>
        <w:tc>
          <w:tcPr>
            <w:tcW w:w="1434" w:type="dxa"/>
            <w:vAlign w:val="top"/>
          </w:tcPr>
          <w:p w14:paraId="000E1196">
            <w:pPr>
              <w:rPr>
                <w:rFonts w:ascii="Arial"/>
                <w:color w:val="auto"/>
                <w:sz w:val="21"/>
                <w:highlight w:val="none"/>
              </w:rPr>
            </w:pPr>
          </w:p>
        </w:tc>
        <w:tc>
          <w:tcPr>
            <w:tcW w:w="1307" w:type="dxa"/>
            <w:vAlign w:val="top"/>
          </w:tcPr>
          <w:p w14:paraId="247310E0">
            <w:pPr>
              <w:rPr>
                <w:rFonts w:ascii="Arial"/>
                <w:color w:val="auto"/>
                <w:sz w:val="21"/>
                <w:highlight w:val="none"/>
              </w:rPr>
            </w:pPr>
          </w:p>
        </w:tc>
        <w:tc>
          <w:tcPr>
            <w:tcW w:w="1140" w:type="dxa"/>
            <w:vAlign w:val="top"/>
          </w:tcPr>
          <w:p w14:paraId="0A42C535">
            <w:pPr>
              <w:rPr>
                <w:rFonts w:ascii="Arial"/>
                <w:color w:val="auto"/>
                <w:sz w:val="21"/>
                <w:highlight w:val="none"/>
              </w:rPr>
            </w:pPr>
          </w:p>
        </w:tc>
        <w:tc>
          <w:tcPr>
            <w:tcW w:w="796" w:type="dxa"/>
            <w:vAlign w:val="top"/>
          </w:tcPr>
          <w:p w14:paraId="6ACB1FEF">
            <w:pPr>
              <w:rPr>
                <w:rFonts w:ascii="Arial"/>
                <w:color w:val="auto"/>
                <w:sz w:val="21"/>
                <w:highlight w:val="none"/>
              </w:rPr>
            </w:pPr>
          </w:p>
        </w:tc>
        <w:tc>
          <w:tcPr>
            <w:tcW w:w="742" w:type="dxa"/>
            <w:vAlign w:val="top"/>
          </w:tcPr>
          <w:p w14:paraId="6FF7DEC4">
            <w:pPr>
              <w:rPr>
                <w:rFonts w:ascii="Arial"/>
                <w:color w:val="auto"/>
                <w:sz w:val="21"/>
                <w:highlight w:val="none"/>
              </w:rPr>
            </w:pPr>
          </w:p>
        </w:tc>
        <w:tc>
          <w:tcPr>
            <w:tcW w:w="1723" w:type="dxa"/>
            <w:vAlign w:val="top"/>
          </w:tcPr>
          <w:p w14:paraId="1F9FAFED">
            <w:pPr>
              <w:rPr>
                <w:rFonts w:ascii="Arial"/>
                <w:color w:val="auto"/>
                <w:sz w:val="21"/>
                <w:highlight w:val="none"/>
              </w:rPr>
            </w:pPr>
          </w:p>
        </w:tc>
        <w:tc>
          <w:tcPr>
            <w:tcW w:w="1031" w:type="dxa"/>
            <w:vAlign w:val="top"/>
          </w:tcPr>
          <w:p w14:paraId="66E9A48C">
            <w:pPr>
              <w:rPr>
                <w:rFonts w:ascii="Arial"/>
                <w:color w:val="auto"/>
                <w:sz w:val="21"/>
                <w:highlight w:val="none"/>
              </w:rPr>
            </w:pPr>
          </w:p>
        </w:tc>
        <w:tc>
          <w:tcPr>
            <w:tcW w:w="1842" w:type="dxa"/>
            <w:vAlign w:val="top"/>
          </w:tcPr>
          <w:p w14:paraId="2DD45593">
            <w:pPr>
              <w:rPr>
                <w:rFonts w:ascii="Arial"/>
                <w:color w:val="auto"/>
                <w:sz w:val="21"/>
                <w:highlight w:val="none"/>
              </w:rPr>
            </w:pPr>
          </w:p>
        </w:tc>
      </w:tr>
      <w:tr w14:paraId="37577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1461E6B">
            <w:pPr>
              <w:rPr>
                <w:rFonts w:ascii="Arial"/>
                <w:color w:val="auto"/>
                <w:sz w:val="21"/>
                <w:highlight w:val="none"/>
              </w:rPr>
            </w:pPr>
          </w:p>
        </w:tc>
        <w:tc>
          <w:tcPr>
            <w:tcW w:w="1031" w:type="dxa"/>
            <w:vAlign w:val="top"/>
          </w:tcPr>
          <w:p w14:paraId="7721AF7E">
            <w:pPr>
              <w:rPr>
                <w:rFonts w:ascii="Arial"/>
                <w:color w:val="auto"/>
                <w:sz w:val="21"/>
                <w:highlight w:val="none"/>
              </w:rPr>
            </w:pPr>
          </w:p>
        </w:tc>
        <w:tc>
          <w:tcPr>
            <w:tcW w:w="1289" w:type="dxa"/>
            <w:vAlign w:val="top"/>
          </w:tcPr>
          <w:p w14:paraId="3187EEF1">
            <w:pPr>
              <w:rPr>
                <w:rFonts w:ascii="Arial"/>
                <w:color w:val="auto"/>
                <w:sz w:val="21"/>
                <w:highlight w:val="none"/>
              </w:rPr>
            </w:pPr>
          </w:p>
        </w:tc>
        <w:tc>
          <w:tcPr>
            <w:tcW w:w="1031" w:type="dxa"/>
            <w:vAlign w:val="top"/>
          </w:tcPr>
          <w:p w14:paraId="26F59CE4">
            <w:pPr>
              <w:rPr>
                <w:rFonts w:ascii="Arial"/>
                <w:color w:val="auto"/>
                <w:sz w:val="21"/>
                <w:highlight w:val="none"/>
              </w:rPr>
            </w:pPr>
          </w:p>
        </w:tc>
        <w:tc>
          <w:tcPr>
            <w:tcW w:w="1434" w:type="dxa"/>
            <w:vAlign w:val="top"/>
          </w:tcPr>
          <w:p w14:paraId="6AF99DA5">
            <w:pPr>
              <w:rPr>
                <w:rFonts w:ascii="Arial"/>
                <w:color w:val="auto"/>
                <w:sz w:val="21"/>
                <w:highlight w:val="none"/>
              </w:rPr>
            </w:pPr>
          </w:p>
        </w:tc>
        <w:tc>
          <w:tcPr>
            <w:tcW w:w="1307" w:type="dxa"/>
            <w:vAlign w:val="top"/>
          </w:tcPr>
          <w:p w14:paraId="42C65D78">
            <w:pPr>
              <w:rPr>
                <w:rFonts w:ascii="Arial"/>
                <w:color w:val="auto"/>
                <w:sz w:val="21"/>
                <w:highlight w:val="none"/>
              </w:rPr>
            </w:pPr>
          </w:p>
        </w:tc>
        <w:tc>
          <w:tcPr>
            <w:tcW w:w="1140" w:type="dxa"/>
            <w:vAlign w:val="top"/>
          </w:tcPr>
          <w:p w14:paraId="4E51D812">
            <w:pPr>
              <w:rPr>
                <w:rFonts w:ascii="Arial"/>
                <w:color w:val="auto"/>
                <w:sz w:val="21"/>
                <w:highlight w:val="none"/>
              </w:rPr>
            </w:pPr>
          </w:p>
        </w:tc>
        <w:tc>
          <w:tcPr>
            <w:tcW w:w="796" w:type="dxa"/>
            <w:vAlign w:val="top"/>
          </w:tcPr>
          <w:p w14:paraId="0597AB99">
            <w:pPr>
              <w:rPr>
                <w:rFonts w:ascii="Arial"/>
                <w:color w:val="auto"/>
                <w:sz w:val="21"/>
                <w:highlight w:val="none"/>
              </w:rPr>
            </w:pPr>
          </w:p>
        </w:tc>
        <w:tc>
          <w:tcPr>
            <w:tcW w:w="742" w:type="dxa"/>
            <w:vAlign w:val="top"/>
          </w:tcPr>
          <w:p w14:paraId="0C9961AA">
            <w:pPr>
              <w:rPr>
                <w:rFonts w:ascii="Arial"/>
                <w:color w:val="auto"/>
                <w:sz w:val="21"/>
                <w:highlight w:val="none"/>
              </w:rPr>
            </w:pPr>
          </w:p>
        </w:tc>
        <w:tc>
          <w:tcPr>
            <w:tcW w:w="1723" w:type="dxa"/>
            <w:vAlign w:val="top"/>
          </w:tcPr>
          <w:p w14:paraId="7126F1DD">
            <w:pPr>
              <w:rPr>
                <w:rFonts w:ascii="Arial"/>
                <w:color w:val="auto"/>
                <w:sz w:val="21"/>
                <w:highlight w:val="none"/>
              </w:rPr>
            </w:pPr>
          </w:p>
        </w:tc>
        <w:tc>
          <w:tcPr>
            <w:tcW w:w="1031" w:type="dxa"/>
            <w:vAlign w:val="top"/>
          </w:tcPr>
          <w:p w14:paraId="393C84BC">
            <w:pPr>
              <w:rPr>
                <w:rFonts w:ascii="Arial"/>
                <w:color w:val="auto"/>
                <w:sz w:val="21"/>
                <w:highlight w:val="none"/>
              </w:rPr>
            </w:pPr>
          </w:p>
        </w:tc>
        <w:tc>
          <w:tcPr>
            <w:tcW w:w="1842" w:type="dxa"/>
            <w:vAlign w:val="top"/>
          </w:tcPr>
          <w:p w14:paraId="2E1E05BB">
            <w:pPr>
              <w:rPr>
                <w:rFonts w:ascii="Arial"/>
                <w:color w:val="auto"/>
                <w:sz w:val="21"/>
                <w:highlight w:val="none"/>
              </w:rPr>
            </w:pPr>
          </w:p>
        </w:tc>
      </w:tr>
      <w:tr w14:paraId="26CA3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38BD754">
            <w:pPr>
              <w:rPr>
                <w:rFonts w:ascii="Arial"/>
                <w:color w:val="auto"/>
                <w:sz w:val="21"/>
                <w:highlight w:val="none"/>
              </w:rPr>
            </w:pPr>
          </w:p>
        </w:tc>
        <w:tc>
          <w:tcPr>
            <w:tcW w:w="1031" w:type="dxa"/>
            <w:vAlign w:val="top"/>
          </w:tcPr>
          <w:p w14:paraId="0522BA0D">
            <w:pPr>
              <w:rPr>
                <w:rFonts w:ascii="Arial"/>
                <w:color w:val="auto"/>
                <w:sz w:val="21"/>
                <w:highlight w:val="none"/>
              </w:rPr>
            </w:pPr>
          </w:p>
        </w:tc>
        <w:tc>
          <w:tcPr>
            <w:tcW w:w="1289" w:type="dxa"/>
            <w:vAlign w:val="top"/>
          </w:tcPr>
          <w:p w14:paraId="3497A0AD">
            <w:pPr>
              <w:rPr>
                <w:rFonts w:ascii="Arial"/>
                <w:color w:val="auto"/>
                <w:sz w:val="21"/>
                <w:highlight w:val="none"/>
              </w:rPr>
            </w:pPr>
          </w:p>
        </w:tc>
        <w:tc>
          <w:tcPr>
            <w:tcW w:w="1031" w:type="dxa"/>
            <w:vAlign w:val="top"/>
          </w:tcPr>
          <w:p w14:paraId="44443279">
            <w:pPr>
              <w:rPr>
                <w:rFonts w:ascii="Arial"/>
                <w:color w:val="auto"/>
                <w:sz w:val="21"/>
                <w:highlight w:val="none"/>
              </w:rPr>
            </w:pPr>
          </w:p>
        </w:tc>
        <w:tc>
          <w:tcPr>
            <w:tcW w:w="1434" w:type="dxa"/>
            <w:vAlign w:val="top"/>
          </w:tcPr>
          <w:p w14:paraId="4FA91952">
            <w:pPr>
              <w:rPr>
                <w:rFonts w:ascii="Arial"/>
                <w:color w:val="auto"/>
                <w:sz w:val="21"/>
                <w:highlight w:val="none"/>
              </w:rPr>
            </w:pPr>
          </w:p>
        </w:tc>
        <w:tc>
          <w:tcPr>
            <w:tcW w:w="1307" w:type="dxa"/>
            <w:vAlign w:val="top"/>
          </w:tcPr>
          <w:p w14:paraId="33EF21B7">
            <w:pPr>
              <w:rPr>
                <w:rFonts w:ascii="Arial"/>
                <w:color w:val="auto"/>
                <w:sz w:val="21"/>
                <w:highlight w:val="none"/>
              </w:rPr>
            </w:pPr>
          </w:p>
        </w:tc>
        <w:tc>
          <w:tcPr>
            <w:tcW w:w="1140" w:type="dxa"/>
            <w:vAlign w:val="top"/>
          </w:tcPr>
          <w:p w14:paraId="5ABEEB34">
            <w:pPr>
              <w:rPr>
                <w:rFonts w:ascii="Arial"/>
                <w:color w:val="auto"/>
                <w:sz w:val="21"/>
                <w:highlight w:val="none"/>
              </w:rPr>
            </w:pPr>
          </w:p>
        </w:tc>
        <w:tc>
          <w:tcPr>
            <w:tcW w:w="796" w:type="dxa"/>
            <w:vAlign w:val="top"/>
          </w:tcPr>
          <w:p w14:paraId="6117569B">
            <w:pPr>
              <w:rPr>
                <w:rFonts w:ascii="Arial"/>
                <w:color w:val="auto"/>
                <w:sz w:val="21"/>
                <w:highlight w:val="none"/>
              </w:rPr>
            </w:pPr>
          </w:p>
        </w:tc>
        <w:tc>
          <w:tcPr>
            <w:tcW w:w="742" w:type="dxa"/>
            <w:vAlign w:val="top"/>
          </w:tcPr>
          <w:p w14:paraId="41AD78B8">
            <w:pPr>
              <w:rPr>
                <w:rFonts w:ascii="Arial"/>
                <w:color w:val="auto"/>
                <w:sz w:val="21"/>
                <w:highlight w:val="none"/>
              </w:rPr>
            </w:pPr>
          </w:p>
        </w:tc>
        <w:tc>
          <w:tcPr>
            <w:tcW w:w="1723" w:type="dxa"/>
            <w:vAlign w:val="top"/>
          </w:tcPr>
          <w:p w14:paraId="07789AD7">
            <w:pPr>
              <w:rPr>
                <w:rFonts w:ascii="Arial"/>
                <w:color w:val="auto"/>
                <w:sz w:val="21"/>
                <w:highlight w:val="none"/>
              </w:rPr>
            </w:pPr>
          </w:p>
        </w:tc>
        <w:tc>
          <w:tcPr>
            <w:tcW w:w="1031" w:type="dxa"/>
            <w:vAlign w:val="top"/>
          </w:tcPr>
          <w:p w14:paraId="7C85AFFD">
            <w:pPr>
              <w:rPr>
                <w:rFonts w:ascii="Arial"/>
                <w:color w:val="auto"/>
                <w:sz w:val="21"/>
                <w:highlight w:val="none"/>
              </w:rPr>
            </w:pPr>
          </w:p>
        </w:tc>
        <w:tc>
          <w:tcPr>
            <w:tcW w:w="1842" w:type="dxa"/>
            <w:vAlign w:val="top"/>
          </w:tcPr>
          <w:p w14:paraId="3FACA698">
            <w:pPr>
              <w:rPr>
                <w:rFonts w:ascii="Arial"/>
                <w:color w:val="auto"/>
                <w:sz w:val="21"/>
                <w:highlight w:val="none"/>
              </w:rPr>
            </w:pPr>
          </w:p>
        </w:tc>
      </w:tr>
      <w:tr w14:paraId="09484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94E2A52">
            <w:pPr>
              <w:rPr>
                <w:rFonts w:ascii="Arial"/>
                <w:color w:val="auto"/>
                <w:sz w:val="21"/>
                <w:highlight w:val="none"/>
              </w:rPr>
            </w:pPr>
          </w:p>
        </w:tc>
        <w:tc>
          <w:tcPr>
            <w:tcW w:w="1031" w:type="dxa"/>
            <w:vAlign w:val="top"/>
          </w:tcPr>
          <w:p w14:paraId="2082FB87">
            <w:pPr>
              <w:rPr>
                <w:rFonts w:ascii="Arial"/>
                <w:color w:val="auto"/>
                <w:sz w:val="21"/>
                <w:highlight w:val="none"/>
              </w:rPr>
            </w:pPr>
          </w:p>
        </w:tc>
        <w:tc>
          <w:tcPr>
            <w:tcW w:w="1289" w:type="dxa"/>
            <w:vAlign w:val="top"/>
          </w:tcPr>
          <w:p w14:paraId="7555CE39">
            <w:pPr>
              <w:rPr>
                <w:rFonts w:ascii="Arial"/>
                <w:color w:val="auto"/>
                <w:sz w:val="21"/>
                <w:highlight w:val="none"/>
              </w:rPr>
            </w:pPr>
          </w:p>
        </w:tc>
        <w:tc>
          <w:tcPr>
            <w:tcW w:w="1031" w:type="dxa"/>
            <w:vAlign w:val="top"/>
          </w:tcPr>
          <w:p w14:paraId="641B85BB">
            <w:pPr>
              <w:rPr>
                <w:rFonts w:ascii="Arial"/>
                <w:color w:val="auto"/>
                <w:sz w:val="21"/>
                <w:highlight w:val="none"/>
              </w:rPr>
            </w:pPr>
          </w:p>
        </w:tc>
        <w:tc>
          <w:tcPr>
            <w:tcW w:w="1434" w:type="dxa"/>
            <w:vAlign w:val="top"/>
          </w:tcPr>
          <w:p w14:paraId="7D03E940">
            <w:pPr>
              <w:rPr>
                <w:rFonts w:ascii="Arial"/>
                <w:color w:val="auto"/>
                <w:sz w:val="21"/>
                <w:highlight w:val="none"/>
              </w:rPr>
            </w:pPr>
          </w:p>
        </w:tc>
        <w:tc>
          <w:tcPr>
            <w:tcW w:w="1307" w:type="dxa"/>
            <w:vAlign w:val="top"/>
          </w:tcPr>
          <w:p w14:paraId="79A12DAA">
            <w:pPr>
              <w:rPr>
                <w:rFonts w:ascii="Arial"/>
                <w:color w:val="auto"/>
                <w:sz w:val="21"/>
                <w:highlight w:val="none"/>
              </w:rPr>
            </w:pPr>
          </w:p>
        </w:tc>
        <w:tc>
          <w:tcPr>
            <w:tcW w:w="1140" w:type="dxa"/>
            <w:vAlign w:val="top"/>
          </w:tcPr>
          <w:p w14:paraId="5A53C433">
            <w:pPr>
              <w:rPr>
                <w:rFonts w:ascii="Arial"/>
                <w:color w:val="auto"/>
                <w:sz w:val="21"/>
                <w:highlight w:val="none"/>
              </w:rPr>
            </w:pPr>
          </w:p>
        </w:tc>
        <w:tc>
          <w:tcPr>
            <w:tcW w:w="796" w:type="dxa"/>
            <w:vAlign w:val="top"/>
          </w:tcPr>
          <w:p w14:paraId="083AF33A">
            <w:pPr>
              <w:rPr>
                <w:rFonts w:ascii="Arial"/>
                <w:color w:val="auto"/>
                <w:sz w:val="21"/>
                <w:highlight w:val="none"/>
              </w:rPr>
            </w:pPr>
          </w:p>
        </w:tc>
        <w:tc>
          <w:tcPr>
            <w:tcW w:w="742" w:type="dxa"/>
            <w:vAlign w:val="top"/>
          </w:tcPr>
          <w:p w14:paraId="7730D9E2">
            <w:pPr>
              <w:rPr>
                <w:rFonts w:ascii="Arial"/>
                <w:color w:val="auto"/>
                <w:sz w:val="21"/>
                <w:highlight w:val="none"/>
              </w:rPr>
            </w:pPr>
          </w:p>
        </w:tc>
        <w:tc>
          <w:tcPr>
            <w:tcW w:w="1723" w:type="dxa"/>
            <w:vAlign w:val="top"/>
          </w:tcPr>
          <w:p w14:paraId="27126E46">
            <w:pPr>
              <w:rPr>
                <w:rFonts w:ascii="Arial"/>
                <w:color w:val="auto"/>
                <w:sz w:val="21"/>
                <w:highlight w:val="none"/>
              </w:rPr>
            </w:pPr>
          </w:p>
        </w:tc>
        <w:tc>
          <w:tcPr>
            <w:tcW w:w="1031" w:type="dxa"/>
            <w:vAlign w:val="top"/>
          </w:tcPr>
          <w:p w14:paraId="48A322B5">
            <w:pPr>
              <w:rPr>
                <w:rFonts w:ascii="Arial"/>
                <w:color w:val="auto"/>
                <w:sz w:val="21"/>
                <w:highlight w:val="none"/>
              </w:rPr>
            </w:pPr>
          </w:p>
        </w:tc>
        <w:tc>
          <w:tcPr>
            <w:tcW w:w="1842" w:type="dxa"/>
            <w:vAlign w:val="top"/>
          </w:tcPr>
          <w:p w14:paraId="2D06E0A3">
            <w:pPr>
              <w:rPr>
                <w:rFonts w:ascii="Arial"/>
                <w:color w:val="auto"/>
                <w:sz w:val="21"/>
                <w:highlight w:val="none"/>
              </w:rPr>
            </w:pPr>
          </w:p>
        </w:tc>
      </w:tr>
      <w:tr w14:paraId="5E8D5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DFE50A7">
            <w:pPr>
              <w:rPr>
                <w:rFonts w:ascii="Arial"/>
                <w:color w:val="auto"/>
                <w:sz w:val="21"/>
                <w:highlight w:val="none"/>
              </w:rPr>
            </w:pPr>
          </w:p>
        </w:tc>
        <w:tc>
          <w:tcPr>
            <w:tcW w:w="1031" w:type="dxa"/>
            <w:vAlign w:val="top"/>
          </w:tcPr>
          <w:p w14:paraId="2D8B7522">
            <w:pPr>
              <w:rPr>
                <w:rFonts w:ascii="Arial"/>
                <w:color w:val="auto"/>
                <w:sz w:val="21"/>
                <w:highlight w:val="none"/>
              </w:rPr>
            </w:pPr>
          </w:p>
        </w:tc>
        <w:tc>
          <w:tcPr>
            <w:tcW w:w="1289" w:type="dxa"/>
            <w:vAlign w:val="top"/>
          </w:tcPr>
          <w:p w14:paraId="240C51BA">
            <w:pPr>
              <w:rPr>
                <w:rFonts w:ascii="Arial"/>
                <w:color w:val="auto"/>
                <w:sz w:val="21"/>
                <w:highlight w:val="none"/>
              </w:rPr>
            </w:pPr>
          </w:p>
        </w:tc>
        <w:tc>
          <w:tcPr>
            <w:tcW w:w="1031" w:type="dxa"/>
            <w:vAlign w:val="top"/>
          </w:tcPr>
          <w:p w14:paraId="3467CC20">
            <w:pPr>
              <w:rPr>
                <w:rFonts w:ascii="Arial"/>
                <w:color w:val="auto"/>
                <w:sz w:val="21"/>
                <w:highlight w:val="none"/>
              </w:rPr>
            </w:pPr>
          </w:p>
        </w:tc>
        <w:tc>
          <w:tcPr>
            <w:tcW w:w="1434" w:type="dxa"/>
            <w:vAlign w:val="top"/>
          </w:tcPr>
          <w:p w14:paraId="51122088">
            <w:pPr>
              <w:rPr>
                <w:rFonts w:ascii="Arial"/>
                <w:color w:val="auto"/>
                <w:sz w:val="21"/>
                <w:highlight w:val="none"/>
              </w:rPr>
            </w:pPr>
          </w:p>
        </w:tc>
        <w:tc>
          <w:tcPr>
            <w:tcW w:w="1307" w:type="dxa"/>
            <w:vAlign w:val="top"/>
          </w:tcPr>
          <w:p w14:paraId="617AB064">
            <w:pPr>
              <w:rPr>
                <w:rFonts w:ascii="Arial"/>
                <w:color w:val="auto"/>
                <w:sz w:val="21"/>
                <w:highlight w:val="none"/>
              </w:rPr>
            </w:pPr>
          </w:p>
        </w:tc>
        <w:tc>
          <w:tcPr>
            <w:tcW w:w="1140" w:type="dxa"/>
            <w:vAlign w:val="top"/>
          </w:tcPr>
          <w:p w14:paraId="0C7560FA">
            <w:pPr>
              <w:rPr>
                <w:rFonts w:ascii="Arial"/>
                <w:color w:val="auto"/>
                <w:sz w:val="21"/>
                <w:highlight w:val="none"/>
              </w:rPr>
            </w:pPr>
          </w:p>
        </w:tc>
        <w:tc>
          <w:tcPr>
            <w:tcW w:w="796" w:type="dxa"/>
            <w:vAlign w:val="top"/>
          </w:tcPr>
          <w:p w14:paraId="02788D4D">
            <w:pPr>
              <w:rPr>
                <w:rFonts w:ascii="Arial"/>
                <w:color w:val="auto"/>
                <w:sz w:val="21"/>
                <w:highlight w:val="none"/>
              </w:rPr>
            </w:pPr>
          </w:p>
        </w:tc>
        <w:tc>
          <w:tcPr>
            <w:tcW w:w="742" w:type="dxa"/>
            <w:vAlign w:val="top"/>
          </w:tcPr>
          <w:p w14:paraId="0DCECE28">
            <w:pPr>
              <w:rPr>
                <w:rFonts w:ascii="Arial"/>
                <w:color w:val="auto"/>
                <w:sz w:val="21"/>
                <w:highlight w:val="none"/>
              </w:rPr>
            </w:pPr>
          </w:p>
        </w:tc>
        <w:tc>
          <w:tcPr>
            <w:tcW w:w="1723" w:type="dxa"/>
            <w:vAlign w:val="top"/>
          </w:tcPr>
          <w:p w14:paraId="6745B22B">
            <w:pPr>
              <w:rPr>
                <w:rFonts w:ascii="Arial"/>
                <w:color w:val="auto"/>
                <w:sz w:val="21"/>
                <w:highlight w:val="none"/>
              </w:rPr>
            </w:pPr>
          </w:p>
        </w:tc>
        <w:tc>
          <w:tcPr>
            <w:tcW w:w="1031" w:type="dxa"/>
            <w:vAlign w:val="top"/>
          </w:tcPr>
          <w:p w14:paraId="691D4C58">
            <w:pPr>
              <w:rPr>
                <w:rFonts w:ascii="Arial"/>
                <w:color w:val="auto"/>
                <w:sz w:val="21"/>
                <w:highlight w:val="none"/>
              </w:rPr>
            </w:pPr>
          </w:p>
        </w:tc>
        <w:tc>
          <w:tcPr>
            <w:tcW w:w="1842" w:type="dxa"/>
            <w:vAlign w:val="top"/>
          </w:tcPr>
          <w:p w14:paraId="2F05426F">
            <w:pPr>
              <w:rPr>
                <w:rFonts w:ascii="Arial"/>
                <w:color w:val="auto"/>
                <w:sz w:val="21"/>
                <w:highlight w:val="none"/>
              </w:rPr>
            </w:pPr>
          </w:p>
        </w:tc>
      </w:tr>
      <w:tr w14:paraId="2FCFB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7F754C3">
            <w:pPr>
              <w:rPr>
                <w:rFonts w:ascii="Arial"/>
                <w:color w:val="auto"/>
                <w:sz w:val="21"/>
                <w:highlight w:val="none"/>
              </w:rPr>
            </w:pPr>
          </w:p>
        </w:tc>
        <w:tc>
          <w:tcPr>
            <w:tcW w:w="1031" w:type="dxa"/>
            <w:vAlign w:val="top"/>
          </w:tcPr>
          <w:p w14:paraId="1EB869C5">
            <w:pPr>
              <w:rPr>
                <w:rFonts w:ascii="Arial"/>
                <w:color w:val="auto"/>
                <w:sz w:val="21"/>
                <w:highlight w:val="none"/>
              </w:rPr>
            </w:pPr>
          </w:p>
        </w:tc>
        <w:tc>
          <w:tcPr>
            <w:tcW w:w="1289" w:type="dxa"/>
            <w:vAlign w:val="top"/>
          </w:tcPr>
          <w:p w14:paraId="29F48FB4">
            <w:pPr>
              <w:rPr>
                <w:rFonts w:ascii="Arial"/>
                <w:color w:val="auto"/>
                <w:sz w:val="21"/>
                <w:highlight w:val="none"/>
              </w:rPr>
            </w:pPr>
          </w:p>
        </w:tc>
        <w:tc>
          <w:tcPr>
            <w:tcW w:w="1031" w:type="dxa"/>
            <w:vAlign w:val="top"/>
          </w:tcPr>
          <w:p w14:paraId="5B120BAD">
            <w:pPr>
              <w:rPr>
                <w:rFonts w:ascii="Arial"/>
                <w:color w:val="auto"/>
                <w:sz w:val="21"/>
                <w:highlight w:val="none"/>
              </w:rPr>
            </w:pPr>
          </w:p>
        </w:tc>
        <w:tc>
          <w:tcPr>
            <w:tcW w:w="1434" w:type="dxa"/>
            <w:vAlign w:val="top"/>
          </w:tcPr>
          <w:p w14:paraId="66DB7684">
            <w:pPr>
              <w:rPr>
                <w:rFonts w:ascii="Arial"/>
                <w:color w:val="auto"/>
                <w:sz w:val="21"/>
                <w:highlight w:val="none"/>
              </w:rPr>
            </w:pPr>
          </w:p>
        </w:tc>
        <w:tc>
          <w:tcPr>
            <w:tcW w:w="1307" w:type="dxa"/>
            <w:vAlign w:val="top"/>
          </w:tcPr>
          <w:p w14:paraId="5D7EE910">
            <w:pPr>
              <w:rPr>
                <w:rFonts w:ascii="Arial"/>
                <w:color w:val="auto"/>
                <w:sz w:val="21"/>
                <w:highlight w:val="none"/>
              </w:rPr>
            </w:pPr>
          </w:p>
        </w:tc>
        <w:tc>
          <w:tcPr>
            <w:tcW w:w="1140" w:type="dxa"/>
            <w:vAlign w:val="top"/>
          </w:tcPr>
          <w:p w14:paraId="0237E17E">
            <w:pPr>
              <w:rPr>
                <w:rFonts w:ascii="Arial"/>
                <w:color w:val="auto"/>
                <w:sz w:val="21"/>
                <w:highlight w:val="none"/>
              </w:rPr>
            </w:pPr>
          </w:p>
        </w:tc>
        <w:tc>
          <w:tcPr>
            <w:tcW w:w="796" w:type="dxa"/>
            <w:vAlign w:val="top"/>
          </w:tcPr>
          <w:p w14:paraId="4CEBCBB8">
            <w:pPr>
              <w:rPr>
                <w:rFonts w:ascii="Arial"/>
                <w:color w:val="auto"/>
                <w:sz w:val="21"/>
                <w:highlight w:val="none"/>
              </w:rPr>
            </w:pPr>
          </w:p>
        </w:tc>
        <w:tc>
          <w:tcPr>
            <w:tcW w:w="742" w:type="dxa"/>
            <w:vAlign w:val="top"/>
          </w:tcPr>
          <w:p w14:paraId="1B8BDA39">
            <w:pPr>
              <w:rPr>
                <w:rFonts w:ascii="Arial"/>
                <w:color w:val="auto"/>
                <w:sz w:val="21"/>
                <w:highlight w:val="none"/>
              </w:rPr>
            </w:pPr>
          </w:p>
        </w:tc>
        <w:tc>
          <w:tcPr>
            <w:tcW w:w="1723" w:type="dxa"/>
            <w:vAlign w:val="top"/>
          </w:tcPr>
          <w:p w14:paraId="1CB68923">
            <w:pPr>
              <w:rPr>
                <w:rFonts w:ascii="Arial"/>
                <w:color w:val="auto"/>
                <w:sz w:val="21"/>
                <w:highlight w:val="none"/>
              </w:rPr>
            </w:pPr>
          </w:p>
        </w:tc>
        <w:tc>
          <w:tcPr>
            <w:tcW w:w="1031" w:type="dxa"/>
            <w:vAlign w:val="top"/>
          </w:tcPr>
          <w:p w14:paraId="17671055">
            <w:pPr>
              <w:rPr>
                <w:rFonts w:ascii="Arial"/>
                <w:color w:val="auto"/>
                <w:sz w:val="21"/>
                <w:highlight w:val="none"/>
              </w:rPr>
            </w:pPr>
          </w:p>
        </w:tc>
        <w:tc>
          <w:tcPr>
            <w:tcW w:w="1842" w:type="dxa"/>
            <w:vAlign w:val="top"/>
          </w:tcPr>
          <w:p w14:paraId="4A17C8ED">
            <w:pPr>
              <w:rPr>
                <w:rFonts w:ascii="Arial"/>
                <w:color w:val="auto"/>
                <w:sz w:val="21"/>
                <w:highlight w:val="none"/>
              </w:rPr>
            </w:pPr>
          </w:p>
        </w:tc>
      </w:tr>
      <w:tr w14:paraId="38BDE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1AB38AB0">
            <w:pPr>
              <w:rPr>
                <w:rFonts w:ascii="Arial"/>
                <w:color w:val="auto"/>
                <w:sz w:val="21"/>
                <w:highlight w:val="none"/>
              </w:rPr>
            </w:pPr>
          </w:p>
        </w:tc>
        <w:tc>
          <w:tcPr>
            <w:tcW w:w="1031" w:type="dxa"/>
            <w:vAlign w:val="top"/>
          </w:tcPr>
          <w:p w14:paraId="5B50B474">
            <w:pPr>
              <w:rPr>
                <w:rFonts w:ascii="Arial"/>
                <w:color w:val="auto"/>
                <w:sz w:val="21"/>
                <w:highlight w:val="none"/>
              </w:rPr>
            </w:pPr>
          </w:p>
        </w:tc>
        <w:tc>
          <w:tcPr>
            <w:tcW w:w="1289" w:type="dxa"/>
            <w:vAlign w:val="top"/>
          </w:tcPr>
          <w:p w14:paraId="495CB3B7">
            <w:pPr>
              <w:rPr>
                <w:rFonts w:ascii="Arial"/>
                <w:color w:val="auto"/>
                <w:sz w:val="21"/>
                <w:highlight w:val="none"/>
              </w:rPr>
            </w:pPr>
          </w:p>
        </w:tc>
        <w:tc>
          <w:tcPr>
            <w:tcW w:w="1031" w:type="dxa"/>
            <w:vAlign w:val="top"/>
          </w:tcPr>
          <w:p w14:paraId="64F3EF37">
            <w:pPr>
              <w:rPr>
                <w:rFonts w:ascii="Arial"/>
                <w:color w:val="auto"/>
                <w:sz w:val="21"/>
                <w:highlight w:val="none"/>
              </w:rPr>
            </w:pPr>
          </w:p>
        </w:tc>
        <w:tc>
          <w:tcPr>
            <w:tcW w:w="1434" w:type="dxa"/>
            <w:vAlign w:val="top"/>
          </w:tcPr>
          <w:p w14:paraId="4F592AEB">
            <w:pPr>
              <w:rPr>
                <w:rFonts w:ascii="Arial"/>
                <w:color w:val="auto"/>
                <w:sz w:val="21"/>
                <w:highlight w:val="none"/>
              </w:rPr>
            </w:pPr>
          </w:p>
        </w:tc>
        <w:tc>
          <w:tcPr>
            <w:tcW w:w="1307" w:type="dxa"/>
            <w:vAlign w:val="top"/>
          </w:tcPr>
          <w:p w14:paraId="121ABF80">
            <w:pPr>
              <w:rPr>
                <w:rFonts w:ascii="Arial"/>
                <w:color w:val="auto"/>
                <w:sz w:val="21"/>
                <w:highlight w:val="none"/>
              </w:rPr>
            </w:pPr>
          </w:p>
        </w:tc>
        <w:tc>
          <w:tcPr>
            <w:tcW w:w="1140" w:type="dxa"/>
            <w:vAlign w:val="top"/>
          </w:tcPr>
          <w:p w14:paraId="39AE5F7B">
            <w:pPr>
              <w:rPr>
                <w:rFonts w:ascii="Arial"/>
                <w:color w:val="auto"/>
                <w:sz w:val="21"/>
                <w:highlight w:val="none"/>
              </w:rPr>
            </w:pPr>
          </w:p>
        </w:tc>
        <w:tc>
          <w:tcPr>
            <w:tcW w:w="796" w:type="dxa"/>
            <w:vAlign w:val="top"/>
          </w:tcPr>
          <w:p w14:paraId="6A964774">
            <w:pPr>
              <w:rPr>
                <w:rFonts w:ascii="Arial"/>
                <w:color w:val="auto"/>
                <w:sz w:val="21"/>
                <w:highlight w:val="none"/>
              </w:rPr>
            </w:pPr>
          </w:p>
        </w:tc>
        <w:tc>
          <w:tcPr>
            <w:tcW w:w="742" w:type="dxa"/>
            <w:vAlign w:val="top"/>
          </w:tcPr>
          <w:p w14:paraId="2E62CA27">
            <w:pPr>
              <w:rPr>
                <w:rFonts w:ascii="Arial"/>
                <w:color w:val="auto"/>
                <w:sz w:val="21"/>
                <w:highlight w:val="none"/>
              </w:rPr>
            </w:pPr>
          </w:p>
        </w:tc>
        <w:tc>
          <w:tcPr>
            <w:tcW w:w="1723" w:type="dxa"/>
            <w:vAlign w:val="top"/>
          </w:tcPr>
          <w:p w14:paraId="13869106">
            <w:pPr>
              <w:rPr>
                <w:rFonts w:ascii="Arial"/>
                <w:color w:val="auto"/>
                <w:sz w:val="21"/>
                <w:highlight w:val="none"/>
              </w:rPr>
            </w:pPr>
          </w:p>
        </w:tc>
        <w:tc>
          <w:tcPr>
            <w:tcW w:w="1031" w:type="dxa"/>
            <w:vAlign w:val="top"/>
          </w:tcPr>
          <w:p w14:paraId="127C62F9">
            <w:pPr>
              <w:rPr>
                <w:rFonts w:ascii="Arial"/>
                <w:color w:val="auto"/>
                <w:sz w:val="21"/>
                <w:highlight w:val="none"/>
              </w:rPr>
            </w:pPr>
          </w:p>
        </w:tc>
        <w:tc>
          <w:tcPr>
            <w:tcW w:w="1842" w:type="dxa"/>
            <w:vAlign w:val="top"/>
          </w:tcPr>
          <w:p w14:paraId="68B62910">
            <w:pPr>
              <w:rPr>
                <w:rFonts w:ascii="Arial"/>
                <w:color w:val="auto"/>
                <w:sz w:val="21"/>
                <w:highlight w:val="none"/>
              </w:rPr>
            </w:pPr>
          </w:p>
        </w:tc>
      </w:tr>
      <w:tr w14:paraId="4C8F4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42895FC">
            <w:pPr>
              <w:rPr>
                <w:rFonts w:ascii="Arial"/>
                <w:color w:val="auto"/>
                <w:sz w:val="21"/>
                <w:highlight w:val="none"/>
              </w:rPr>
            </w:pPr>
          </w:p>
        </w:tc>
        <w:tc>
          <w:tcPr>
            <w:tcW w:w="1031" w:type="dxa"/>
            <w:vAlign w:val="top"/>
          </w:tcPr>
          <w:p w14:paraId="2C4E3057">
            <w:pPr>
              <w:rPr>
                <w:rFonts w:ascii="Arial"/>
                <w:color w:val="auto"/>
                <w:sz w:val="21"/>
                <w:highlight w:val="none"/>
              </w:rPr>
            </w:pPr>
          </w:p>
        </w:tc>
        <w:tc>
          <w:tcPr>
            <w:tcW w:w="1289" w:type="dxa"/>
            <w:vAlign w:val="top"/>
          </w:tcPr>
          <w:p w14:paraId="59AAB22F">
            <w:pPr>
              <w:rPr>
                <w:rFonts w:ascii="Arial"/>
                <w:color w:val="auto"/>
                <w:sz w:val="21"/>
                <w:highlight w:val="none"/>
              </w:rPr>
            </w:pPr>
          </w:p>
        </w:tc>
        <w:tc>
          <w:tcPr>
            <w:tcW w:w="1031" w:type="dxa"/>
            <w:vAlign w:val="top"/>
          </w:tcPr>
          <w:p w14:paraId="7DBB8C74">
            <w:pPr>
              <w:rPr>
                <w:rFonts w:ascii="Arial"/>
                <w:color w:val="auto"/>
                <w:sz w:val="21"/>
                <w:highlight w:val="none"/>
              </w:rPr>
            </w:pPr>
          </w:p>
        </w:tc>
        <w:tc>
          <w:tcPr>
            <w:tcW w:w="1434" w:type="dxa"/>
            <w:vAlign w:val="top"/>
          </w:tcPr>
          <w:p w14:paraId="404B706F">
            <w:pPr>
              <w:rPr>
                <w:rFonts w:ascii="Arial"/>
                <w:color w:val="auto"/>
                <w:sz w:val="21"/>
                <w:highlight w:val="none"/>
              </w:rPr>
            </w:pPr>
          </w:p>
        </w:tc>
        <w:tc>
          <w:tcPr>
            <w:tcW w:w="1307" w:type="dxa"/>
            <w:vAlign w:val="top"/>
          </w:tcPr>
          <w:p w14:paraId="5A41583E">
            <w:pPr>
              <w:rPr>
                <w:rFonts w:ascii="Arial"/>
                <w:color w:val="auto"/>
                <w:sz w:val="21"/>
                <w:highlight w:val="none"/>
              </w:rPr>
            </w:pPr>
          </w:p>
        </w:tc>
        <w:tc>
          <w:tcPr>
            <w:tcW w:w="1140" w:type="dxa"/>
            <w:vAlign w:val="top"/>
          </w:tcPr>
          <w:p w14:paraId="505B05BF">
            <w:pPr>
              <w:rPr>
                <w:rFonts w:ascii="Arial"/>
                <w:color w:val="auto"/>
                <w:sz w:val="21"/>
                <w:highlight w:val="none"/>
              </w:rPr>
            </w:pPr>
          </w:p>
        </w:tc>
        <w:tc>
          <w:tcPr>
            <w:tcW w:w="796" w:type="dxa"/>
            <w:vAlign w:val="top"/>
          </w:tcPr>
          <w:p w14:paraId="31C70A35">
            <w:pPr>
              <w:rPr>
                <w:rFonts w:ascii="Arial"/>
                <w:color w:val="auto"/>
                <w:sz w:val="21"/>
                <w:highlight w:val="none"/>
              </w:rPr>
            </w:pPr>
          </w:p>
        </w:tc>
        <w:tc>
          <w:tcPr>
            <w:tcW w:w="742" w:type="dxa"/>
            <w:vAlign w:val="top"/>
          </w:tcPr>
          <w:p w14:paraId="3E872249">
            <w:pPr>
              <w:rPr>
                <w:rFonts w:ascii="Arial"/>
                <w:color w:val="auto"/>
                <w:sz w:val="21"/>
                <w:highlight w:val="none"/>
              </w:rPr>
            </w:pPr>
          </w:p>
        </w:tc>
        <w:tc>
          <w:tcPr>
            <w:tcW w:w="1723" w:type="dxa"/>
            <w:vAlign w:val="top"/>
          </w:tcPr>
          <w:p w14:paraId="00FCBD15">
            <w:pPr>
              <w:rPr>
                <w:rFonts w:ascii="Arial"/>
                <w:color w:val="auto"/>
                <w:sz w:val="21"/>
                <w:highlight w:val="none"/>
              </w:rPr>
            </w:pPr>
          </w:p>
        </w:tc>
        <w:tc>
          <w:tcPr>
            <w:tcW w:w="1031" w:type="dxa"/>
            <w:vAlign w:val="top"/>
          </w:tcPr>
          <w:p w14:paraId="40D7FC8E">
            <w:pPr>
              <w:rPr>
                <w:rFonts w:ascii="Arial"/>
                <w:color w:val="auto"/>
                <w:sz w:val="21"/>
                <w:highlight w:val="none"/>
              </w:rPr>
            </w:pPr>
          </w:p>
        </w:tc>
        <w:tc>
          <w:tcPr>
            <w:tcW w:w="1842" w:type="dxa"/>
            <w:vAlign w:val="top"/>
          </w:tcPr>
          <w:p w14:paraId="31EF697B">
            <w:pPr>
              <w:rPr>
                <w:rFonts w:ascii="Arial"/>
                <w:color w:val="auto"/>
                <w:sz w:val="21"/>
                <w:highlight w:val="none"/>
              </w:rPr>
            </w:pPr>
          </w:p>
        </w:tc>
      </w:tr>
      <w:tr w14:paraId="04097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32" w:type="dxa"/>
            <w:vAlign w:val="top"/>
          </w:tcPr>
          <w:p w14:paraId="4A1077C8">
            <w:pPr>
              <w:rPr>
                <w:rFonts w:ascii="Arial"/>
                <w:color w:val="auto"/>
                <w:sz w:val="21"/>
                <w:highlight w:val="none"/>
              </w:rPr>
            </w:pPr>
          </w:p>
        </w:tc>
        <w:tc>
          <w:tcPr>
            <w:tcW w:w="1031" w:type="dxa"/>
            <w:vAlign w:val="top"/>
          </w:tcPr>
          <w:p w14:paraId="31E9F9DC">
            <w:pPr>
              <w:rPr>
                <w:rFonts w:ascii="Arial"/>
                <w:color w:val="auto"/>
                <w:sz w:val="21"/>
                <w:highlight w:val="none"/>
              </w:rPr>
            </w:pPr>
          </w:p>
        </w:tc>
        <w:tc>
          <w:tcPr>
            <w:tcW w:w="1289" w:type="dxa"/>
            <w:vAlign w:val="top"/>
          </w:tcPr>
          <w:p w14:paraId="635E3FE2">
            <w:pPr>
              <w:rPr>
                <w:rFonts w:ascii="Arial"/>
                <w:color w:val="auto"/>
                <w:sz w:val="21"/>
                <w:highlight w:val="none"/>
              </w:rPr>
            </w:pPr>
          </w:p>
        </w:tc>
        <w:tc>
          <w:tcPr>
            <w:tcW w:w="1031" w:type="dxa"/>
            <w:vAlign w:val="top"/>
          </w:tcPr>
          <w:p w14:paraId="317EDDB6">
            <w:pPr>
              <w:rPr>
                <w:rFonts w:ascii="Arial"/>
                <w:color w:val="auto"/>
                <w:sz w:val="21"/>
                <w:highlight w:val="none"/>
              </w:rPr>
            </w:pPr>
          </w:p>
        </w:tc>
        <w:tc>
          <w:tcPr>
            <w:tcW w:w="1434" w:type="dxa"/>
            <w:vAlign w:val="top"/>
          </w:tcPr>
          <w:p w14:paraId="405C0E82">
            <w:pPr>
              <w:rPr>
                <w:rFonts w:ascii="Arial"/>
                <w:color w:val="auto"/>
                <w:sz w:val="21"/>
                <w:highlight w:val="none"/>
              </w:rPr>
            </w:pPr>
          </w:p>
        </w:tc>
        <w:tc>
          <w:tcPr>
            <w:tcW w:w="1307" w:type="dxa"/>
            <w:vAlign w:val="top"/>
          </w:tcPr>
          <w:p w14:paraId="40FB16CD">
            <w:pPr>
              <w:rPr>
                <w:rFonts w:ascii="Arial"/>
                <w:color w:val="auto"/>
                <w:sz w:val="21"/>
                <w:highlight w:val="none"/>
              </w:rPr>
            </w:pPr>
          </w:p>
        </w:tc>
        <w:tc>
          <w:tcPr>
            <w:tcW w:w="1140" w:type="dxa"/>
            <w:vAlign w:val="top"/>
          </w:tcPr>
          <w:p w14:paraId="22E676E4">
            <w:pPr>
              <w:rPr>
                <w:rFonts w:ascii="Arial"/>
                <w:color w:val="auto"/>
                <w:sz w:val="21"/>
                <w:highlight w:val="none"/>
              </w:rPr>
            </w:pPr>
          </w:p>
        </w:tc>
        <w:tc>
          <w:tcPr>
            <w:tcW w:w="796" w:type="dxa"/>
            <w:vAlign w:val="top"/>
          </w:tcPr>
          <w:p w14:paraId="5FAE4EA3">
            <w:pPr>
              <w:rPr>
                <w:rFonts w:ascii="Arial"/>
                <w:color w:val="auto"/>
                <w:sz w:val="21"/>
                <w:highlight w:val="none"/>
              </w:rPr>
            </w:pPr>
          </w:p>
        </w:tc>
        <w:tc>
          <w:tcPr>
            <w:tcW w:w="742" w:type="dxa"/>
            <w:vAlign w:val="top"/>
          </w:tcPr>
          <w:p w14:paraId="246F2EB6">
            <w:pPr>
              <w:rPr>
                <w:rFonts w:ascii="Arial"/>
                <w:color w:val="auto"/>
                <w:sz w:val="21"/>
                <w:highlight w:val="none"/>
              </w:rPr>
            </w:pPr>
          </w:p>
        </w:tc>
        <w:tc>
          <w:tcPr>
            <w:tcW w:w="1723" w:type="dxa"/>
            <w:vAlign w:val="top"/>
          </w:tcPr>
          <w:p w14:paraId="4807FC93">
            <w:pPr>
              <w:rPr>
                <w:rFonts w:ascii="Arial"/>
                <w:color w:val="auto"/>
                <w:sz w:val="21"/>
                <w:highlight w:val="none"/>
              </w:rPr>
            </w:pPr>
          </w:p>
        </w:tc>
        <w:tc>
          <w:tcPr>
            <w:tcW w:w="1031" w:type="dxa"/>
            <w:vAlign w:val="top"/>
          </w:tcPr>
          <w:p w14:paraId="32138DDE">
            <w:pPr>
              <w:rPr>
                <w:rFonts w:ascii="Arial"/>
                <w:color w:val="auto"/>
                <w:sz w:val="21"/>
                <w:highlight w:val="none"/>
              </w:rPr>
            </w:pPr>
          </w:p>
        </w:tc>
        <w:tc>
          <w:tcPr>
            <w:tcW w:w="1842" w:type="dxa"/>
            <w:vAlign w:val="top"/>
          </w:tcPr>
          <w:p w14:paraId="06949719">
            <w:pPr>
              <w:rPr>
                <w:rFonts w:ascii="Arial"/>
                <w:color w:val="auto"/>
                <w:sz w:val="21"/>
                <w:highlight w:val="none"/>
              </w:rPr>
            </w:pPr>
          </w:p>
        </w:tc>
      </w:tr>
    </w:tbl>
    <w:p w14:paraId="00593544">
      <w:pPr>
        <w:rPr>
          <w:rFonts w:ascii="Arial"/>
          <w:color w:val="auto"/>
          <w:sz w:val="21"/>
          <w:highlight w:val="none"/>
        </w:rPr>
      </w:pPr>
    </w:p>
    <w:p w14:paraId="6AB2B0CF">
      <w:pPr>
        <w:rPr>
          <w:rFonts w:ascii="Arial" w:hAnsi="Arial" w:eastAsia="Arial" w:cs="Arial"/>
          <w:color w:val="auto"/>
          <w:sz w:val="21"/>
          <w:szCs w:val="21"/>
          <w:highlight w:val="none"/>
        </w:rPr>
        <w:sectPr>
          <w:footerReference r:id="rId49" w:type="default"/>
          <w:pgSz w:w="16839" w:h="11906"/>
          <w:pgMar w:top="1012" w:right="1530" w:bottom="1297" w:left="1304" w:header="0" w:footer="1067" w:gutter="0"/>
          <w:pgBorders>
            <w:top w:val="none" w:sz="0" w:space="0"/>
            <w:left w:val="none" w:sz="0" w:space="0"/>
            <w:bottom w:val="none" w:sz="0" w:space="0"/>
            <w:right w:val="none" w:sz="0" w:space="0"/>
          </w:pgBorders>
          <w:pgNumType w:fmt="decimal"/>
          <w:cols w:space="720" w:num="1"/>
        </w:sectPr>
      </w:pPr>
    </w:p>
    <w:p w14:paraId="191A6E8F">
      <w:pPr>
        <w:spacing w:before="60" w:line="219" w:lineRule="auto"/>
        <w:ind w:left="2414"/>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（四）近年完成的类似项目情况表</w:t>
      </w:r>
    </w:p>
    <w:p w14:paraId="4E7345CF">
      <w:pPr>
        <w:spacing w:before="10"/>
        <w:rPr>
          <w:color w:val="auto"/>
          <w:highlight w:val="none"/>
        </w:rPr>
      </w:pPr>
    </w:p>
    <w:p w14:paraId="7F670257">
      <w:pPr>
        <w:spacing w:before="9"/>
        <w:rPr>
          <w:color w:val="auto"/>
          <w:highlight w:val="none"/>
        </w:rPr>
      </w:pPr>
    </w:p>
    <w:tbl>
      <w:tblPr>
        <w:tblStyle w:val="22"/>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5"/>
      </w:tblGrid>
      <w:tr w14:paraId="5C140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vAlign w:val="top"/>
          </w:tcPr>
          <w:p w14:paraId="6E00C424">
            <w:pPr>
              <w:pStyle w:val="23"/>
              <w:spacing w:before="274" w:line="229" w:lineRule="auto"/>
              <w:ind w:left="769"/>
              <w:rPr>
                <w:color w:val="auto"/>
                <w:highlight w:val="none"/>
              </w:rPr>
            </w:pPr>
            <w:r>
              <w:rPr>
                <w:color w:val="auto"/>
                <w:highlight w:val="none"/>
              </w:rPr>
              <w:t>序</w:t>
            </w:r>
            <w:r>
              <w:rPr>
                <w:color w:val="auto"/>
                <w:spacing w:val="9"/>
                <w:highlight w:val="none"/>
              </w:rPr>
              <w:t xml:space="preserve">    </w:t>
            </w:r>
            <w:r>
              <w:rPr>
                <w:color w:val="auto"/>
                <w:highlight w:val="none"/>
              </w:rPr>
              <w:t>号</w:t>
            </w:r>
          </w:p>
        </w:tc>
        <w:tc>
          <w:tcPr>
            <w:tcW w:w="6525" w:type="dxa"/>
            <w:vAlign w:val="top"/>
          </w:tcPr>
          <w:p w14:paraId="7C079F8D">
            <w:pPr>
              <w:rPr>
                <w:rFonts w:ascii="Arial"/>
                <w:color w:val="auto"/>
                <w:sz w:val="21"/>
                <w:highlight w:val="none"/>
              </w:rPr>
            </w:pPr>
          </w:p>
        </w:tc>
      </w:tr>
      <w:tr w14:paraId="1FDCE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3F00F0E">
            <w:pPr>
              <w:pStyle w:val="23"/>
              <w:spacing w:before="270" w:line="228" w:lineRule="auto"/>
              <w:ind w:left="773"/>
              <w:rPr>
                <w:color w:val="auto"/>
                <w:highlight w:val="none"/>
              </w:rPr>
            </w:pPr>
            <w:r>
              <w:rPr>
                <w:color w:val="auto"/>
                <w:spacing w:val="6"/>
                <w:highlight w:val="none"/>
              </w:rPr>
              <w:t>项目名称</w:t>
            </w:r>
          </w:p>
        </w:tc>
        <w:tc>
          <w:tcPr>
            <w:tcW w:w="6525" w:type="dxa"/>
            <w:vAlign w:val="top"/>
          </w:tcPr>
          <w:p w14:paraId="54F566F4">
            <w:pPr>
              <w:rPr>
                <w:rFonts w:ascii="Arial"/>
                <w:color w:val="auto"/>
                <w:sz w:val="21"/>
                <w:highlight w:val="none"/>
              </w:rPr>
            </w:pPr>
          </w:p>
        </w:tc>
      </w:tr>
      <w:tr w14:paraId="61266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C17FB06">
            <w:pPr>
              <w:pStyle w:val="23"/>
              <w:spacing w:before="272" w:line="228" w:lineRule="auto"/>
              <w:ind w:left="670"/>
              <w:rPr>
                <w:color w:val="auto"/>
                <w:highlight w:val="none"/>
              </w:rPr>
            </w:pPr>
            <w:r>
              <w:rPr>
                <w:color w:val="auto"/>
                <w:spacing w:val="7"/>
                <w:highlight w:val="none"/>
              </w:rPr>
              <w:t>项目所在地</w:t>
            </w:r>
          </w:p>
        </w:tc>
        <w:tc>
          <w:tcPr>
            <w:tcW w:w="6525" w:type="dxa"/>
            <w:vAlign w:val="top"/>
          </w:tcPr>
          <w:p w14:paraId="6C57DF8F">
            <w:pPr>
              <w:rPr>
                <w:rFonts w:ascii="Arial"/>
                <w:color w:val="auto"/>
                <w:sz w:val="21"/>
                <w:highlight w:val="none"/>
              </w:rPr>
            </w:pPr>
          </w:p>
        </w:tc>
      </w:tr>
      <w:tr w14:paraId="3AB27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8A2061D">
            <w:pPr>
              <w:pStyle w:val="23"/>
              <w:spacing w:before="271" w:line="229" w:lineRule="auto"/>
              <w:ind w:left="666"/>
              <w:rPr>
                <w:color w:val="auto"/>
                <w:highlight w:val="none"/>
              </w:rPr>
            </w:pPr>
            <w:r>
              <w:rPr>
                <w:color w:val="auto"/>
                <w:spacing w:val="8"/>
                <w:highlight w:val="none"/>
              </w:rPr>
              <w:t>委托人名称</w:t>
            </w:r>
          </w:p>
        </w:tc>
        <w:tc>
          <w:tcPr>
            <w:tcW w:w="6525" w:type="dxa"/>
            <w:vAlign w:val="top"/>
          </w:tcPr>
          <w:p w14:paraId="43E67457">
            <w:pPr>
              <w:rPr>
                <w:rFonts w:ascii="Arial"/>
                <w:color w:val="auto"/>
                <w:sz w:val="21"/>
                <w:highlight w:val="none"/>
              </w:rPr>
            </w:pPr>
          </w:p>
        </w:tc>
      </w:tr>
      <w:tr w14:paraId="7FA59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1722E49D">
            <w:pPr>
              <w:pStyle w:val="23"/>
              <w:spacing w:before="272" w:line="229" w:lineRule="auto"/>
              <w:ind w:left="666"/>
              <w:rPr>
                <w:color w:val="auto"/>
                <w:highlight w:val="none"/>
              </w:rPr>
            </w:pPr>
            <w:r>
              <w:rPr>
                <w:color w:val="auto"/>
                <w:spacing w:val="8"/>
                <w:highlight w:val="none"/>
              </w:rPr>
              <w:t>委托人地址</w:t>
            </w:r>
          </w:p>
        </w:tc>
        <w:tc>
          <w:tcPr>
            <w:tcW w:w="6525" w:type="dxa"/>
            <w:vAlign w:val="top"/>
          </w:tcPr>
          <w:p w14:paraId="1B2768E9">
            <w:pPr>
              <w:rPr>
                <w:rFonts w:ascii="Arial"/>
                <w:color w:val="auto"/>
                <w:sz w:val="21"/>
                <w:highlight w:val="none"/>
              </w:rPr>
            </w:pPr>
          </w:p>
        </w:tc>
      </w:tr>
      <w:tr w14:paraId="1F374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52590CA">
            <w:pPr>
              <w:pStyle w:val="23"/>
              <w:spacing w:before="272" w:line="229" w:lineRule="auto"/>
              <w:ind w:left="666"/>
              <w:rPr>
                <w:color w:val="auto"/>
                <w:highlight w:val="none"/>
              </w:rPr>
            </w:pPr>
            <w:r>
              <w:rPr>
                <w:color w:val="auto"/>
                <w:spacing w:val="8"/>
                <w:highlight w:val="none"/>
              </w:rPr>
              <w:t>委托人电话</w:t>
            </w:r>
          </w:p>
        </w:tc>
        <w:tc>
          <w:tcPr>
            <w:tcW w:w="6525" w:type="dxa"/>
            <w:vAlign w:val="top"/>
          </w:tcPr>
          <w:p w14:paraId="04121B64">
            <w:pPr>
              <w:rPr>
                <w:rFonts w:ascii="Arial"/>
                <w:color w:val="auto"/>
                <w:sz w:val="21"/>
                <w:highlight w:val="none"/>
              </w:rPr>
            </w:pPr>
          </w:p>
        </w:tc>
      </w:tr>
      <w:tr w14:paraId="49A7E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7BFA8A03">
            <w:pPr>
              <w:pStyle w:val="23"/>
              <w:spacing w:before="272" w:line="228" w:lineRule="auto"/>
              <w:ind w:left="773"/>
              <w:rPr>
                <w:color w:val="auto"/>
                <w:highlight w:val="none"/>
              </w:rPr>
            </w:pPr>
            <w:r>
              <w:rPr>
                <w:color w:val="auto"/>
                <w:spacing w:val="6"/>
                <w:highlight w:val="none"/>
              </w:rPr>
              <w:t>项目等级</w:t>
            </w:r>
          </w:p>
        </w:tc>
        <w:tc>
          <w:tcPr>
            <w:tcW w:w="6525" w:type="dxa"/>
            <w:vAlign w:val="top"/>
          </w:tcPr>
          <w:p w14:paraId="233D16F3">
            <w:pPr>
              <w:rPr>
                <w:rFonts w:ascii="Arial"/>
                <w:color w:val="auto"/>
                <w:sz w:val="21"/>
                <w:highlight w:val="none"/>
              </w:rPr>
            </w:pPr>
          </w:p>
        </w:tc>
      </w:tr>
      <w:tr w14:paraId="73074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F6796F1">
            <w:pPr>
              <w:pStyle w:val="23"/>
              <w:spacing w:before="272" w:line="228" w:lineRule="auto"/>
              <w:ind w:left="670"/>
              <w:rPr>
                <w:color w:val="auto"/>
                <w:highlight w:val="none"/>
              </w:rPr>
            </w:pPr>
            <w:r>
              <w:rPr>
                <w:color w:val="auto"/>
                <w:spacing w:val="7"/>
                <w:highlight w:val="none"/>
              </w:rPr>
              <w:t>项目总投资</w:t>
            </w:r>
          </w:p>
        </w:tc>
        <w:tc>
          <w:tcPr>
            <w:tcW w:w="6525" w:type="dxa"/>
            <w:vAlign w:val="top"/>
          </w:tcPr>
          <w:p w14:paraId="7A3CC937">
            <w:pPr>
              <w:rPr>
                <w:rFonts w:ascii="Arial"/>
                <w:color w:val="auto"/>
                <w:sz w:val="21"/>
                <w:highlight w:val="none"/>
              </w:rPr>
            </w:pPr>
          </w:p>
        </w:tc>
      </w:tr>
      <w:tr w14:paraId="6FEA3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B8A9B">
            <w:pPr>
              <w:pStyle w:val="23"/>
              <w:spacing w:before="273" w:line="228" w:lineRule="auto"/>
              <w:ind w:left="667"/>
              <w:rPr>
                <w:color w:val="auto"/>
                <w:highlight w:val="none"/>
              </w:rPr>
            </w:pPr>
            <w:r>
              <w:rPr>
                <w:color w:val="auto"/>
                <w:spacing w:val="7"/>
                <w:highlight w:val="none"/>
              </w:rPr>
              <w:t>监理服务费</w:t>
            </w:r>
          </w:p>
        </w:tc>
        <w:tc>
          <w:tcPr>
            <w:tcW w:w="6525" w:type="dxa"/>
            <w:vAlign w:val="top"/>
          </w:tcPr>
          <w:p w14:paraId="53DCB06D">
            <w:pPr>
              <w:rPr>
                <w:rFonts w:ascii="Arial"/>
                <w:color w:val="auto"/>
                <w:sz w:val="21"/>
                <w:highlight w:val="none"/>
              </w:rPr>
            </w:pPr>
          </w:p>
        </w:tc>
      </w:tr>
      <w:tr w14:paraId="687D1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B423A7B">
            <w:pPr>
              <w:pStyle w:val="23"/>
              <w:spacing w:before="273" w:line="228" w:lineRule="auto"/>
              <w:ind w:left="562"/>
              <w:rPr>
                <w:color w:val="auto"/>
                <w:highlight w:val="none"/>
              </w:rPr>
            </w:pPr>
            <w:r>
              <w:rPr>
                <w:color w:val="auto"/>
                <w:spacing w:val="8"/>
                <w:highlight w:val="none"/>
              </w:rPr>
              <w:t>监理服务期限</w:t>
            </w:r>
          </w:p>
        </w:tc>
        <w:tc>
          <w:tcPr>
            <w:tcW w:w="6525" w:type="dxa"/>
            <w:vAlign w:val="top"/>
          </w:tcPr>
          <w:p w14:paraId="63631BBD">
            <w:pPr>
              <w:rPr>
                <w:rFonts w:ascii="Arial"/>
                <w:color w:val="auto"/>
                <w:sz w:val="21"/>
                <w:highlight w:val="none"/>
              </w:rPr>
            </w:pPr>
          </w:p>
        </w:tc>
      </w:tr>
      <w:tr w14:paraId="36E02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24F9D8C6">
            <w:pPr>
              <w:pStyle w:val="23"/>
              <w:spacing w:before="273" w:line="228" w:lineRule="auto"/>
              <w:ind w:left="770"/>
              <w:rPr>
                <w:color w:val="auto"/>
                <w:highlight w:val="none"/>
              </w:rPr>
            </w:pPr>
            <w:r>
              <w:rPr>
                <w:color w:val="auto"/>
                <w:spacing w:val="7"/>
                <w:highlight w:val="none"/>
              </w:rPr>
              <w:t>监理内容</w:t>
            </w:r>
          </w:p>
        </w:tc>
        <w:tc>
          <w:tcPr>
            <w:tcW w:w="6525" w:type="dxa"/>
            <w:vAlign w:val="top"/>
          </w:tcPr>
          <w:p w14:paraId="414D59BF">
            <w:pPr>
              <w:rPr>
                <w:rFonts w:ascii="Arial"/>
                <w:color w:val="auto"/>
                <w:sz w:val="21"/>
                <w:highlight w:val="none"/>
              </w:rPr>
            </w:pPr>
          </w:p>
        </w:tc>
      </w:tr>
      <w:tr w14:paraId="319A5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370" w:type="dxa"/>
            <w:vAlign w:val="top"/>
          </w:tcPr>
          <w:p w14:paraId="3C4688C1">
            <w:pPr>
              <w:pStyle w:val="23"/>
              <w:spacing w:before="161" w:line="292" w:lineRule="auto"/>
              <w:ind w:left="771" w:right="134" w:hanging="625"/>
              <w:rPr>
                <w:color w:val="auto"/>
                <w:highlight w:val="none"/>
              </w:rPr>
            </w:pPr>
            <w:r>
              <w:rPr>
                <w:color w:val="auto"/>
                <w:spacing w:val="8"/>
                <w:highlight w:val="none"/>
              </w:rPr>
              <w:t>总监理工程师或驻地监</w:t>
            </w:r>
            <w:r>
              <w:rPr>
                <w:color w:val="auto"/>
                <w:spacing w:val="6"/>
                <w:highlight w:val="none"/>
              </w:rPr>
              <w:t>理工程师</w:t>
            </w:r>
          </w:p>
        </w:tc>
        <w:tc>
          <w:tcPr>
            <w:tcW w:w="6525" w:type="dxa"/>
            <w:vAlign w:val="top"/>
          </w:tcPr>
          <w:p w14:paraId="40AE2298">
            <w:pPr>
              <w:rPr>
                <w:rFonts w:ascii="Arial"/>
                <w:color w:val="auto"/>
                <w:sz w:val="21"/>
                <w:highlight w:val="none"/>
              </w:rPr>
            </w:pPr>
          </w:p>
        </w:tc>
      </w:tr>
      <w:tr w14:paraId="594EF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2370" w:type="dxa"/>
            <w:vAlign w:val="top"/>
          </w:tcPr>
          <w:p w14:paraId="234A6AF5">
            <w:pPr>
              <w:spacing w:line="306" w:lineRule="auto"/>
              <w:rPr>
                <w:rFonts w:ascii="Arial"/>
                <w:color w:val="auto"/>
                <w:sz w:val="21"/>
                <w:highlight w:val="none"/>
              </w:rPr>
            </w:pPr>
          </w:p>
          <w:p w14:paraId="4C6F538F">
            <w:pPr>
              <w:spacing w:line="306" w:lineRule="auto"/>
              <w:rPr>
                <w:rFonts w:ascii="Arial"/>
                <w:color w:val="auto"/>
                <w:sz w:val="21"/>
                <w:highlight w:val="none"/>
              </w:rPr>
            </w:pPr>
          </w:p>
          <w:p w14:paraId="0DB48345">
            <w:pPr>
              <w:pStyle w:val="23"/>
              <w:spacing w:before="65" w:line="228" w:lineRule="auto"/>
              <w:ind w:left="773"/>
              <w:rPr>
                <w:color w:val="auto"/>
                <w:highlight w:val="none"/>
              </w:rPr>
            </w:pPr>
            <w:r>
              <w:rPr>
                <w:color w:val="auto"/>
                <w:spacing w:val="6"/>
                <w:highlight w:val="none"/>
              </w:rPr>
              <w:t>项目描述</w:t>
            </w:r>
          </w:p>
        </w:tc>
        <w:tc>
          <w:tcPr>
            <w:tcW w:w="6525" w:type="dxa"/>
            <w:vAlign w:val="top"/>
          </w:tcPr>
          <w:p w14:paraId="123BBDDF">
            <w:pPr>
              <w:rPr>
                <w:rFonts w:ascii="Arial"/>
                <w:color w:val="auto"/>
                <w:sz w:val="21"/>
                <w:highlight w:val="none"/>
              </w:rPr>
            </w:pPr>
          </w:p>
        </w:tc>
      </w:tr>
      <w:tr w14:paraId="10E61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370" w:type="dxa"/>
            <w:vAlign w:val="top"/>
          </w:tcPr>
          <w:p w14:paraId="731CF42A">
            <w:pPr>
              <w:spacing w:line="296" w:lineRule="auto"/>
              <w:rPr>
                <w:rFonts w:ascii="Arial"/>
                <w:color w:val="auto"/>
                <w:sz w:val="21"/>
                <w:highlight w:val="none"/>
              </w:rPr>
            </w:pPr>
          </w:p>
          <w:p w14:paraId="026120B6">
            <w:pPr>
              <w:pStyle w:val="23"/>
              <w:spacing w:before="65" w:line="229" w:lineRule="auto"/>
              <w:ind w:left="983"/>
              <w:rPr>
                <w:color w:val="auto"/>
                <w:highlight w:val="none"/>
              </w:rPr>
            </w:pPr>
            <w:r>
              <w:rPr>
                <w:color w:val="auto"/>
                <w:spacing w:val="3"/>
                <w:highlight w:val="none"/>
              </w:rPr>
              <w:t>备注</w:t>
            </w:r>
          </w:p>
        </w:tc>
        <w:tc>
          <w:tcPr>
            <w:tcW w:w="6525" w:type="dxa"/>
            <w:vAlign w:val="top"/>
          </w:tcPr>
          <w:p w14:paraId="5055BE38">
            <w:pPr>
              <w:rPr>
                <w:rFonts w:ascii="Arial"/>
                <w:color w:val="auto"/>
                <w:sz w:val="21"/>
                <w:highlight w:val="none"/>
              </w:rPr>
            </w:pPr>
          </w:p>
        </w:tc>
      </w:tr>
    </w:tbl>
    <w:p w14:paraId="1D3650E4">
      <w:pPr>
        <w:spacing w:before="30" w:line="228" w:lineRule="auto"/>
        <w:ind w:left="1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注：1.每张表格只填写一个项目，并标明序号，序号应与汇总表中一致。</w:t>
      </w:r>
    </w:p>
    <w:p w14:paraId="62B9B45D">
      <w:pPr>
        <w:spacing w:before="161" w:line="227"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3.5.2</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28142CC8">
      <w:pPr>
        <w:spacing w:before="162" w:line="303" w:lineRule="auto"/>
        <w:ind w:left="706" w:hanging="16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3.如近年来，投标人法人机构发生合法变更或重组或法人名称变更时，应提供相关部门的合法</w:t>
      </w:r>
      <w:r>
        <w:rPr>
          <w:rFonts w:ascii="宋体" w:hAnsi="宋体" w:eastAsia="宋体" w:cs="宋体"/>
          <w:color w:val="auto"/>
          <w:spacing w:val="9"/>
          <w:sz w:val="20"/>
          <w:szCs w:val="20"/>
          <w:highlight w:val="none"/>
        </w:rPr>
        <w:t>批件或其他相关证明材料来证明其所附业绩的继承性。</w:t>
      </w:r>
    </w:p>
    <w:p w14:paraId="582D5469">
      <w:pPr>
        <w:spacing w:before="162" w:line="228" w:lineRule="auto"/>
        <w:ind w:left="5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4.以联合体形式参与投标的，联合体各成员应分别</w:t>
      </w:r>
      <w:r>
        <w:rPr>
          <w:rFonts w:ascii="宋体" w:hAnsi="宋体" w:eastAsia="宋体" w:cs="宋体"/>
          <w:color w:val="auto"/>
          <w:spacing w:val="8"/>
          <w:sz w:val="20"/>
          <w:szCs w:val="20"/>
          <w:highlight w:val="none"/>
        </w:rPr>
        <w:t>填写。</w:t>
      </w:r>
    </w:p>
    <w:p w14:paraId="4EDC86F5">
      <w:pPr>
        <w:spacing w:line="228" w:lineRule="auto"/>
        <w:rPr>
          <w:rFonts w:ascii="宋体" w:hAnsi="宋体" w:eastAsia="宋体" w:cs="宋体"/>
          <w:color w:val="auto"/>
          <w:sz w:val="20"/>
          <w:szCs w:val="20"/>
          <w:highlight w:val="none"/>
        </w:rPr>
        <w:sectPr>
          <w:footerReference r:id="rId50" w:type="default"/>
          <w:pgSz w:w="11906" w:h="16839"/>
          <w:pgMar w:top="1401" w:right="1418" w:bottom="1297" w:left="1304" w:header="0" w:footer="1067" w:gutter="0"/>
          <w:pgBorders>
            <w:top w:val="none" w:sz="0" w:space="0"/>
            <w:left w:val="none" w:sz="0" w:space="0"/>
            <w:bottom w:val="none" w:sz="0" w:space="0"/>
            <w:right w:val="none" w:sz="0" w:space="0"/>
          </w:pgBorders>
          <w:pgNumType w:fmt="decimal"/>
          <w:cols w:space="720" w:num="1"/>
        </w:sectPr>
      </w:pPr>
    </w:p>
    <w:p w14:paraId="22FE08D3">
      <w:pPr>
        <w:spacing w:before="59" w:line="219" w:lineRule="auto"/>
        <w:ind w:left="2865"/>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（五）投标人的信誉情况表</w:t>
      </w:r>
    </w:p>
    <w:p w14:paraId="4E8A8737">
      <w:pPr>
        <w:spacing w:before="214"/>
        <w:rPr>
          <w:color w:val="auto"/>
          <w:highlight w:val="none"/>
        </w:rPr>
      </w:pPr>
    </w:p>
    <w:tbl>
      <w:tblPr>
        <w:tblStyle w:val="22"/>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7A16F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263" w:type="dxa"/>
            <w:vAlign w:val="top"/>
          </w:tcPr>
          <w:p w14:paraId="1F0ED77F">
            <w:pPr>
              <w:spacing w:line="336" w:lineRule="auto"/>
              <w:rPr>
                <w:rFonts w:ascii="Arial"/>
                <w:color w:val="auto"/>
                <w:sz w:val="21"/>
                <w:highlight w:val="none"/>
              </w:rPr>
            </w:pPr>
          </w:p>
          <w:p w14:paraId="4980FDA6">
            <w:pPr>
              <w:pStyle w:val="23"/>
              <w:spacing w:before="62" w:line="229" w:lineRule="auto"/>
              <w:ind w:left="1891"/>
              <w:rPr>
                <w:color w:val="auto"/>
                <w:sz w:val="19"/>
                <w:szCs w:val="19"/>
                <w:highlight w:val="none"/>
              </w:rPr>
            </w:pPr>
            <w:r>
              <w:rPr>
                <w:color w:val="auto"/>
                <w:spacing w:val="-1"/>
                <w:sz w:val="19"/>
                <w:szCs w:val="19"/>
                <w:highlight w:val="none"/>
              </w:rPr>
              <w:t>项</w:t>
            </w:r>
            <w:r>
              <w:rPr>
                <w:color w:val="auto"/>
                <w:spacing w:val="51"/>
                <w:sz w:val="19"/>
                <w:szCs w:val="19"/>
                <w:highlight w:val="none"/>
              </w:rPr>
              <w:t xml:space="preserve"> </w:t>
            </w:r>
            <w:r>
              <w:rPr>
                <w:color w:val="auto"/>
                <w:spacing w:val="-1"/>
                <w:sz w:val="19"/>
                <w:szCs w:val="19"/>
                <w:highlight w:val="none"/>
              </w:rPr>
              <w:t>目</w:t>
            </w:r>
          </w:p>
        </w:tc>
        <w:tc>
          <w:tcPr>
            <w:tcW w:w="4263" w:type="dxa"/>
            <w:vAlign w:val="top"/>
          </w:tcPr>
          <w:p w14:paraId="5D76A842">
            <w:pPr>
              <w:spacing w:line="337" w:lineRule="auto"/>
              <w:rPr>
                <w:rFonts w:ascii="Arial"/>
                <w:color w:val="auto"/>
                <w:sz w:val="21"/>
                <w:highlight w:val="none"/>
              </w:rPr>
            </w:pPr>
          </w:p>
          <w:p w14:paraId="664B7A23">
            <w:pPr>
              <w:pStyle w:val="23"/>
              <w:spacing w:before="61" w:line="228" w:lineRule="auto"/>
              <w:ind w:left="1438"/>
              <w:rPr>
                <w:color w:val="auto"/>
                <w:sz w:val="19"/>
                <w:szCs w:val="19"/>
                <w:highlight w:val="none"/>
              </w:rPr>
            </w:pPr>
            <w:r>
              <w:rPr>
                <w:color w:val="auto"/>
                <w:spacing w:val="8"/>
                <w:sz w:val="19"/>
                <w:szCs w:val="19"/>
                <w:highlight w:val="none"/>
              </w:rPr>
              <w:t>投标人情况说明</w:t>
            </w:r>
          </w:p>
        </w:tc>
      </w:tr>
      <w:tr w14:paraId="42BDD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299374D4">
            <w:pPr>
              <w:rPr>
                <w:rFonts w:ascii="Arial"/>
                <w:color w:val="auto"/>
                <w:sz w:val="21"/>
                <w:highlight w:val="none"/>
              </w:rPr>
            </w:pPr>
          </w:p>
        </w:tc>
        <w:tc>
          <w:tcPr>
            <w:tcW w:w="4263" w:type="dxa"/>
            <w:vAlign w:val="top"/>
          </w:tcPr>
          <w:p w14:paraId="42E0C083">
            <w:pPr>
              <w:rPr>
                <w:rFonts w:ascii="Arial"/>
                <w:color w:val="auto"/>
                <w:sz w:val="21"/>
                <w:highlight w:val="none"/>
              </w:rPr>
            </w:pPr>
          </w:p>
        </w:tc>
      </w:tr>
      <w:tr w14:paraId="19931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6F7E7D91">
            <w:pPr>
              <w:rPr>
                <w:rFonts w:ascii="Arial"/>
                <w:color w:val="auto"/>
                <w:sz w:val="21"/>
                <w:highlight w:val="none"/>
              </w:rPr>
            </w:pPr>
          </w:p>
        </w:tc>
        <w:tc>
          <w:tcPr>
            <w:tcW w:w="4263" w:type="dxa"/>
            <w:vAlign w:val="top"/>
          </w:tcPr>
          <w:p w14:paraId="1A3DE7A4">
            <w:pPr>
              <w:rPr>
                <w:rFonts w:ascii="Arial"/>
                <w:color w:val="auto"/>
                <w:sz w:val="21"/>
                <w:highlight w:val="none"/>
              </w:rPr>
            </w:pPr>
          </w:p>
        </w:tc>
      </w:tr>
      <w:tr w14:paraId="649C2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2FD0A2EB">
            <w:pPr>
              <w:rPr>
                <w:rFonts w:ascii="Arial"/>
                <w:color w:val="auto"/>
                <w:sz w:val="21"/>
                <w:highlight w:val="none"/>
              </w:rPr>
            </w:pPr>
          </w:p>
        </w:tc>
        <w:tc>
          <w:tcPr>
            <w:tcW w:w="4263" w:type="dxa"/>
            <w:vAlign w:val="top"/>
          </w:tcPr>
          <w:p w14:paraId="54985D8D">
            <w:pPr>
              <w:rPr>
                <w:rFonts w:ascii="Arial"/>
                <w:color w:val="auto"/>
                <w:sz w:val="21"/>
                <w:highlight w:val="none"/>
              </w:rPr>
            </w:pPr>
          </w:p>
        </w:tc>
      </w:tr>
      <w:tr w14:paraId="06B55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4263" w:type="dxa"/>
            <w:vAlign w:val="top"/>
          </w:tcPr>
          <w:p w14:paraId="0F13ECC2">
            <w:pPr>
              <w:rPr>
                <w:rFonts w:ascii="Arial"/>
                <w:color w:val="auto"/>
                <w:sz w:val="21"/>
                <w:highlight w:val="none"/>
              </w:rPr>
            </w:pPr>
          </w:p>
        </w:tc>
        <w:tc>
          <w:tcPr>
            <w:tcW w:w="4263" w:type="dxa"/>
            <w:vAlign w:val="top"/>
          </w:tcPr>
          <w:p w14:paraId="0D400F1E">
            <w:pPr>
              <w:rPr>
                <w:rFonts w:ascii="Arial"/>
                <w:color w:val="auto"/>
                <w:sz w:val="21"/>
                <w:highlight w:val="none"/>
              </w:rPr>
            </w:pPr>
          </w:p>
        </w:tc>
      </w:tr>
      <w:tr w14:paraId="13277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743D8D7D">
            <w:pPr>
              <w:rPr>
                <w:rFonts w:ascii="Arial"/>
                <w:color w:val="auto"/>
                <w:sz w:val="21"/>
                <w:highlight w:val="none"/>
              </w:rPr>
            </w:pPr>
          </w:p>
        </w:tc>
        <w:tc>
          <w:tcPr>
            <w:tcW w:w="4263" w:type="dxa"/>
            <w:vAlign w:val="top"/>
          </w:tcPr>
          <w:p w14:paraId="4BA96897">
            <w:pPr>
              <w:rPr>
                <w:rFonts w:ascii="Arial"/>
                <w:color w:val="auto"/>
                <w:sz w:val="21"/>
                <w:highlight w:val="none"/>
              </w:rPr>
            </w:pPr>
          </w:p>
        </w:tc>
      </w:tr>
      <w:tr w14:paraId="15B32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4263" w:type="dxa"/>
            <w:vAlign w:val="top"/>
          </w:tcPr>
          <w:p w14:paraId="1FC20DBC">
            <w:pPr>
              <w:rPr>
                <w:rFonts w:ascii="Arial"/>
                <w:color w:val="auto"/>
                <w:sz w:val="21"/>
                <w:highlight w:val="none"/>
              </w:rPr>
            </w:pPr>
          </w:p>
        </w:tc>
        <w:tc>
          <w:tcPr>
            <w:tcW w:w="4263" w:type="dxa"/>
            <w:vAlign w:val="top"/>
          </w:tcPr>
          <w:p w14:paraId="23009D2D">
            <w:pPr>
              <w:rPr>
                <w:rFonts w:ascii="Arial"/>
                <w:color w:val="auto"/>
                <w:sz w:val="21"/>
                <w:highlight w:val="none"/>
              </w:rPr>
            </w:pPr>
          </w:p>
        </w:tc>
      </w:tr>
    </w:tbl>
    <w:p w14:paraId="34595D60">
      <w:pPr>
        <w:spacing w:before="303" w:line="377" w:lineRule="auto"/>
        <w:ind w:left="542" w:hanging="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注：1.投标人应按照招标文件第二章“投</w:t>
      </w:r>
      <w:r>
        <w:rPr>
          <w:rFonts w:ascii="宋体" w:hAnsi="宋体" w:eastAsia="宋体" w:cs="宋体"/>
          <w:color w:val="auto"/>
          <w:spacing w:val="8"/>
          <w:sz w:val="20"/>
          <w:szCs w:val="20"/>
          <w:highlight w:val="none"/>
        </w:rPr>
        <w:t>标人须知</w:t>
      </w:r>
      <w:r>
        <w:rPr>
          <w:rFonts w:ascii="宋体" w:hAnsi="宋体" w:eastAsia="宋体" w:cs="宋体"/>
          <w:color w:val="auto"/>
          <w:spacing w:val="-67"/>
          <w:sz w:val="20"/>
          <w:szCs w:val="20"/>
          <w:highlight w:val="none"/>
        </w:rPr>
        <w:t xml:space="preserve"> </w:t>
      </w:r>
      <w:r>
        <w:rPr>
          <w:rFonts w:ascii="宋体" w:hAnsi="宋体" w:eastAsia="宋体" w:cs="宋体"/>
          <w:color w:val="auto"/>
          <w:spacing w:val="8"/>
          <w:sz w:val="20"/>
          <w:szCs w:val="20"/>
          <w:highlight w:val="none"/>
        </w:rPr>
        <w:t>”前附表附录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和“投标人须知</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”正文第</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1.4.4项规定，逐条说明其信誉情况。</w:t>
      </w:r>
    </w:p>
    <w:p w14:paraId="383DB415">
      <w:pPr>
        <w:spacing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3.5.3</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20DE3DA5">
      <w:pPr>
        <w:spacing w:before="163" w:line="228" w:lineRule="auto"/>
        <w:ind w:left="54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3.以联合体形式参与投标的，联合体各成员应分别填写。</w:t>
      </w:r>
    </w:p>
    <w:p w14:paraId="270251C3">
      <w:pPr>
        <w:spacing w:line="228" w:lineRule="auto"/>
        <w:rPr>
          <w:rFonts w:ascii="宋体" w:hAnsi="宋体" w:eastAsia="宋体" w:cs="宋体"/>
          <w:color w:val="auto"/>
          <w:sz w:val="20"/>
          <w:szCs w:val="20"/>
          <w:highlight w:val="none"/>
        </w:rPr>
        <w:sectPr>
          <w:footerReference r:id="rId51" w:type="default"/>
          <w:pgSz w:w="11906" w:h="16839"/>
          <w:pgMar w:top="1401" w:right="1419" w:bottom="1297" w:left="1304" w:header="0" w:footer="1069" w:gutter="0"/>
          <w:pgBorders>
            <w:top w:val="none" w:sz="0" w:space="0"/>
            <w:left w:val="none" w:sz="0" w:space="0"/>
            <w:bottom w:val="none" w:sz="0" w:space="0"/>
            <w:right w:val="none" w:sz="0" w:space="0"/>
          </w:pgBorders>
          <w:pgNumType w:fmt="decimal"/>
          <w:cols w:space="720" w:num="1"/>
        </w:sectPr>
      </w:pPr>
    </w:p>
    <w:p w14:paraId="05C341A9">
      <w:pPr>
        <w:spacing w:before="59" w:line="219" w:lineRule="auto"/>
        <w:ind w:left="1052"/>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（六）拟委任的总监理工程师或驻地监理工程</w:t>
      </w:r>
      <w:r>
        <w:rPr>
          <w:rFonts w:ascii="宋体" w:hAnsi="宋体" w:eastAsia="宋体" w:cs="宋体"/>
          <w:b/>
          <w:bCs/>
          <w:color w:val="auto"/>
          <w:spacing w:val="-4"/>
          <w:sz w:val="30"/>
          <w:szCs w:val="30"/>
          <w:highlight w:val="none"/>
        </w:rPr>
        <w:t>师资历表</w:t>
      </w:r>
    </w:p>
    <w:p w14:paraId="6FE27D82">
      <w:pPr>
        <w:spacing w:before="147"/>
        <w:rPr>
          <w:color w:val="auto"/>
          <w:highlight w:val="none"/>
        </w:rPr>
      </w:pPr>
    </w:p>
    <w:tbl>
      <w:tblPr>
        <w:tblStyle w:val="22"/>
        <w:tblW w:w="87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51"/>
        <w:gridCol w:w="1151"/>
        <w:gridCol w:w="302"/>
        <w:gridCol w:w="1059"/>
        <w:gridCol w:w="1380"/>
        <w:gridCol w:w="337"/>
        <w:gridCol w:w="1543"/>
        <w:gridCol w:w="386"/>
        <w:gridCol w:w="1287"/>
      </w:tblGrid>
      <w:tr w14:paraId="09ACD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239" w:type="dxa"/>
            <w:vAlign w:val="top"/>
          </w:tcPr>
          <w:p w14:paraId="7C71B90D">
            <w:pPr>
              <w:spacing w:line="355" w:lineRule="auto"/>
              <w:rPr>
                <w:rFonts w:ascii="Arial"/>
                <w:color w:val="auto"/>
                <w:sz w:val="21"/>
                <w:highlight w:val="none"/>
              </w:rPr>
            </w:pPr>
          </w:p>
          <w:p w14:paraId="682A1749">
            <w:pPr>
              <w:pStyle w:val="23"/>
              <w:spacing w:before="65" w:line="228" w:lineRule="auto"/>
              <w:ind w:left="205"/>
              <w:rPr>
                <w:color w:val="auto"/>
                <w:highlight w:val="none"/>
              </w:rPr>
            </w:pPr>
            <w:r>
              <w:rPr>
                <w:color w:val="auto"/>
                <w:highlight w:val="none"/>
              </w:rPr>
              <w:t>姓</w:t>
            </w:r>
            <w:r>
              <w:rPr>
                <w:color w:val="auto"/>
                <w:spacing w:val="7"/>
                <w:highlight w:val="none"/>
              </w:rPr>
              <w:t xml:space="preserve">    </w:t>
            </w:r>
            <w:r>
              <w:rPr>
                <w:color w:val="auto"/>
                <w:highlight w:val="none"/>
              </w:rPr>
              <w:t>名</w:t>
            </w:r>
          </w:p>
        </w:tc>
        <w:tc>
          <w:tcPr>
            <w:tcW w:w="1504" w:type="dxa"/>
            <w:gridSpan w:val="3"/>
            <w:vAlign w:val="top"/>
          </w:tcPr>
          <w:p w14:paraId="70A56F56">
            <w:pPr>
              <w:rPr>
                <w:rFonts w:ascii="Arial"/>
                <w:color w:val="auto"/>
                <w:sz w:val="21"/>
                <w:highlight w:val="none"/>
              </w:rPr>
            </w:pPr>
          </w:p>
        </w:tc>
        <w:tc>
          <w:tcPr>
            <w:tcW w:w="1059" w:type="dxa"/>
            <w:vAlign w:val="top"/>
          </w:tcPr>
          <w:p w14:paraId="48FB33AD">
            <w:pPr>
              <w:spacing w:line="355" w:lineRule="auto"/>
              <w:rPr>
                <w:rFonts w:ascii="Arial"/>
                <w:color w:val="auto"/>
                <w:sz w:val="21"/>
                <w:highlight w:val="none"/>
              </w:rPr>
            </w:pPr>
          </w:p>
          <w:p w14:paraId="2AFCA03C">
            <w:pPr>
              <w:pStyle w:val="23"/>
              <w:spacing w:before="65" w:line="228" w:lineRule="auto"/>
              <w:ind w:left="115"/>
              <w:rPr>
                <w:color w:val="auto"/>
                <w:highlight w:val="none"/>
              </w:rPr>
            </w:pPr>
            <w:r>
              <w:rPr>
                <w:color w:val="auto"/>
                <w:highlight w:val="none"/>
              </w:rPr>
              <w:t>年</w:t>
            </w:r>
            <w:r>
              <w:rPr>
                <w:color w:val="auto"/>
                <w:spacing w:val="7"/>
                <w:highlight w:val="none"/>
              </w:rPr>
              <w:t xml:space="preserve">    </w:t>
            </w:r>
            <w:r>
              <w:rPr>
                <w:color w:val="auto"/>
                <w:highlight w:val="none"/>
              </w:rPr>
              <w:t>龄</w:t>
            </w:r>
          </w:p>
        </w:tc>
        <w:tc>
          <w:tcPr>
            <w:tcW w:w="1380" w:type="dxa"/>
            <w:vAlign w:val="top"/>
          </w:tcPr>
          <w:p w14:paraId="2D6AAE70">
            <w:pPr>
              <w:rPr>
                <w:rFonts w:ascii="Arial"/>
                <w:color w:val="auto"/>
                <w:sz w:val="21"/>
                <w:highlight w:val="none"/>
              </w:rPr>
            </w:pPr>
          </w:p>
        </w:tc>
        <w:tc>
          <w:tcPr>
            <w:tcW w:w="1880" w:type="dxa"/>
            <w:gridSpan w:val="2"/>
            <w:vAlign w:val="top"/>
          </w:tcPr>
          <w:p w14:paraId="4CC5BFBA">
            <w:pPr>
              <w:pStyle w:val="23"/>
              <w:spacing w:before="223" w:line="321" w:lineRule="auto"/>
              <w:ind w:left="635" w:right="98" w:hanging="529"/>
              <w:rPr>
                <w:color w:val="auto"/>
                <w:highlight w:val="none"/>
              </w:rPr>
            </w:pPr>
            <w:r>
              <w:rPr>
                <w:color w:val="auto"/>
                <w:spacing w:val="8"/>
                <w:highlight w:val="none"/>
              </w:rPr>
              <w:t>执业或职业资格证</w:t>
            </w:r>
            <w:r>
              <w:rPr>
                <w:color w:val="auto"/>
                <w:spacing w:val="5"/>
                <w:highlight w:val="none"/>
              </w:rPr>
              <w:t>书名称</w:t>
            </w:r>
          </w:p>
        </w:tc>
        <w:tc>
          <w:tcPr>
            <w:tcW w:w="1673" w:type="dxa"/>
            <w:gridSpan w:val="2"/>
            <w:vAlign w:val="top"/>
          </w:tcPr>
          <w:p w14:paraId="1C0ED022">
            <w:pPr>
              <w:rPr>
                <w:rFonts w:ascii="Arial"/>
                <w:color w:val="auto"/>
                <w:sz w:val="21"/>
                <w:highlight w:val="none"/>
              </w:rPr>
            </w:pPr>
          </w:p>
        </w:tc>
      </w:tr>
      <w:tr w14:paraId="06A7A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239" w:type="dxa"/>
            <w:vAlign w:val="top"/>
          </w:tcPr>
          <w:p w14:paraId="19FED1D1">
            <w:pPr>
              <w:spacing w:line="381" w:lineRule="auto"/>
              <w:rPr>
                <w:rFonts w:ascii="Arial"/>
                <w:color w:val="auto"/>
                <w:sz w:val="21"/>
                <w:highlight w:val="none"/>
              </w:rPr>
            </w:pPr>
          </w:p>
          <w:p w14:paraId="48448FD3">
            <w:pPr>
              <w:pStyle w:val="23"/>
              <w:spacing w:before="65" w:line="228" w:lineRule="auto"/>
              <w:ind w:left="206"/>
              <w:rPr>
                <w:color w:val="auto"/>
                <w:highlight w:val="none"/>
              </w:rPr>
            </w:pPr>
            <w:r>
              <w:rPr>
                <w:color w:val="auto"/>
                <w:spacing w:val="7"/>
                <w:highlight w:val="none"/>
              </w:rPr>
              <w:t>技术职称</w:t>
            </w:r>
          </w:p>
        </w:tc>
        <w:tc>
          <w:tcPr>
            <w:tcW w:w="1504" w:type="dxa"/>
            <w:gridSpan w:val="3"/>
            <w:vAlign w:val="top"/>
          </w:tcPr>
          <w:p w14:paraId="122B5C42">
            <w:pPr>
              <w:rPr>
                <w:rFonts w:ascii="Arial"/>
                <w:color w:val="auto"/>
                <w:sz w:val="21"/>
                <w:highlight w:val="none"/>
              </w:rPr>
            </w:pPr>
          </w:p>
        </w:tc>
        <w:tc>
          <w:tcPr>
            <w:tcW w:w="1059" w:type="dxa"/>
            <w:vAlign w:val="top"/>
          </w:tcPr>
          <w:p w14:paraId="024E70E6">
            <w:pPr>
              <w:spacing w:line="381" w:lineRule="auto"/>
              <w:rPr>
                <w:rFonts w:ascii="Arial"/>
                <w:color w:val="auto"/>
                <w:sz w:val="21"/>
                <w:highlight w:val="none"/>
              </w:rPr>
            </w:pPr>
          </w:p>
          <w:p w14:paraId="33CFAA39">
            <w:pPr>
              <w:pStyle w:val="23"/>
              <w:spacing w:before="66" w:line="229" w:lineRule="auto"/>
              <w:ind w:left="118"/>
              <w:rPr>
                <w:color w:val="auto"/>
                <w:highlight w:val="none"/>
              </w:rPr>
            </w:pPr>
            <w:r>
              <w:rPr>
                <w:color w:val="auto"/>
                <w:spacing w:val="-2"/>
                <w:highlight w:val="none"/>
              </w:rPr>
              <w:t>学</w:t>
            </w:r>
            <w:r>
              <w:rPr>
                <w:color w:val="auto"/>
                <w:spacing w:val="8"/>
                <w:highlight w:val="none"/>
              </w:rPr>
              <w:t xml:space="preserve">    </w:t>
            </w:r>
            <w:r>
              <w:rPr>
                <w:color w:val="auto"/>
                <w:spacing w:val="-2"/>
                <w:highlight w:val="none"/>
              </w:rPr>
              <w:t>历</w:t>
            </w:r>
          </w:p>
        </w:tc>
        <w:tc>
          <w:tcPr>
            <w:tcW w:w="1380" w:type="dxa"/>
            <w:vAlign w:val="top"/>
          </w:tcPr>
          <w:p w14:paraId="771C64B9">
            <w:pPr>
              <w:rPr>
                <w:rFonts w:ascii="Arial"/>
                <w:color w:val="auto"/>
                <w:sz w:val="21"/>
                <w:highlight w:val="none"/>
              </w:rPr>
            </w:pPr>
          </w:p>
        </w:tc>
        <w:tc>
          <w:tcPr>
            <w:tcW w:w="1880" w:type="dxa"/>
            <w:gridSpan w:val="2"/>
            <w:vAlign w:val="top"/>
          </w:tcPr>
          <w:p w14:paraId="193D5DFD">
            <w:pPr>
              <w:pStyle w:val="23"/>
              <w:spacing w:before="222" w:line="347" w:lineRule="auto"/>
              <w:ind w:left="528" w:right="413" w:hanging="108"/>
              <w:rPr>
                <w:color w:val="auto"/>
                <w:highlight w:val="none"/>
              </w:rPr>
            </w:pPr>
            <w:r>
              <w:rPr>
                <w:color w:val="auto"/>
                <w:spacing w:val="8"/>
                <w:highlight w:val="none"/>
              </w:rPr>
              <w:t>拟在本标段</w:t>
            </w:r>
            <w:r>
              <w:rPr>
                <w:color w:val="auto"/>
                <w:spacing w:val="6"/>
                <w:highlight w:val="none"/>
              </w:rPr>
              <w:t>工程任职</w:t>
            </w:r>
          </w:p>
        </w:tc>
        <w:tc>
          <w:tcPr>
            <w:tcW w:w="1673" w:type="dxa"/>
            <w:gridSpan w:val="2"/>
            <w:vAlign w:val="top"/>
          </w:tcPr>
          <w:p w14:paraId="0AB99A43">
            <w:pPr>
              <w:rPr>
                <w:rFonts w:ascii="Arial"/>
                <w:color w:val="auto"/>
                <w:sz w:val="21"/>
                <w:highlight w:val="none"/>
              </w:rPr>
            </w:pPr>
          </w:p>
        </w:tc>
      </w:tr>
      <w:tr w14:paraId="39CF6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39" w:type="dxa"/>
            <w:vAlign w:val="top"/>
          </w:tcPr>
          <w:p w14:paraId="5DF22BFA">
            <w:pPr>
              <w:rPr>
                <w:rFonts w:ascii="Arial"/>
                <w:color w:val="auto"/>
                <w:sz w:val="21"/>
                <w:highlight w:val="none"/>
              </w:rPr>
            </w:pPr>
          </w:p>
          <w:p w14:paraId="05BEECF0">
            <w:pPr>
              <w:pStyle w:val="23"/>
              <w:spacing w:before="65" w:line="228" w:lineRule="auto"/>
              <w:ind w:left="207"/>
              <w:rPr>
                <w:color w:val="auto"/>
                <w:highlight w:val="none"/>
              </w:rPr>
            </w:pPr>
            <w:r>
              <w:rPr>
                <w:color w:val="auto"/>
                <w:spacing w:val="6"/>
                <w:highlight w:val="none"/>
              </w:rPr>
              <w:t>工作年限</w:t>
            </w:r>
          </w:p>
        </w:tc>
        <w:tc>
          <w:tcPr>
            <w:tcW w:w="3943" w:type="dxa"/>
            <w:gridSpan w:val="5"/>
            <w:vAlign w:val="top"/>
          </w:tcPr>
          <w:p w14:paraId="0FE4D5A9">
            <w:pPr>
              <w:rPr>
                <w:rFonts w:ascii="Arial"/>
                <w:color w:val="auto"/>
                <w:sz w:val="21"/>
                <w:highlight w:val="none"/>
              </w:rPr>
            </w:pPr>
          </w:p>
        </w:tc>
        <w:tc>
          <w:tcPr>
            <w:tcW w:w="1880" w:type="dxa"/>
            <w:gridSpan w:val="2"/>
            <w:vAlign w:val="top"/>
          </w:tcPr>
          <w:p w14:paraId="08573590">
            <w:pPr>
              <w:rPr>
                <w:rFonts w:ascii="Arial"/>
                <w:color w:val="auto"/>
                <w:sz w:val="21"/>
                <w:highlight w:val="none"/>
              </w:rPr>
            </w:pPr>
          </w:p>
          <w:p w14:paraId="3FD2E9B0">
            <w:pPr>
              <w:pStyle w:val="23"/>
              <w:spacing w:before="65" w:line="228" w:lineRule="auto"/>
              <w:ind w:left="109"/>
              <w:rPr>
                <w:color w:val="auto"/>
                <w:highlight w:val="none"/>
              </w:rPr>
            </w:pPr>
            <w:r>
              <w:rPr>
                <w:color w:val="auto"/>
                <w:spacing w:val="8"/>
                <w:highlight w:val="none"/>
              </w:rPr>
              <w:t>从事监理工作年限</w:t>
            </w:r>
          </w:p>
        </w:tc>
        <w:tc>
          <w:tcPr>
            <w:tcW w:w="1673" w:type="dxa"/>
            <w:gridSpan w:val="2"/>
            <w:vAlign w:val="top"/>
          </w:tcPr>
          <w:p w14:paraId="34D4C06E">
            <w:pPr>
              <w:rPr>
                <w:rFonts w:ascii="Arial"/>
                <w:color w:val="auto"/>
                <w:sz w:val="21"/>
                <w:highlight w:val="none"/>
              </w:rPr>
            </w:pPr>
          </w:p>
        </w:tc>
      </w:tr>
      <w:tr w14:paraId="2632A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39" w:type="dxa"/>
            <w:vAlign w:val="top"/>
          </w:tcPr>
          <w:p w14:paraId="18ABBBEF">
            <w:pPr>
              <w:pStyle w:val="23"/>
              <w:spacing w:before="221" w:line="228" w:lineRule="auto"/>
              <w:ind w:left="209"/>
              <w:rPr>
                <w:color w:val="auto"/>
                <w:highlight w:val="none"/>
              </w:rPr>
            </w:pPr>
            <w:r>
              <w:rPr>
                <w:color w:val="auto"/>
                <w:spacing w:val="6"/>
                <w:highlight w:val="none"/>
              </w:rPr>
              <w:t>毕业学校</w:t>
            </w:r>
          </w:p>
        </w:tc>
        <w:tc>
          <w:tcPr>
            <w:tcW w:w="7496" w:type="dxa"/>
            <w:gridSpan w:val="9"/>
            <w:vAlign w:val="top"/>
          </w:tcPr>
          <w:p w14:paraId="76FA5C48">
            <w:pPr>
              <w:pStyle w:val="23"/>
              <w:spacing w:before="222" w:line="221" w:lineRule="auto"/>
              <w:ind w:left="237"/>
              <w:rPr>
                <w:color w:val="auto"/>
                <w:highlight w:val="none"/>
              </w:rPr>
            </w:pPr>
            <w:r>
              <w:rPr>
                <w:color w:val="auto"/>
                <w:spacing w:val="2"/>
                <w:highlight w:val="none"/>
              </w:rPr>
              <w:t>______年___月毕业于______________学校____________专业，学制______年</w:t>
            </w:r>
          </w:p>
        </w:tc>
      </w:tr>
      <w:tr w14:paraId="02833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5" w:type="dxa"/>
            <w:gridSpan w:val="10"/>
            <w:vAlign w:val="top"/>
          </w:tcPr>
          <w:p w14:paraId="49A32BAE">
            <w:pPr>
              <w:pStyle w:val="23"/>
              <w:spacing w:before="221" w:line="231" w:lineRule="auto"/>
              <w:ind w:left="3691"/>
              <w:rPr>
                <w:color w:val="auto"/>
                <w:highlight w:val="none"/>
              </w:rPr>
            </w:pPr>
            <w:r>
              <w:rPr>
                <w:color w:val="auto"/>
                <w:spacing w:val="-1"/>
                <w:highlight w:val="none"/>
              </w:rPr>
              <w:t>经</w:t>
            </w:r>
            <w:r>
              <w:rPr>
                <w:color w:val="auto"/>
                <w:spacing w:val="6"/>
                <w:highlight w:val="none"/>
              </w:rPr>
              <w:t xml:space="preserve">         </w:t>
            </w:r>
            <w:r>
              <w:rPr>
                <w:color w:val="auto"/>
                <w:spacing w:val="-1"/>
                <w:highlight w:val="none"/>
              </w:rPr>
              <w:t>历</w:t>
            </w:r>
          </w:p>
        </w:tc>
      </w:tr>
      <w:tr w14:paraId="71007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90" w:type="dxa"/>
            <w:gridSpan w:val="2"/>
            <w:vAlign w:val="top"/>
          </w:tcPr>
          <w:p w14:paraId="7426990D">
            <w:pPr>
              <w:spacing w:line="354" w:lineRule="auto"/>
              <w:rPr>
                <w:rFonts w:ascii="Arial"/>
                <w:color w:val="auto"/>
                <w:sz w:val="21"/>
                <w:highlight w:val="none"/>
              </w:rPr>
            </w:pPr>
          </w:p>
          <w:p w14:paraId="4D560606">
            <w:pPr>
              <w:pStyle w:val="23"/>
              <w:spacing w:before="65" w:line="230" w:lineRule="auto"/>
              <w:ind w:left="344"/>
              <w:rPr>
                <w:color w:val="auto"/>
                <w:highlight w:val="none"/>
              </w:rPr>
            </w:pPr>
            <w:r>
              <w:rPr>
                <w:color w:val="auto"/>
                <w:spacing w:val="-5"/>
                <w:highlight w:val="none"/>
              </w:rPr>
              <w:t>时</w:t>
            </w:r>
            <w:r>
              <w:rPr>
                <w:color w:val="auto"/>
                <w:spacing w:val="17"/>
                <w:highlight w:val="none"/>
              </w:rPr>
              <w:t xml:space="preserve">  </w:t>
            </w:r>
            <w:r>
              <w:rPr>
                <w:color w:val="auto"/>
                <w:spacing w:val="-5"/>
                <w:highlight w:val="none"/>
              </w:rPr>
              <w:t>间</w:t>
            </w:r>
          </w:p>
        </w:tc>
        <w:tc>
          <w:tcPr>
            <w:tcW w:w="4229" w:type="dxa"/>
            <w:gridSpan w:val="5"/>
            <w:vAlign w:val="top"/>
          </w:tcPr>
          <w:p w14:paraId="338CD24A">
            <w:pPr>
              <w:spacing w:line="354" w:lineRule="auto"/>
              <w:rPr>
                <w:rFonts w:ascii="Arial"/>
                <w:color w:val="auto"/>
                <w:sz w:val="21"/>
                <w:highlight w:val="none"/>
              </w:rPr>
            </w:pPr>
          </w:p>
          <w:p w14:paraId="3C8858AD">
            <w:pPr>
              <w:pStyle w:val="23"/>
              <w:spacing w:before="65" w:line="228" w:lineRule="auto"/>
              <w:ind w:left="861"/>
              <w:rPr>
                <w:color w:val="auto"/>
                <w:highlight w:val="none"/>
              </w:rPr>
            </w:pPr>
            <w:r>
              <w:rPr>
                <w:color w:val="auto"/>
                <w:spacing w:val="8"/>
                <w:highlight w:val="none"/>
              </w:rPr>
              <w:t>参加过的类似工程项目名称</w:t>
            </w:r>
          </w:p>
        </w:tc>
        <w:tc>
          <w:tcPr>
            <w:tcW w:w="1929" w:type="dxa"/>
            <w:gridSpan w:val="2"/>
            <w:vAlign w:val="top"/>
          </w:tcPr>
          <w:p w14:paraId="0950698A">
            <w:pPr>
              <w:spacing w:line="354" w:lineRule="auto"/>
              <w:rPr>
                <w:rFonts w:ascii="Arial"/>
                <w:color w:val="auto"/>
                <w:sz w:val="21"/>
                <w:highlight w:val="none"/>
              </w:rPr>
            </w:pPr>
          </w:p>
          <w:p w14:paraId="73D4548D">
            <w:pPr>
              <w:pStyle w:val="23"/>
              <w:spacing w:before="65" w:line="228" w:lineRule="auto"/>
              <w:ind w:left="552"/>
              <w:rPr>
                <w:color w:val="auto"/>
                <w:highlight w:val="none"/>
              </w:rPr>
            </w:pPr>
            <w:r>
              <w:rPr>
                <w:color w:val="auto"/>
                <w:spacing w:val="7"/>
                <w:highlight w:val="none"/>
              </w:rPr>
              <w:t>担任职务</w:t>
            </w:r>
          </w:p>
        </w:tc>
        <w:tc>
          <w:tcPr>
            <w:tcW w:w="1287" w:type="dxa"/>
            <w:vAlign w:val="top"/>
          </w:tcPr>
          <w:p w14:paraId="1A4556D8">
            <w:pPr>
              <w:pStyle w:val="23"/>
              <w:spacing w:before="220" w:line="320" w:lineRule="auto"/>
              <w:ind w:left="338" w:right="118" w:hanging="216"/>
              <w:rPr>
                <w:color w:val="auto"/>
                <w:highlight w:val="none"/>
              </w:rPr>
            </w:pPr>
            <w:r>
              <w:rPr>
                <w:color w:val="auto"/>
                <w:spacing w:val="8"/>
                <w:highlight w:val="none"/>
              </w:rPr>
              <w:t>委托人及联</w:t>
            </w:r>
            <w:r>
              <w:rPr>
                <w:color w:val="auto"/>
                <w:spacing w:val="5"/>
                <w:highlight w:val="none"/>
              </w:rPr>
              <w:t>系电话</w:t>
            </w:r>
          </w:p>
        </w:tc>
      </w:tr>
      <w:tr w14:paraId="187B9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797DDE48">
            <w:pPr>
              <w:rPr>
                <w:rFonts w:ascii="Arial"/>
                <w:color w:val="auto"/>
                <w:sz w:val="21"/>
                <w:highlight w:val="none"/>
              </w:rPr>
            </w:pPr>
          </w:p>
        </w:tc>
        <w:tc>
          <w:tcPr>
            <w:tcW w:w="4229" w:type="dxa"/>
            <w:gridSpan w:val="5"/>
            <w:vAlign w:val="top"/>
          </w:tcPr>
          <w:p w14:paraId="34E24061">
            <w:pPr>
              <w:rPr>
                <w:rFonts w:ascii="Arial"/>
                <w:color w:val="auto"/>
                <w:sz w:val="21"/>
                <w:highlight w:val="none"/>
              </w:rPr>
            </w:pPr>
          </w:p>
        </w:tc>
        <w:tc>
          <w:tcPr>
            <w:tcW w:w="1929" w:type="dxa"/>
            <w:gridSpan w:val="2"/>
            <w:vAlign w:val="top"/>
          </w:tcPr>
          <w:p w14:paraId="6160A829">
            <w:pPr>
              <w:rPr>
                <w:rFonts w:ascii="Arial"/>
                <w:color w:val="auto"/>
                <w:sz w:val="21"/>
                <w:highlight w:val="none"/>
              </w:rPr>
            </w:pPr>
          </w:p>
        </w:tc>
        <w:tc>
          <w:tcPr>
            <w:tcW w:w="1287" w:type="dxa"/>
            <w:vAlign w:val="top"/>
          </w:tcPr>
          <w:p w14:paraId="63487563">
            <w:pPr>
              <w:rPr>
                <w:rFonts w:ascii="Arial"/>
                <w:color w:val="auto"/>
                <w:sz w:val="21"/>
                <w:highlight w:val="none"/>
              </w:rPr>
            </w:pPr>
          </w:p>
        </w:tc>
      </w:tr>
      <w:tr w14:paraId="32E64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2F9933B8">
            <w:pPr>
              <w:rPr>
                <w:rFonts w:ascii="Arial"/>
                <w:color w:val="auto"/>
                <w:sz w:val="21"/>
                <w:highlight w:val="none"/>
              </w:rPr>
            </w:pPr>
          </w:p>
        </w:tc>
        <w:tc>
          <w:tcPr>
            <w:tcW w:w="4229" w:type="dxa"/>
            <w:gridSpan w:val="5"/>
            <w:vAlign w:val="top"/>
          </w:tcPr>
          <w:p w14:paraId="62FF32A8">
            <w:pPr>
              <w:rPr>
                <w:rFonts w:ascii="Arial"/>
                <w:color w:val="auto"/>
                <w:sz w:val="21"/>
                <w:highlight w:val="none"/>
              </w:rPr>
            </w:pPr>
          </w:p>
        </w:tc>
        <w:tc>
          <w:tcPr>
            <w:tcW w:w="1929" w:type="dxa"/>
            <w:gridSpan w:val="2"/>
            <w:vAlign w:val="top"/>
          </w:tcPr>
          <w:p w14:paraId="2EEE7856">
            <w:pPr>
              <w:rPr>
                <w:rFonts w:ascii="Arial"/>
                <w:color w:val="auto"/>
                <w:sz w:val="21"/>
                <w:highlight w:val="none"/>
              </w:rPr>
            </w:pPr>
          </w:p>
        </w:tc>
        <w:tc>
          <w:tcPr>
            <w:tcW w:w="1287" w:type="dxa"/>
            <w:vAlign w:val="top"/>
          </w:tcPr>
          <w:p w14:paraId="495C5206">
            <w:pPr>
              <w:rPr>
                <w:rFonts w:ascii="Arial"/>
                <w:color w:val="auto"/>
                <w:sz w:val="21"/>
                <w:highlight w:val="none"/>
              </w:rPr>
            </w:pPr>
          </w:p>
        </w:tc>
      </w:tr>
      <w:tr w14:paraId="30390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5A44FF7C">
            <w:pPr>
              <w:rPr>
                <w:rFonts w:ascii="Arial"/>
                <w:color w:val="auto"/>
                <w:sz w:val="21"/>
                <w:highlight w:val="none"/>
              </w:rPr>
            </w:pPr>
          </w:p>
        </w:tc>
        <w:tc>
          <w:tcPr>
            <w:tcW w:w="4229" w:type="dxa"/>
            <w:gridSpan w:val="5"/>
            <w:vAlign w:val="top"/>
          </w:tcPr>
          <w:p w14:paraId="17B1AD25">
            <w:pPr>
              <w:rPr>
                <w:rFonts w:ascii="Arial"/>
                <w:color w:val="auto"/>
                <w:sz w:val="21"/>
                <w:highlight w:val="none"/>
              </w:rPr>
            </w:pPr>
          </w:p>
        </w:tc>
        <w:tc>
          <w:tcPr>
            <w:tcW w:w="1929" w:type="dxa"/>
            <w:gridSpan w:val="2"/>
            <w:vAlign w:val="top"/>
          </w:tcPr>
          <w:p w14:paraId="329529D5">
            <w:pPr>
              <w:rPr>
                <w:rFonts w:ascii="Arial"/>
                <w:color w:val="auto"/>
                <w:sz w:val="21"/>
                <w:highlight w:val="none"/>
              </w:rPr>
            </w:pPr>
          </w:p>
        </w:tc>
        <w:tc>
          <w:tcPr>
            <w:tcW w:w="1287" w:type="dxa"/>
            <w:vAlign w:val="top"/>
          </w:tcPr>
          <w:p w14:paraId="168BF804">
            <w:pPr>
              <w:rPr>
                <w:rFonts w:ascii="Arial"/>
                <w:color w:val="auto"/>
                <w:sz w:val="21"/>
                <w:highlight w:val="none"/>
              </w:rPr>
            </w:pPr>
          </w:p>
        </w:tc>
      </w:tr>
      <w:tr w14:paraId="1E24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5E320707">
            <w:pPr>
              <w:rPr>
                <w:rFonts w:ascii="Arial"/>
                <w:color w:val="auto"/>
                <w:sz w:val="21"/>
                <w:highlight w:val="none"/>
              </w:rPr>
            </w:pPr>
          </w:p>
        </w:tc>
        <w:tc>
          <w:tcPr>
            <w:tcW w:w="4229" w:type="dxa"/>
            <w:gridSpan w:val="5"/>
            <w:vAlign w:val="top"/>
          </w:tcPr>
          <w:p w14:paraId="6764B893">
            <w:pPr>
              <w:rPr>
                <w:rFonts w:ascii="Arial"/>
                <w:color w:val="auto"/>
                <w:sz w:val="21"/>
                <w:highlight w:val="none"/>
              </w:rPr>
            </w:pPr>
          </w:p>
        </w:tc>
        <w:tc>
          <w:tcPr>
            <w:tcW w:w="1929" w:type="dxa"/>
            <w:gridSpan w:val="2"/>
            <w:vAlign w:val="top"/>
          </w:tcPr>
          <w:p w14:paraId="40B5DD66">
            <w:pPr>
              <w:rPr>
                <w:rFonts w:ascii="Arial"/>
                <w:color w:val="auto"/>
                <w:sz w:val="21"/>
                <w:highlight w:val="none"/>
              </w:rPr>
            </w:pPr>
          </w:p>
        </w:tc>
        <w:tc>
          <w:tcPr>
            <w:tcW w:w="1287" w:type="dxa"/>
            <w:vAlign w:val="top"/>
          </w:tcPr>
          <w:p w14:paraId="3012EEEB">
            <w:pPr>
              <w:rPr>
                <w:rFonts w:ascii="Arial"/>
                <w:color w:val="auto"/>
                <w:sz w:val="21"/>
                <w:highlight w:val="none"/>
              </w:rPr>
            </w:pPr>
          </w:p>
        </w:tc>
      </w:tr>
      <w:tr w14:paraId="44388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6D1A8D3E">
            <w:pPr>
              <w:rPr>
                <w:rFonts w:ascii="Arial"/>
                <w:color w:val="auto"/>
                <w:sz w:val="21"/>
                <w:highlight w:val="none"/>
              </w:rPr>
            </w:pPr>
          </w:p>
        </w:tc>
        <w:tc>
          <w:tcPr>
            <w:tcW w:w="4229" w:type="dxa"/>
            <w:gridSpan w:val="5"/>
            <w:vAlign w:val="top"/>
          </w:tcPr>
          <w:p w14:paraId="0B496F18">
            <w:pPr>
              <w:rPr>
                <w:rFonts w:ascii="Arial"/>
                <w:color w:val="auto"/>
                <w:sz w:val="21"/>
                <w:highlight w:val="none"/>
              </w:rPr>
            </w:pPr>
          </w:p>
        </w:tc>
        <w:tc>
          <w:tcPr>
            <w:tcW w:w="1929" w:type="dxa"/>
            <w:gridSpan w:val="2"/>
            <w:vAlign w:val="top"/>
          </w:tcPr>
          <w:p w14:paraId="16B393AF">
            <w:pPr>
              <w:rPr>
                <w:rFonts w:ascii="Arial"/>
                <w:color w:val="auto"/>
                <w:sz w:val="21"/>
                <w:highlight w:val="none"/>
              </w:rPr>
            </w:pPr>
          </w:p>
        </w:tc>
        <w:tc>
          <w:tcPr>
            <w:tcW w:w="1287" w:type="dxa"/>
            <w:vAlign w:val="top"/>
          </w:tcPr>
          <w:p w14:paraId="60C5B2B3">
            <w:pPr>
              <w:rPr>
                <w:rFonts w:ascii="Arial"/>
                <w:color w:val="auto"/>
                <w:sz w:val="21"/>
                <w:highlight w:val="none"/>
              </w:rPr>
            </w:pPr>
          </w:p>
        </w:tc>
      </w:tr>
      <w:tr w14:paraId="4650A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3DC7CE44">
            <w:pPr>
              <w:rPr>
                <w:rFonts w:ascii="Arial"/>
                <w:color w:val="auto"/>
                <w:sz w:val="21"/>
                <w:highlight w:val="none"/>
              </w:rPr>
            </w:pPr>
          </w:p>
        </w:tc>
        <w:tc>
          <w:tcPr>
            <w:tcW w:w="4229" w:type="dxa"/>
            <w:gridSpan w:val="5"/>
            <w:vAlign w:val="top"/>
          </w:tcPr>
          <w:p w14:paraId="384876B3">
            <w:pPr>
              <w:rPr>
                <w:rFonts w:ascii="Arial"/>
                <w:color w:val="auto"/>
                <w:sz w:val="21"/>
                <w:highlight w:val="none"/>
              </w:rPr>
            </w:pPr>
          </w:p>
        </w:tc>
        <w:tc>
          <w:tcPr>
            <w:tcW w:w="1929" w:type="dxa"/>
            <w:gridSpan w:val="2"/>
            <w:vAlign w:val="top"/>
          </w:tcPr>
          <w:p w14:paraId="14CEE7AE">
            <w:pPr>
              <w:rPr>
                <w:rFonts w:ascii="Arial"/>
                <w:color w:val="auto"/>
                <w:sz w:val="21"/>
                <w:highlight w:val="none"/>
              </w:rPr>
            </w:pPr>
          </w:p>
        </w:tc>
        <w:tc>
          <w:tcPr>
            <w:tcW w:w="1287" w:type="dxa"/>
            <w:vAlign w:val="top"/>
          </w:tcPr>
          <w:p w14:paraId="49DCA370">
            <w:pPr>
              <w:rPr>
                <w:rFonts w:ascii="Arial"/>
                <w:color w:val="auto"/>
                <w:sz w:val="21"/>
                <w:highlight w:val="none"/>
              </w:rPr>
            </w:pPr>
          </w:p>
        </w:tc>
      </w:tr>
      <w:tr w14:paraId="24E9A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441" w:type="dxa"/>
            <w:gridSpan w:val="3"/>
            <w:vAlign w:val="top"/>
          </w:tcPr>
          <w:p w14:paraId="24478331">
            <w:pPr>
              <w:spacing w:line="242" w:lineRule="auto"/>
              <w:rPr>
                <w:rFonts w:ascii="Arial"/>
                <w:color w:val="auto"/>
                <w:sz w:val="21"/>
                <w:highlight w:val="none"/>
              </w:rPr>
            </w:pPr>
          </w:p>
          <w:p w14:paraId="5C803A5A">
            <w:pPr>
              <w:pStyle w:val="23"/>
              <w:spacing w:before="65" w:line="228" w:lineRule="auto"/>
              <w:ind w:left="811"/>
              <w:rPr>
                <w:color w:val="auto"/>
                <w:highlight w:val="none"/>
              </w:rPr>
            </w:pPr>
            <w:r>
              <w:rPr>
                <w:color w:val="auto"/>
                <w:spacing w:val="6"/>
                <w:highlight w:val="none"/>
              </w:rPr>
              <w:t>获奖情况</w:t>
            </w:r>
          </w:p>
        </w:tc>
        <w:tc>
          <w:tcPr>
            <w:tcW w:w="6294" w:type="dxa"/>
            <w:gridSpan w:val="7"/>
            <w:vAlign w:val="top"/>
          </w:tcPr>
          <w:p w14:paraId="039C0CA1">
            <w:pPr>
              <w:rPr>
                <w:rFonts w:ascii="Arial"/>
                <w:color w:val="auto"/>
                <w:sz w:val="21"/>
                <w:highlight w:val="none"/>
              </w:rPr>
            </w:pPr>
          </w:p>
        </w:tc>
      </w:tr>
      <w:tr w14:paraId="35916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441" w:type="dxa"/>
            <w:gridSpan w:val="3"/>
            <w:vAlign w:val="top"/>
          </w:tcPr>
          <w:p w14:paraId="5DBC2D53">
            <w:pPr>
              <w:spacing w:line="464" w:lineRule="auto"/>
              <w:rPr>
                <w:rFonts w:ascii="Arial"/>
                <w:color w:val="auto"/>
                <w:sz w:val="21"/>
                <w:highlight w:val="none"/>
              </w:rPr>
            </w:pPr>
          </w:p>
          <w:p w14:paraId="6B2B99C5">
            <w:pPr>
              <w:pStyle w:val="23"/>
              <w:spacing w:before="65" w:line="229" w:lineRule="auto"/>
              <w:ind w:left="757"/>
              <w:rPr>
                <w:color w:val="auto"/>
                <w:highlight w:val="none"/>
              </w:rPr>
            </w:pPr>
            <w:r>
              <w:rPr>
                <w:color w:val="auto"/>
                <w:spacing w:val="-1"/>
                <w:highlight w:val="none"/>
              </w:rPr>
              <w:t>备</w:t>
            </w:r>
            <w:r>
              <w:rPr>
                <w:color w:val="auto"/>
                <w:spacing w:val="6"/>
                <w:highlight w:val="none"/>
              </w:rPr>
              <w:t xml:space="preserve">     </w:t>
            </w:r>
            <w:r>
              <w:rPr>
                <w:color w:val="auto"/>
                <w:spacing w:val="-1"/>
                <w:highlight w:val="none"/>
              </w:rPr>
              <w:t>注</w:t>
            </w:r>
          </w:p>
        </w:tc>
        <w:tc>
          <w:tcPr>
            <w:tcW w:w="6294" w:type="dxa"/>
            <w:gridSpan w:val="7"/>
            <w:vAlign w:val="top"/>
          </w:tcPr>
          <w:p w14:paraId="2FF4C6B6">
            <w:pPr>
              <w:pStyle w:val="23"/>
              <w:spacing w:before="165" w:line="369" w:lineRule="auto"/>
              <w:ind w:left="114" w:right="108"/>
              <w:rPr>
                <w:color w:val="auto"/>
                <w:highlight w:val="none"/>
              </w:rPr>
            </w:pPr>
            <w:r>
              <w:rPr>
                <w:color w:val="auto"/>
                <w:spacing w:val="13"/>
                <w:highlight w:val="none"/>
              </w:rPr>
              <w:t>本人</w:t>
            </w:r>
            <w:r>
              <w:rPr>
                <w:color w:val="auto"/>
                <w:spacing w:val="-91"/>
                <w:highlight w:val="none"/>
              </w:rPr>
              <w:t xml:space="preserve"> </w:t>
            </w:r>
            <w:r>
              <w:rPr>
                <w:color w:val="auto"/>
                <w:spacing w:val="13"/>
                <w:highlight w:val="none"/>
                <w:u w:val="single" w:color="auto"/>
              </w:rPr>
              <w:t xml:space="preserve">             （签名）</w:t>
            </w:r>
            <w:r>
              <w:rPr>
                <w:color w:val="auto"/>
                <w:spacing w:val="13"/>
                <w:highlight w:val="none"/>
              </w:rPr>
              <w:t>知晓为本项目的总监理工程师/驻地</w:t>
            </w:r>
            <w:r>
              <w:rPr>
                <w:color w:val="auto"/>
                <w:spacing w:val="8"/>
                <w:highlight w:val="none"/>
              </w:rPr>
              <w:t>监理工程师，并对其真实性负责。</w:t>
            </w:r>
          </w:p>
        </w:tc>
      </w:tr>
    </w:tbl>
    <w:p w14:paraId="50F4F761">
      <w:pPr>
        <w:spacing w:before="158" w:line="227" w:lineRule="auto"/>
        <w:ind w:left="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注：1.本表应填写总监理工程师（含备选）或驻地监理工程师（含备选）相关情况。</w:t>
      </w:r>
    </w:p>
    <w:p w14:paraId="3533BE12">
      <w:pPr>
        <w:spacing w:before="154" w:line="227" w:lineRule="auto"/>
        <w:jc w:val="righ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3.5.4</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w:t>
      </w:r>
      <w:r>
        <w:rPr>
          <w:rFonts w:ascii="宋体" w:hAnsi="宋体" w:eastAsia="宋体" w:cs="宋体"/>
          <w:color w:val="auto"/>
          <w:spacing w:val="6"/>
          <w:sz w:val="20"/>
          <w:szCs w:val="20"/>
          <w:highlight w:val="none"/>
        </w:rPr>
        <w:t>明材料。</w:t>
      </w:r>
    </w:p>
    <w:p w14:paraId="62F21DED">
      <w:pPr>
        <w:spacing w:line="227" w:lineRule="auto"/>
        <w:rPr>
          <w:rFonts w:ascii="宋体" w:hAnsi="宋体" w:eastAsia="宋体" w:cs="宋体"/>
          <w:color w:val="auto"/>
          <w:sz w:val="20"/>
          <w:szCs w:val="20"/>
          <w:highlight w:val="none"/>
        </w:rPr>
        <w:sectPr>
          <w:footerReference r:id="rId52" w:type="default"/>
          <w:pgSz w:w="11906" w:h="16839"/>
          <w:pgMar w:top="1401" w:right="1495" w:bottom="1297" w:left="1384" w:header="0" w:footer="1067" w:gutter="0"/>
          <w:pgBorders>
            <w:top w:val="none" w:sz="0" w:space="0"/>
            <w:left w:val="none" w:sz="0" w:space="0"/>
            <w:bottom w:val="none" w:sz="0" w:space="0"/>
            <w:right w:val="none" w:sz="0" w:space="0"/>
          </w:pgBorders>
          <w:pgNumType w:fmt="decimal"/>
          <w:cols w:space="720" w:num="1"/>
        </w:sectPr>
      </w:pPr>
    </w:p>
    <w:p w14:paraId="66403891">
      <w:pPr>
        <w:spacing w:before="59" w:line="218" w:lineRule="auto"/>
        <w:ind w:left="1348"/>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（七）</w:t>
      </w:r>
      <w:r>
        <w:rPr>
          <w:rFonts w:ascii="宋体" w:hAnsi="宋体" w:eastAsia="宋体" w:cs="宋体"/>
          <w:b/>
          <w:bCs/>
          <w:color w:val="auto"/>
          <w:spacing w:val="-4"/>
          <w:sz w:val="30"/>
          <w:szCs w:val="30"/>
          <w:highlight w:val="none"/>
        </w:rPr>
        <w:t>关于使用广东省信用评价等级的申请承诺书</w:t>
      </w:r>
    </w:p>
    <w:p w14:paraId="67172F35">
      <w:pPr>
        <w:spacing w:line="306" w:lineRule="auto"/>
        <w:rPr>
          <w:rFonts w:ascii="Arial"/>
          <w:color w:val="auto"/>
          <w:sz w:val="21"/>
          <w:highlight w:val="none"/>
        </w:rPr>
      </w:pPr>
    </w:p>
    <w:p w14:paraId="244B2CB5">
      <w:pPr>
        <w:spacing w:before="78" w:line="220" w:lineRule="auto"/>
        <w:ind w:left="10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致招标人</w:t>
      </w:r>
      <w:r>
        <w:rPr>
          <w:rFonts w:ascii="宋体" w:hAnsi="宋体" w:eastAsia="宋体" w:cs="宋体"/>
          <w:color w:val="auto"/>
          <w:spacing w:val="-16"/>
          <w:sz w:val="24"/>
          <w:szCs w:val="24"/>
          <w:highlight w:val="none"/>
        </w:rPr>
        <w:t>：</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招标人全称）</w:t>
      </w:r>
    </w:p>
    <w:p w14:paraId="16E33215">
      <w:pPr>
        <w:spacing w:before="115" w:line="219" w:lineRule="auto"/>
        <w:ind w:left="5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按照相关要求，现我单位对使用信用等级申请如下：</w:t>
      </w:r>
    </w:p>
    <w:p w14:paraId="7656B86A">
      <w:pPr>
        <w:spacing w:before="114" w:line="308" w:lineRule="auto"/>
        <w:ind w:left="109" w:right="10"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一、我单位在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施工监理</w:t>
      </w:r>
      <w:r>
        <w:rPr>
          <w:rFonts w:ascii="宋体" w:hAnsi="宋体" w:eastAsia="宋体" w:cs="宋体"/>
          <w:color w:val="auto"/>
          <w:spacing w:val="-2"/>
          <w:sz w:val="24"/>
          <w:szCs w:val="24"/>
          <w:highlight w:val="none"/>
        </w:rPr>
        <w:t>招标（第</w:t>
      </w:r>
      <w:r>
        <w:rPr>
          <w:rFonts w:ascii="宋体" w:hAnsi="宋体" w:eastAsia="宋体" w:cs="宋体"/>
          <w:color w:val="auto"/>
          <w:spacing w:val="-2"/>
          <w:sz w:val="24"/>
          <w:szCs w:val="24"/>
          <w:highlight w:val="none"/>
          <w:u w:val="single" w:color="auto"/>
        </w:rPr>
        <w:t xml:space="preserve">      标段）</w:t>
      </w:r>
      <w:r>
        <w:rPr>
          <w:rFonts w:ascii="宋体" w:hAnsi="宋体" w:eastAsia="宋体" w:cs="宋体"/>
          <w:color w:val="auto"/>
          <w:spacing w:val="-2"/>
          <w:sz w:val="24"/>
          <w:szCs w:val="24"/>
          <w:highlight w:val="none"/>
        </w:rPr>
        <w:t>的招标中，</w:t>
      </w:r>
      <w:r>
        <w:rPr>
          <w:rFonts w:ascii="宋体" w:hAnsi="宋体" w:eastAsia="宋体" w:cs="宋体"/>
          <w:b/>
          <w:bCs/>
          <w:color w:val="auto"/>
          <w:spacing w:val="-2"/>
          <w:sz w:val="24"/>
          <w:szCs w:val="24"/>
          <w:highlight w:val="none"/>
        </w:rPr>
        <w:t>第</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b/>
          <w:bCs/>
          <w:color w:val="auto"/>
          <w:spacing w:val="-2"/>
          <w:sz w:val="24"/>
          <w:szCs w:val="24"/>
          <w:highlight w:val="none"/>
        </w:rPr>
        <w:t>次使用（</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2"/>
          <w:sz w:val="24"/>
          <w:szCs w:val="24"/>
          <w:highlight w:val="none"/>
          <w:u w:val="single" w:color="auto"/>
        </w:rPr>
        <w:t>或不使用</w:t>
      </w:r>
      <w:r>
        <w:rPr>
          <w:rFonts w:ascii="宋体" w:hAnsi="宋体" w:eastAsia="宋体" w:cs="宋体"/>
          <w:b/>
          <w:bCs/>
          <w:color w:val="auto"/>
          <w:spacing w:val="-2"/>
          <w:sz w:val="24"/>
          <w:szCs w:val="24"/>
          <w:highlight w:val="none"/>
        </w:rPr>
        <w:t>）</w:t>
      </w:r>
      <w:r>
        <w:rPr>
          <w:rFonts w:ascii="宋体" w:hAnsi="宋体" w:eastAsia="宋体" w:cs="宋体"/>
          <w:color w:val="auto"/>
          <w:spacing w:val="-2"/>
          <w:sz w:val="24"/>
          <w:szCs w:val="24"/>
          <w:highlight w:val="none"/>
        </w:rPr>
        <w:t>广东省交通运输</w:t>
      </w:r>
      <w:r>
        <w:rPr>
          <w:rFonts w:ascii="宋体" w:hAnsi="宋体" w:eastAsia="宋体" w:cs="宋体"/>
          <w:color w:val="auto"/>
          <w:spacing w:val="-3"/>
          <w:sz w:val="24"/>
          <w:szCs w:val="24"/>
          <w:highlight w:val="none"/>
        </w:rPr>
        <w:t>厅发布的</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年度信用评价</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等级结果</w:t>
      </w:r>
      <w:r>
        <w:rPr>
          <w:rFonts w:ascii="宋体" w:hAnsi="宋体" w:eastAsia="宋体" w:cs="宋体"/>
          <w:color w:val="auto"/>
          <w:spacing w:val="-2"/>
          <w:sz w:val="24"/>
          <w:szCs w:val="24"/>
          <w:highlight w:val="none"/>
        </w:rPr>
        <w:t>和对应等级分值。</w:t>
      </w:r>
    </w:p>
    <w:p w14:paraId="5120EE42">
      <w:pPr>
        <w:spacing w:line="218" w:lineRule="auto"/>
        <w:ind w:left="5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二、我单位承诺，在递交本次申请后，我单位将失去一次使用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8"/>
          <w:sz w:val="24"/>
          <w:szCs w:val="24"/>
          <w:highlight w:val="none"/>
        </w:rPr>
        <w:t xml:space="preserve"> </w:t>
      </w:r>
      <w:r>
        <w:rPr>
          <w:rFonts w:ascii="宋体" w:hAnsi="宋体" w:eastAsia="宋体" w:cs="宋体"/>
          <w:color w:val="auto"/>
          <w:spacing w:val="-1"/>
          <w:sz w:val="24"/>
          <w:szCs w:val="24"/>
          <w:highlight w:val="none"/>
        </w:rPr>
        <w:t>等级结果</w:t>
      </w:r>
    </w:p>
    <w:p w14:paraId="69C2BEB0">
      <w:pPr>
        <w:spacing w:before="114" w:line="264" w:lineRule="auto"/>
        <w:ind w:left="110" w:right="180" w:hanging="1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w:t>
      </w:r>
      <w:r>
        <w:rPr>
          <w:rFonts w:ascii="宋体" w:hAnsi="宋体" w:eastAsia="宋体" w:cs="宋体"/>
          <w:b/>
          <w:bCs/>
          <w:color w:val="auto"/>
          <w:spacing w:val="-2"/>
          <w:sz w:val="24"/>
          <w:szCs w:val="24"/>
          <w:highlight w:val="none"/>
          <w:u w:val="single" w:color="auto"/>
        </w:rPr>
        <w:t>不使用时上述填“/</w:t>
      </w:r>
      <w:r>
        <w:rPr>
          <w:rFonts w:ascii="宋体" w:hAnsi="宋体" w:eastAsia="宋体" w:cs="宋体"/>
          <w:color w:val="auto"/>
          <w:spacing w:val="-82"/>
          <w:sz w:val="24"/>
          <w:szCs w:val="24"/>
          <w:highlight w:val="none"/>
          <w:u w:val="single" w:color="auto"/>
        </w:rPr>
        <w:t xml:space="preserve"> </w:t>
      </w:r>
      <w:r>
        <w:rPr>
          <w:rFonts w:ascii="宋体" w:hAnsi="宋体" w:eastAsia="宋体" w:cs="宋体"/>
          <w:b/>
          <w:bCs/>
          <w:color w:val="auto"/>
          <w:spacing w:val="-2"/>
          <w:sz w:val="24"/>
          <w:szCs w:val="24"/>
          <w:highlight w:val="none"/>
          <w:u w:val="single" w:color="auto"/>
        </w:rPr>
        <w:t>”）</w:t>
      </w:r>
      <w:r>
        <w:rPr>
          <w:rFonts w:ascii="宋体" w:hAnsi="宋体" w:eastAsia="宋体" w:cs="宋体"/>
          <w:color w:val="auto"/>
          <w:spacing w:val="-2"/>
          <w:sz w:val="24"/>
          <w:szCs w:val="24"/>
          <w:highlight w:val="none"/>
        </w:rPr>
        <w:t>参与投标的机会。当累计使用超过规定的次数，我单位同意</w:t>
      </w:r>
      <w:r>
        <w:rPr>
          <w:rFonts w:ascii="宋体" w:hAnsi="宋体" w:eastAsia="宋体" w:cs="宋体"/>
          <w:color w:val="auto"/>
          <w:spacing w:val="-1"/>
          <w:sz w:val="24"/>
          <w:szCs w:val="24"/>
          <w:highlight w:val="none"/>
        </w:rPr>
        <w:t>按降低一个信用等级对应分值来认定参与投标评审。</w:t>
      </w:r>
    </w:p>
    <w:p w14:paraId="4CDDD7A8">
      <w:pPr>
        <w:spacing w:before="115" w:line="263" w:lineRule="auto"/>
        <w:ind w:left="111" w:right="19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三、如果我单位发生违反规定使用信用等级结果的情形，</w:t>
      </w:r>
      <w:r>
        <w:rPr>
          <w:rFonts w:ascii="宋体" w:hAnsi="宋体" w:eastAsia="宋体" w:cs="宋体"/>
          <w:color w:val="auto"/>
          <w:spacing w:val="-61"/>
          <w:sz w:val="24"/>
          <w:szCs w:val="24"/>
          <w:highlight w:val="none"/>
        </w:rPr>
        <w:t xml:space="preserve"> </w:t>
      </w:r>
      <w:r>
        <w:rPr>
          <w:rFonts w:ascii="宋体" w:hAnsi="宋体" w:eastAsia="宋体" w:cs="宋体"/>
          <w:color w:val="auto"/>
          <w:spacing w:val="-2"/>
          <w:sz w:val="24"/>
          <w:szCs w:val="24"/>
          <w:highlight w:val="none"/>
        </w:rPr>
        <w:t>自愿接受省级交通运输主管部门的处理。</w:t>
      </w:r>
    </w:p>
    <w:p w14:paraId="737F104D">
      <w:pPr>
        <w:spacing w:before="117" w:line="310" w:lineRule="auto"/>
        <w:ind w:left="589" w:right="312" w:firstLine="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附件：本单位使用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1"/>
          <w:sz w:val="24"/>
          <w:szCs w:val="24"/>
          <w:highlight w:val="none"/>
        </w:rPr>
        <w:t>年度广东省公路水运工程从业单位信用等级情况</w:t>
      </w:r>
      <w:r>
        <w:rPr>
          <w:rFonts w:ascii="宋体" w:hAnsi="宋体" w:eastAsia="宋体" w:cs="宋体"/>
          <w:color w:val="auto"/>
          <w:spacing w:val="-2"/>
          <w:sz w:val="24"/>
          <w:szCs w:val="24"/>
          <w:highlight w:val="none"/>
        </w:rPr>
        <w:t>汇总表</w:t>
      </w:r>
      <w:r>
        <w:rPr>
          <w:rFonts w:ascii="宋体" w:hAnsi="宋体" w:eastAsia="宋体" w:cs="宋体"/>
          <w:color w:val="auto"/>
          <w:spacing w:val="-3"/>
          <w:sz w:val="24"/>
          <w:szCs w:val="24"/>
          <w:highlight w:val="none"/>
        </w:rPr>
        <w:t>特此承诺</w:t>
      </w:r>
    </w:p>
    <w:p w14:paraId="6AF30FE4">
      <w:pPr>
        <w:spacing w:before="304" w:line="220" w:lineRule="auto"/>
        <w:ind w:left="224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投标人（单位全称</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u w:val="single" w:color="auto"/>
        </w:rPr>
        <w:t xml:space="preserve">                          </w:t>
      </w:r>
    </w:p>
    <w:p w14:paraId="19077D54">
      <w:pPr>
        <w:spacing w:line="283" w:lineRule="auto"/>
        <w:rPr>
          <w:rFonts w:ascii="Arial"/>
          <w:color w:val="auto"/>
          <w:sz w:val="21"/>
          <w:highlight w:val="none"/>
        </w:rPr>
      </w:pPr>
    </w:p>
    <w:p w14:paraId="27238E43">
      <w:pPr>
        <w:spacing w:line="283" w:lineRule="auto"/>
        <w:rPr>
          <w:rFonts w:ascii="Arial"/>
          <w:color w:val="auto"/>
          <w:sz w:val="21"/>
          <w:highlight w:val="none"/>
        </w:rPr>
      </w:pPr>
    </w:p>
    <w:p w14:paraId="63BA90D6">
      <w:pPr>
        <w:spacing w:before="79" w:line="219" w:lineRule="auto"/>
        <w:ind w:left="23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投标人的法定代表人或其委托代理人签名：</w:t>
      </w:r>
      <w:r>
        <w:rPr>
          <w:rFonts w:ascii="宋体" w:hAnsi="宋体" w:eastAsia="宋体" w:cs="宋体"/>
          <w:color w:val="auto"/>
          <w:sz w:val="24"/>
          <w:szCs w:val="24"/>
          <w:highlight w:val="none"/>
          <w:u w:val="single" w:color="auto"/>
        </w:rPr>
        <w:t xml:space="preserve">            </w:t>
      </w:r>
    </w:p>
    <w:p w14:paraId="738C64AC">
      <w:pPr>
        <w:spacing w:line="327" w:lineRule="auto"/>
        <w:rPr>
          <w:rFonts w:ascii="Arial"/>
          <w:color w:val="auto"/>
          <w:sz w:val="21"/>
          <w:highlight w:val="none"/>
        </w:rPr>
      </w:pPr>
    </w:p>
    <w:p w14:paraId="578CD81A">
      <w:pPr>
        <w:spacing w:line="328" w:lineRule="auto"/>
        <w:rPr>
          <w:rFonts w:ascii="Arial"/>
          <w:color w:val="auto"/>
          <w:sz w:val="21"/>
          <w:highlight w:val="none"/>
        </w:rPr>
      </w:pPr>
    </w:p>
    <w:p w14:paraId="32930098">
      <w:pPr>
        <w:spacing w:before="78" w:line="219" w:lineRule="auto"/>
        <w:jc w:val="right"/>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年</w:t>
      </w:r>
      <w:r>
        <w:rPr>
          <w:rFonts w:ascii="宋体" w:hAnsi="宋体" w:eastAsia="宋体" w:cs="宋体"/>
          <w:color w:val="auto"/>
          <w:spacing w:val="4"/>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pacing w:val="12"/>
          <w:sz w:val="24"/>
          <w:szCs w:val="24"/>
          <w:highlight w:val="none"/>
        </w:rPr>
        <w:t xml:space="preserve">    </w:t>
      </w:r>
      <w:r>
        <w:rPr>
          <w:rFonts w:ascii="宋体" w:hAnsi="宋体" w:eastAsia="宋体" w:cs="宋体"/>
          <w:color w:val="auto"/>
          <w:spacing w:val="-26"/>
          <w:sz w:val="24"/>
          <w:szCs w:val="24"/>
          <w:highlight w:val="none"/>
        </w:rPr>
        <w:t>日</w:t>
      </w:r>
    </w:p>
    <w:p w14:paraId="714B96BE">
      <w:pPr>
        <w:spacing w:before="163" w:line="230" w:lineRule="auto"/>
        <w:ind w:left="537"/>
        <w:rPr>
          <w:rFonts w:ascii="宋体" w:hAnsi="宋体" w:eastAsia="宋体" w:cs="宋体"/>
          <w:color w:val="auto"/>
          <w:sz w:val="19"/>
          <w:szCs w:val="19"/>
          <w:highlight w:val="none"/>
        </w:rPr>
      </w:pPr>
      <w:r>
        <w:rPr>
          <w:rFonts w:ascii="宋体" w:hAnsi="宋体" w:eastAsia="宋体" w:cs="宋体"/>
          <w:color w:val="auto"/>
          <w:spacing w:val="2"/>
          <w:sz w:val="19"/>
          <w:szCs w:val="19"/>
          <w:highlight w:val="none"/>
        </w:rPr>
        <w:t>备注：</w:t>
      </w:r>
    </w:p>
    <w:p w14:paraId="257F869C">
      <w:pPr>
        <w:spacing w:before="161" w:line="309" w:lineRule="auto"/>
        <w:ind w:left="109" w:right="197" w:firstLine="440"/>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1、</w:t>
      </w:r>
      <w:r>
        <w:rPr>
          <w:rFonts w:ascii="宋体" w:hAnsi="宋体" w:eastAsia="宋体" w:cs="宋体"/>
          <w:color w:val="auto"/>
          <w:sz w:val="19"/>
          <w:szCs w:val="19"/>
          <w:highlight w:val="none"/>
        </w:rPr>
        <w:t>AA</w:t>
      </w:r>
      <w:r>
        <w:rPr>
          <w:rFonts w:ascii="宋体" w:hAnsi="宋体" w:eastAsia="宋体" w:cs="宋体"/>
          <w:color w:val="auto"/>
          <w:spacing w:val="8"/>
          <w:sz w:val="19"/>
          <w:szCs w:val="19"/>
          <w:highlight w:val="none"/>
        </w:rPr>
        <w:t>、A</w:t>
      </w:r>
      <w:r>
        <w:rPr>
          <w:rFonts w:ascii="宋体" w:hAnsi="宋体" w:eastAsia="宋体" w:cs="宋体"/>
          <w:color w:val="auto"/>
          <w:spacing w:val="-16"/>
          <w:sz w:val="19"/>
          <w:szCs w:val="19"/>
          <w:highlight w:val="none"/>
        </w:rPr>
        <w:t xml:space="preserve"> </w:t>
      </w:r>
      <w:r>
        <w:rPr>
          <w:rFonts w:ascii="宋体" w:hAnsi="宋体" w:eastAsia="宋体" w:cs="宋体"/>
          <w:color w:val="auto"/>
          <w:spacing w:val="8"/>
          <w:sz w:val="19"/>
          <w:szCs w:val="19"/>
          <w:highlight w:val="none"/>
        </w:rPr>
        <w:t>级信用等级企业必须填写此申请承诺书；选择“使用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8"/>
          <w:sz w:val="19"/>
          <w:szCs w:val="19"/>
          <w:highlight w:val="none"/>
        </w:rPr>
        <w:t>”时需和附表（情况汇总表）一起</w:t>
      </w:r>
      <w:r>
        <w:rPr>
          <w:rFonts w:ascii="宋体" w:hAnsi="宋体" w:eastAsia="宋体" w:cs="宋体"/>
          <w:color w:val="auto"/>
          <w:spacing w:val="7"/>
          <w:sz w:val="19"/>
          <w:szCs w:val="19"/>
          <w:highlight w:val="none"/>
        </w:rPr>
        <w:t>编入投标文件中。</w:t>
      </w:r>
    </w:p>
    <w:p w14:paraId="690430BF">
      <w:pPr>
        <w:spacing w:before="167" w:line="227" w:lineRule="auto"/>
        <w:ind w:left="537"/>
        <w:rPr>
          <w:rFonts w:ascii="宋体" w:hAnsi="宋体" w:eastAsia="宋体" w:cs="宋体"/>
          <w:color w:val="auto"/>
          <w:sz w:val="19"/>
          <w:szCs w:val="19"/>
          <w:highlight w:val="none"/>
        </w:rPr>
      </w:pPr>
      <w:r>
        <w:rPr>
          <w:rFonts w:ascii="宋体" w:hAnsi="宋体" w:eastAsia="宋体" w:cs="宋体"/>
          <w:color w:val="auto"/>
          <w:spacing w:val="10"/>
          <w:sz w:val="19"/>
          <w:szCs w:val="19"/>
          <w:highlight w:val="none"/>
        </w:rPr>
        <w:t>2、</w:t>
      </w:r>
      <w:r>
        <w:rPr>
          <w:rFonts w:ascii="宋体" w:hAnsi="宋体" w:eastAsia="宋体" w:cs="宋体"/>
          <w:color w:val="auto"/>
          <w:sz w:val="19"/>
          <w:szCs w:val="19"/>
          <w:highlight w:val="none"/>
        </w:rPr>
        <w:t>AA</w:t>
      </w:r>
      <w:r>
        <w:rPr>
          <w:rFonts w:ascii="宋体" w:hAnsi="宋体" w:eastAsia="宋体" w:cs="宋体"/>
          <w:color w:val="auto"/>
          <w:spacing w:val="10"/>
          <w:sz w:val="19"/>
          <w:szCs w:val="19"/>
          <w:highlight w:val="none"/>
        </w:rPr>
        <w:t>、A 级信用等级企业应区分标段、分别填写并提</w:t>
      </w:r>
      <w:r>
        <w:rPr>
          <w:rFonts w:ascii="宋体" w:hAnsi="宋体" w:eastAsia="宋体" w:cs="宋体"/>
          <w:color w:val="auto"/>
          <w:spacing w:val="9"/>
          <w:sz w:val="19"/>
          <w:szCs w:val="19"/>
          <w:highlight w:val="none"/>
        </w:rPr>
        <w:t>交此申请承诺书；如同时对多个标段选择</w:t>
      </w:r>
    </w:p>
    <w:p w14:paraId="39137078">
      <w:pPr>
        <w:spacing w:before="166" w:line="335" w:lineRule="auto"/>
        <w:ind w:left="106" w:right="72" w:hanging="107"/>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9"/>
          <w:sz w:val="19"/>
          <w:szCs w:val="19"/>
          <w:highlight w:val="none"/>
        </w:rPr>
        <w:t>”时，使用次数应按标段累加（即各</w:t>
      </w:r>
      <w:r>
        <w:rPr>
          <w:rFonts w:ascii="宋体" w:hAnsi="宋体" w:eastAsia="宋体" w:cs="宋体"/>
          <w:color w:val="auto"/>
          <w:spacing w:val="8"/>
          <w:sz w:val="19"/>
          <w:szCs w:val="19"/>
          <w:highlight w:val="none"/>
        </w:rPr>
        <w:t>个标段申请承诺书的使用次数应不一致）</w:t>
      </w:r>
      <w:r>
        <w:rPr>
          <w:rFonts w:ascii="宋体" w:hAnsi="宋体" w:eastAsia="宋体" w:cs="宋体"/>
          <w:color w:val="auto"/>
          <w:spacing w:val="-56"/>
          <w:sz w:val="19"/>
          <w:szCs w:val="19"/>
          <w:highlight w:val="none"/>
        </w:rPr>
        <w:t xml:space="preserve"> </w:t>
      </w:r>
      <w:r>
        <w:rPr>
          <w:rFonts w:ascii="宋体" w:hAnsi="宋体" w:eastAsia="宋体" w:cs="宋体"/>
          <w:color w:val="auto"/>
          <w:spacing w:val="8"/>
          <w:sz w:val="19"/>
          <w:szCs w:val="19"/>
          <w:highlight w:val="none"/>
        </w:rPr>
        <w:t>。如同时对多个标</w:t>
      </w:r>
      <w:r>
        <w:rPr>
          <w:rFonts w:ascii="宋体" w:hAnsi="宋体" w:eastAsia="宋体" w:cs="宋体"/>
          <w:color w:val="auto"/>
          <w:spacing w:val="9"/>
          <w:sz w:val="19"/>
          <w:szCs w:val="19"/>
          <w:highlight w:val="none"/>
        </w:rPr>
        <w:t>段选择“使用</w:t>
      </w:r>
      <w:r>
        <w:rPr>
          <w:rFonts w:ascii="宋体" w:hAnsi="宋体" w:eastAsia="宋体" w:cs="宋体"/>
          <w:color w:val="auto"/>
          <w:spacing w:val="-60"/>
          <w:sz w:val="19"/>
          <w:szCs w:val="19"/>
          <w:highlight w:val="none"/>
        </w:rPr>
        <w:t xml:space="preserve"> </w:t>
      </w:r>
      <w:r>
        <w:rPr>
          <w:rFonts w:ascii="宋体" w:hAnsi="宋体" w:eastAsia="宋体" w:cs="宋体"/>
          <w:color w:val="auto"/>
          <w:spacing w:val="9"/>
          <w:sz w:val="19"/>
          <w:szCs w:val="19"/>
          <w:highlight w:val="none"/>
        </w:rPr>
        <w:t>”而多个标段所附申请承诺书的使用次数为同一次时，多个标段均视为未正确填报申请承诺书，均按不承诺使用对应的信用等级处理。</w:t>
      </w:r>
    </w:p>
    <w:p w14:paraId="5F729740">
      <w:pPr>
        <w:spacing w:before="165" w:line="309" w:lineRule="auto"/>
        <w:ind w:left="108" w:right="144" w:firstLine="430"/>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3、</w:t>
      </w:r>
      <w:r>
        <w:rPr>
          <w:rFonts w:hint="eastAsia" w:ascii="宋体" w:hAnsi="宋体" w:eastAsia="宋体" w:cs="宋体"/>
          <w:color w:val="auto"/>
          <w:spacing w:val="9"/>
          <w:sz w:val="19"/>
          <w:szCs w:val="19"/>
          <w:highlight w:val="none"/>
          <w:lang w:val="en-US" w:eastAsia="zh-CN"/>
        </w:rPr>
        <w:t>定</w:t>
      </w:r>
      <w:r>
        <w:rPr>
          <w:rFonts w:ascii="宋体" w:hAnsi="宋体" w:eastAsia="宋体" w:cs="宋体"/>
          <w:color w:val="auto"/>
          <w:spacing w:val="9"/>
          <w:sz w:val="19"/>
          <w:szCs w:val="19"/>
          <w:highlight w:val="none"/>
        </w:rPr>
        <w:t>标候选人公示将对所有承诺使用最新一年度</w:t>
      </w:r>
      <w:r>
        <w:rPr>
          <w:rFonts w:ascii="宋体" w:hAnsi="宋体" w:eastAsia="宋体" w:cs="宋体"/>
          <w:color w:val="auto"/>
          <w:spacing w:val="-28"/>
          <w:sz w:val="19"/>
          <w:szCs w:val="19"/>
          <w:highlight w:val="none"/>
        </w:rPr>
        <w:t xml:space="preserve"> </w:t>
      </w:r>
      <w:r>
        <w:rPr>
          <w:rFonts w:ascii="宋体" w:hAnsi="宋体" w:eastAsia="宋体" w:cs="宋体"/>
          <w:color w:val="auto"/>
          <w:sz w:val="19"/>
          <w:szCs w:val="19"/>
          <w:highlight w:val="none"/>
        </w:rPr>
        <w:t>AA</w:t>
      </w:r>
      <w:r>
        <w:rPr>
          <w:rFonts w:ascii="宋体" w:hAnsi="宋体" w:eastAsia="宋体" w:cs="宋体"/>
          <w:color w:val="auto"/>
          <w:spacing w:val="9"/>
          <w:sz w:val="19"/>
          <w:szCs w:val="19"/>
          <w:highlight w:val="none"/>
        </w:rPr>
        <w:t>、A</w:t>
      </w:r>
      <w:r>
        <w:rPr>
          <w:rFonts w:ascii="宋体" w:hAnsi="宋体" w:eastAsia="宋体" w:cs="宋体"/>
          <w:color w:val="auto"/>
          <w:spacing w:val="-33"/>
          <w:sz w:val="19"/>
          <w:szCs w:val="19"/>
          <w:highlight w:val="none"/>
        </w:rPr>
        <w:t xml:space="preserve"> </w:t>
      </w:r>
      <w:r>
        <w:rPr>
          <w:rFonts w:ascii="宋体" w:hAnsi="宋体" w:eastAsia="宋体" w:cs="宋体"/>
          <w:color w:val="auto"/>
          <w:spacing w:val="9"/>
          <w:sz w:val="19"/>
          <w:szCs w:val="19"/>
          <w:highlight w:val="none"/>
        </w:rPr>
        <w:t>级投标人的年度信用等级使用情况进行公</w:t>
      </w:r>
      <w:r>
        <w:rPr>
          <w:rFonts w:ascii="宋体" w:hAnsi="宋体" w:eastAsia="宋体" w:cs="宋体"/>
          <w:color w:val="auto"/>
          <w:sz w:val="19"/>
          <w:szCs w:val="19"/>
          <w:highlight w:val="none"/>
        </w:rPr>
        <w:t>开。</w:t>
      </w:r>
    </w:p>
    <w:p w14:paraId="20D919A1">
      <w:pPr>
        <w:spacing w:before="151" w:line="229" w:lineRule="auto"/>
        <w:ind w:left="55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w:t>
      </w:r>
      <w:r>
        <w:rPr>
          <w:rFonts w:ascii="宋体" w:hAnsi="宋体" w:eastAsia="宋体" w:cs="宋体"/>
          <w:color w:val="auto"/>
          <w:spacing w:val="9"/>
          <w:sz w:val="19"/>
          <w:szCs w:val="19"/>
          <w:highlight w:val="none"/>
        </w:rPr>
        <w:t>以联合体形式投标的，联合体各成员应分别填写</w:t>
      </w:r>
      <w:r>
        <w:rPr>
          <w:rFonts w:ascii="宋体" w:hAnsi="宋体" w:eastAsia="宋体" w:cs="宋体"/>
          <w:color w:val="auto"/>
          <w:spacing w:val="9"/>
          <w:sz w:val="20"/>
          <w:szCs w:val="20"/>
          <w:highlight w:val="none"/>
        </w:rPr>
        <w:t>。</w:t>
      </w:r>
    </w:p>
    <w:p w14:paraId="1B2A9715">
      <w:pPr>
        <w:spacing w:line="229" w:lineRule="auto"/>
        <w:rPr>
          <w:rFonts w:ascii="宋体" w:hAnsi="宋体" w:eastAsia="宋体" w:cs="宋体"/>
          <w:color w:val="auto"/>
          <w:sz w:val="20"/>
          <w:szCs w:val="20"/>
          <w:highlight w:val="none"/>
        </w:rPr>
        <w:sectPr>
          <w:footerReference r:id="rId53" w:type="default"/>
          <w:pgSz w:w="11906" w:h="16839"/>
          <w:pgMar w:top="1401" w:right="1417" w:bottom="1297" w:left="1315" w:header="0" w:footer="1067" w:gutter="0"/>
          <w:pgBorders>
            <w:top w:val="none" w:sz="0" w:space="0"/>
            <w:left w:val="none" w:sz="0" w:space="0"/>
            <w:bottom w:val="none" w:sz="0" w:space="0"/>
            <w:right w:val="none" w:sz="0" w:space="0"/>
          </w:pgBorders>
          <w:pgNumType w:fmt="decimal"/>
          <w:cols w:space="720" w:num="1"/>
        </w:sectPr>
      </w:pPr>
    </w:p>
    <w:p w14:paraId="30A3560A">
      <w:pPr>
        <w:spacing w:before="56" w:line="219" w:lineRule="auto"/>
        <w:ind w:left="144"/>
        <w:rPr>
          <w:rFonts w:ascii="宋体" w:hAnsi="宋体" w:eastAsia="宋体" w:cs="宋体"/>
          <w:color w:val="auto"/>
          <w:sz w:val="28"/>
          <w:szCs w:val="28"/>
          <w:highlight w:val="none"/>
        </w:rPr>
      </w:pPr>
      <w:r>
        <w:rPr>
          <w:rFonts w:ascii="宋体" w:hAnsi="宋体" w:eastAsia="宋体" w:cs="宋体"/>
          <w:color w:val="auto"/>
          <w:spacing w:val="-11"/>
          <w:sz w:val="28"/>
          <w:szCs w:val="28"/>
          <w:highlight w:val="none"/>
        </w:rPr>
        <w:t>附表：</w:t>
      </w:r>
    </w:p>
    <w:p w14:paraId="5676E5EF">
      <w:pPr>
        <w:spacing w:line="298" w:lineRule="auto"/>
        <w:rPr>
          <w:rFonts w:ascii="Arial"/>
          <w:color w:val="auto"/>
          <w:sz w:val="21"/>
          <w:highlight w:val="none"/>
        </w:rPr>
      </w:pPr>
    </w:p>
    <w:p w14:paraId="03F9FD55">
      <w:pPr>
        <w:tabs>
          <w:tab w:val="left" w:pos="2338"/>
        </w:tabs>
        <w:spacing w:before="91" w:line="243" w:lineRule="auto"/>
        <w:ind w:left="3397" w:right="793" w:hanging="2600"/>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5"/>
          <w:sz w:val="28"/>
          <w:szCs w:val="28"/>
          <w:highlight w:val="none"/>
        </w:rPr>
        <w:t xml:space="preserve"> </w:t>
      </w:r>
      <w:r>
        <w:rPr>
          <w:rFonts w:ascii="宋体" w:hAnsi="宋体" w:eastAsia="宋体" w:cs="宋体"/>
          <w:color w:val="auto"/>
          <w:spacing w:val="-1"/>
          <w:sz w:val="28"/>
          <w:szCs w:val="28"/>
          <w:highlight w:val="none"/>
        </w:rPr>
        <w:t>单位使用</w:t>
      </w:r>
      <w:r>
        <w:rPr>
          <w:rFonts w:ascii="宋体" w:hAnsi="宋体" w:eastAsia="宋体" w:cs="宋体"/>
          <w:color w:val="auto"/>
          <w:spacing w:val="-1"/>
          <w:sz w:val="28"/>
          <w:szCs w:val="28"/>
          <w:highlight w:val="none"/>
          <w:u w:val="single" w:color="auto"/>
        </w:rPr>
        <w:t xml:space="preserve">          </w:t>
      </w:r>
      <w:r>
        <w:rPr>
          <w:rFonts w:ascii="宋体" w:hAnsi="宋体" w:eastAsia="宋体" w:cs="宋体"/>
          <w:color w:val="auto"/>
          <w:spacing w:val="-128"/>
          <w:sz w:val="28"/>
          <w:szCs w:val="28"/>
          <w:highlight w:val="none"/>
        </w:rPr>
        <w:t xml:space="preserve"> </w:t>
      </w:r>
      <w:r>
        <w:rPr>
          <w:rFonts w:ascii="宋体" w:hAnsi="宋体" w:eastAsia="宋体" w:cs="宋体"/>
          <w:color w:val="auto"/>
          <w:spacing w:val="-1"/>
          <w:sz w:val="28"/>
          <w:szCs w:val="28"/>
          <w:highlight w:val="none"/>
        </w:rPr>
        <w:t>年度广东省公路工程从业单位</w:t>
      </w:r>
      <w:r>
        <w:rPr>
          <w:rFonts w:ascii="宋体" w:hAnsi="宋体" w:eastAsia="宋体" w:cs="宋体"/>
          <w:color w:val="auto"/>
          <w:spacing w:val="-2"/>
          <w:sz w:val="28"/>
          <w:szCs w:val="28"/>
          <w:highlight w:val="none"/>
        </w:rPr>
        <w:t>信用等级情况汇总表</w:t>
      </w:r>
    </w:p>
    <w:p w14:paraId="0AE72757">
      <w:pPr>
        <w:spacing w:before="75"/>
        <w:rPr>
          <w:color w:val="auto"/>
          <w:highlight w:val="none"/>
        </w:rPr>
      </w:pPr>
    </w:p>
    <w:p w14:paraId="0A7C244E">
      <w:pPr>
        <w:spacing w:before="75"/>
        <w:rPr>
          <w:color w:val="auto"/>
          <w:highlight w:val="none"/>
        </w:rPr>
      </w:pPr>
    </w:p>
    <w:p w14:paraId="1FF5DECE">
      <w:pPr>
        <w:spacing w:before="74"/>
        <w:rPr>
          <w:color w:val="auto"/>
          <w:highlight w:val="none"/>
        </w:rPr>
      </w:pP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2171"/>
        <w:gridCol w:w="1547"/>
        <w:gridCol w:w="1720"/>
        <w:gridCol w:w="1671"/>
        <w:gridCol w:w="1254"/>
      </w:tblGrid>
      <w:tr w14:paraId="1B08D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25" w:type="dxa"/>
            <w:vAlign w:val="top"/>
          </w:tcPr>
          <w:p w14:paraId="26020997">
            <w:pPr>
              <w:pStyle w:val="23"/>
              <w:spacing w:before="172" w:line="229" w:lineRule="auto"/>
              <w:ind w:left="258"/>
              <w:rPr>
                <w:color w:val="auto"/>
                <w:highlight w:val="none"/>
              </w:rPr>
            </w:pPr>
            <w:r>
              <w:rPr>
                <w:color w:val="auto"/>
                <w:spacing w:val="5"/>
                <w:highlight w:val="none"/>
              </w:rPr>
              <w:t>序号</w:t>
            </w:r>
          </w:p>
        </w:tc>
        <w:tc>
          <w:tcPr>
            <w:tcW w:w="2171" w:type="dxa"/>
            <w:vAlign w:val="top"/>
          </w:tcPr>
          <w:p w14:paraId="1398D6ED">
            <w:pPr>
              <w:pStyle w:val="23"/>
              <w:spacing w:before="172" w:line="228" w:lineRule="auto"/>
              <w:ind w:left="565"/>
              <w:rPr>
                <w:color w:val="auto"/>
                <w:highlight w:val="none"/>
              </w:rPr>
            </w:pPr>
            <w:r>
              <w:rPr>
                <w:color w:val="auto"/>
                <w:spacing w:val="7"/>
                <w:highlight w:val="none"/>
              </w:rPr>
              <w:t>招标人名称</w:t>
            </w:r>
          </w:p>
        </w:tc>
        <w:tc>
          <w:tcPr>
            <w:tcW w:w="1547" w:type="dxa"/>
            <w:vAlign w:val="top"/>
          </w:tcPr>
          <w:p w14:paraId="7B2B0841">
            <w:pPr>
              <w:pStyle w:val="23"/>
              <w:spacing w:before="34" w:line="235" w:lineRule="auto"/>
              <w:ind w:left="570" w:right="162" w:hanging="421"/>
              <w:rPr>
                <w:color w:val="auto"/>
                <w:highlight w:val="none"/>
              </w:rPr>
            </w:pPr>
            <w:r>
              <w:rPr>
                <w:color w:val="auto"/>
                <w:spacing w:val="5"/>
                <w:highlight w:val="none"/>
              </w:rPr>
              <w:t>标段（标类）</w:t>
            </w:r>
            <w:r>
              <w:rPr>
                <w:color w:val="auto"/>
                <w:spacing w:val="3"/>
                <w:highlight w:val="none"/>
              </w:rPr>
              <w:t>名称</w:t>
            </w:r>
          </w:p>
        </w:tc>
        <w:tc>
          <w:tcPr>
            <w:tcW w:w="1720" w:type="dxa"/>
            <w:vAlign w:val="top"/>
          </w:tcPr>
          <w:p w14:paraId="3E608B06">
            <w:pPr>
              <w:pStyle w:val="23"/>
              <w:spacing w:before="34" w:line="235" w:lineRule="auto"/>
              <w:ind w:left="350" w:right="229" w:hanging="114"/>
              <w:rPr>
                <w:color w:val="auto"/>
                <w:highlight w:val="none"/>
              </w:rPr>
            </w:pPr>
            <w:r>
              <w:rPr>
                <w:color w:val="auto"/>
                <w:spacing w:val="8"/>
                <w:highlight w:val="none"/>
              </w:rPr>
              <w:t>递交文件时间</w:t>
            </w:r>
            <w:r>
              <w:rPr>
                <w:color w:val="auto"/>
                <w:spacing w:val="3"/>
                <w:highlight w:val="none"/>
              </w:rPr>
              <w:t>（年月日）</w:t>
            </w:r>
          </w:p>
        </w:tc>
        <w:tc>
          <w:tcPr>
            <w:tcW w:w="1671" w:type="dxa"/>
            <w:vAlign w:val="top"/>
          </w:tcPr>
          <w:p w14:paraId="2DD8437D">
            <w:pPr>
              <w:pStyle w:val="23"/>
              <w:spacing w:before="35" w:line="228" w:lineRule="auto"/>
              <w:ind w:left="213"/>
              <w:rPr>
                <w:color w:val="auto"/>
                <w:highlight w:val="none"/>
              </w:rPr>
            </w:pPr>
            <w:r>
              <w:rPr>
                <w:color w:val="auto"/>
                <w:spacing w:val="8"/>
                <w:highlight w:val="none"/>
              </w:rPr>
              <w:t>使用信用等级</w:t>
            </w:r>
          </w:p>
          <w:p w14:paraId="3460C816">
            <w:pPr>
              <w:pStyle w:val="23"/>
              <w:spacing w:before="26" w:line="217" w:lineRule="auto"/>
              <w:ind w:left="434"/>
              <w:rPr>
                <w:color w:val="auto"/>
                <w:highlight w:val="none"/>
              </w:rPr>
            </w:pPr>
            <w:r>
              <w:rPr>
                <w:color w:val="auto"/>
                <w:spacing w:val="2"/>
                <w:highlight w:val="none"/>
              </w:rPr>
              <w:t>（</w:t>
            </w:r>
            <w:r>
              <w:rPr>
                <w:color w:val="auto"/>
                <w:highlight w:val="none"/>
              </w:rPr>
              <w:t>AA</w:t>
            </w:r>
            <w:r>
              <w:rPr>
                <w:color w:val="auto"/>
                <w:spacing w:val="2"/>
                <w:highlight w:val="none"/>
              </w:rPr>
              <w:t>/A）</w:t>
            </w:r>
          </w:p>
        </w:tc>
        <w:tc>
          <w:tcPr>
            <w:tcW w:w="1254" w:type="dxa"/>
            <w:vAlign w:val="top"/>
          </w:tcPr>
          <w:p w14:paraId="2EC8FE61">
            <w:pPr>
              <w:pStyle w:val="23"/>
              <w:spacing w:before="172" w:line="229" w:lineRule="auto"/>
              <w:ind w:left="425"/>
              <w:rPr>
                <w:color w:val="auto"/>
                <w:highlight w:val="none"/>
              </w:rPr>
            </w:pPr>
            <w:r>
              <w:rPr>
                <w:color w:val="auto"/>
                <w:spacing w:val="3"/>
                <w:highlight w:val="none"/>
              </w:rPr>
              <w:t>备注</w:t>
            </w:r>
          </w:p>
        </w:tc>
      </w:tr>
      <w:tr w14:paraId="10DDA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0B75C74E">
            <w:pPr>
              <w:pStyle w:val="23"/>
              <w:spacing w:before="31" w:line="270" w:lineRule="exact"/>
              <w:ind w:left="430"/>
              <w:rPr>
                <w:color w:val="auto"/>
                <w:highlight w:val="none"/>
              </w:rPr>
            </w:pPr>
            <w:r>
              <w:rPr>
                <w:color w:val="auto"/>
                <w:position w:val="1"/>
                <w:highlight w:val="none"/>
              </w:rPr>
              <w:t>1</w:t>
            </w:r>
          </w:p>
        </w:tc>
        <w:tc>
          <w:tcPr>
            <w:tcW w:w="2171" w:type="dxa"/>
            <w:vAlign w:val="top"/>
          </w:tcPr>
          <w:p w14:paraId="34EBFC02">
            <w:pPr>
              <w:rPr>
                <w:rFonts w:ascii="Arial"/>
                <w:color w:val="auto"/>
                <w:sz w:val="21"/>
                <w:highlight w:val="none"/>
              </w:rPr>
            </w:pPr>
          </w:p>
        </w:tc>
        <w:tc>
          <w:tcPr>
            <w:tcW w:w="1547" w:type="dxa"/>
            <w:vAlign w:val="top"/>
          </w:tcPr>
          <w:p w14:paraId="6B911F24">
            <w:pPr>
              <w:rPr>
                <w:rFonts w:ascii="Arial"/>
                <w:color w:val="auto"/>
                <w:sz w:val="21"/>
                <w:highlight w:val="none"/>
              </w:rPr>
            </w:pPr>
          </w:p>
        </w:tc>
        <w:tc>
          <w:tcPr>
            <w:tcW w:w="1720" w:type="dxa"/>
            <w:vAlign w:val="top"/>
          </w:tcPr>
          <w:p w14:paraId="2D30FA19">
            <w:pPr>
              <w:rPr>
                <w:rFonts w:ascii="Arial"/>
                <w:color w:val="auto"/>
                <w:sz w:val="21"/>
                <w:highlight w:val="none"/>
              </w:rPr>
            </w:pPr>
          </w:p>
        </w:tc>
        <w:tc>
          <w:tcPr>
            <w:tcW w:w="1671" w:type="dxa"/>
            <w:vAlign w:val="top"/>
          </w:tcPr>
          <w:p w14:paraId="0603EF76">
            <w:pPr>
              <w:rPr>
                <w:rFonts w:ascii="Arial"/>
                <w:color w:val="auto"/>
                <w:sz w:val="21"/>
                <w:highlight w:val="none"/>
              </w:rPr>
            </w:pPr>
          </w:p>
        </w:tc>
        <w:tc>
          <w:tcPr>
            <w:tcW w:w="1254" w:type="dxa"/>
            <w:vAlign w:val="top"/>
          </w:tcPr>
          <w:p w14:paraId="1165D7EC">
            <w:pPr>
              <w:rPr>
                <w:rFonts w:ascii="Arial"/>
                <w:color w:val="auto"/>
                <w:sz w:val="21"/>
                <w:highlight w:val="none"/>
              </w:rPr>
            </w:pPr>
          </w:p>
        </w:tc>
      </w:tr>
      <w:tr w14:paraId="3B490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6DBCE22E">
            <w:pPr>
              <w:pStyle w:val="23"/>
              <w:spacing w:before="32" w:line="270" w:lineRule="exact"/>
              <w:ind w:left="417"/>
              <w:rPr>
                <w:color w:val="auto"/>
                <w:highlight w:val="none"/>
              </w:rPr>
            </w:pPr>
            <w:r>
              <w:rPr>
                <w:color w:val="auto"/>
                <w:position w:val="1"/>
                <w:highlight w:val="none"/>
              </w:rPr>
              <w:t>2</w:t>
            </w:r>
          </w:p>
        </w:tc>
        <w:tc>
          <w:tcPr>
            <w:tcW w:w="2171" w:type="dxa"/>
            <w:vAlign w:val="top"/>
          </w:tcPr>
          <w:p w14:paraId="227EE758">
            <w:pPr>
              <w:rPr>
                <w:rFonts w:ascii="Arial"/>
                <w:color w:val="auto"/>
                <w:sz w:val="21"/>
                <w:highlight w:val="none"/>
              </w:rPr>
            </w:pPr>
          </w:p>
        </w:tc>
        <w:tc>
          <w:tcPr>
            <w:tcW w:w="1547" w:type="dxa"/>
            <w:vAlign w:val="top"/>
          </w:tcPr>
          <w:p w14:paraId="16335707">
            <w:pPr>
              <w:rPr>
                <w:rFonts w:ascii="Arial"/>
                <w:color w:val="auto"/>
                <w:sz w:val="21"/>
                <w:highlight w:val="none"/>
              </w:rPr>
            </w:pPr>
          </w:p>
        </w:tc>
        <w:tc>
          <w:tcPr>
            <w:tcW w:w="1720" w:type="dxa"/>
            <w:vAlign w:val="top"/>
          </w:tcPr>
          <w:p w14:paraId="29B2E8F6">
            <w:pPr>
              <w:rPr>
                <w:rFonts w:ascii="Arial"/>
                <w:color w:val="auto"/>
                <w:sz w:val="21"/>
                <w:highlight w:val="none"/>
              </w:rPr>
            </w:pPr>
          </w:p>
        </w:tc>
        <w:tc>
          <w:tcPr>
            <w:tcW w:w="1671" w:type="dxa"/>
            <w:vAlign w:val="top"/>
          </w:tcPr>
          <w:p w14:paraId="69815B8C">
            <w:pPr>
              <w:rPr>
                <w:rFonts w:ascii="Arial"/>
                <w:color w:val="auto"/>
                <w:sz w:val="21"/>
                <w:highlight w:val="none"/>
              </w:rPr>
            </w:pPr>
          </w:p>
        </w:tc>
        <w:tc>
          <w:tcPr>
            <w:tcW w:w="1254" w:type="dxa"/>
            <w:vAlign w:val="top"/>
          </w:tcPr>
          <w:p w14:paraId="261FD48C">
            <w:pPr>
              <w:rPr>
                <w:rFonts w:ascii="Arial"/>
                <w:color w:val="auto"/>
                <w:sz w:val="21"/>
                <w:highlight w:val="none"/>
              </w:rPr>
            </w:pPr>
          </w:p>
        </w:tc>
      </w:tr>
      <w:tr w14:paraId="4BF62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7103700A">
            <w:pPr>
              <w:pStyle w:val="23"/>
              <w:spacing w:before="32" w:line="268" w:lineRule="exact"/>
              <w:ind w:left="419"/>
              <w:rPr>
                <w:color w:val="auto"/>
                <w:highlight w:val="none"/>
              </w:rPr>
            </w:pPr>
            <w:r>
              <w:rPr>
                <w:color w:val="auto"/>
                <w:position w:val="1"/>
                <w:highlight w:val="none"/>
              </w:rPr>
              <w:t>3</w:t>
            </w:r>
          </w:p>
        </w:tc>
        <w:tc>
          <w:tcPr>
            <w:tcW w:w="2171" w:type="dxa"/>
            <w:vAlign w:val="top"/>
          </w:tcPr>
          <w:p w14:paraId="5B165453">
            <w:pPr>
              <w:rPr>
                <w:rFonts w:ascii="Arial"/>
                <w:color w:val="auto"/>
                <w:sz w:val="21"/>
                <w:highlight w:val="none"/>
              </w:rPr>
            </w:pPr>
          </w:p>
        </w:tc>
        <w:tc>
          <w:tcPr>
            <w:tcW w:w="1547" w:type="dxa"/>
            <w:vAlign w:val="top"/>
          </w:tcPr>
          <w:p w14:paraId="0F46F0DB">
            <w:pPr>
              <w:rPr>
                <w:rFonts w:ascii="Arial"/>
                <w:color w:val="auto"/>
                <w:sz w:val="21"/>
                <w:highlight w:val="none"/>
              </w:rPr>
            </w:pPr>
          </w:p>
        </w:tc>
        <w:tc>
          <w:tcPr>
            <w:tcW w:w="1720" w:type="dxa"/>
            <w:vAlign w:val="top"/>
          </w:tcPr>
          <w:p w14:paraId="68C4B220">
            <w:pPr>
              <w:rPr>
                <w:rFonts w:ascii="Arial"/>
                <w:color w:val="auto"/>
                <w:sz w:val="21"/>
                <w:highlight w:val="none"/>
              </w:rPr>
            </w:pPr>
          </w:p>
        </w:tc>
        <w:tc>
          <w:tcPr>
            <w:tcW w:w="1671" w:type="dxa"/>
            <w:vAlign w:val="top"/>
          </w:tcPr>
          <w:p w14:paraId="3ADE8F95">
            <w:pPr>
              <w:rPr>
                <w:rFonts w:ascii="Arial"/>
                <w:color w:val="auto"/>
                <w:sz w:val="21"/>
                <w:highlight w:val="none"/>
              </w:rPr>
            </w:pPr>
          </w:p>
        </w:tc>
        <w:tc>
          <w:tcPr>
            <w:tcW w:w="1254" w:type="dxa"/>
            <w:vAlign w:val="top"/>
          </w:tcPr>
          <w:p w14:paraId="117DA8BC">
            <w:pPr>
              <w:rPr>
                <w:rFonts w:ascii="Arial"/>
                <w:color w:val="auto"/>
                <w:sz w:val="21"/>
                <w:highlight w:val="none"/>
              </w:rPr>
            </w:pPr>
          </w:p>
        </w:tc>
      </w:tr>
      <w:tr w14:paraId="5DA4D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137F5E43">
            <w:pPr>
              <w:pStyle w:val="23"/>
              <w:spacing w:before="34" w:line="270" w:lineRule="exact"/>
              <w:ind w:left="414"/>
              <w:rPr>
                <w:color w:val="auto"/>
                <w:highlight w:val="none"/>
              </w:rPr>
            </w:pPr>
            <w:r>
              <w:rPr>
                <w:color w:val="auto"/>
                <w:position w:val="1"/>
                <w:highlight w:val="none"/>
              </w:rPr>
              <w:t>4</w:t>
            </w:r>
          </w:p>
        </w:tc>
        <w:tc>
          <w:tcPr>
            <w:tcW w:w="2171" w:type="dxa"/>
            <w:vAlign w:val="top"/>
          </w:tcPr>
          <w:p w14:paraId="6A2735FA">
            <w:pPr>
              <w:rPr>
                <w:rFonts w:ascii="Arial"/>
                <w:color w:val="auto"/>
                <w:sz w:val="21"/>
                <w:highlight w:val="none"/>
              </w:rPr>
            </w:pPr>
          </w:p>
        </w:tc>
        <w:tc>
          <w:tcPr>
            <w:tcW w:w="1547" w:type="dxa"/>
            <w:vAlign w:val="top"/>
          </w:tcPr>
          <w:p w14:paraId="66249A3C">
            <w:pPr>
              <w:rPr>
                <w:rFonts w:ascii="Arial"/>
                <w:color w:val="auto"/>
                <w:sz w:val="21"/>
                <w:highlight w:val="none"/>
              </w:rPr>
            </w:pPr>
          </w:p>
        </w:tc>
        <w:tc>
          <w:tcPr>
            <w:tcW w:w="1720" w:type="dxa"/>
            <w:vAlign w:val="top"/>
          </w:tcPr>
          <w:p w14:paraId="3236336D">
            <w:pPr>
              <w:rPr>
                <w:rFonts w:ascii="Arial"/>
                <w:color w:val="auto"/>
                <w:sz w:val="21"/>
                <w:highlight w:val="none"/>
              </w:rPr>
            </w:pPr>
          </w:p>
        </w:tc>
        <w:tc>
          <w:tcPr>
            <w:tcW w:w="1671" w:type="dxa"/>
            <w:vAlign w:val="top"/>
          </w:tcPr>
          <w:p w14:paraId="47279469">
            <w:pPr>
              <w:rPr>
                <w:rFonts w:ascii="Arial"/>
                <w:color w:val="auto"/>
                <w:sz w:val="21"/>
                <w:highlight w:val="none"/>
              </w:rPr>
            </w:pPr>
          </w:p>
        </w:tc>
        <w:tc>
          <w:tcPr>
            <w:tcW w:w="1254" w:type="dxa"/>
            <w:vAlign w:val="top"/>
          </w:tcPr>
          <w:p w14:paraId="6B59FECA">
            <w:pPr>
              <w:rPr>
                <w:rFonts w:ascii="Arial"/>
                <w:color w:val="auto"/>
                <w:sz w:val="21"/>
                <w:highlight w:val="none"/>
              </w:rPr>
            </w:pPr>
          </w:p>
        </w:tc>
      </w:tr>
      <w:tr w14:paraId="55203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3E50A093">
            <w:pPr>
              <w:pStyle w:val="23"/>
              <w:spacing w:before="33" w:line="269" w:lineRule="exact"/>
              <w:ind w:left="419"/>
              <w:rPr>
                <w:color w:val="auto"/>
                <w:highlight w:val="none"/>
              </w:rPr>
            </w:pPr>
            <w:r>
              <w:rPr>
                <w:color w:val="auto"/>
                <w:position w:val="1"/>
                <w:highlight w:val="none"/>
              </w:rPr>
              <w:t>5</w:t>
            </w:r>
          </w:p>
        </w:tc>
        <w:tc>
          <w:tcPr>
            <w:tcW w:w="2171" w:type="dxa"/>
            <w:vAlign w:val="top"/>
          </w:tcPr>
          <w:p w14:paraId="06CFFA4C">
            <w:pPr>
              <w:rPr>
                <w:rFonts w:ascii="Arial"/>
                <w:color w:val="auto"/>
                <w:sz w:val="21"/>
                <w:highlight w:val="none"/>
              </w:rPr>
            </w:pPr>
          </w:p>
        </w:tc>
        <w:tc>
          <w:tcPr>
            <w:tcW w:w="1547" w:type="dxa"/>
            <w:vAlign w:val="top"/>
          </w:tcPr>
          <w:p w14:paraId="605C3FBD">
            <w:pPr>
              <w:rPr>
                <w:rFonts w:ascii="Arial"/>
                <w:color w:val="auto"/>
                <w:sz w:val="21"/>
                <w:highlight w:val="none"/>
              </w:rPr>
            </w:pPr>
          </w:p>
        </w:tc>
        <w:tc>
          <w:tcPr>
            <w:tcW w:w="1720" w:type="dxa"/>
            <w:vAlign w:val="top"/>
          </w:tcPr>
          <w:p w14:paraId="04BBE887">
            <w:pPr>
              <w:rPr>
                <w:rFonts w:ascii="Arial"/>
                <w:color w:val="auto"/>
                <w:sz w:val="21"/>
                <w:highlight w:val="none"/>
              </w:rPr>
            </w:pPr>
          </w:p>
        </w:tc>
        <w:tc>
          <w:tcPr>
            <w:tcW w:w="1671" w:type="dxa"/>
            <w:vAlign w:val="top"/>
          </w:tcPr>
          <w:p w14:paraId="15A51516">
            <w:pPr>
              <w:rPr>
                <w:rFonts w:ascii="Arial"/>
                <w:color w:val="auto"/>
                <w:sz w:val="21"/>
                <w:highlight w:val="none"/>
              </w:rPr>
            </w:pPr>
          </w:p>
        </w:tc>
        <w:tc>
          <w:tcPr>
            <w:tcW w:w="1254" w:type="dxa"/>
            <w:vAlign w:val="top"/>
          </w:tcPr>
          <w:p w14:paraId="3D8763E9">
            <w:pPr>
              <w:rPr>
                <w:rFonts w:ascii="Arial"/>
                <w:color w:val="auto"/>
                <w:sz w:val="21"/>
                <w:highlight w:val="none"/>
              </w:rPr>
            </w:pPr>
          </w:p>
        </w:tc>
      </w:tr>
      <w:tr w14:paraId="2A6F7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6BB7CE37">
            <w:pPr>
              <w:pStyle w:val="23"/>
              <w:spacing w:before="35" w:line="268" w:lineRule="exact"/>
              <w:ind w:left="416"/>
              <w:rPr>
                <w:color w:val="auto"/>
                <w:highlight w:val="none"/>
              </w:rPr>
            </w:pPr>
            <w:r>
              <w:rPr>
                <w:color w:val="auto"/>
                <w:position w:val="1"/>
                <w:highlight w:val="none"/>
              </w:rPr>
              <w:t>6</w:t>
            </w:r>
          </w:p>
        </w:tc>
        <w:tc>
          <w:tcPr>
            <w:tcW w:w="2171" w:type="dxa"/>
            <w:vAlign w:val="top"/>
          </w:tcPr>
          <w:p w14:paraId="1924E7F6">
            <w:pPr>
              <w:rPr>
                <w:rFonts w:ascii="Arial"/>
                <w:color w:val="auto"/>
                <w:sz w:val="21"/>
                <w:highlight w:val="none"/>
              </w:rPr>
            </w:pPr>
          </w:p>
        </w:tc>
        <w:tc>
          <w:tcPr>
            <w:tcW w:w="1547" w:type="dxa"/>
            <w:vAlign w:val="top"/>
          </w:tcPr>
          <w:p w14:paraId="39F35979">
            <w:pPr>
              <w:rPr>
                <w:rFonts w:ascii="Arial"/>
                <w:color w:val="auto"/>
                <w:sz w:val="21"/>
                <w:highlight w:val="none"/>
              </w:rPr>
            </w:pPr>
          </w:p>
        </w:tc>
        <w:tc>
          <w:tcPr>
            <w:tcW w:w="1720" w:type="dxa"/>
            <w:vAlign w:val="top"/>
          </w:tcPr>
          <w:p w14:paraId="5DCD0503">
            <w:pPr>
              <w:rPr>
                <w:rFonts w:ascii="Arial"/>
                <w:color w:val="auto"/>
                <w:sz w:val="21"/>
                <w:highlight w:val="none"/>
              </w:rPr>
            </w:pPr>
          </w:p>
        </w:tc>
        <w:tc>
          <w:tcPr>
            <w:tcW w:w="1671" w:type="dxa"/>
            <w:vAlign w:val="top"/>
          </w:tcPr>
          <w:p w14:paraId="787E3472">
            <w:pPr>
              <w:rPr>
                <w:rFonts w:ascii="Arial"/>
                <w:color w:val="auto"/>
                <w:sz w:val="21"/>
                <w:highlight w:val="none"/>
              </w:rPr>
            </w:pPr>
          </w:p>
        </w:tc>
        <w:tc>
          <w:tcPr>
            <w:tcW w:w="1254" w:type="dxa"/>
            <w:vAlign w:val="top"/>
          </w:tcPr>
          <w:p w14:paraId="08D657E5">
            <w:pPr>
              <w:rPr>
                <w:rFonts w:ascii="Arial"/>
                <w:color w:val="auto"/>
                <w:sz w:val="21"/>
                <w:highlight w:val="none"/>
              </w:rPr>
            </w:pPr>
          </w:p>
        </w:tc>
      </w:tr>
      <w:tr w14:paraId="3CAD4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6DBFED11">
            <w:pPr>
              <w:pStyle w:val="23"/>
              <w:spacing w:before="34" w:line="268" w:lineRule="exact"/>
              <w:ind w:left="419"/>
              <w:rPr>
                <w:color w:val="auto"/>
                <w:highlight w:val="none"/>
              </w:rPr>
            </w:pPr>
            <w:r>
              <w:rPr>
                <w:color w:val="auto"/>
                <w:position w:val="1"/>
                <w:highlight w:val="none"/>
              </w:rPr>
              <w:t>7</w:t>
            </w:r>
          </w:p>
        </w:tc>
        <w:tc>
          <w:tcPr>
            <w:tcW w:w="2171" w:type="dxa"/>
            <w:vAlign w:val="top"/>
          </w:tcPr>
          <w:p w14:paraId="3E161F2A">
            <w:pPr>
              <w:rPr>
                <w:rFonts w:ascii="Arial"/>
                <w:color w:val="auto"/>
                <w:sz w:val="21"/>
                <w:highlight w:val="none"/>
              </w:rPr>
            </w:pPr>
          </w:p>
        </w:tc>
        <w:tc>
          <w:tcPr>
            <w:tcW w:w="1547" w:type="dxa"/>
            <w:vAlign w:val="top"/>
          </w:tcPr>
          <w:p w14:paraId="6BAED4D0">
            <w:pPr>
              <w:rPr>
                <w:rFonts w:ascii="Arial"/>
                <w:color w:val="auto"/>
                <w:sz w:val="21"/>
                <w:highlight w:val="none"/>
              </w:rPr>
            </w:pPr>
          </w:p>
        </w:tc>
        <w:tc>
          <w:tcPr>
            <w:tcW w:w="1720" w:type="dxa"/>
            <w:vAlign w:val="top"/>
          </w:tcPr>
          <w:p w14:paraId="1F444636">
            <w:pPr>
              <w:rPr>
                <w:rFonts w:ascii="Arial"/>
                <w:color w:val="auto"/>
                <w:sz w:val="21"/>
                <w:highlight w:val="none"/>
              </w:rPr>
            </w:pPr>
          </w:p>
        </w:tc>
        <w:tc>
          <w:tcPr>
            <w:tcW w:w="1671" w:type="dxa"/>
            <w:vAlign w:val="top"/>
          </w:tcPr>
          <w:p w14:paraId="35DECAA2">
            <w:pPr>
              <w:rPr>
                <w:rFonts w:ascii="Arial"/>
                <w:color w:val="auto"/>
                <w:sz w:val="21"/>
                <w:highlight w:val="none"/>
              </w:rPr>
            </w:pPr>
          </w:p>
        </w:tc>
        <w:tc>
          <w:tcPr>
            <w:tcW w:w="1254" w:type="dxa"/>
            <w:vAlign w:val="top"/>
          </w:tcPr>
          <w:p w14:paraId="545F2C1B">
            <w:pPr>
              <w:rPr>
                <w:rFonts w:ascii="Arial"/>
                <w:color w:val="auto"/>
                <w:sz w:val="21"/>
                <w:highlight w:val="none"/>
              </w:rPr>
            </w:pPr>
          </w:p>
        </w:tc>
      </w:tr>
      <w:tr w14:paraId="1D704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2272DE87">
            <w:pPr>
              <w:pStyle w:val="23"/>
              <w:spacing w:before="34" w:line="268" w:lineRule="exact"/>
              <w:ind w:left="415"/>
              <w:rPr>
                <w:color w:val="auto"/>
                <w:highlight w:val="none"/>
              </w:rPr>
            </w:pPr>
            <w:r>
              <w:rPr>
                <w:color w:val="auto"/>
                <w:position w:val="1"/>
                <w:highlight w:val="none"/>
              </w:rPr>
              <w:t>8</w:t>
            </w:r>
          </w:p>
        </w:tc>
        <w:tc>
          <w:tcPr>
            <w:tcW w:w="2171" w:type="dxa"/>
            <w:vAlign w:val="top"/>
          </w:tcPr>
          <w:p w14:paraId="1D2A4BBE">
            <w:pPr>
              <w:rPr>
                <w:rFonts w:ascii="Arial"/>
                <w:color w:val="auto"/>
                <w:sz w:val="21"/>
                <w:highlight w:val="none"/>
              </w:rPr>
            </w:pPr>
          </w:p>
        </w:tc>
        <w:tc>
          <w:tcPr>
            <w:tcW w:w="1547" w:type="dxa"/>
            <w:vAlign w:val="top"/>
          </w:tcPr>
          <w:p w14:paraId="0D3E2AB1">
            <w:pPr>
              <w:rPr>
                <w:rFonts w:ascii="Arial"/>
                <w:color w:val="auto"/>
                <w:sz w:val="21"/>
                <w:highlight w:val="none"/>
              </w:rPr>
            </w:pPr>
          </w:p>
        </w:tc>
        <w:tc>
          <w:tcPr>
            <w:tcW w:w="1720" w:type="dxa"/>
            <w:vAlign w:val="top"/>
          </w:tcPr>
          <w:p w14:paraId="74181966">
            <w:pPr>
              <w:rPr>
                <w:rFonts w:ascii="Arial"/>
                <w:color w:val="auto"/>
                <w:sz w:val="21"/>
                <w:highlight w:val="none"/>
              </w:rPr>
            </w:pPr>
          </w:p>
        </w:tc>
        <w:tc>
          <w:tcPr>
            <w:tcW w:w="1671" w:type="dxa"/>
            <w:vAlign w:val="top"/>
          </w:tcPr>
          <w:p w14:paraId="69480806">
            <w:pPr>
              <w:rPr>
                <w:rFonts w:ascii="Arial"/>
                <w:color w:val="auto"/>
                <w:sz w:val="21"/>
                <w:highlight w:val="none"/>
              </w:rPr>
            </w:pPr>
          </w:p>
        </w:tc>
        <w:tc>
          <w:tcPr>
            <w:tcW w:w="1254" w:type="dxa"/>
            <w:vAlign w:val="top"/>
          </w:tcPr>
          <w:p w14:paraId="1C3B0A5C">
            <w:pPr>
              <w:rPr>
                <w:rFonts w:ascii="Arial"/>
                <w:color w:val="auto"/>
                <w:sz w:val="21"/>
                <w:highlight w:val="none"/>
              </w:rPr>
            </w:pPr>
          </w:p>
        </w:tc>
      </w:tr>
      <w:tr w14:paraId="388C0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25" w:type="dxa"/>
            <w:vAlign w:val="top"/>
          </w:tcPr>
          <w:p w14:paraId="30E7EB40">
            <w:pPr>
              <w:pStyle w:val="23"/>
              <w:spacing w:before="189" w:line="84" w:lineRule="exact"/>
              <w:ind w:left="317"/>
              <w:rPr>
                <w:color w:val="auto"/>
                <w:highlight w:val="none"/>
              </w:rPr>
            </w:pPr>
            <w:r>
              <w:rPr>
                <w:color w:val="auto"/>
                <w:spacing w:val="3"/>
                <w:position w:val="1"/>
                <w:highlight w:val="none"/>
              </w:rPr>
              <w:t>...</w:t>
            </w:r>
          </w:p>
        </w:tc>
        <w:tc>
          <w:tcPr>
            <w:tcW w:w="2171" w:type="dxa"/>
            <w:vAlign w:val="top"/>
          </w:tcPr>
          <w:p w14:paraId="59EB3866">
            <w:pPr>
              <w:rPr>
                <w:rFonts w:ascii="Arial"/>
                <w:color w:val="auto"/>
                <w:sz w:val="21"/>
                <w:highlight w:val="none"/>
              </w:rPr>
            </w:pPr>
          </w:p>
        </w:tc>
        <w:tc>
          <w:tcPr>
            <w:tcW w:w="1547" w:type="dxa"/>
            <w:vAlign w:val="top"/>
          </w:tcPr>
          <w:p w14:paraId="19E23E1B">
            <w:pPr>
              <w:rPr>
                <w:rFonts w:ascii="Arial"/>
                <w:color w:val="auto"/>
                <w:sz w:val="21"/>
                <w:highlight w:val="none"/>
              </w:rPr>
            </w:pPr>
          </w:p>
        </w:tc>
        <w:tc>
          <w:tcPr>
            <w:tcW w:w="1720" w:type="dxa"/>
            <w:vAlign w:val="top"/>
          </w:tcPr>
          <w:p w14:paraId="2772950C">
            <w:pPr>
              <w:rPr>
                <w:rFonts w:ascii="Arial"/>
                <w:color w:val="auto"/>
                <w:sz w:val="21"/>
                <w:highlight w:val="none"/>
              </w:rPr>
            </w:pPr>
          </w:p>
        </w:tc>
        <w:tc>
          <w:tcPr>
            <w:tcW w:w="1671" w:type="dxa"/>
            <w:vAlign w:val="top"/>
          </w:tcPr>
          <w:p w14:paraId="279E72DB">
            <w:pPr>
              <w:rPr>
                <w:rFonts w:ascii="Arial"/>
                <w:color w:val="auto"/>
                <w:sz w:val="21"/>
                <w:highlight w:val="none"/>
              </w:rPr>
            </w:pPr>
          </w:p>
        </w:tc>
        <w:tc>
          <w:tcPr>
            <w:tcW w:w="1254" w:type="dxa"/>
            <w:vAlign w:val="top"/>
          </w:tcPr>
          <w:p w14:paraId="7139F902">
            <w:pPr>
              <w:rPr>
                <w:rFonts w:ascii="Arial"/>
                <w:color w:val="auto"/>
                <w:sz w:val="21"/>
                <w:highlight w:val="none"/>
              </w:rPr>
            </w:pPr>
          </w:p>
        </w:tc>
      </w:tr>
    </w:tbl>
    <w:p w14:paraId="3B154658">
      <w:pPr>
        <w:spacing w:before="30" w:line="226" w:lineRule="auto"/>
        <w:ind w:left="1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备注：1、应如实填报信用评价等级使用情况。</w:t>
      </w:r>
    </w:p>
    <w:p w14:paraId="27C99E25">
      <w:pPr>
        <w:spacing w:before="165" w:line="228" w:lineRule="auto"/>
        <w:ind w:left="75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2、以联合体形式投标的，联合体各成员应</w:t>
      </w:r>
      <w:r>
        <w:rPr>
          <w:rFonts w:ascii="宋体" w:hAnsi="宋体" w:eastAsia="宋体" w:cs="宋体"/>
          <w:color w:val="auto"/>
          <w:spacing w:val="8"/>
          <w:sz w:val="20"/>
          <w:szCs w:val="20"/>
          <w:highlight w:val="none"/>
        </w:rPr>
        <w:t>分别填写。</w:t>
      </w:r>
    </w:p>
    <w:p w14:paraId="000C76E7">
      <w:pPr>
        <w:spacing w:line="228" w:lineRule="auto"/>
        <w:rPr>
          <w:rFonts w:ascii="宋体" w:hAnsi="宋体" w:eastAsia="宋体" w:cs="宋体"/>
          <w:color w:val="auto"/>
          <w:sz w:val="20"/>
          <w:szCs w:val="20"/>
          <w:highlight w:val="none"/>
        </w:rPr>
        <w:sectPr>
          <w:footerReference r:id="rId54" w:type="default"/>
          <w:pgSz w:w="11906" w:h="16839"/>
          <w:pgMar w:top="1402" w:right="1308" w:bottom="1297" w:left="1304" w:header="0" w:footer="1065" w:gutter="0"/>
          <w:pgBorders>
            <w:top w:val="none" w:sz="0" w:space="0"/>
            <w:left w:val="none" w:sz="0" w:space="0"/>
            <w:bottom w:val="none" w:sz="0" w:space="0"/>
            <w:right w:val="none" w:sz="0" w:space="0"/>
          </w:pgBorders>
          <w:pgNumType w:fmt="decimal"/>
          <w:cols w:space="720" w:num="1"/>
        </w:sectPr>
      </w:pPr>
    </w:p>
    <w:p w14:paraId="360D30DD">
      <w:pPr>
        <w:spacing w:before="163" w:line="220" w:lineRule="auto"/>
        <w:ind w:left="3823"/>
        <w:outlineLvl w:val="1"/>
        <w:rPr>
          <w:rFonts w:ascii="宋体" w:hAnsi="宋体" w:eastAsia="宋体" w:cs="宋体"/>
          <w:color w:val="auto"/>
          <w:sz w:val="24"/>
          <w:szCs w:val="24"/>
          <w:highlight w:val="none"/>
        </w:rPr>
      </w:pPr>
      <w:bookmarkStart w:id="806" w:name="_Toc5688"/>
      <w:bookmarkStart w:id="807" w:name="_Toc12003"/>
      <w:bookmarkStart w:id="808" w:name="_Toc29810"/>
      <w:bookmarkStart w:id="809" w:name="_Toc26927"/>
      <w:bookmarkStart w:id="810" w:name="_Toc18220"/>
      <w:bookmarkStart w:id="811" w:name="_Toc10748"/>
      <w:bookmarkStart w:id="812" w:name="_Toc12050"/>
      <w:r>
        <w:rPr>
          <w:rFonts w:ascii="宋体" w:hAnsi="宋体" w:eastAsia="宋体" w:cs="宋体"/>
          <w:b/>
          <w:bCs/>
          <w:color w:val="auto"/>
          <w:spacing w:val="-4"/>
          <w:sz w:val="24"/>
          <w:szCs w:val="24"/>
          <w:highlight w:val="none"/>
        </w:rPr>
        <w:t>六、其他资料</w:t>
      </w:r>
      <w:bookmarkEnd w:id="806"/>
      <w:bookmarkEnd w:id="807"/>
      <w:bookmarkEnd w:id="808"/>
      <w:bookmarkEnd w:id="809"/>
      <w:bookmarkEnd w:id="810"/>
      <w:bookmarkEnd w:id="811"/>
      <w:bookmarkEnd w:id="812"/>
    </w:p>
    <w:p w14:paraId="6715DF4F">
      <w:pPr>
        <w:spacing w:line="250" w:lineRule="auto"/>
        <w:rPr>
          <w:rFonts w:ascii="Arial"/>
          <w:color w:val="auto"/>
          <w:sz w:val="21"/>
          <w:highlight w:val="none"/>
        </w:rPr>
      </w:pPr>
    </w:p>
    <w:p w14:paraId="0379914D">
      <w:pPr>
        <w:spacing w:line="251" w:lineRule="auto"/>
        <w:rPr>
          <w:rFonts w:ascii="Arial"/>
          <w:color w:val="auto"/>
          <w:sz w:val="21"/>
          <w:highlight w:val="none"/>
        </w:rPr>
      </w:pPr>
    </w:p>
    <w:p w14:paraId="2DEE241F">
      <w:pPr>
        <w:spacing w:before="78" w:line="290" w:lineRule="auto"/>
        <w:ind w:left="8" w:firstLine="53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（一）提供最新年度广东省公路工程从业单位信用评价等级（若有</w:t>
      </w:r>
      <w:r>
        <w:rPr>
          <w:rFonts w:ascii="宋体" w:hAnsi="宋体" w:eastAsia="宋体" w:cs="宋体"/>
          <w:color w:val="auto"/>
          <w:spacing w:val="7"/>
          <w:sz w:val="24"/>
          <w:szCs w:val="24"/>
          <w:highlight w:val="none"/>
        </w:rPr>
        <w:t>），</w:t>
      </w:r>
      <w:r>
        <w:rPr>
          <w:rFonts w:ascii="宋体" w:hAnsi="宋体" w:eastAsia="宋体" w:cs="宋体"/>
          <w:color w:val="auto"/>
          <w:spacing w:val="-2"/>
          <w:sz w:val="24"/>
          <w:szCs w:val="24"/>
          <w:highlight w:val="none"/>
        </w:rPr>
        <w:t>并标识单位所在位置；</w:t>
      </w:r>
    </w:p>
    <w:p w14:paraId="2DD1F445">
      <w:pPr>
        <w:spacing w:before="181" w:line="288"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（二）初次进入且无广东省最新年度信用评价等级的，但在最新一年度的全国综合评价结果为</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级或</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D</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级的，提供最新一年度的全国综</w:t>
      </w:r>
      <w:r>
        <w:rPr>
          <w:rFonts w:ascii="宋体" w:hAnsi="宋体" w:eastAsia="宋体" w:cs="宋体"/>
          <w:color w:val="auto"/>
          <w:spacing w:val="-2"/>
          <w:sz w:val="24"/>
          <w:szCs w:val="24"/>
          <w:highlight w:val="none"/>
        </w:rPr>
        <w:t>合评价结果单位查询所在页；</w:t>
      </w:r>
    </w:p>
    <w:p w14:paraId="02157925">
      <w:pPr>
        <w:spacing w:before="182" w:line="289"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（三）如上一年度有信用评价而最新年度在广东省无信用等级的需提供上一年度</w:t>
      </w:r>
      <w:r>
        <w:rPr>
          <w:rFonts w:ascii="宋体" w:hAnsi="宋体" w:eastAsia="宋体" w:cs="宋体"/>
          <w:color w:val="auto"/>
          <w:spacing w:val="-2"/>
          <w:sz w:val="24"/>
          <w:szCs w:val="24"/>
          <w:highlight w:val="none"/>
        </w:rPr>
        <w:t>有信用评价（若有</w:t>
      </w:r>
      <w:r>
        <w:rPr>
          <w:rFonts w:ascii="宋体" w:hAnsi="宋体" w:eastAsia="宋体" w:cs="宋体"/>
          <w:color w:val="auto"/>
          <w:spacing w:val="12"/>
          <w:sz w:val="24"/>
          <w:szCs w:val="24"/>
          <w:highlight w:val="none"/>
        </w:rPr>
        <w:t>），</w:t>
      </w:r>
      <w:r>
        <w:rPr>
          <w:rFonts w:ascii="宋体" w:hAnsi="宋体" w:eastAsia="宋体" w:cs="宋体"/>
          <w:color w:val="auto"/>
          <w:spacing w:val="-2"/>
          <w:sz w:val="24"/>
          <w:szCs w:val="24"/>
          <w:highlight w:val="none"/>
        </w:rPr>
        <w:t>并标识单位所在位置。</w:t>
      </w:r>
    </w:p>
    <w:p w14:paraId="6368A5B7">
      <w:pPr>
        <w:spacing w:before="185" w:line="310" w:lineRule="auto"/>
        <w:ind w:left="11" w:right="39" w:firstLine="53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（四）详细说明投标人因供应公路工程（含附属设施）施工监理原因导致质量、</w:t>
      </w:r>
      <w:r>
        <w:rPr>
          <w:rFonts w:ascii="宋体" w:hAnsi="宋体" w:eastAsia="宋体" w:cs="宋体"/>
          <w:color w:val="auto"/>
          <w:sz w:val="24"/>
          <w:szCs w:val="24"/>
          <w:highlight w:val="none"/>
        </w:rPr>
        <w:t>安全事故被交通运输部、广东省交通运输厅、</w:t>
      </w:r>
      <w:r>
        <w:rPr>
          <w:rFonts w:ascii="宋体" w:hAnsi="宋体" w:eastAsia="宋体" w:cs="宋体"/>
          <w:color w:val="auto"/>
          <w:sz w:val="24"/>
          <w:szCs w:val="24"/>
          <w:highlight w:val="none"/>
          <w:u w:val="single" w:color="auto"/>
        </w:rPr>
        <w:t>（项目</w:t>
      </w:r>
      <w:r>
        <w:rPr>
          <w:rFonts w:ascii="宋体" w:hAnsi="宋体" w:eastAsia="宋体" w:cs="宋体"/>
          <w:color w:val="auto"/>
          <w:spacing w:val="-1"/>
          <w:sz w:val="24"/>
          <w:szCs w:val="24"/>
          <w:highlight w:val="none"/>
          <w:u w:val="single" w:color="auto"/>
        </w:rPr>
        <w:t>涉及各地级以上市）市交通运输局行政处罚</w:t>
      </w:r>
      <w:r>
        <w:rPr>
          <w:rFonts w:ascii="宋体" w:hAnsi="宋体" w:eastAsia="宋体" w:cs="宋体"/>
          <w:color w:val="auto"/>
          <w:spacing w:val="-1"/>
          <w:sz w:val="24"/>
          <w:szCs w:val="24"/>
          <w:highlight w:val="none"/>
        </w:rPr>
        <w:t>且在处罚信息公示期内的情况，并附相关文件。</w:t>
      </w:r>
    </w:p>
    <w:p w14:paraId="3F0577E8">
      <w:pPr>
        <w:spacing w:before="189" w:line="219" w:lineRule="auto"/>
        <w:ind w:left="547"/>
        <w:rPr>
          <w:rFonts w:ascii="宋体" w:hAnsi="宋体" w:eastAsia="宋体" w:cs="宋体"/>
          <w:color w:val="auto"/>
          <w:sz w:val="24"/>
          <w:szCs w:val="24"/>
          <w:highlight w:val="none"/>
        </w:rPr>
      </w:pPr>
      <w:bookmarkStart w:id="813" w:name="bookmark161"/>
      <w:bookmarkEnd w:id="813"/>
      <w:r>
        <w:rPr>
          <w:rFonts w:ascii="宋体" w:hAnsi="宋体" w:eastAsia="宋体" w:cs="宋体"/>
          <w:color w:val="auto"/>
          <w:spacing w:val="-1"/>
          <w:sz w:val="24"/>
          <w:szCs w:val="24"/>
          <w:highlight w:val="none"/>
        </w:rPr>
        <w:t>（五）投标人认为需要的其他内容（如体现技术能力的相关证明材料）。</w:t>
      </w:r>
    </w:p>
    <w:p w14:paraId="5BF12409">
      <w:pPr>
        <w:spacing w:line="247" w:lineRule="auto"/>
        <w:rPr>
          <w:rFonts w:ascii="Arial"/>
          <w:color w:val="auto"/>
          <w:sz w:val="21"/>
          <w:highlight w:val="none"/>
        </w:rPr>
      </w:pPr>
    </w:p>
    <w:p w14:paraId="530490DD">
      <w:pPr>
        <w:spacing w:line="247" w:lineRule="auto"/>
        <w:rPr>
          <w:rFonts w:ascii="Arial"/>
          <w:color w:val="auto"/>
          <w:sz w:val="21"/>
          <w:highlight w:val="none"/>
        </w:rPr>
      </w:pPr>
    </w:p>
    <w:p w14:paraId="344DF233">
      <w:pPr>
        <w:spacing w:line="247" w:lineRule="auto"/>
        <w:rPr>
          <w:rFonts w:ascii="Arial"/>
          <w:color w:val="auto"/>
          <w:sz w:val="21"/>
          <w:highlight w:val="none"/>
        </w:rPr>
      </w:pPr>
    </w:p>
    <w:p w14:paraId="5C3D7243">
      <w:pPr>
        <w:spacing w:line="247" w:lineRule="auto"/>
        <w:rPr>
          <w:rFonts w:ascii="Arial"/>
          <w:color w:val="auto"/>
          <w:sz w:val="21"/>
          <w:highlight w:val="none"/>
        </w:rPr>
      </w:pPr>
    </w:p>
    <w:p w14:paraId="1ECBEAA5">
      <w:pPr>
        <w:spacing w:line="247" w:lineRule="auto"/>
        <w:rPr>
          <w:rFonts w:ascii="Arial"/>
          <w:color w:val="auto"/>
          <w:sz w:val="21"/>
          <w:highlight w:val="none"/>
        </w:rPr>
      </w:pPr>
    </w:p>
    <w:p w14:paraId="360FFEA2">
      <w:pPr>
        <w:spacing w:line="247" w:lineRule="auto"/>
        <w:rPr>
          <w:rFonts w:ascii="Arial"/>
          <w:color w:val="auto"/>
          <w:sz w:val="21"/>
          <w:highlight w:val="none"/>
        </w:rPr>
      </w:pPr>
    </w:p>
    <w:p w14:paraId="77FC8880">
      <w:pPr>
        <w:spacing w:line="247" w:lineRule="auto"/>
        <w:rPr>
          <w:rFonts w:ascii="Arial"/>
          <w:color w:val="auto"/>
          <w:sz w:val="21"/>
          <w:highlight w:val="none"/>
        </w:rPr>
      </w:pPr>
    </w:p>
    <w:p w14:paraId="2DC3C969">
      <w:pPr>
        <w:spacing w:line="247" w:lineRule="auto"/>
        <w:rPr>
          <w:rFonts w:ascii="Arial"/>
          <w:color w:val="auto"/>
          <w:sz w:val="21"/>
          <w:highlight w:val="none"/>
        </w:rPr>
      </w:pPr>
    </w:p>
    <w:p w14:paraId="1C65B4C6">
      <w:pPr>
        <w:spacing w:line="247" w:lineRule="auto"/>
        <w:rPr>
          <w:rFonts w:ascii="Arial"/>
          <w:color w:val="auto"/>
          <w:sz w:val="21"/>
          <w:highlight w:val="none"/>
        </w:rPr>
      </w:pPr>
    </w:p>
    <w:p w14:paraId="31370D66">
      <w:pPr>
        <w:spacing w:line="247" w:lineRule="auto"/>
        <w:rPr>
          <w:rFonts w:ascii="Arial"/>
          <w:color w:val="auto"/>
          <w:sz w:val="21"/>
          <w:highlight w:val="none"/>
        </w:rPr>
      </w:pPr>
    </w:p>
    <w:p w14:paraId="156A047E">
      <w:pPr>
        <w:spacing w:line="247" w:lineRule="auto"/>
        <w:rPr>
          <w:rFonts w:ascii="Arial"/>
          <w:color w:val="auto"/>
          <w:sz w:val="21"/>
          <w:highlight w:val="none"/>
        </w:rPr>
      </w:pPr>
    </w:p>
    <w:p w14:paraId="4243A309">
      <w:pPr>
        <w:spacing w:line="247" w:lineRule="auto"/>
        <w:rPr>
          <w:rFonts w:ascii="Arial"/>
          <w:color w:val="auto"/>
          <w:sz w:val="21"/>
          <w:highlight w:val="none"/>
        </w:rPr>
      </w:pPr>
    </w:p>
    <w:p w14:paraId="44E05B11">
      <w:pPr>
        <w:spacing w:line="247" w:lineRule="auto"/>
        <w:rPr>
          <w:rFonts w:ascii="Arial"/>
          <w:color w:val="auto"/>
          <w:sz w:val="21"/>
          <w:highlight w:val="none"/>
        </w:rPr>
      </w:pPr>
    </w:p>
    <w:p w14:paraId="69F81134">
      <w:pPr>
        <w:spacing w:line="247" w:lineRule="auto"/>
        <w:rPr>
          <w:rFonts w:ascii="Arial"/>
          <w:color w:val="auto"/>
          <w:sz w:val="21"/>
          <w:highlight w:val="none"/>
        </w:rPr>
      </w:pPr>
    </w:p>
    <w:p w14:paraId="1206F5AC">
      <w:pPr>
        <w:spacing w:line="247" w:lineRule="auto"/>
        <w:rPr>
          <w:rFonts w:ascii="Arial"/>
          <w:color w:val="auto"/>
          <w:sz w:val="21"/>
          <w:highlight w:val="none"/>
        </w:rPr>
      </w:pPr>
    </w:p>
    <w:p w14:paraId="594CF581">
      <w:pPr>
        <w:spacing w:line="247" w:lineRule="auto"/>
        <w:rPr>
          <w:rFonts w:ascii="Arial"/>
          <w:color w:val="auto"/>
          <w:sz w:val="21"/>
          <w:highlight w:val="none"/>
        </w:rPr>
      </w:pPr>
    </w:p>
    <w:p w14:paraId="5344864E">
      <w:pPr>
        <w:spacing w:line="247" w:lineRule="auto"/>
        <w:rPr>
          <w:rFonts w:ascii="Arial"/>
          <w:color w:val="auto"/>
          <w:sz w:val="21"/>
          <w:highlight w:val="none"/>
        </w:rPr>
      </w:pPr>
    </w:p>
    <w:p w14:paraId="3A247D9D">
      <w:pPr>
        <w:spacing w:line="247" w:lineRule="auto"/>
        <w:rPr>
          <w:rFonts w:ascii="Arial"/>
          <w:color w:val="auto"/>
          <w:sz w:val="21"/>
          <w:highlight w:val="none"/>
        </w:rPr>
      </w:pPr>
    </w:p>
    <w:p w14:paraId="5C8BB640">
      <w:pPr>
        <w:spacing w:line="247" w:lineRule="auto"/>
        <w:rPr>
          <w:rFonts w:ascii="Arial"/>
          <w:color w:val="auto"/>
          <w:sz w:val="21"/>
          <w:highlight w:val="none"/>
        </w:rPr>
      </w:pPr>
    </w:p>
    <w:p w14:paraId="4655E0AC">
      <w:pPr>
        <w:spacing w:line="247" w:lineRule="auto"/>
        <w:rPr>
          <w:rFonts w:ascii="Arial"/>
          <w:color w:val="auto"/>
          <w:sz w:val="21"/>
          <w:highlight w:val="none"/>
        </w:rPr>
      </w:pPr>
    </w:p>
    <w:p w14:paraId="1FFBF0CC">
      <w:pPr>
        <w:spacing w:line="247" w:lineRule="auto"/>
        <w:rPr>
          <w:rFonts w:ascii="Arial"/>
          <w:color w:val="auto"/>
          <w:sz w:val="21"/>
          <w:highlight w:val="none"/>
        </w:rPr>
      </w:pPr>
    </w:p>
    <w:p w14:paraId="629BFFF7">
      <w:pPr>
        <w:spacing w:line="247" w:lineRule="auto"/>
        <w:rPr>
          <w:rFonts w:ascii="Arial"/>
          <w:color w:val="auto"/>
          <w:sz w:val="21"/>
          <w:highlight w:val="none"/>
        </w:rPr>
      </w:pPr>
    </w:p>
    <w:p w14:paraId="7BBC7BAA">
      <w:pPr>
        <w:spacing w:line="247" w:lineRule="auto"/>
        <w:rPr>
          <w:rFonts w:ascii="Arial"/>
          <w:color w:val="auto"/>
          <w:sz w:val="21"/>
          <w:highlight w:val="none"/>
        </w:rPr>
      </w:pPr>
    </w:p>
    <w:p w14:paraId="6436257D">
      <w:pPr>
        <w:spacing w:line="247" w:lineRule="auto"/>
        <w:rPr>
          <w:rFonts w:ascii="Arial"/>
          <w:color w:val="auto"/>
          <w:sz w:val="21"/>
          <w:highlight w:val="none"/>
        </w:rPr>
      </w:pPr>
    </w:p>
    <w:p w14:paraId="2C4DD328">
      <w:pPr>
        <w:spacing w:line="247" w:lineRule="auto"/>
        <w:rPr>
          <w:rFonts w:ascii="Arial"/>
          <w:color w:val="auto"/>
          <w:sz w:val="21"/>
          <w:highlight w:val="none"/>
        </w:rPr>
      </w:pPr>
    </w:p>
    <w:p w14:paraId="0F80E955">
      <w:pPr>
        <w:spacing w:line="247" w:lineRule="auto"/>
        <w:rPr>
          <w:rFonts w:ascii="Arial"/>
          <w:color w:val="auto"/>
          <w:sz w:val="21"/>
          <w:highlight w:val="none"/>
        </w:rPr>
      </w:pPr>
    </w:p>
    <w:p w14:paraId="7A921B72">
      <w:pPr>
        <w:spacing w:line="247" w:lineRule="auto"/>
        <w:rPr>
          <w:rFonts w:ascii="Arial"/>
          <w:color w:val="auto"/>
          <w:sz w:val="21"/>
          <w:highlight w:val="none"/>
        </w:rPr>
      </w:pPr>
    </w:p>
    <w:p w14:paraId="7DE7EF0E">
      <w:pPr>
        <w:spacing w:line="247" w:lineRule="auto"/>
        <w:rPr>
          <w:rFonts w:ascii="Arial"/>
          <w:color w:val="auto"/>
          <w:sz w:val="21"/>
          <w:highlight w:val="none"/>
        </w:rPr>
      </w:pPr>
    </w:p>
    <w:p w14:paraId="62D2D198">
      <w:pPr>
        <w:spacing w:line="247" w:lineRule="auto"/>
        <w:rPr>
          <w:rFonts w:ascii="Arial"/>
          <w:color w:val="auto"/>
          <w:sz w:val="21"/>
          <w:highlight w:val="none"/>
        </w:rPr>
      </w:pPr>
    </w:p>
    <w:p w14:paraId="1ACB99B0">
      <w:pPr>
        <w:spacing w:line="247" w:lineRule="auto"/>
        <w:rPr>
          <w:rFonts w:ascii="Arial"/>
          <w:color w:val="auto"/>
          <w:sz w:val="21"/>
          <w:highlight w:val="none"/>
        </w:rPr>
      </w:pPr>
    </w:p>
    <w:p w14:paraId="75C7FEC9">
      <w:pPr>
        <w:spacing w:line="217" w:lineRule="auto"/>
        <w:rPr>
          <w:rFonts w:ascii="宋体" w:hAnsi="宋体" w:eastAsia="宋体" w:cs="宋体"/>
          <w:color w:val="auto"/>
          <w:sz w:val="18"/>
          <w:szCs w:val="18"/>
          <w:highlight w:val="none"/>
        </w:rPr>
        <w:sectPr>
          <w:footerReference r:id="rId55" w:type="default"/>
          <w:pgSz w:w="11906" w:h="16839"/>
          <w:pgMar w:top="1431" w:right="1562" w:bottom="1297" w:left="1417" w:header="0" w:footer="1067" w:gutter="0"/>
          <w:pgBorders>
            <w:top w:val="none" w:sz="0" w:space="0"/>
            <w:left w:val="none" w:sz="0" w:space="0"/>
            <w:bottom w:val="none" w:sz="0" w:space="0"/>
            <w:right w:val="none" w:sz="0" w:space="0"/>
          </w:pgBorders>
          <w:pgNumType w:fmt="decimal"/>
          <w:cols w:space="720" w:num="1"/>
        </w:sectPr>
      </w:pPr>
    </w:p>
    <w:p w14:paraId="10F56275">
      <w:pPr>
        <w:spacing w:before="64" w:line="225" w:lineRule="auto"/>
        <w:ind w:left="273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（一）投标人的自评分表</w:t>
      </w:r>
    </w:p>
    <w:p w14:paraId="4281D2FF">
      <w:pPr>
        <w:spacing w:line="194" w:lineRule="exact"/>
        <w:rPr>
          <w:color w:val="auto"/>
          <w:highlight w:val="none"/>
        </w:rPr>
      </w:pPr>
    </w:p>
    <w:tbl>
      <w:tblPr>
        <w:tblStyle w:val="22"/>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359"/>
        <w:gridCol w:w="911"/>
        <w:gridCol w:w="1679"/>
        <w:gridCol w:w="1221"/>
        <w:gridCol w:w="1392"/>
        <w:gridCol w:w="1569"/>
      </w:tblGrid>
      <w:tr w14:paraId="60A54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815" w:type="dxa"/>
            <w:vAlign w:val="top"/>
          </w:tcPr>
          <w:p w14:paraId="4CBD1616">
            <w:pPr>
              <w:spacing w:line="366" w:lineRule="auto"/>
              <w:rPr>
                <w:rFonts w:ascii="Arial"/>
                <w:color w:val="auto"/>
                <w:sz w:val="21"/>
                <w:highlight w:val="none"/>
              </w:rPr>
            </w:pPr>
          </w:p>
          <w:p w14:paraId="1B474DDC">
            <w:pPr>
              <w:pStyle w:val="23"/>
              <w:spacing w:before="65" w:line="229" w:lineRule="auto"/>
              <w:ind w:left="113"/>
              <w:rPr>
                <w:color w:val="auto"/>
                <w:highlight w:val="none"/>
              </w:rPr>
            </w:pPr>
            <w:r>
              <w:rPr>
                <w:color w:val="auto"/>
                <w:spacing w:val="5"/>
                <w:highlight w:val="none"/>
              </w:rPr>
              <w:t>序号</w:t>
            </w:r>
          </w:p>
        </w:tc>
        <w:tc>
          <w:tcPr>
            <w:tcW w:w="1359" w:type="dxa"/>
            <w:vAlign w:val="top"/>
          </w:tcPr>
          <w:p w14:paraId="6D4604F5">
            <w:pPr>
              <w:spacing w:line="365" w:lineRule="auto"/>
              <w:rPr>
                <w:rFonts w:ascii="Arial"/>
                <w:color w:val="auto"/>
                <w:sz w:val="21"/>
                <w:highlight w:val="none"/>
              </w:rPr>
            </w:pPr>
          </w:p>
          <w:p w14:paraId="23BFBB5F">
            <w:pPr>
              <w:pStyle w:val="23"/>
              <w:spacing w:before="65" w:line="228" w:lineRule="auto"/>
              <w:ind w:left="263"/>
              <w:rPr>
                <w:color w:val="auto"/>
                <w:highlight w:val="none"/>
              </w:rPr>
            </w:pPr>
            <w:r>
              <w:rPr>
                <w:color w:val="auto"/>
                <w:spacing w:val="7"/>
                <w:highlight w:val="none"/>
              </w:rPr>
              <w:t>评分因素</w:t>
            </w:r>
          </w:p>
        </w:tc>
        <w:tc>
          <w:tcPr>
            <w:tcW w:w="911" w:type="dxa"/>
            <w:vAlign w:val="top"/>
          </w:tcPr>
          <w:p w14:paraId="048FB564">
            <w:pPr>
              <w:spacing w:line="365" w:lineRule="auto"/>
              <w:rPr>
                <w:rFonts w:ascii="Arial"/>
                <w:color w:val="auto"/>
                <w:sz w:val="21"/>
                <w:highlight w:val="none"/>
              </w:rPr>
            </w:pPr>
          </w:p>
          <w:p w14:paraId="363F245B">
            <w:pPr>
              <w:pStyle w:val="23"/>
              <w:spacing w:before="65" w:line="228" w:lineRule="auto"/>
              <w:ind w:left="249"/>
              <w:rPr>
                <w:color w:val="auto"/>
                <w:highlight w:val="none"/>
              </w:rPr>
            </w:pPr>
            <w:r>
              <w:rPr>
                <w:color w:val="auto"/>
                <w:spacing w:val="4"/>
                <w:highlight w:val="none"/>
              </w:rPr>
              <w:t>满分</w:t>
            </w:r>
          </w:p>
        </w:tc>
        <w:tc>
          <w:tcPr>
            <w:tcW w:w="1679" w:type="dxa"/>
            <w:vAlign w:val="top"/>
          </w:tcPr>
          <w:p w14:paraId="544A1200">
            <w:pPr>
              <w:spacing w:line="366" w:lineRule="auto"/>
              <w:rPr>
                <w:rFonts w:ascii="Arial"/>
                <w:color w:val="auto"/>
                <w:sz w:val="21"/>
                <w:highlight w:val="none"/>
              </w:rPr>
            </w:pPr>
          </w:p>
          <w:p w14:paraId="4743F7F1">
            <w:pPr>
              <w:pStyle w:val="23"/>
              <w:spacing w:before="65" w:line="228" w:lineRule="auto"/>
              <w:ind w:left="424"/>
              <w:rPr>
                <w:color w:val="auto"/>
                <w:highlight w:val="none"/>
              </w:rPr>
            </w:pPr>
            <w:r>
              <w:rPr>
                <w:color w:val="auto"/>
                <w:spacing w:val="7"/>
                <w:highlight w:val="none"/>
              </w:rPr>
              <w:t>评分标准</w:t>
            </w:r>
          </w:p>
        </w:tc>
        <w:tc>
          <w:tcPr>
            <w:tcW w:w="1221" w:type="dxa"/>
            <w:vAlign w:val="top"/>
          </w:tcPr>
          <w:p w14:paraId="0924A429">
            <w:pPr>
              <w:spacing w:line="366" w:lineRule="auto"/>
              <w:rPr>
                <w:rFonts w:ascii="Arial"/>
                <w:color w:val="auto"/>
                <w:sz w:val="21"/>
                <w:highlight w:val="none"/>
              </w:rPr>
            </w:pPr>
          </w:p>
          <w:p w14:paraId="3326ECBD">
            <w:pPr>
              <w:pStyle w:val="23"/>
              <w:spacing w:before="65" w:line="228" w:lineRule="auto"/>
              <w:ind w:left="336"/>
              <w:rPr>
                <w:color w:val="auto"/>
                <w:highlight w:val="none"/>
              </w:rPr>
            </w:pPr>
            <w:r>
              <w:rPr>
                <w:color w:val="auto"/>
                <w:spacing w:val="-5"/>
                <w:highlight w:val="none"/>
              </w:rPr>
              <w:t>自评分</w:t>
            </w:r>
          </w:p>
        </w:tc>
        <w:tc>
          <w:tcPr>
            <w:tcW w:w="1392" w:type="dxa"/>
            <w:vAlign w:val="top"/>
          </w:tcPr>
          <w:p w14:paraId="68A412DE">
            <w:pPr>
              <w:pStyle w:val="23"/>
              <w:spacing w:before="229" w:line="378" w:lineRule="auto"/>
              <w:ind w:left="616" w:right="168" w:hanging="440"/>
              <w:rPr>
                <w:color w:val="auto"/>
                <w:highlight w:val="none"/>
              </w:rPr>
            </w:pPr>
            <w:r>
              <w:rPr>
                <w:color w:val="auto"/>
                <w:spacing w:val="8"/>
                <w:highlight w:val="none"/>
              </w:rPr>
              <w:t>评分情况说</w:t>
            </w:r>
            <w:r>
              <w:rPr>
                <w:color w:val="auto"/>
                <w:highlight w:val="none"/>
              </w:rPr>
              <w:t>明</w:t>
            </w:r>
          </w:p>
        </w:tc>
        <w:tc>
          <w:tcPr>
            <w:tcW w:w="1569" w:type="dxa"/>
            <w:vAlign w:val="top"/>
          </w:tcPr>
          <w:p w14:paraId="7BA7BD15">
            <w:pPr>
              <w:spacing w:line="366" w:lineRule="auto"/>
              <w:rPr>
                <w:rFonts w:ascii="Arial"/>
                <w:color w:val="auto"/>
                <w:sz w:val="21"/>
                <w:highlight w:val="none"/>
              </w:rPr>
            </w:pPr>
          </w:p>
          <w:p w14:paraId="085EA925">
            <w:pPr>
              <w:pStyle w:val="23"/>
              <w:spacing w:before="65" w:line="228" w:lineRule="auto"/>
              <w:ind w:left="374"/>
              <w:rPr>
                <w:color w:val="auto"/>
                <w:highlight w:val="none"/>
              </w:rPr>
            </w:pPr>
            <w:r>
              <w:rPr>
                <w:color w:val="auto"/>
                <w:spacing w:val="6"/>
                <w:highlight w:val="none"/>
              </w:rPr>
              <w:t>页码索引</w:t>
            </w:r>
          </w:p>
        </w:tc>
      </w:tr>
      <w:tr w14:paraId="1D54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2C0B0104">
            <w:pPr>
              <w:rPr>
                <w:rFonts w:ascii="Arial"/>
                <w:color w:val="auto"/>
                <w:sz w:val="21"/>
                <w:highlight w:val="none"/>
              </w:rPr>
            </w:pPr>
          </w:p>
        </w:tc>
        <w:tc>
          <w:tcPr>
            <w:tcW w:w="1359" w:type="dxa"/>
            <w:vAlign w:val="top"/>
          </w:tcPr>
          <w:p w14:paraId="62A79025">
            <w:pPr>
              <w:rPr>
                <w:rFonts w:ascii="Arial"/>
                <w:color w:val="auto"/>
                <w:sz w:val="21"/>
                <w:highlight w:val="none"/>
              </w:rPr>
            </w:pPr>
          </w:p>
        </w:tc>
        <w:tc>
          <w:tcPr>
            <w:tcW w:w="911" w:type="dxa"/>
            <w:vAlign w:val="top"/>
          </w:tcPr>
          <w:p w14:paraId="6C7F675C">
            <w:pPr>
              <w:rPr>
                <w:rFonts w:ascii="Arial"/>
                <w:color w:val="auto"/>
                <w:sz w:val="21"/>
                <w:highlight w:val="none"/>
              </w:rPr>
            </w:pPr>
          </w:p>
        </w:tc>
        <w:tc>
          <w:tcPr>
            <w:tcW w:w="1679" w:type="dxa"/>
            <w:vAlign w:val="top"/>
          </w:tcPr>
          <w:p w14:paraId="4D911E71">
            <w:pPr>
              <w:pStyle w:val="23"/>
              <w:spacing w:before="30" w:line="360"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43C4D9E3">
            <w:pPr>
              <w:rPr>
                <w:rFonts w:ascii="Arial"/>
                <w:color w:val="auto"/>
                <w:sz w:val="21"/>
                <w:highlight w:val="none"/>
              </w:rPr>
            </w:pPr>
          </w:p>
        </w:tc>
        <w:tc>
          <w:tcPr>
            <w:tcW w:w="1392" w:type="dxa"/>
            <w:vAlign w:val="top"/>
          </w:tcPr>
          <w:p w14:paraId="1EF5A464">
            <w:pPr>
              <w:rPr>
                <w:rFonts w:ascii="Arial"/>
                <w:color w:val="auto"/>
                <w:sz w:val="21"/>
                <w:highlight w:val="none"/>
              </w:rPr>
            </w:pPr>
          </w:p>
        </w:tc>
        <w:tc>
          <w:tcPr>
            <w:tcW w:w="1569" w:type="dxa"/>
            <w:vAlign w:val="top"/>
          </w:tcPr>
          <w:p w14:paraId="32E546E9">
            <w:pPr>
              <w:rPr>
                <w:rFonts w:ascii="Arial"/>
                <w:color w:val="auto"/>
                <w:sz w:val="21"/>
                <w:highlight w:val="none"/>
              </w:rPr>
            </w:pPr>
          </w:p>
        </w:tc>
      </w:tr>
      <w:tr w14:paraId="1621A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6E8E4541">
            <w:pPr>
              <w:rPr>
                <w:rFonts w:ascii="Arial"/>
                <w:color w:val="auto"/>
                <w:sz w:val="21"/>
                <w:highlight w:val="none"/>
              </w:rPr>
            </w:pPr>
          </w:p>
        </w:tc>
        <w:tc>
          <w:tcPr>
            <w:tcW w:w="1359" w:type="dxa"/>
            <w:vAlign w:val="top"/>
          </w:tcPr>
          <w:p w14:paraId="3DCE0846">
            <w:pPr>
              <w:rPr>
                <w:rFonts w:ascii="Arial"/>
                <w:color w:val="auto"/>
                <w:sz w:val="21"/>
                <w:highlight w:val="none"/>
              </w:rPr>
            </w:pPr>
          </w:p>
        </w:tc>
        <w:tc>
          <w:tcPr>
            <w:tcW w:w="911" w:type="dxa"/>
            <w:vAlign w:val="top"/>
          </w:tcPr>
          <w:p w14:paraId="56436D86">
            <w:pPr>
              <w:rPr>
                <w:rFonts w:ascii="Arial"/>
                <w:color w:val="auto"/>
                <w:sz w:val="21"/>
                <w:highlight w:val="none"/>
              </w:rPr>
            </w:pPr>
          </w:p>
        </w:tc>
        <w:tc>
          <w:tcPr>
            <w:tcW w:w="1679" w:type="dxa"/>
            <w:vAlign w:val="top"/>
          </w:tcPr>
          <w:p w14:paraId="36DC14B1">
            <w:pPr>
              <w:pStyle w:val="23"/>
              <w:spacing w:before="33" w:line="359" w:lineRule="auto"/>
              <w:ind w:left="533" w:right="157" w:hanging="262"/>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72E788CC">
            <w:pPr>
              <w:rPr>
                <w:rFonts w:ascii="Arial"/>
                <w:color w:val="auto"/>
                <w:sz w:val="21"/>
                <w:highlight w:val="none"/>
              </w:rPr>
            </w:pPr>
          </w:p>
        </w:tc>
        <w:tc>
          <w:tcPr>
            <w:tcW w:w="1392" w:type="dxa"/>
            <w:vAlign w:val="top"/>
          </w:tcPr>
          <w:p w14:paraId="5473065F">
            <w:pPr>
              <w:rPr>
                <w:rFonts w:ascii="Arial"/>
                <w:color w:val="auto"/>
                <w:sz w:val="21"/>
                <w:highlight w:val="none"/>
              </w:rPr>
            </w:pPr>
          </w:p>
        </w:tc>
        <w:tc>
          <w:tcPr>
            <w:tcW w:w="1569" w:type="dxa"/>
            <w:vAlign w:val="top"/>
          </w:tcPr>
          <w:p w14:paraId="1B79C4B5">
            <w:pPr>
              <w:rPr>
                <w:rFonts w:ascii="Arial"/>
                <w:color w:val="auto"/>
                <w:sz w:val="21"/>
                <w:highlight w:val="none"/>
              </w:rPr>
            </w:pPr>
          </w:p>
        </w:tc>
      </w:tr>
      <w:tr w14:paraId="0C767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15" w:type="dxa"/>
            <w:vAlign w:val="top"/>
          </w:tcPr>
          <w:p w14:paraId="1BE39306">
            <w:pPr>
              <w:rPr>
                <w:rFonts w:ascii="Arial"/>
                <w:color w:val="auto"/>
                <w:sz w:val="21"/>
                <w:highlight w:val="none"/>
              </w:rPr>
            </w:pPr>
          </w:p>
        </w:tc>
        <w:tc>
          <w:tcPr>
            <w:tcW w:w="1359" w:type="dxa"/>
            <w:vAlign w:val="top"/>
          </w:tcPr>
          <w:p w14:paraId="65A12C90">
            <w:pPr>
              <w:rPr>
                <w:rFonts w:ascii="Arial"/>
                <w:color w:val="auto"/>
                <w:sz w:val="21"/>
                <w:highlight w:val="none"/>
              </w:rPr>
            </w:pPr>
          </w:p>
        </w:tc>
        <w:tc>
          <w:tcPr>
            <w:tcW w:w="911" w:type="dxa"/>
            <w:vAlign w:val="top"/>
          </w:tcPr>
          <w:p w14:paraId="57B7D7E0">
            <w:pPr>
              <w:rPr>
                <w:rFonts w:ascii="Arial"/>
                <w:color w:val="auto"/>
                <w:sz w:val="21"/>
                <w:highlight w:val="none"/>
              </w:rPr>
            </w:pPr>
          </w:p>
        </w:tc>
        <w:tc>
          <w:tcPr>
            <w:tcW w:w="1679" w:type="dxa"/>
            <w:vAlign w:val="top"/>
          </w:tcPr>
          <w:p w14:paraId="51102DCB">
            <w:pPr>
              <w:pStyle w:val="23"/>
              <w:spacing w:before="74" w:line="378" w:lineRule="auto"/>
              <w:ind w:left="533" w:right="205" w:hanging="310"/>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7CC59153">
            <w:pPr>
              <w:rPr>
                <w:rFonts w:ascii="Arial"/>
                <w:color w:val="auto"/>
                <w:sz w:val="21"/>
                <w:highlight w:val="none"/>
              </w:rPr>
            </w:pPr>
          </w:p>
        </w:tc>
        <w:tc>
          <w:tcPr>
            <w:tcW w:w="1392" w:type="dxa"/>
            <w:vAlign w:val="top"/>
          </w:tcPr>
          <w:p w14:paraId="75D84070">
            <w:pPr>
              <w:rPr>
                <w:rFonts w:ascii="Arial"/>
                <w:color w:val="auto"/>
                <w:sz w:val="21"/>
                <w:highlight w:val="none"/>
              </w:rPr>
            </w:pPr>
          </w:p>
        </w:tc>
        <w:tc>
          <w:tcPr>
            <w:tcW w:w="1569" w:type="dxa"/>
            <w:vAlign w:val="top"/>
          </w:tcPr>
          <w:p w14:paraId="20E0D244">
            <w:pPr>
              <w:rPr>
                <w:rFonts w:ascii="Arial"/>
                <w:color w:val="auto"/>
                <w:sz w:val="21"/>
                <w:highlight w:val="none"/>
              </w:rPr>
            </w:pPr>
          </w:p>
        </w:tc>
      </w:tr>
      <w:tr w14:paraId="02118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4113BC31">
            <w:pPr>
              <w:rPr>
                <w:rFonts w:ascii="Arial"/>
                <w:color w:val="auto"/>
                <w:sz w:val="21"/>
                <w:highlight w:val="none"/>
              </w:rPr>
            </w:pPr>
          </w:p>
        </w:tc>
        <w:tc>
          <w:tcPr>
            <w:tcW w:w="1359" w:type="dxa"/>
            <w:vAlign w:val="top"/>
          </w:tcPr>
          <w:p w14:paraId="05C38860">
            <w:pPr>
              <w:rPr>
                <w:rFonts w:ascii="Arial"/>
                <w:color w:val="auto"/>
                <w:sz w:val="21"/>
                <w:highlight w:val="none"/>
              </w:rPr>
            </w:pPr>
          </w:p>
        </w:tc>
        <w:tc>
          <w:tcPr>
            <w:tcW w:w="911" w:type="dxa"/>
            <w:vAlign w:val="top"/>
          </w:tcPr>
          <w:p w14:paraId="00BEA982">
            <w:pPr>
              <w:rPr>
                <w:rFonts w:ascii="Arial"/>
                <w:color w:val="auto"/>
                <w:sz w:val="21"/>
                <w:highlight w:val="none"/>
              </w:rPr>
            </w:pPr>
          </w:p>
        </w:tc>
        <w:tc>
          <w:tcPr>
            <w:tcW w:w="1679" w:type="dxa"/>
            <w:vAlign w:val="top"/>
          </w:tcPr>
          <w:p w14:paraId="07570E58">
            <w:pPr>
              <w:pStyle w:val="23"/>
              <w:spacing w:before="35" w:line="358"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22973C2E">
            <w:pPr>
              <w:rPr>
                <w:rFonts w:ascii="Arial"/>
                <w:color w:val="auto"/>
                <w:sz w:val="21"/>
                <w:highlight w:val="none"/>
              </w:rPr>
            </w:pPr>
          </w:p>
        </w:tc>
        <w:tc>
          <w:tcPr>
            <w:tcW w:w="1392" w:type="dxa"/>
            <w:vAlign w:val="top"/>
          </w:tcPr>
          <w:p w14:paraId="00118133">
            <w:pPr>
              <w:rPr>
                <w:rFonts w:ascii="Arial"/>
                <w:color w:val="auto"/>
                <w:sz w:val="21"/>
                <w:highlight w:val="none"/>
              </w:rPr>
            </w:pPr>
          </w:p>
        </w:tc>
        <w:tc>
          <w:tcPr>
            <w:tcW w:w="1569" w:type="dxa"/>
            <w:vAlign w:val="top"/>
          </w:tcPr>
          <w:p w14:paraId="04C49241">
            <w:pPr>
              <w:rPr>
                <w:rFonts w:ascii="Arial"/>
                <w:color w:val="auto"/>
                <w:sz w:val="21"/>
                <w:highlight w:val="none"/>
              </w:rPr>
            </w:pPr>
          </w:p>
        </w:tc>
      </w:tr>
      <w:tr w14:paraId="2E7F8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815" w:type="dxa"/>
            <w:tcBorders>
              <w:right w:val="nil"/>
            </w:tcBorders>
            <w:vAlign w:val="top"/>
          </w:tcPr>
          <w:p w14:paraId="2436858F">
            <w:pPr>
              <w:rPr>
                <w:rFonts w:ascii="Arial"/>
                <w:color w:val="auto"/>
                <w:sz w:val="21"/>
                <w:highlight w:val="none"/>
              </w:rPr>
            </w:pPr>
          </w:p>
        </w:tc>
        <w:tc>
          <w:tcPr>
            <w:tcW w:w="1359" w:type="dxa"/>
            <w:tcBorders>
              <w:left w:val="nil"/>
            </w:tcBorders>
            <w:vAlign w:val="top"/>
          </w:tcPr>
          <w:p w14:paraId="46521FFB">
            <w:pPr>
              <w:spacing w:line="246" w:lineRule="auto"/>
              <w:rPr>
                <w:rFonts w:ascii="Arial"/>
                <w:color w:val="auto"/>
                <w:sz w:val="21"/>
                <w:highlight w:val="none"/>
              </w:rPr>
            </w:pPr>
          </w:p>
          <w:p w14:paraId="754E55AC">
            <w:pPr>
              <w:pStyle w:val="23"/>
              <w:spacing w:before="65" w:line="229" w:lineRule="auto"/>
              <w:ind w:left="71"/>
              <w:rPr>
                <w:color w:val="auto"/>
                <w:highlight w:val="none"/>
              </w:rPr>
            </w:pPr>
            <w:r>
              <w:rPr>
                <w:color w:val="auto"/>
                <w:spacing w:val="4"/>
                <w:highlight w:val="none"/>
              </w:rPr>
              <w:t>合计</w:t>
            </w:r>
          </w:p>
        </w:tc>
        <w:tc>
          <w:tcPr>
            <w:tcW w:w="911" w:type="dxa"/>
            <w:vAlign w:val="top"/>
          </w:tcPr>
          <w:p w14:paraId="3F887237">
            <w:pPr>
              <w:rPr>
                <w:rFonts w:ascii="Arial"/>
                <w:color w:val="auto"/>
                <w:sz w:val="21"/>
                <w:highlight w:val="none"/>
              </w:rPr>
            </w:pPr>
          </w:p>
        </w:tc>
        <w:tc>
          <w:tcPr>
            <w:tcW w:w="1679" w:type="dxa"/>
            <w:vAlign w:val="top"/>
          </w:tcPr>
          <w:p w14:paraId="666F0164">
            <w:pPr>
              <w:spacing w:line="343" w:lineRule="auto"/>
              <w:rPr>
                <w:rFonts w:ascii="Arial"/>
                <w:color w:val="auto"/>
                <w:sz w:val="21"/>
                <w:highlight w:val="none"/>
              </w:rPr>
            </w:pPr>
          </w:p>
          <w:p w14:paraId="7B3FF07F">
            <w:pPr>
              <w:pStyle w:val="23"/>
              <w:spacing w:before="65" w:line="136" w:lineRule="exact"/>
              <w:ind w:left="793"/>
              <w:rPr>
                <w:color w:val="auto"/>
                <w:highlight w:val="none"/>
              </w:rPr>
            </w:pPr>
            <w:r>
              <w:rPr>
                <w:color w:val="auto"/>
                <w:position w:val="-3"/>
                <w:highlight w:val="none"/>
              </w:rPr>
              <w:t>-</w:t>
            </w:r>
          </w:p>
        </w:tc>
        <w:tc>
          <w:tcPr>
            <w:tcW w:w="1221" w:type="dxa"/>
            <w:vAlign w:val="top"/>
          </w:tcPr>
          <w:p w14:paraId="10AF7246">
            <w:pPr>
              <w:rPr>
                <w:rFonts w:ascii="Arial"/>
                <w:color w:val="auto"/>
                <w:sz w:val="21"/>
                <w:highlight w:val="none"/>
              </w:rPr>
            </w:pPr>
          </w:p>
        </w:tc>
        <w:tc>
          <w:tcPr>
            <w:tcW w:w="1392" w:type="dxa"/>
            <w:tcBorders>
              <w:right w:val="nil"/>
            </w:tcBorders>
            <w:vAlign w:val="top"/>
          </w:tcPr>
          <w:p w14:paraId="031DB535">
            <w:pPr>
              <w:rPr>
                <w:rFonts w:ascii="Arial"/>
                <w:color w:val="auto"/>
                <w:sz w:val="21"/>
                <w:highlight w:val="none"/>
              </w:rPr>
            </w:pPr>
          </w:p>
        </w:tc>
        <w:tc>
          <w:tcPr>
            <w:tcW w:w="1569" w:type="dxa"/>
            <w:tcBorders>
              <w:left w:val="nil"/>
            </w:tcBorders>
            <w:vAlign w:val="top"/>
          </w:tcPr>
          <w:p w14:paraId="2E663DA6">
            <w:pPr>
              <w:spacing w:line="343" w:lineRule="auto"/>
              <w:rPr>
                <w:rFonts w:ascii="Arial"/>
                <w:color w:val="auto"/>
                <w:sz w:val="21"/>
                <w:highlight w:val="none"/>
              </w:rPr>
            </w:pPr>
          </w:p>
          <w:p w14:paraId="460400D7">
            <w:pPr>
              <w:pStyle w:val="23"/>
              <w:spacing w:before="65" w:line="136" w:lineRule="exact"/>
              <w:ind w:left="41"/>
              <w:rPr>
                <w:color w:val="auto"/>
                <w:highlight w:val="none"/>
              </w:rPr>
            </w:pPr>
            <w:r>
              <w:rPr>
                <w:color w:val="auto"/>
                <w:position w:val="-3"/>
                <w:highlight w:val="none"/>
              </w:rPr>
              <w:t>-</w:t>
            </w:r>
          </w:p>
        </w:tc>
      </w:tr>
    </w:tbl>
    <w:p w14:paraId="5F22B257">
      <w:pPr>
        <w:spacing w:line="373" w:lineRule="auto"/>
        <w:rPr>
          <w:rFonts w:ascii="Arial"/>
          <w:color w:val="auto"/>
          <w:sz w:val="21"/>
          <w:highlight w:val="none"/>
        </w:rPr>
      </w:pPr>
    </w:p>
    <w:p w14:paraId="2C899801">
      <w:pPr>
        <w:spacing w:before="65" w:line="227" w:lineRule="auto"/>
        <w:ind w:left="420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投标人：</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41"/>
          <w:sz w:val="20"/>
          <w:szCs w:val="20"/>
          <w:highlight w:val="none"/>
        </w:rPr>
        <w:t xml:space="preserve"> </w:t>
      </w:r>
      <w:r>
        <w:rPr>
          <w:rFonts w:ascii="宋体" w:hAnsi="宋体" w:eastAsia="宋体" w:cs="宋体"/>
          <w:color w:val="auto"/>
          <w:spacing w:val="3"/>
          <w:sz w:val="20"/>
          <w:szCs w:val="20"/>
          <w:highlight w:val="none"/>
        </w:rPr>
        <w:t>(盖单位章)</w:t>
      </w:r>
    </w:p>
    <w:p w14:paraId="18FB11E3">
      <w:pPr>
        <w:spacing w:line="250" w:lineRule="auto"/>
        <w:rPr>
          <w:rFonts w:ascii="Arial"/>
          <w:color w:val="auto"/>
          <w:sz w:val="21"/>
          <w:highlight w:val="none"/>
        </w:rPr>
      </w:pPr>
    </w:p>
    <w:p w14:paraId="53C0622F">
      <w:pPr>
        <w:spacing w:line="251" w:lineRule="auto"/>
        <w:rPr>
          <w:rFonts w:ascii="Arial"/>
          <w:color w:val="auto"/>
          <w:sz w:val="21"/>
          <w:highlight w:val="none"/>
        </w:rPr>
      </w:pPr>
    </w:p>
    <w:p w14:paraId="5E2C8EBF">
      <w:pPr>
        <w:spacing w:before="65" w:line="228" w:lineRule="auto"/>
        <w:ind w:left="4200"/>
        <w:outlineLvl w:val="1"/>
        <w:rPr>
          <w:rFonts w:ascii="宋体" w:hAnsi="宋体" w:eastAsia="宋体" w:cs="宋体"/>
          <w:color w:val="auto"/>
          <w:sz w:val="20"/>
          <w:szCs w:val="20"/>
          <w:highlight w:val="none"/>
        </w:rPr>
      </w:pPr>
      <w:bookmarkStart w:id="814" w:name="_Toc21754"/>
      <w:bookmarkStart w:id="815" w:name="_Toc11736"/>
      <w:bookmarkStart w:id="816" w:name="_Toc32392"/>
      <w:bookmarkStart w:id="817" w:name="_Toc31050"/>
      <w:bookmarkStart w:id="818" w:name="_Toc29051"/>
      <w:bookmarkStart w:id="819" w:name="_Toc28833"/>
      <w:bookmarkStart w:id="820" w:name="_Toc31403"/>
      <w:r>
        <w:rPr>
          <w:rFonts w:ascii="宋体" w:hAnsi="宋体" w:eastAsia="宋体" w:cs="宋体"/>
          <w:color w:val="auto"/>
          <w:spacing w:val="9"/>
          <w:sz w:val="20"/>
          <w:szCs w:val="20"/>
          <w:highlight w:val="none"/>
        </w:rPr>
        <w:t>法定代表人（或被授权人）签名：</w:t>
      </w:r>
      <w:bookmarkEnd w:id="814"/>
      <w:bookmarkEnd w:id="815"/>
      <w:bookmarkEnd w:id="816"/>
      <w:bookmarkEnd w:id="817"/>
      <w:bookmarkEnd w:id="818"/>
      <w:bookmarkEnd w:id="819"/>
      <w:bookmarkEnd w:id="820"/>
      <w:r>
        <w:rPr>
          <w:rFonts w:ascii="宋体" w:hAnsi="宋体" w:eastAsia="宋体" w:cs="宋体"/>
          <w:color w:val="auto"/>
          <w:sz w:val="20"/>
          <w:szCs w:val="20"/>
          <w:highlight w:val="none"/>
          <w:u w:val="single" w:color="auto"/>
        </w:rPr>
        <w:t xml:space="preserve">            </w:t>
      </w:r>
    </w:p>
    <w:p w14:paraId="0D3A36E5">
      <w:pPr>
        <w:spacing w:line="228" w:lineRule="auto"/>
        <w:rPr>
          <w:rFonts w:ascii="宋体" w:hAnsi="宋体" w:eastAsia="宋体" w:cs="宋体"/>
          <w:color w:val="auto"/>
          <w:sz w:val="20"/>
          <w:szCs w:val="20"/>
          <w:highlight w:val="none"/>
        </w:rPr>
        <w:sectPr>
          <w:footerReference r:id="rId56" w:type="default"/>
          <w:pgSz w:w="11906" w:h="16839"/>
          <w:pgMar w:top="1403" w:right="1477" w:bottom="1297" w:left="1477" w:header="0" w:footer="1067" w:gutter="0"/>
          <w:pgBorders>
            <w:top w:val="none" w:sz="0" w:space="0"/>
            <w:left w:val="none" w:sz="0" w:space="0"/>
            <w:bottom w:val="none" w:sz="0" w:space="0"/>
            <w:right w:val="none" w:sz="0" w:space="0"/>
          </w:pgBorders>
          <w:pgNumType w:fmt="decimal"/>
          <w:cols w:space="720" w:num="1"/>
        </w:sectPr>
      </w:pPr>
    </w:p>
    <w:p w14:paraId="198C8380">
      <w:pPr>
        <w:spacing w:before="163" w:line="219" w:lineRule="auto"/>
        <w:ind w:left="369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七、技术建议书</w:t>
      </w:r>
    </w:p>
    <w:p w14:paraId="41DB4372">
      <w:pPr>
        <w:spacing w:line="260" w:lineRule="auto"/>
        <w:rPr>
          <w:rFonts w:ascii="Arial"/>
          <w:color w:val="auto"/>
          <w:sz w:val="21"/>
          <w:highlight w:val="none"/>
        </w:rPr>
      </w:pPr>
    </w:p>
    <w:p w14:paraId="0D8CA2F5">
      <w:pPr>
        <w:spacing w:line="261" w:lineRule="auto"/>
        <w:rPr>
          <w:rFonts w:ascii="Arial"/>
          <w:color w:val="auto"/>
          <w:sz w:val="21"/>
          <w:highlight w:val="none"/>
        </w:rPr>
      </w:pPr>
    </w:p>
    <w:p w14:paraId="48893D33">
      <w:pPr>
        <w:spacing w:line="261" w:lineRule="auto"/>
        <w:rPr>
          <w:rFonts w:ascii="Arial"/>
          <w:color w:val="auto"/>
          <w:sz w:val="21"/>
          <w:highlight w:val="none"/>
        </w:rPr>
      </w:pPr>
    </w:p>
    <w:p w14:paraId="0FFC0936">
      <w:pPr>
        <w:spacing w:before="78"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工程概述：主要对拟投监理标段的工程总体概况进行简单描述。</w:t>
      </w:r>
    </w:p>
    <w:p w14:paraId="488BC670">
      <w:pPr>
        <w:spacing w:before="153" w:line="279" w:lineRule="auto"/>
        <w:ind w:lef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监理工作范围：依据监理合同中约定的监</w:t>
      </w:r>
      <w:r>
        <w:rPr>
          <w:rFonts w:ascii="宋体" w:hAnsi="宋体" w:eastAsia="宋体" w:cs="宋体"/>
          <w:color w:val="auto"/>
          <w:spacing w:val="1"/>
          <w:sz w:val="24"/>
          <w:szCs w:val="24"/>
          <w:highlight w:val="none"/>
        </w:rPr>
        <w:t>理服务的要求和范围，对拟投监理标</w:t>
      </w:r>
      <w:r>
        <w:rPr>
          <w:rFonts w:ascii="宋体" w:hAnsi="宋体" w:eastAsia="宋体" w:cs="宋体"/>
          <w:color w:val="auto"/>
          <w:spacing w:val="-1"/>
          <w:sz w:val="24"/>
          <w:szCs w:val="24"/>
          <w:highlight w:val="none"/>
        </w:rPr>
        <w:t>段的监理工作安排、主要监理人员的岗位职责进行必要的阐述。</w:t>
      </w:r>
    </w:p>
    <w:p w14:paraId="4285CD53">
      <w:pPr>
        <w:spacing w:before="157" w:line="279" w:lineRule="auto"/>
        <w:ind w:left="5"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现场监理机构设置与人员安排：通过</w:t>
      </w:r>
      <w:r>
        <w:rPr>
          <w:rFonts w:ascii="宋体" w:hAnsi="宋体" w:eastAsia="宋体" w:cs="宋体"/>
          <w:color w:val="auto"/>
          <w:spacing w:val="1"/>
          <w:sz w:val="24"/>
          <w:szCs w:val="24"/>
          <w:highlight w:val="none"/>
        </w:rPr>
        <w:t>框图形式，明确拟投监理标段的组织机构</w:t>
      </w:r>
      <w:r>
        <w:rPr>
          <w:rFonts w:ascii="宋体" w:hAnsi="宋体" w:eastAsia="宋体" w:cs="宋体"/>
          <w:color w:val="auto"/>
          <w:spacing w:val="-5"/>
          <w:sz w:val="24"/>
          <w:szCs w:val="24"/>
          <w:highlight w:val="none"/>
        </w:rPr>
        <w:t>设置。</w:t>
      </w:r>
    </w:p>
    <w:p w14:paraId="43C41D7E">
      <w:pPr>
        <w:spacing w:before="152" w:line="279" w:lineRule="auto"/>
        <w:ind w:left="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监理仪器、设备和设施的配备：投标人根据拟投监</w:t>
      </w:r>
      <w:r>
        <w:rPr>
          <w:rFonts w:ascii="宋体" w:hAnsi="宋体" w:eastAsia="宋体" w:cs="宋体"/>
          <w:color w:val="auto"/>
          <w:spacing w:val="1"/>
          <w:sz w:val="24"/>
          <w:szCs w:val="24"/>
          <w:highlight w:val="none"/>
        </w:rPr>
        <w:t>理标段的现场工作需要，对</w:t>
      </w:r>
      <w:r>
        <w:rPr>
          <w:rFonts w:ascii="宋体" w:hAnsi="宋体" w:eastAsia="宋体" w:cs="宋体"/>
          <w:color w:val="auto"/>
          <w:spacing w:val="-1"/>
          <w:sz w:val="24"/>
          <w:szCs w:val="24"/>
          <w:highlight w:val="none"/>
        </w:rPr>
        <w:t>其拟投入本工程的监理仪器、设备和设施的配备等情况作简要介绍。</w:t>
      </w:r>
    </w:p>
    <w:p w14:paraId="665D88A3">
      <w:pPr>
        <w:spacing w:before="153" w:line="299" w:lineRule="auto"/>
        <w:ind w:firstLine="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监理工作程序：结合监理工作的阶段</w:t>
      </w:r>
      <w:r>
        <w:rPr>
          <w:rFonts w:ascii="宋体" w:hAnsi="宋体" w:eastAsia="宋体" w:cs="宋体"/>
          <w:color w:val="auto"/>
          <w:spacing w:val="1"/>
          <w:sz w:val="24"/>
          <w:szCs w:val="24"/>
          <w:highlight w:val="none"/>
        </w:rPr>
        <w:t>划分，对工程质量控制、进度控制、施工</w:t>
      </w:r>
      <w:r>
        <w:rPr>
          <w:rFonts w:ascii="宋体" w:hAnsi="宋体" w:eastAsia="宋体" w:cs="宋体"/>
          <w:color w:val="auto"/>
          <w:spacing w:val="5"/>
          <w:sz w:val="24"/>
          <w:szCs w:val="24"/>
          <w:highlight w:val="none"/>
        </w:rPr>
        <w:t>安全控制、施工环境保护、费用控制、合同及其他事项管理、文件资料管理等方</w:t>
      </w:r>
      <w:r>
        <w:rPr>
          <w:rFonts w:ascii="宋体" w:hAnsi="宋体" w:eastAsia="宋体" w:cs="宋体"/>
          <w:color w:val="auto"/>
          <w:spacing w:val="4"/>
          <w:sz w:val="24"/>
          <w:szCs w:val="24"/>
          <w:highlight w:val="none"/>
        </w:rPr>
        <w:t>面，</w:t>
      </w:r>
      <w:r>
        <w:rPr>
          <w:rFonts w:ascii="宋体" w:hAnsi="宋体" w:eastAsia="宋体" w:cs="宋体"/>
          <w:color w:val="auto"/>
          <w:spacing w:val="-1"/>
          <w:sz w:val="24"/>
          <w:szCs w:val="24"/>
          <w:highlight w:val="none"/>
        </w:rPr>
        <w:t>进行监理工作的方法与流程的简要阐述。</w:t>
      </w:r>
    </w:p>
    <w:p w14:paraId="607C4817">
      <w:pPr>
        <w:spacing w:before="154" w:line="279" w:lineRule="auto"/>
        <w:ind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 监理大纲（或监理方案）和措施（包含《广</w:t>
      </w:r>
      <w:r>
        <w:rPr>
          <w:rFonts w:ascii="宋体" w:hAnsi="宋体" w:eastAsia="宋体" w:cs="宋体"/>
          <w:color w:val="auto"/>
          <w:spacing w:val="1"/>
          <w:sz w:val="24"/>
          <w:szCs w:val="24"/>
          <w:highlight w:val="none"/>
        </w:rPr>
        <w:t>东省公路工程施工标准化指南》中</w:t>
      </w:r>
      <w:r>
        <w:rPr>
          <w:rFonts w:ascii="宋体" w:hAnsi="宋体" w:eastAsia="宋体" w:cs="宋体"/>
          <w:color w:val="auto"/>
          <w:spacing w:val="-1"/>
          <w:sz w:val="24"/>
          <w:szCs w:val="24"/>
          <w:highlight w:val="none"/>
        </w:rPr>
        <w:t>对监理的要求执行方案）。</w:t>
      </w:r>
    </w:p>
    <w:p w14:paraId="1E74285C">
      <w:pPr>
        <w:spacing w:before="156" w:line="279" w:lineRule="auto"/>
        <w:ind w:left="4"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 本工程监理工作的重点与难点分析：根据招标文件及现场考察，对本工程监理</w:t>
      </w:r>
      <w:r>
        <w:rPr>
          <w:rFonts w:ascii="宋体" w:hAnsi="宋体" w:eastAsia="宋体" w:cs="宋体"/>
          <w:color w:val="auto"/>
          <w:spacing w:val="-1"/>
          <w:sz w:val="24"/>
          <w:szCs w:val="24"/>
          <w:highlight w:val="none"/>
        </w:rPr>
        <w:t>工作需要特别给予重视的问题逐一论述并给出解决方法。</w:t>
      </w:r>
    </w:p>
    <w:p w14:paraId="15EFB7F7">
      <w:pPr>
        <w:spacing w:before="154" w:line="279" w:lineRule="auto"/>
        <w:ind w:right="58" w:firstLine="481"/>
        <w:rPr>
          <w:rFonts w:ascii="宋体" w:hAnsi="宋体" w:eastAsia="宋体" w:cs="宋体"/>
          <w:color w:val="auto"/>
          <w:sz w:val="24"/>
          <w:szCs w:val="24"/>
          <w:highlight w:val="none"/>
        </w:rPr>
      </w:pPr>
      <w:r>
        <w:rPr>
          <w:rFonts w:ascii="宋体" w:hAnsi="宋体" w:eastAsia="宋体" w:cs="宋体"/>
          <w:color w:val="auto"/>
          <w:sz w:val="24"/>
          <w:szCs w:val="24"/>
          <w:highlight w:val="none"/>
        </w:rPr>
        <w:t>8. 对本工程建议：为更好地完成本工程的监理工作，监理人可根据以往的经验，</w:t>
      </w:r>
      <w:r>
        <w:rPr>
          <w:rFonts w:ascii="宋体" w:hAnsi="宋体" w:eastAsia="宋体" w:cs="宋体"/>
          <w:color w:val="auto"/>
          <w:spacing w:val="-1"/>
          <w:sz w:val="24"/>
          <w:szCs w:val="24"/>
          <w:highlight w:val="none"/>
        </w:rPr>
        <w:t>对本工程监理工作提出建议。</w:t>
      </w:r>
    </w:p>
    <w:p w14:paraId="4112D416">
      <w:pPr>
        <w:spacing w:line="279" w:lineRule="auto"/>
        <w:rPr>
          <w:rFonts w:ascii="宋体" w:hAnsi="宋体" w:eastAsia="宋体" w:cs="宋体"/>
          <w:color w:val="auto"/>
          <w:sz w:val="24"/>
          <w:szCs w:val="24"/>
          <w:highlight w:val="none"/>
        </w:rPr>
        <w:sectPr>
          <w:footerReference r:id="rId57" w:type="default"/>
          <w:pgSz w:w="11906" w:h="16839"/>
          <w:pgMar w:top="1431" w:right="1418" w:bottom="1297" w:left="1423" w:header="0" w:footer="1066" w:gutter="0"/>
          <w:pgBorders>
            <w:top w:val="none" w:sz="0" w:space="0"/>
            <w:left w:val="none" w:sz="0" w:space="0"/>
            <w:bottom w:val="none" w:sz="0" w:space="0"/>
            <w:right w:val="none" w:sz="0" w:space="0"/>
          </w:pgBorders>
          <w:pgNumType w:fmt="decimal"/>
          <w:cols w:space="720" w:num="1"/>
        </w:sectPr>
      </w:pPr>
    </w:p>
    <w:p w14:paraId="35CBE454">
      <w:pPr>
        <w:spacing w:line="316" w:lineRule="auto"/>
        <w:rPr>
          <w:rFonts w:ascii="Arial"/>
          <w:color w:val="auto"/>
          <w:sz w:val="21"/>
          <w:highlight w:val="none"/>
        </w:rPr>
      </w:pPr>
    </w:p>
    <w:p w14:paraId="0BF9BD41">
      <w:pPr>
        <w:spacing w:line="316" w:lineRule="auto"/>
        <w:rPr>
          <w:rFonts w:ascii="Arial"/>
          <w:color w:val="auto"/>
          <w:sz w:val="21"/>
          <w:highlight w:val="none"/>
        </w:rPr>
      </w:pPr>
    </w:p>
    <w:p w14:paraId="421F6AF8">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511CCABF">
      <w:pPr>
        <w:spacing w:line="364" w:lineRule="auto"/>
        <w:rPr>
          <w:rFonts w:ascii="Arial"/>
          <w:color w:val="auto"/>
          <w:sz w:val="21"/>
          <w:highlight w:val="none"/>
        </w:rPr>
      </w:pPr>
    </w:p>
    <w:p w14:paraId="5A5E5B75">
      <w:pPr>
        <w:tabs>
          <w:tab w:val="left" w:pos="1593"/>
        </w:tabs>
        <w:spacing w:before="130" w:line="221" w:lineRule="auto"/>
        <w:ind w:left="1367"/>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2"/>
          <w:sz w:val="40"/>
          <w:szCs w:val="40"/>
          <w:highlight w:val="none"/>
        </w:rPr>
        <w:t xml:space="preserve"> </w:t>
      </w:r>
      <w:r>
        <w:rPr>
          <w:rFonts w:ascii="宋体" w:hAnsi="宋体" w:eastAsia="宋体" w:cs="宋体"/>
          <w:color w:val="auto"/>
          <w:spacing w:val="-16"/>
          <w:sz w:val="40"/>
          <w:szCs w:val="40"/>
          <w:highlight w:val="none"/>
        </w:rPr>
        <w:t>标段施工监理招标</w:t>
      </w:r>
    </w:p>
    <w:p w14:paraId="40056E23">
      <w:pPr>
        <w:spacing w:line="272" w:lineRule="auto"/>
        <w:rPr>
          <w:rFonts w:ascii="Arial"/>
          <w:color w:val="auto"/>
          <w:sz w:val="21"/>
          <w:highlight w:val="none"/>
        </w:rPr>
      </w:pPr>
    </w:p>
    <w:p w14:paraId="1A48E1C3">
      <w:pPr>
        <w:spacing w:line="272" w:lineRule="auto"/>
        <w:rPr>
          <w:rFonts w:ascii="Arial"/>
          <w:color w:val="auto"/>
          <w:sz w:val="21"/>
          <w:highlight w:val="none"/>
        </w:rPr>
      </w:pPr>
    </w:p>
    <w:p w14:paraId="34C35526">
      <w:pPr>
        <w:spacing w:line="272" w:lineRule="auto"/>
        <w:rPr>
          <w:rFonts w:ascii="Arial"/>
          <w:color w:val="auto"/>
          <w:sz w:val="21"/>
          <w:highlight w:val="none"/>
        </w:rPr>
      </w:pPr>
    </w:p>
    <w:p w14:paraId="33938029">
      <w:pPr>
        <w:spacing w:line="272" w:lineRule="auto"/>
        <w:rPr>
          <w:rFonts w:ascii="Arial"/>
          <w:color w:val="auto"/>
          <w:sz w:val="21"/>
          <w:highlight w:val="none"/>
        </w:rPr>
      </w:pPr>
    </w:p>
    <w:p w14:paraId="2E4E1B6D">
      <w:pPr>
        <w:spacing w:line="272" w:lineRule="auto"/>
        <w:rPr>
          <w:rFonts w:ascii="Arial"/>
          <w:color w:val="auto"/>
          <w:sz w:val="21"/>
          <w:highlight w:val="none"/>
        </w:rPr>
      </w:pPr>
    </w:p>
    <w:p w14:paraId="5EDABE08">
      <w:pPr>
        <w:spacing w:line="272" w:lineRule="auto"/>
        <w:rPr>
          <w:rFonts w:ascii="Arial"/>
          <w:color w:val="auto"/>
          <w:sz w:val="21"/>
          <w:highlight w:val="none"/>
        </w:rPr>
      </w:pPr>
    </w:p>
    <w:p w14:paraId="1B3E529E">
      <w:pPr>
        <w:spacing w:before="139"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4BFA5743">
      <w:pPr>
        <w:spacing w:before="320" w:line="223" w:lineRule="auto"/>
        <w:ind w:left="3229"/>
        <w:outlineLvl w:val="0"/>
        <w:rPr>
          <w:rFonts w:ascii="宋体" w:hAnsi="宋体" w:eastAsia="宋体" w:cs="宋体"/>
          <w:color w:val="auto"/>
          <w:sz w:val="31"/>
          <w:szCs w:val="31"/>
          <w:highlight w:val="none"/>
        </w:rPr>
      </w:pPr>
      <w:bookmarkStart w:id="821" w:name="_Toc21957"/>
      <w:bookmarkStart w:id="822" w:name="_Toc24729"/>
      <w:bookmarkStart w:id="823" w:name="_Toc2989"/>
      <w:bookmarkStart w:id="824" w:name="_Toc2015"/>
      <w:bookmarkStart w:id="825" w:name="_Toc4172"/>
      <w:bookmarkStart w:id="826" w:name="_Toc6888"/>
      <w:bookmarkStart w:id="827" w:name="_Toc12916"/>
      <w:r>
        <w:rPr>
          <w:rFonts w:ascii="宋体" w:hAnsi="宋体" w:eastAsia="宋体" w:cs="宋体"/>
          <w:b/>
          <w:bCs/>
          <w:color w:val="auto"/>
          <w:spacing w:val="1"/>
          <w:sz w:val="31"/>
          <w:szCs w:val="31"/>
          <w:highlight w:val="none"/>
        </w:rPr>
        <w:t>（报价文件）</w:t>
      </w:r>
      <w:bookmarkEnd w:id="821"/>
      <w:bookmarkEnd w:id="822"/>
      <w:bookmarkEnd w:id="823"/>
      <w:bookmarkEnd w:id="824"/>
      <w:bookmarkEnd w:id="825"/>
      <w:bookmarkEnd w:id="826"/>
      <w:bookmarkEnd w:id="827"/>
    </w:p>
    <w:p w14:paraId="3A5D58FA">
      <w:pPr>
        <w:spacing w:line="241" w:lineRule="auto"/>
        <w:rPr>
          <w:rFonts w:ascii="Arial"/>
          <w:color w:val="auto"/>
          <w:sz w:val="21"/>
          <w:highlight w:val="none"/>
        </w:rPr>
      </w:pPr>
    </w:p>
    <w:p w14:paraId="1F5E517B">
      <w:pPr>
        <w:spacing w:line="241" w:lineRule="auto"/>
        <w:rPr>
          <w:rFonts w:ascii="Arial"/>
          <w:color w:val="auto"/>
          <w:sz w:val="21"/>
          <w:highlight w:val="none"/>
        </w:rPr>
      </w:pPr>
    </w:p>
    <w:p w14:paraId="79A09161">
      <w:pPr>
        <w:spacing w:line="241" w:lineRule="auto"/>
        <w:rPr>
          <w:rFonts w:ascii="Arial"/>
          <w:color w:val="auto"/>
          <w:sz w:val="21"/>
          <w:highlight w:val="none"/>
        </w:rPr>
      </w:pPr>
    </w:p>
    <w:p w14:paraId="02E83BAD">
      <w:pPr>
        <w:spacing w:line="241" w:lineRule="auto"/>
        <w:rPr>
          <w:rFonts w:ascii="Arial"/>
          <w:color w:val="auto"/>
          <w:sz w:val="21"/>
          <w:highlight w:val="none"/>
        </w:rPr>
      </w:pPr>
    </w:p>
    <w:p w14:paraId="27FE00E8">
      <w:pPr>
        <w:spacing w:line="241" w:lineRule="auto"/>
        <w:rPr>
          <w:rFonts w:ascii="Arial"/>
          <w:color w:val="auto"/>
          <w:sz w:val="21"/>
          <w:highlight w:val="none"/>
        </w:rPr>
      </w:pPr>
    </w:p>
    <w:p w14:paraId="44AF2C6F">
      <w:pPr>
        <w:spacing w:line="241" w:lineRule="auto"/>
        <w:rPr>
          <w:rFonts w:ascii="Arial"/>
          <w:color w:val="auto"/>
          <w:sz w:val="21"/>
          <w:highlight w:val="none"/>
        </w:rPr>
      </w:pPr>
    </w:p>
    <w:p w14:paraId="6742304A">
      <w:pPr>
        <w:spacing w:line="241" w:lineRule="auto"/>
        <w:rPr>
          <w:rFonts w:ascii="Arial"/>
          <w:color w:val="auto"/>
          <w:sz w:val="21"/>
          <w:highlight w:val="none"/>
        </w:rPr>
      </w:pPr>
    </w:p>
    <w:p w14:paraId="606CCF1F">
      <w:pPr>
        <w:spacing w:line="241" w:lineRule="auto"/>
        <w:rPr>
          <w:rFonts w:ascii="Arial"/>
          <w:color w:val="auto"/>
          <w:sz w:val="21"/>
          <w:highlight w:val="none"/>
        </w:rPr>
      </w:pPr>
    </w:p>
    <w:p w14:paraId="3A32D4F2">
      <w:pPr>
        <w:spacing w:line="241" w:lineRule="auto"/>
        <w:rPr>
          <w:rFonts w:ascii="Arial"/>
          <w:color w:val="auto"/>
          <w:sz w:val="21"/>
          <w:highlight w:val="none"/>
        </w:rPr>
      </w:pPr>
    </w:p>
    <w:p w14:paraId="4358D3F4">
      <w:pPr>
        <w:spacing w:line="241" w:lineRule="auto"/>
        <w:rPr>
          <w:rFonts w:ascii="Arial"/>
          <w:color w:val="auto"/>
          <w:sz w:val="21"/>
          <w:highlight w:val="none"/>
        </w:rPr>
      </w:pPr>
    </w:p>
    <w:p w14:paraId="629F7628">
      <w:pPr>
        <w:spacing w:line="241" w:lineRule="auto"/>
        <w:rPr>
          <w:rFonts w:ascii="Arial"/>
          <w:color w:val="auto"/>
          <w:sz w:val="21"/>
          <w:highlight w:val="none"/>
        </w:rPr>
      </w:pPr>
    </w:p>
    <w:p w14:paraId="4FEE99EF">
      <w:pPr>
        <w:spacing w:line="241" w:lineRule="auto"/>
        <w:rPr>
          <w:rFonts w:ascii="Arial"/>
          <w:color w:val="auto"/>
          <w:sz w:val="21"/>
          <w:highlight w:val="none"/>
        </w:rPr>
      </w:pPr>
    </w:p>
    <w:p w14:paraId="13B324CA">
      <w:pPr>
        <w:spacing w:line="241" w:lineRule="auto"/>
        <w:rPr>
          <w:rFonts w:ascii="Arial"/>
          <w:color w:val="auto"/>
          <w:sz w:val="21"/>
          <w:highlight w:val="none"/>
        </w:rPr>
      </w:pPr>
    </w:p>
    <w:p w14:paraId="65AE8817">
      <w:pPr>
        <w:spacing w:line="241" w:lineRule="auto"/>
        <w:rPr>
          <w:rFonts w:ascii="Arial"/>
          <w:color w:val="auto"/>
          <w:sz w:val="21"/>
          <w:highlight w:val="none"/>
        </w:rPr>
      </w:pPr>
    </w:p>
    <w:p w14:paraId="10B50A31">
      <w:pPr>
        <w:spacing w:line="241" w:lineRule="auto"/>
        <w:rPr>
          <w:rFonts w:ascii="Arial"/>
          <w:color w:val="auto"/>
          <w:sz w:val="21"/>
          <w:highlight w:val="none"/>
        </w:rPr>
      </w:pPr>
    </w:p>
    <w:p w14:paraId="1D1465F6">
      <w:pPr>
        <w:spacing w:line="242" w:lineRule="auto"/>
        <w:rPr>
          <w:rFonts w:ascii="Arial"/>
          <w:color w:val="auto"/>
          <w:sz w:val="21"/>
          <w:highlight w:val="none"/>
        </w:rPr>
      </w:pPr>
    </w:p>
    <w:p w14:paraId="0BE6218B">
      <w:pPr>
        <w:spacing w:line="242" w:lineRule="auto"/>
        <w:rPr>
          <w:rFonts w:ascii="Arial"/>
          <w:color w:val="auto"/>
          <w:sz w:val="21"/>
          <w:highlight w:val="none"/>
        </w:rPr>
      </w:pPr>
    </w:p>
    <w:p w14:paraId="30738FBA">
      <w:pPr>
        <w:spacing w:line="242" w:lineRule="auto"/>
        <w:rPr>
          <w:rFonts w:ascii="Arial"/>
          <w:color w:val="auto"/>
          <w:sz w:val="21"/>
          <w:highlight w:val="none"/>
        </w:rPr>
      </w:pPr>
    </w:p>
    <w:p w14:paraId="72689E3F">
      <w:pPr>
        <w:spacing w:line="242" w:lineRule="auto"/>
        <w:rPr>
          <w:rFonts w:ascii="Arial"/>
          <w:color w:val="auto"/>
          <w:sz w:val="21"/>
          <w:highlight w:val="none"/>
        </w:rPr>
      </w:pPr>
    </w:p>
    <w:p w14:paraId="58A40160">
      <w:pPr>
        <w:spacing w:line="242" w:lineRule="auto"/>
        <w:rPr>
          <w:rFonts w:ascii="Arial"/>
          <w:color w:val="auto"/>
          <w:sz w:val="21"/>
          <w:highlight w:val="none"/>
        </w:rPr>
      </w:pPr>
    </w:p>
    <w:p w14:paraId="30E675FC">
      <w:pPr>
        <w:spacing w:line="242" w:lineRule="auto"/>
        <w:rPr>
          <w:rFonts w:ascii="Arial"/>
          <w:color w:val="auto"/>
          <w:sz w:val="21"/>
          <w:highlight w:val="none"/>
        </w:rPr>
      </w:pPr>
    </w:p>
    <w:p w14:paraId="7857FC0F">
      <w:pPr>
        <w:spacing w:line="242" w:lineRule="auto"/>
        <w:rPr>
          <w:rFonts w:ascii="Arial"/>
          <w:color w:val="auto"/>
          <w:sz w:val="21"/>
          <w:highlight w:val="none"/>
        </w:rPr>
      </w:pPr>
    </w:p>
    <w:p w14:paraId="3011A061">
      <w:pPr>
        <w:spacing w:line="242" w:lineRule="auto"/>
        <w:rPr>
          <w:rFonts w:ascii="Arial"/>
          <w:color w:val="auto"/>
          <w:sz w:val="21"/>
          <w:highlight w:val="none"/>
        </w:rPr>
      </w:pPr>
    </w:p>
    <w:p w14:paraId="234E4B81">
      <w:pPr>
        <w:spacing w:line="242" w:lineRule="auto"/>
        <w:rPr>
          <w:rFonts w:ascii="Arial"/>
          <w:color w:val="auto"/>
          <w:sz w:val="21"/>
          <w:highlight w:val="none"/>
        </w:rPr>
      </w:pPr>
    </w:p>
    <w:p w14:paraId="417F810E">
      <w:pPr>
        <w:spacing w:line="242" w:lineRule="auto"/>
        <w:rPr>
          <w:rFonts w:ascii="Arial"/>
          <w:color w:val="auto"/>
          <w:sz w:val="21"/>
          <w:highlight w:val="none"/>
        </w:rPr>
      </w:pPr>
    </w:p>
    <w:p w14:paraId="1F214C46">
      <w:pPr>
        <w:spacing w:line="242" w:lineRule="auto"/>
        <w:rPr>
          <w:rFonts w:ascii="Arial"/>
          <w:color w:val="auto"/>
          <w:sz w:val="21"/>
          <w:highlight w:val="none"/>
        </w:rPr>
      </w:pPr>
    </w:p>
    <w:p w14:paraId="195FE551">
      <w:pPr>
        <w:spacing w:before="92" w:line="219" w:lineRule="auto"/>
        <w:ind w:left="542"/>
        <w:rPr>
          <w:rFonts w:ascii="宋体" w:hAnsi="宋体" w:eastAsia="宋体" w:cs="宋体"/>
          <w:color w:val="auto"/>
          <w:sz w:val="28"/>
          <w:szCs w:val="28"/>
          <w:highlight w:val="none"/>
        </w:rPr>
      </w:pPr>
      <w:r>
        <w:rPr>
          <w:rFonts w:ascii="宋体" w:hAnsi="宋体" w:eastAsia="宋体" w:cs="宋体"/>
          <w:color w:val="auto"/>
          <w:spacing w:val="-5"/>
          <w:sz w:val="28"/>
          <w:szCs w:val="28"/>
          <w:highlight w:val="none"/>
        </w:rPr>
        <w:t>投标人：</w:t>
      </w:r>
      <w:r>
        <w:rPr>
          <w:rFonts w:ascii="宋体" w:hAnsi="宋体" w:eastAsia="宋体" w:cs="宋体"/>
          <w:color w:val="auto"/>
          <w:spacing w:val="-5"/>
          <w:sz w:val="28"/>
          <w:szCs w:val="28"/>
          <w:highlight w:val="none"/>
          <w:u w:val="single" w:color="auto"/>
        </w:rPr>
        <w:t xml:space="preserve">                                   </w:t>
      </w:r>
      <w:r>
        <w:rPr>
          <w:rFonts w:ascii="宋体" w:hAnsi="宋体" w:eastAsia="宋体" w:cs="宋体"/>
          <w:color w:val="auto"/>
          <w:spacing w:val="-70"/>
          <w:sz w:val="28"/>
          <w:szCs w:val="28"/>
          <w:highlight w:val="none"/>
        </w:rPr>
        <w:t xml:space="preserve"> </w:t>
      </w:r>
      <w:r>
        <w:rPr>
          <w:rFonts w:ascii="宋体" w:hAnsi="宋体" w:eastAsia="宋体" w:cs="宋体"/>
          <w:color w:val="auto"/>
          <w:spacing w:val="-5"/>
          <w:sz w:val="28"/>
          <w:szCs w:val="28"/>
          <w:highlight w:val="none"/>
        </w:rPr>
        <w:t>(盖单位章)</w:t>
      </w:r>
    </w:p>
    <w:p w14:paraId="6C24E902">
      <w:pPr>
        <w:spacing w:line="452" w:lineRule="auto"/>
        <w:rPr>
          <w:rFonts w:ascii="Arial"/>
          <w:color w:val="auto"/>
          <w:sz w:val="21"/>
          <w:highlight w:val="none"/>
        </w:rPr>
      </w:pPr>
    </w:p>
    <w:p w14:paraId="10C8CCC1">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4DD9B2EA">
      <w:pPr>
        <w:spacing w:line="220" w:lineRule="auto"/>
        <w:rPr>
          <w:rFonts w:ascii="宋体" w:hAnsi="宋体" w:eastAsia="宋体" w:cs="宋体"/>
          <w:color w:val="auto"/>
          <w:sz w:val="28"/>
          <w:szCs w:val="28"/>
          <w:highlight w:val="none"/>
        </w:rPr>
        <w:sectPr>
          <w:footerReference r:id="rId58" w:type="default"/>
          <w:pgSz w:w="11906" w:h="16839"/>
          <w:pgMar w:top="1431" w:right="1785" w:bottom="1297" w:left="1785" w:header="0" w:footer="1067" w:gutter="0"/>
          <w:pgBorders>
            <w:top w:val="none" w:sz="0" w:space="0"/>
            <w:left w:val="none" w:sz="0" w:space="0"/>
            <w:bottom w:val="none" w:sz="0" w:space="0"/>
            <w:right w:val="none" w:sz="0" w:space="0"/>
          </w:pgBorders>
          <w:pgNumType w:fmt="decimal"/>
          <w:cols w:space="720" w:num="1"/>
        </w:sectPr>
      </w:pPr>
    </w:p>
    <w:p w14:paraId="36E80DDA">
      <w:pPr>
        <w:spacing w:line="252" w:lineRule="auto"/>
        <w:rPr>
          <w:rFonts w:ascii="Arial"/>
          <w:color w:val="auto"/>
          <w:sz w:val="21"/>
          <w:highlight w:val="none"/>
        </w:rPr>
      </w:pPr>
    </w:p>
    <w:p w14:paraId="59074D29">
      <w:pPr>
        <w:spacing w:line="253" w:lineRule="auto"/>
        <w:rPr>
          <w:rFonts w:ascii="Arial"/>
          <w:color w:val="auto"/>
          <w:sz w:val="21"/>
          <w:highlight w:val="none"/>
        </w:rPr>
      </w:pPr>
    </w:p>
    <w:p w14:paraId="487D7BCB">
      <w:pPr>
        <w:spacing w:line="253" w:lineRule="auto"/>
        <w:rPr>
          <w:rFonts w:ascii="Arial"/>
          <w:color w:val="auto"/>
          <w:sz w:val="21"/>
          <w:highlight w:val="none"/>
        </w:rPr>
      </w:pPr>
    </w:p>
    <w:p w14:paraId="2542500D">
      <w:pPr>
        <w:spacing w:before="100" w:line="227" w:lineRule="auto"/>
        <w:ind w:left="3759"/>
        <w:rPr>
          <w:rFonts w:ascii="宋体" w:hAnsi="宋体" w:eastAsia="宋体" w:cs="宋体"/>
          <w:color w:val="auto"/>
          <w:sz w:val="31"/>
          <w:szCs w:val="31"/>
          <w:highlight w:val="none"/>
        </w:rPr>
      </w:pPr>
      <w:r>
        <w:rPr>
          <w:rFonts w:ascii="宋体" w:hAnsi="宋体" w:eastAsia="宋体" w:cs="宋体"/>
          <w:color w:val="auto"/>
          <w:spacing w:val="-33"/>
          <w:sz w:val="31"/>
          <w:szCs w:val="31"/>
          <w:highlight w:val="none"/>
        </w:rPr>
        <w:t>目</w:t>
      </w:r>
      <w:r>
        <w:rPr>
          <w:rFonts w:ascii="宋体" w:hAnsi="宋体" w:eastAsia="宋体" w:cs="宋体"/>
          <w:color w:val="auto"/>
          <w:spacing w:val="13"/>
          <w:sz w:val="31"/>
          <w:szCs w:val="31"/>
          <w:highlight w:val="none"/>
        </w:rPr>
        <w:t xml:space="preserve">  </w:t>
      </w:r>
      <w:r>
        <w:rPr>
          <w:rFonts w:ascii="宋体" w:hAnsi="宋体" w:eastAsia="宋体" w:cs="宋体"/>
          <w:color w:val="auto"/>
          <w:spacing w:val="-33"/>
          <w:sz w:val="31"/>
          <w:szCs w:val="31"/>
          <w:highlight w:val="none"/>
        </w:rPr>
        <w:t>录</w:t>
      </w:r>
    </w:p>
    <w:p w14:paraId="598DAAF2">
      <w:pPr>
        <w:spacing w:line="271" w:lineRule="auto"/>
        <w:rPr>
          <w:rFonts w:ascii="Arial"/>
          <w:color w:val="auto"/>
          <w:sz w:val="21"/>
          <w:highlight w:val="none"/>
        </w:rPr>
      </w:pPr>
    </w:p>
    <w:p w14:paraId="1948704C">
      <w:pPr>
        <w:spacing w:before="91" w:line="221" w:lineRule="auto"/>
        <w:ind w:left="70"/>
        <w:outlineLvl w:val="1"/>
        <w:rPr>
          <w:rFonts w:ascii="宋体" w:hAnsi="宋体" w:eastAsia="宋体" w:cs="宋体"/>
          <w:color w:val="auto"/>
          <w:sz w:val="28"/>
          <w:szCs w:val="28"/>
          <w:highlight w:val="none"/>
        </w:rPr>
      </w:pPr>
      <w:bookmarkStart w:id="828" w:name="_Toc6687"/>
      <w:bookmarkStart w:id="829" w:name="_Toc15450"/>
      <w:bookmarkStart w:id="830" w:name="_Toc26072"/>
      <w:bookmarkStart w:id="831" w:name="_Toc3956"/>
      <w:bookmarkStart w:id="832" w:name="_Toc32568"/>
      <w:bookmarkStart w:id="833" w:name="_Toc32037"/>
      <w:bookmarkStart w:id="834" w:name="_Toc6027"/>
      <w:r>
        <w:rPr>
          <w:rFonts w:ascii="宋体" w:hAnsi="宋体" w:eastAsia="宋体" w:cs="宋体"/>
          <w:color w:val="auto"/>
          <w:spacing w:val="-3"/>
          <w:sz w:val="28"/>
          <w:szCs w:val="28"/>
          <w:highlight w:val="none"/>
        </w:rPr>
        <w:t>一、投标函</w:t>
      </w:r>
      <w:bookmarkEnd w:id="828"/>
      <w:bookmarkEnd w:id="829"/>
      <w:bookmarkEnd w:id="830"/>
      <w:bookmarkEnd w:id="831"/>
      <w:bookmarkEnd w:id="832"/>
      <w:bookmarkEnd w:id="833"/>
      <w:bookmarkEnd w:id="834"/>
    </w:p>
    <w:p w14:paraId="5A206FCE">
      <w:pPr>
        <w:spacing w:line="273" w:lineRule="auto"/>
        <w:rPr>
          <w:rFonts w:ascii="Arial"/>
          <w:color w:val="auto"/>
          <w:sz w:val="21"/>
          <w:highlight w:val="none"/>
        </w:rPr>
      </w:pPr>
    </w:p>
    <w:p w14:paraId="3ED35F8E">
      <w:pPr>
        <w:spacing w:before="91" w:line="220" w:lineRule="auto"/>
        <w:ind w:left="70"/>
        <w:rPr>
          <w:rFonts w:ascii="宋体" w:hAnsi="宋体" w:eastAsia="宋体" w:cs="宋体"/>
          <w:color w:val="auto"/>
          <w:sz w:val="28"/>
          <w:szCs w:val="28"/>
          <w:highlight w:val="none"/>
        </w:rPr>
      </w:pPr>
      <w:r>
        <w:rPr>
          <w:rFonts w:ascii="宋体" w:hAnsi="宋体" w:eastAsia="宋体" w:cs="宋体"/>
          <w:color w:val="auto"/>
          <w:spacing w:val="-2"/>
          <w:sz w:val="28"/>
          <w:szCs w:val="28"/>
          <w:highlight w:val="none"/>
        </w:rPr>
        <w:t>二、监理服务费用清单</w:t>
      </w:r>
    </w:p>
    <w:p w14:paraId="70A08A87">
      <w:pPr>
        <w:spacing w:line="220" w:lineRule="auto"/>
        <w:rPr>
          <w:rFonts w:ascii="宋体" w:hAnsi="宋体" w:eastAsia="宋体" w:cs="宋体"/>
          <w:color w:val="auto"/>
          <w:sz w:val="28"/>
          <w:szCs w:val="28"/>
          <w:highlight w:val="none"/>
        </w:rPr>
        <w:sectPr>
          <w:footerReference r:id="rId59" w:type="default"/>
          <w:pgSz w:w="11906" w:h="16839"/>
          <w:pgMar w:top="1431" w:right="1785" w:bottom="1297" w:left="1785" w:header="0" w:footer="1069" w:gutter="0"/>
          <w:pgBorders>
            <w:top w:val="none" w:sz="0" w:space="0"/>
            <w:left w:val="none" w:sz="0" w:space="0"/>
            <w:bottom w:val="none" w:sz="0" w:space="0"/>
            <w:right w:val="none" w:sz="0" w:space="0"/>
          </w:pgBorders>
          <w:pgNumType w:fmt="decimal"/>
          <w:cols w:space="720" w:num="1"/>
        </w:sectPr>
      </w:pPr>
    </w:p>
    <w:p w14:paraId="32C552B7">
      <w:pPr>
        <w:spacing w:before="163" w:line="220" w:lineRule="auto"/>
        <w:ind w:left="3945"/>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0FBBFB87">
      <w:pPr>
        <w:spacing w:line="320" w:lineRule="auto"/>
        <w:rPr>
          <w:rFonts w:ascii="Arial"/>
          <w:color w:val="auto"/>
          <w:sz w:val="21"/>
          <w:highlight w:val="none"/>
        </w:rPr>
      </w:pPr>
    </w:p>
    <w:p w14:paraId="0A323A37">
      <w:pPr>
        <w:tabs>
          <w:tab w:val="left" w:pos="2997"/>
        </w:tabs>
        <w:spacing w:before="78" w:line="220" w:lineRule="auto"/>
        <w:ind w:left="118"/>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3AC8D143">
      <w:pPr>
        <w:spacing w:before="232" w:line="286" w:lineRule="auto"/>
        <w:ind w:left="9" w:firstLine="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1．我方已仔细研究</w:t>
      </w:r>
      <w:r>
        <w:rPr>
          <w:rFonts w:ascii="宋体" w:hAnsi="宋体" w:eastAsia="宋体" w:cs="宋体"/>
          <w:color w:val="auto"/>
          <w:spacing w:val="-118"/>
          <w:sz w:val="24"/>
          <w:szCs w:val="24"/>
          <w:highlight w:val="none"/>
        </w:rPr>
        <w:t xml:space="preserve"> </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（项目名称）</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3"/>
          <w:sz w:val="24"/>
          <w:szCs w:val="24"/>
          <w:highlight w:val="none"/>
        </w:rPr>
        <w:t>标段</w:t>
      </w:r>
      <w:r>
        <w:rPr>
          <w:rFonts w:ascii="宋体" w:hAnsi="宋体" w:eastAsia="宋体" w:cs="宋体"/>
          <w:color w:val="auto"/>
          <w:spacing w:val="2"/>
          <w:sz w:val="24"/>
          <w:szCs w:val="24"/>
          <w:highlight w:val="none"/>
        </w:rPr>
        <w:t>施工监理招</w:t>
      </w:r>
      <w:r>
        <w:rPr>
          <w:rFonts w:ascii="宋体" w:hAnsi="宋体" w:eastAsia="宋体" w:cs="宋体"/>
          <w:color w:val="auto"/>
          <w:spacing w:val="23"/>
          <w:sz w:val="24"/>
          <w:szCs w:val="24"/>
          <w:highlight w:val="none"/>
        </w:rPr>
        <w:t>标文件的全部内容（含补遗书</w:t>
      </w:r>
      <w:r>
        <w:rPr>
          <w:rFonts w:ascii="宋体" w:hAnsi="宋体" w:eastAsia="宋体" w:cs="宋体"/>
          <w:color w:val="auto"/>
          <w:spacing w:val="4"/>
          <w:sz w:val="24"/>
          <w:szCs w:val="24"/>
          <w:highlight w:val="none"/>
        </w:rPr>
        <w:t>）</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23"/>
          <w:sz w:val="24"/>
          <w:szCs w:val="24"/>
          <w:highlight w:val="none"/>
        </w:rPr>
        <w:t>在考察工程现场后</w:t>
      </w:r>
      <w:r>
        <w:rPr>
          <w:rFonts w:ascii="宋体" w:hAnsi="宋体" w:eastAsia="宋体" w:cs="宋体"/>
          <w:color w:val="auto"/>
          <w:spacing w:val="-62"/>
          <w:sz w:val="24"/>
          <w:szCs w:val="24"/>
          <w:highlight w:val="none"/>
        </w:rPr>
        <w:t xml:space="preserve"> </w:t>
      </w:r>
      <w:r>
        <w:rPr>
          <w:rFonts w:ascii="宋体" w:hAnsi="宋体" w:eastAsia="宋体" w:cs="宋体"/>
          <w:color w:val="auto"/>
          <w:spacing w:val="23"/>
          <w:sz w:val="24"/>
          <w:szCs w:val="24"/>
          <w:highlight w:val="none"/>
        </w:rPr>
        <w:t>，愿意以人民币（大</w:t>
      </w:r>
      <w:r>
        <w:rPr>
          <w:rFonts w:ascii="宋体" w:hAnsi="宋体" w:eastAsia="宋体" w:cs="宋体"/>
          <w:color w:val="auto"/>
          <w:spacing w:val="22"/>
          <w:sz w:val="24"/>
          <w:szCs w:val="24"/>
          <w:highlight w:val="none"/>
        </w:rPr>
        <w:t>写）</w:t>
      </w:r>
      <w:r>
        <w:rPr>
          <w:rFonts w:ascii="宋体" w:hAnsi="宋体" w:eastAsia="宋体" w:cs="宋体"/>
          <w:color w:val="auto"/>
          <w:sz w:val="24"/>
          <w:szCs w:val="24"/>
          <w:highlight w:val="none"/>
        </w:rPr>
        <w:t>元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的投标总报价（或</w:t>
      </w:r>
      <w:r>
        <w:rPr>
          <w:rFonts w:ascii="宋体" w:hAnsi="宋体" w:eastAsia="宋体" w:cs="宋体"/>
          <w:color w:val="auto"/>
          <w:spacing w:val="-1"/>
          <w:sz w:val="24"/>
          <w:szCs w:val="24"/>
          <w:highlight w:val="none"/>
        </w:rPr>
        <w:t>根据招标文件规定修正核实后确定的另一金额，其中，增值税税率为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按合同约定完成施工监理工作。</w:t>
      </w:r>
    </w:p>
    <w:p w14:paraId="282DF0D5">
      <w:pPr>
        <w:spacing w:before="115" w:line="263" w:lineRule="auto"/>
        <w:ind w:lef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2．在合同协议书正式签署生效之前，本投标函连</w:t>
      </w:r>
      <w:r>
        <w:rPr>
          <w:rFonts w:ascii="宋体" w:hAnsi="宋体" w:eastAsia="宋体" w:cs="宋体"/>
          <w:color w:val="auto"/>
          <w:spacing w:val="1"/>
          <w:sz w:val="24"/>
          <w:szCs w:val="24"/>
          <w:highlight w:val="none"/>
        </w:rPr>
        <w:t>同你方的中标通知书将构成我们</w:t>
      </w:r>
      <w:r>
        <w:rPr>
          <w:rFonts w:ascii="宋体" w:hAnsi="宋体" w:eastAsia="宋体" w:cs="宋体"/>
          <w:color w:val="auto"/>
          <w:spacing w:val="-1"/>
          <w:sz w:val="24"/>
          <w:szCs w:val="24"/>
          <w:highlight w:val="none"/>
        </w:rPr>
        <w:t>双方之间共同遵守的文件，对双方具有约束力。</w:t>
      </w:r>
    </w:p>
    <w:p w14:paraId="51296547">
      <w:pPr>
        <w:spacing w:before="116"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其他补充说明）。</w:t>
      </w:r>
    </w:p>
    <w:p w14:paraId="70FCC513">
      <w:pPr>
        <w:spacing w:line="309" w:lineRule="auto"/>
        <w:rPr>
          <w:rFonts w:ascii="Arial"/>
          <w:color w:val="auto"/>
          <w:sz w:val="21"/>
          <w:highlight w:val="none"/>
        </w:rPr>
      </w:pPr>
    </w:p>
    <w:p w14:paraId="76C25A7E">
      <w:pPr>
        <w:spacing w:before="79" w:line="342" w:lineRule="auto"/>
        <w:ind w:left="3431"/>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p>
    <w:p w14:paraId="307FB82D">
      <w:pPr>
        <w:spacing w:before="81" w:line="219" w:lineRule="auto"/>
        <w:ind w:left="342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65C9D6C7">
      <w:pPr>
        <w:spacing w:before="115" w:line="229" w:lineRule="auto"/>
        <w:ind w:left="342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71605C61">
      <w:pPr>
        <w:spacing w:before="101" w:line="224" w:lineRule="auto"/>
        <w:ind w:left="3447"/>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0D0F4223">
      <w:pPr>
        <w:spacing w:before="110" w:line="221" w:lineRule="auto"/>
        <w:ind w:left="3456"/>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1A624B34">
      <w:pPr>
        <w:spacing w:before="113" w:line="219" w:lineRule="auto"/>
        <w:ind w:left="342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5E2F38B8">
      <w:pPr>
        <w:spacing w:before="114" w:line="219" w:lineRule="auto"/>
        <w:ind w:left="344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79F73CF8">
      <w:pPr>
        <w:spacing w:line="345" w:lineRule="auto"/>
        <w:rPr>
          <w:rFonts w:ascii="Arial"/>
          <w:color w:val="auto"/>
          <w:sz w:val="21"/>
          <w:highlight w:val="none"/>
        </w:rPr>
      </w:pPr>
    </w:p>
    <w:p w14:paraId="48259979">
      <w:pPr>
        <w:tabs>
          <w:tab w:val="left" w:pos="6670"/>
        </w:tabs>
        <w:spacing w:before="79" w:line="219" w:lineRule="auto"/>
        <w:ind w:left="5590"/>
        <w:outlineLvl w:val="1"/>
        <w:rPr>
          <w:rFonts w:ascii="宋体" w:hAnsi="宋体" w:eastAsia="宋体" w:cs="宋体"/>
          <w:color w:val="auto"/>
          <w:sz w:val="24"/>
          <w:szCs w:val="24"/>
          <w:highlight w:val="none"/>
        </w:rPr>
      </w:pPr>
      <w:bookmarkStart w:id="835" w:name="bookmark162"/>
      <w:bookmarkEnd w:id="835"/>
      <w:r>
        <w:rPr>
          <w:rFonts w:ascii="宋体" w:hAnsi="宋体" w:eastAsia="宋体" w:cs="宋体"/>
          <w:color w:val="auto"/>
          <w:sz w:val="24"/>
          <w:szCs w:val="24"/>
          <w:highlight w:val="none"/>
          <w:u w:val="single" w:color="auto"/>
        </w:rPr>
        <w:tab/>
      </w:r>
      <w:r>
        <w:rPr>
          <w:rFonts w:ascii="宋体" w:hAnsi="宋体" w:eastAsia="宋体" w:cs="宋体"/>
          <w:color w:val="auto"/>
          <w:spacing w:val="-108"/>
          <w:sz w:val="24"/>
          <w:szCs w:val="24"/>
          <w:highlight w:val="none"/>
        </w:rPr>
        <w:t xml:space="preserve"> </w:t>
      </w:r>
      <w:bookmarkStart w:id="836" w:name="_Toc19658"/>
      <w:bookmarkStart w:id="837" w:name="_Toc19932"/>
      <w:bookmarkStart w:id="838" w:name="_Toc29290"/>
      <w:bookmarkStart w:id="839" w:name="_Toc3174"/>
      <w:bookmarkStart w:id="840" w:name="_Toc16024"/>
      <w:bookmarkStart w:id="841" w:name="_Toc1007"/>
      <w:bookmarkStart w:id="842" w:name="_Toc11909"/>
      <w:r>
        <w:rPr>
          <w:rFonts w:ascii="宋体" w:hAnsi="宋体" w:eastAsia="宋体" w:cs="宋体"/>
          <w:color w:val="auto"/>
          <w:spacing w:val="-26"/>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26"/>
          <w:sz w:val="24"/>
          <w:szCs w:val="24"/>
          <w:highlight w:val="none"/>
        </w:rPr>
        <w:t>日</w:t>
      </w:r>
      <w:bookmarkEnd w:id="836"/>
      <w:bookmarkEnd w:id="837"/>
      <w:bookmarkEnd w:id="838"/>
      <w:bookmarkEnd w:id="839"/>
      <w:bookmarkEnd w:id="840"/>
      <w:bookmarkEnd w:id="841"/>
      <w:bookmarkEnd w:id="842"/>
    </w:p>
    <w:p w14:paraId="062E72DD">
      <w:pPr>
        <w:spacing w:line="248" w:lineRule="auto"/>
        <w:rPr>
          <w:rFonts w:ascii="Arial"/>
          <w:color w:val="auto"/>
          <w:sz w:val="21"/>
          <w:highlight w:val="none"/>
        </w:rPr>
      </w:pPr>
    </w:p>
    <w:p w14:paraId="4057F2C3">
      <w:pPr>
        <w:spacing w:line="248" w:lineRule="auto"/>
        <w:rPr>
          <w:rFonts w:ascii="Arial"/>
          <w:color w:val="auto"/>
          <w:sz w:val="21"/>
          <w:highlight w:val="none"/>
        </w:rPr>
      </w:pPr>
    </w:p>
    <w:p w14:paraId="0487C1CF">
      <w:pPr>
        <w:spacing w:line="248" w:lineRule="auto"/>
        <w:rPr>
          <w:rFonts w:ascii="Arial"/>
          <w:color w:val="auto"/>
          <w:sz w:val="21"/>
          <w:highlight w:val="none"/>
        </w:rPr>
      </w:pPr>
    </w:p>
    <w:p w14:paraId="48A9CBA4">
      <w:pPr>
        <w:spacing w:line="248" w:lineRule="auto"/>
        <w:rPr>
          <w:rFonts w:ascii="Arial"/>
          <w:color w:val="auto"/>
          <w:sz w:val="21"/>
          <w:highlight w:val="none"/>
        </w:rPr>
      </w:pPr>
    </w:p>
    <w:p w14:paraId="23364FB3">
      <w:pPr>
        <w:spacing w:line="249" w:lineRule="auto"/>
        <w:rPr>
          <w:rFonts w:ascii="Arial"/>
          <w:color w:val="auto"/>
          <w:sz w:val="21"/>
          <w:highlight w:val="none"/>
        </w:rPr>
      </w:pPr>
    </w:p>
    <w:p w14:paraId="2BD5C4AD">
      <w:pPr>
        <w:spacing w:line="249" w:lineRule="auto"/>
        <w:rPr>
          <w:rFonts w:ascii="Arial"/>
          <w:color w:val="auto"/>
          <w:sz w:val="21"/>
          <w:highlight w:val="none"/>
        </w:rPr>
      </w:pPr>
    </w:p>
    <w:p w14:paraId="3FF74F94">
      <w:pPr>
        <w:spacing w:line="249" w:lineRule="auto"/>
        <w:rPr>
          <w:rFonts w:ascii="Arial"/>
          <w:color w:val="auto"/>
          <w:sz w:val="21"/>
          <w:highlight w:val="none"/>
        </w:rPr>
      </w:pPr>
    </w:p>
    <w:p w14:paraId="435EED4A">
      <w:pPr>
        <w:spacing w:line="249" w:lineRule="auto"/>
        <w:rPr>
          <w:rFonts w:ascii="Arial"/>
          <w:color w:val="auto"/>
          <w:sz w:val="21"/>
          <w:highlight w:val="none"/>
        </w:rPr>
      </w:pPr>
    </w:p>
    <w:p w14:paraId="7AD13B5C">
      <w:pPr>
        <w:spacing w:line="249" w:lineRule="auto"/>
        <w:rPr>
          <w:rFonts w:ascii="Arial"/>
          <w:color w:val="auto"/>
          <w:sz w:val="21"/>
          <w:highlight w:val="none"/>
        </w:rPr>
      </w:pPr>
    </w:p>
    <w:p w14:paraId="1ACEC46D">
      <w:pPr>
        <w:spacing w:line="249" w:lineRule="auto"/>
        <w:rPr>
          <w:rFonts w:ascii="Arial"/>
          <w:color w:val="auto"/>
          <w:sz w:val="21"/>
          <w:highlight w:val="none"/>
        </w:rPr>
      </w:pPr>
    </w:p>
    <w:p w14:paraId="56FE2F8E">
      <w:pPr>
        <w:spacing w:line="249" w:lineRule="auto"/>
        <w:rPr>
          <w:rFonts w:ascii="Arial"/>
          <w:color w:val="auto"/>
          <w:sz w:val="21"/>
          <w:highlight w:val="none"/>
        </w:rPr>
      </w:pPr>
    </w:p>
    <w:p w14:paraId="731159E2">
      <w:pPr>
        <w:spacing w:line="249" w:lineRule="auto"/>
        <w:rPr>
          <w:rFonts w:ascii="Arial"/>
          <w:color w:val="auto"/>
          <w:sz w:val="21"/>
          <w:highlight w:val="none"/>
        </w:rPr>
      </w:pPr>
    </w:p>
    <w:p w14:paraId="5F38CC4C">
      <w:pPr>
        <w:spacing w:line="249" w:lineRule="auto"/>
        <w:rPr>
          <w:rFonts w:ascii="Arial"/>
          <w:color w:val="auto"/>
          <w:sz w:val="21"/>
          <w:highlight w:val="none"/>
        </w:rPr>
      </w:pPr>
    </w:p>
    <w:p w14:paraId="3E9425E3">
      <w:pPr>
        <w:spacing w:line="249" w:lineRule="auto"/>
        <w:rPr>
          <w:rFonts w:ascii="Arial"/>
          <w:color w:val="auto"/>
          <w:sz w:val="21"/>
          <w:highlight w:val="none"/>
        </w:rPr>
      </w:pPr>
    </w:p>
    <w:p w14:paraId="6BD6F792">
      <w:pPr>
        <w:spacing w:line="249" w:lineRule="auto"/>
        <w:rPr>
          <w:rFonts w:ascii="Arial"/>
          <w:color w:val="auto"/>
          <w:sz w:val="21"/>
          <w:highlight w:val="none"/>
        </w:rPr>
      </w:pPr>
    </w:p>
    <w:p w14:paraId="16E99FB9">
      <w:pPr>
        <w:spacing w:line="249" w:lineRule="auto"/>
        <w:rPr>
          <w:rFonts w:ascii="Arial"/>
          <w:color w:val="auto"/>
          <w:sz w:val="21"/>
          <w:highlight w:val="none"/>
        </w:rPr>
      </w:pPr>
    </w:p>
    <w:p w14:paraId="053D889B">
      <w:pPr>
        <w:spacing w:line="249" w:lineRule="auto"/>
        <w:rPr>
          <w:rFonts w:ascii="Arial"/>
          <w:color w:val="auto"/>
          <w:sz w:val="21"/>
          <w:highlight w:val="none"/>
        </w:rPr>
      </w:pPr>
    </w:p>
    <w:p w14:paraId="3184CE99">
      <w:pPr>
        <w:spacing w:line="249" w:lineRule="auto"/>
        <w:rPr>
          <w:rFonts w:ascii="Arial"/>
          <w:color w:val="auto"/>
          <w:sz w:val="21"/>
          <w:highlight w:val="none"/>
        </w:rPr>
      </w:pPr>
    </w:p>
    <w:p w14:paraId="2EF7ED54">
      <w:pPr>
        <w:spacing w:line="249" w:lineRule="auto"/>
        <w:rPr>
          <w:rFonts w:ascii="Arial"/>
          <w:color w:val="auto"/>
          <w:sz w:val="21"/>
          <w:highlight w:val="none"/>
        </w:rPr>
      </w:pPr>
    </w:p>
    <w:p w14:paraId="1918285A">
      <w:pPr>
        <w:spacing w:line="249" w:lineRule="auto"/>
        <w:rPr>
          <w:rFonts w:ascii="Arial"/>
          <w:color w:val="auto"/>
          <w:sz w:val="21"/>
          <w:highlight w:val="none"/>
        </w:rPr>
      </w:pPr>
    </w:p>
    <w:p w14:paraId="053BB758">
      <w:pPr>
        <w:spacing w:line="249" w:lineRule="auto"/>
        <w:rPr>
          <w:rFonts w:ascii="Arial"/>
          <w:color w:val="auto"/>
          <w:sz w:val="21"/>
          <w:highlight w:val="none"/>
        </w:rPr>
      </w:pPr>
    </w:p>
    <w:p w14:paraId="2FC30FE0">
      <w:pPr>
        <w:spacing w:line="217" w:lineRule="auto"/>
        <w:rPr>
          <w:rFonts w:ascii="宋体" w:hAnsi="宋体" w:eastAsia="宋体" w:cs="宋体"/>
          <w:color w:val="auto"/>
          <w:sz w:val="18"/>
          <w:szCs w:val="18"/>
          <w:highlight w:val="none"/>
        </w:rPr>
        <w:sectPr>
          <w:footerReference r:id="rId60" w:type="default"/>
          <w:pgSz w:w="11906" w:h="16839"/>
          <w:pgMar w:top="1431" w:right="1417" w:bottom="1297" w:left="1417" w:header="0" w:footer="1067" w:gutter="0"/>
          <w:pgBorders>
            <w:top w:val="none" w:sz="0" w:space="0"/>
            <w:left w:val="none" w:sz="0" w:space="0"/>
            <w:bottom w:val="none" w:sz="0" w:space="0"/>
            <w:right w:val="none" w:sz="0" w:space="0"/>
          </w:pgBorders>
          <w:pgNumType w:fmt="decimal"/>
          <w:cols w:space="720" w:num="1"/>
        </w:sectPr>
      </w:pPr>
    </w:p>
    <w:p w14:paraId="7E94FE06">
      <w:pPr>
        <w:spacing w:before="164" w:line="219" w:lineRule="auto"/>
        <w:ind w:left="333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二、监理服务费用清单</w:t>
      </w:r>
    </w:p>
    <w:p w14:paraId="241C93C1">
      <w:pPr>
        <w:spacing w:before="326" w:line="223" w:lineRule="auto"/>
        <w:ind w:left="3109"/>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（一）报价清单说明</w:t>
      </w:r>
    </w:p>
    <w:p w14:paraId="7BBD6F17">
      <w:pPr>
        <w:spacing w:before="302" w:line="274" w:lineRule="auto"/>
        <w:ind w:left="3" w:firstLine="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本报价表中各表项目和数量由投标人根据工程需要填写，除此之外，还应在每</w:t>
      </w:r>
      <w:r>
        <w:rPr>
          <w:rFonts w:ascii="宋体" w:hAnsi="宋体" w:eastAsia="宋体" w:cs="宋体"/>
          <w:color w:val="auto"/>
          <w:spacing w:val="5"/>
          <w:sz w:val="24"/>
          <w:szCs w:val="24"/>
          <w:highlight w:val="none"/>
        </w:rPr>
        <w:t>张报价表后附报价计算说明。如折旧费计算说明中应指出每种监理设施</w:t>
      </w:r>
      <w:r>
        <w:rPr>
          <w:rFonts w:ascii="宋体" w:hAnsi="宋体" w:eastAsia="宋体" w:cs="宋体"/>
          <w:color w:val="auto"/>
          <w:spacing w:val="4"/>
          <w:sz w:val="24"/>
          <w:szCs w:val="24"/>
          <w:highlight w:val="none"/>
        </w:rPr>
        <w:t>折旧寿命、折</w:t>
      </w:r>
      <w:r>
        <w:rPr>
          <w:rFonts w:ascii="宋体" w:hAnsi="宋体" w:eastAsia="宋体" w:cs="宋体"/>
          <w:color w:val="auto"/>
          <w:spacing w:val="5"/>
          <w:sz w:val="24"/>
          <w:szCs w:val="24"/>
          <w:highlight w:val="none"/>
        </w:rPr>
        <w:t>旧期、年折旧费等，使用、维修、管理费等计算说明中应指出每年各项</w:t>
      </w:r>
      <w:r>
        <w:rPr>
          <w:rFonts w:ascii="宋体" w:hAnsi="宋体" w:eastAsia="宋体" w:cs="宋体"/>
          <w:color w:val="auto"/>
          <w:spacing w:val="4"/>
          <w:sz w:val="24"/>
          <w:szCs w:val="24"/>
          <w:highlight w:val="none"/>
        </w:rPr>
        <w:t>费用情况、计</w:t>
      </w:r>
      <w:r>
        <w:rPr>
          <w:rFonts w:ascii="宋体" w:hAnsi="宋体" w:eastAsia="宋体" w:cs="宋体"/>
          <w:color w:val="auto"/>
          <w:spacing w:val="-3"/>
          <w:sz w:val="24"/>
          <w:szCs w:val="24"/>
          <w:highlight w:val="none"/>
        </w:rPr>
        <w:t>算公式等。</w:t>
      </w:r>
    </w:p>
    <w:p w14:paraId="5764A210">
      <w:pPr>
        <w:spacing w:before="95" w:line="256" w:lineRule="auto"/>
        <w:ind w:left="2" w:firstLine="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监理人员配备数量应根据招标文件的要求、投标人编</w:t>
      </w:r>
      <w:r>
        <w:rPr>
          <w:rFonts w:ascii="宋体" w:hAnsi="宋体" w:eastAsia="宋体" w:cs="宋体"/>
          <w:color w:val="auto"/>
          <w:spacing w:val="1"/>
          <w:sz w:val="24"/>
          <w:szCs w:val="24"/>
          <w:highlight w:val="none"/>
        </w:rPr>
        <w:t>写的技术建议书并参考投</w:t>
      </w:r>
      <w:r>
        <w:rPr>
          <w:rFonts w:ascii="宋体" w:hAnsi="宋体" w:eastAsia="宋体" w:cs="宋体"/>
          <w:color w:val="auto"/>
          <w:spacing w:val="-1"/>
          <w:sz w:val="24"/>
          <w:szCs w:val="24"/>
          <w:highlight w:val="none"/>
        </w:rPr>
        <w:t>标人以往监理工作经验填报。</w:t>
      </w:r>
    </w:p>
    <w:p w14:paraId="4158EDEC">
      <w:pPr>
        <w:spacing w:before="95" w:line="274" w:lineRule="auto"/>
        <w:ind w:left="2" w:righ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投标人必须配备施工监理所需的监理办公</w:t>
      </w:r>
      <w:r>
        <w:rPr>
          <w:rFonts w:ascii="宋体" w:hAnsi="宋体" w:eastAsia="宋体" w:cs="宋体"/>
          <w:color w:val="auto"/>
          <w:spacing w:val="1"/>
          <w:sz w:val="24"/>
          <w:szCs w:val="24"/>
          <w:highlight w:val="none"/>
        </w:rPr>
        <w:t>设施(含通讯设施)、试验检测设施、</w:t>
      </w:r>
      <w:r>
        <w:rPr>
          <w:rFonts w:ascii="宋体" w:hAnsi="宋体" w:eastAsia="宋体" w:cs="宋体"/>
          <w:color w:val="auto"/>
          <w:spacing w:val="5"/>
          <w:sz w:val="24"/>
          <w:szCs w:val="24"/>
          <w:highlight w:val="none"/>
        </w:rPr>
        <w:t>交通设施、生活设施等。监理办公设施(含通讯设施)、试验检</w:t>
      </w:r>
      <w:r>
        <w:rPr>
          <w:rFonts w:ascii="宋体" w:hAnsi="宋体" w:eastAsia="宋体" w:cs="宋体"/>
          <w:color w:val="auto"/>
          <w:spacing w:val="4"/>
          <w:sz w:val="24"/>
          <w:szCs w:val="24"/>
          <w:highlight w:val="none"/>
        </w:rPr>
        <w:t>测设施、交通设施、生</w:t>
      </w:r>
      <w:r>
        <w:rPr>
          <w:rFonts w:ascii="宋体" w:hAnsi="宋体" w:eastAsia="宋体" w:cs="宋体"/>
          <w:color w:val="auto"/>
          <w:spacing w:val="5"/>
          <w:sz w:val="24"/>
          <w:szCs w:val="24"/>
          <w:highlight w:val="none"/>
        </w:rPr>
        <w:t>活设施等应根据招标文件的要求、投标人编写的技术建议书并参考投标人</w:t>
      </w:r>
      <w:r>
        <w:rPr>
          <w:rFonts w:ascii="宋体" w:hAnsi="宋体" w:eastAsia="宋体" w:cs="宋体"/>
          <w:color w:val="auto"/>
          <w:spacing w:val="4"/>
          <w:sz w:val="24"/>
          <w:szCs w:val="24"/>
          <w:highlight w:val="none"/>
        </w:rPr>
        <w:t>以往监理工</w:t>
      </w:r>
      <w:r>
        <w:rPr>
          <w:rFonts w:ascii="宋体" w:hAnsi="宋体" w:eastAsia="宋体" w:cs="宋体"/>
          <w:color w:val="auto"/>
          <w:spacing w:val="-2"/>
          <w:sz w:val="24"/>
          <w:szCs w:val="24"/>
          <w:highlight w:val="none"/>
        </w:rPr>
        <w:t>作经验配置。</w:t>
      </w:r>
    </w:p>
    <w:p w14:paraId="28B88294">
      <w:pPr>
        <w:spacing w:before="92" w:line="256" w:lineRule="auto"/>
        <w:ind w:left="2" w:firstLine="47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监理工程师的驻地设施及配备的设备，如交通、通讯工具及燃</w:t>
      </w:r>
      <w:r>
        <w:rPr>
          <w:rFonts w:ascii="宋体" w:hAnsi="宋体" w:eastAsia="宋体" w:cs="宋体"/>
          <w:color w:val="auto"/>
          <w:spacing w:val="1"/>
          <w:sz w:val="24"/>
          <w:szCs w:val="24"/>
          <w:highlight w:val="none"/>
        </w:rPr>
        <w:t>料消耗、维护等</w:t>
      </w:r>
      <w:r>
        <w:rPr>
          <w:rFonts w:ascii="宋体" w:hAnsi="宋体" w:eastAsia="宋体" w:cs="宋体"/>
          <w:color w:val="auto"/>
          <w:spacing w:val="-1"/>
          <w:sz w:val="24"/>
          <w:szCs w:val="24"/>
          <w:highlight w:val="none"/>
        </w:rPr>
        <w:t>均由投标人按规定列入投标报价中。</w:t>
      </w:r>
    </w:p>
    <w:p w14:paraId="7016E11F">
      <w:pPr>
        <w:spacing w:before="95"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5.投标人在填报监理服务费用时应综合考虑下列因素：</w:t>
      </w:r>
    </w:p>
    <w:p w14:paraId="739165B3">
      <w:pPr>
        <w:spacing w:before="97" w:line="256" w:lineRule="auto"/>
        <w:ind w:left="2" w:right="2" w:firstLine="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（1）监理人所提供的各级监理人员、试验检测仪器、车辆均应满足委托人在专用</w:t>
      </w:r>
      <w:r>
        <w:rPr>
          <w:rFonts w:ascii="宋体" w:hAnsi="宋体" w:eastAsia="宋体" w:cs="宋体"/>
          <w:color w:val="auto"/>
          <w:spacing w:val="-1"/>
          <w:sz w:val="24"/>
          <w:szCs w:val="24"/>
          <w:highlight w:val="none"/>
        </w:rPr>
        <w:t>合同条款中提出的最低限度要求。</w:t>
      </w:r>
    </w:p>
    <w:p w14:paraId="70FA0601">
      <w:pPr>
        <w:spacing w:before="94" w:line="255" w:lineRule="auto"/>
        <w:ind w:left="1" w:right="2" w:firstLine="489"/>
        <w:rPr>
          <w:rFonts w:ascii="宋体" w:hAnsi="宋体" w:eastAsia="宋体" w:cs="宋体"/>
          <w:color w:val="auto"/>
          <w:sz w:val="24"/>
          <w:szCs w:val="24"/>
          <w:highlight w:val="none"/>
        </w:rPr>
      </w:pPr>
      <w:r>
        <w:rPr>
          <w:rFonts w:ascii="宋体" w:hAnsi="宋体" w:eastAsia="宋体" w:cs="宋体"/>
          <w:color w:val="auto"/>
          <w:sz w:val="24"/>
          <w:szCs w:val="24"/>
          <w:highlight w:val="none"/>
        </w:rPr>
        <w:t>（2）除合同条款第</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8</w:t>
      </w:r>
      <w:r>
        <w:rPr>
          <w:rFonts w:ascii="宋体" w:hAnsi="宋体" w:eastAsia="宋体" w:cs="宋体"/>
          <w:color w:val="auto"/>
          <w:spacing w:val="-46"/>
          <w:sz w:val="24"/>
          <w:szCs w:val="24"/>
          <w:highlight w:val="none"/>
        </w:rPr>
        <w:t xml:space="preserve"> </w:t>
      </w:r>
      <w:r>
        <w:rPr>
          <w:rFonts w:ascii="宋体" w:hAnsi="宋体" w:eastAsia="宋体" w:cs="宋体"/>
          <w:color w:val="auto"/>
          <w:sz w:val="24"/>
          <w:szCs w:val="24"/>
          <w:highlight w:val="none"/>
        </w:rPr>
        <w:t>条约定的变更情形和项目专用合同条款第</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9.1.1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项约</w:t>
      </w:r>
      <w:r>
        <w:rPr>
          <w:rFonts w:ascii="宋体" w:hAnsi="宋体" w:eastAsia="宋体" w:cs="宋体"/>
          <w:color w:val="auto"/>
          <w:spacing w:val="-1"/>
          <w:sz w:val="24"/>
          <w:szCs w:val="24"/>
          <w:highlight w:val="none"/>
        </w:rPr>
        <w:t>定的其</w:t>
      </w:r>
      <w:r>
        <w:rPr>
          <w:rFonts w:ascii="宋体" w:hAnsi="宋体" w:eastAsia="宋体" w:cs="宋体"/>
          <w:color w:val="auto"/>
          <w:sz w:val="24"/>
          <w:szCs w:val="24"/>
          <w:highlight w:val="none"/>
        </w:rPr>
        <w:t>他情形外，本监理合同的监理服务费用在合同</w:t>
      </w:r>
      <w:r>
        <w:rPr>
          <w:rFonts w:ascii="宋体" w:hAnsi="宋体" w:eastAsia="宋体" w:cs="宋体"/>
          <w:color w:val="auto"/>
          <w:spacing w:val="-1"/>
          <w:sz w:val="24"/>
          <w:szCs w:val="24"/>
          <w:highlight w:val="none"/>
        </w:rPr>
        <w:t>实施期间一律不予调整。</w:t>
      </w:r>
    </w:p>
    <w:p w14:paraId="260A530E">
      <w:pPr>
        <w:spacing w:before="97" w:line="255" w:lineRule="auto"/>
        <w:ind w:right="2"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6.投标人因完成本项目施工监理服务需缴纳的一切税费均由投标人承担，并包含</w:t>
      </w:r>
      <w:r>
        <w:rPr>
          <w:rFonts w:ascii="宋体" w:hAnsi="宋体" w:eastAsia="宋体" w:cs="宋体"/>
          <w:color w:val="auto"/>
          <w:spacing w:val="-1"/>
          <w:sz w:val="24"/>
          <w:szCs w:val="24"/>
          <w:highlight w:val="none"/>
        </w:rPr>
        <w:t>在所报的单价或总额价内，委托人不单独支付。</w:t>
      </w:r>
    </w:p>
    <w:p w14:paraId="483637A4">
      <w:pPr>
        <w:spacing w:before="95" w:line="268" w:lineRule="auto"/>
        <w:ind w:left="1" w:right="2"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7.投标人应认真填写报价清单中所列的监理服务费用各细目的单价和总额价</w:t>
      </w:r>
      <w:r>
        <w:rPr>
          <w:rFonts w:ascii="宋体" w:hAnsi="宋体" w:eastAsia="宋体" w:cs="宋体"/>
          <w:color w:val="auto"/>
          <w:spacing w:val="4"/>
          <w:sz w:val="24"/>
          <w:szCs w:val="24"/>
          <w:highlight w:val="none"/>
        </w:rPr>
        <w:t>。投</w:t>
      </w:r>
      <w:r>
        <w:rPr>
          <w:rFonts w:ascii="宋体" w:hAnsi="宋体" w:eastAsia="宋体" w:cs="宋体"/>
          <w:color w:val="auto"/>
          <w:spacing w:val="5"/>
          <w:sz w:val="24"/>
          <w:szCs w:val="24"/>
          <w:highlight w:val="none"/>
        </w:rPr>
        <w:t>标人没有填入单价或总额价的工程细目委托人将不予支付，并认为该细目的</w:t>
      </w:r>
      <w:r>
        <w:rPr>
          <w:rFonts w:ascii="宋体" w:hAnsi="宋体" w:eastAsia="宋体" w:cs="宋体"/>
          <w:color w:val="auto"/>
          <w:spacing w:val="4"/>
          <w:sz w:val="24"/>
          <w:szCs w:val="24"/>
          <w:highlight w:val="none"/>
        </w:rPr>
        <w:t>价款已包</w:t>
      </w:r>
      <w:r>
        <w:rPr>
          <w:rFonts w:ascii="宋体" w:hAnsi="宋体" w:eastAsia="宋体" w:cs="宋体"/>
          <w:color w:val="auto"/>
          <w:spacing w:val="-1"/>
          <w:sz w:val="24"/>
          <w:szCs w:val="24"/>
          <w:highlight w:val="none"/>
        </w:rPr>
        <w:t>括在报价清单其他细目的单价或总额价中。</w:t>
      </w:r>
    </w:p>
    <w:p w14:paraId="41B75A37">
      <w:pPr>
        <w:spacing w:before="95" w:line="256" w:lineRule="auto"/>
        <w:ind w:left="5" w:right="2" w:firstLine="47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8.在表</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2</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监理人员服务费报价表和表</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监理工程师交通设施费报价表后应附相应</w:t>
      </w:r>
      <w:r>
        <w:rPr>
          <w:rFonts w:ascii="宋体" w:hAnsi="宋体" w:eastAsia="宋体" w:cs="宋体"/>
          <w:color w:val="auto"/>
          <w:spacing w:val="-2"/>
          <w:sz w:val="24"/>
          <w:szCs w:val="24"/>
          <w:highlight w:val="none"/>
        </w:rPr>
        <w:t>项目的单价分析表。</w:t>
      </w:r>
    </w:p>
    <w:p w14:paraId="64A923BA">
      <w:pPr>
        <w:spacing w:before="95" w:line="268" w:lineRule="auto"/>
        <w:ind w:left="2" w:right="2" w:firstLine="4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9.投标人在表</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w:t>
      </w:r>
      <w:r>
        <w:rPr>
          <w:rFonts w:ascii="宋体" w:hAnsi="宋体" w:eastAsia="宋体" w:cs="宋体"/>
          <w:color w:val="auto"/>
          <w:spacing w:val="-24"/>
          <w:sz w:val="24"/>
          <w:szCs w:val="24"/>
          <w:highlight w:val="none"/>
        </w:rPr>
        <w:t xml:space="preserve"> </w:t>
      </w:r>
      <w:r>
        <w:rPr>
          <w:rFonts w:ascii="宋体" w:hAnsi="宋体" w:eastAsia="宋体" w:cs="宋体"/>
          <w:color w:val="auto"/>
          <w:spacing w:val="4"/>
          <w:sz w:val="24"/>
          <w:szCs w:val="24"/>
          <w:highlight w:val="none"/>
        </w:rPr>
        <w:t>中填报的各类监理人员的人月</w:t>
      </w:r>
      <w:r>
        <w:rPr>
          <w:rFonts w:ascii="宋体" w:hAnsi="宋体" w:eastAsia="宋体" w:cs="宋体"/>
          <w:color w:val="auto"/>
          <w:spacing w:val="3"/>
          <w:sz w:val="24"/>
          <w:szCs w:val="24"/>
          <w:highlight w:val="none"/>
        </w:rPr>
        <w:t>单价应包括监理人员的工资、加班</w:t>
      </w:r>
      <w:r>
        <w:rPr>
          <w:rFonts w:ascii="宋体" w:hAnsi="宋体" w:eastAsia="宋体" w:cs="宋体"/>
          <w:color w:val="auto"/>
          <w:spacing w:val="5"/>
          <w:sz w:val="24"/>
          <w:szCs w:val="24"/>
          <w:highlight w:val="none"/>
        </w:rPr>
        <w:t>费、生活伙食费、奖金及各种补贴等一切费用在内。若监理人员因履行正</w:t>
      </w:r>
      <w:r>
        <w:rPr>
          <w:rFonts w:ascii="宋体" w:hAnsi="宋体" w:eastAsia="宋体" w:cs="宋体"/>
          <w:color w:val="auto"/>
          <w:spacing w:val="4"/>
          <w:sz w:val="24"/>
          <w:szCs w:val="24"/>
          <w:highlight w:val="none"/>
        </w:rPr>
        <w:t>常监理服务</w:t>
      </w:r>
      <w:r>
        <w:rPr>
          <w:rFonts w:ascii="宋体" w:hAnsi="宋体" w:eastAsia="宋体" w:cs="宋体"/>
          <w:color w:val="auto"/>
          <w:sz w:val="24"/>
          <w:szCs w:val="24"/>
          <w:highlight w:val="none"/>
        </w:rPr>
        <w:t>而加班，委托人将不考虑另行支付监理人员的加班费用。</w:t>
      </w:r>
      <w:r>
        <w:rPr>
          <w:rFonts w:ascii="宋体" w:hAnsi="宋体" w:eastAsia="宋体" w:cs="宋体"/>
          <w:color w:val="auto"/>
          <w:spacing w:val="-1"/>
          <w:sz w:val="24"/>
          <w:szCs w:val="24"/>
          <w:highlight w:val="none"/>
        </w:rPr>
        <w:t>投标报价中应考虑加班费。</w:t>
      </w:r>
    </w:p>
    <w:p w14:paraId="3695F219">
      <w:pPr>
        <w:spacing w:before="96" w:line="268"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10.对于同一设施或物品，投标人不能重复填报监理服务费用，一经发现，委托人</w:t>
      </w:r>
      <w:r>
        <w:rPr>
          <w:rFonts w:ascii="宋体" w:hAnsi="宋体" w:eastAsia="宋体" w:cs="宋体"/>
          <w:color w:val="auto"/>
          <w:spacing w:val="5"/>
          <w:sz w:val="24"/>
          <w:szCs w:val="24"/>
          <w:highlight w:val="none"/>
        </w:rPr>
        <w:t>将有权从投标价中扣除多报的费用，投标人对此应予确认，否则，委托人有权取</w:t>
      </w:r>
      <w:r>
        <w:rPr>
          <w:rFonts w:ascii="宋体" w:hAnsi="宋体" w:eastAsia="宋体" w:cs="宋体"/>
          <w:color w:val="auto"/>
          <w:spacing w:val="4"/>
          <w:sz w:val="24"/>
          <w:szCs w:val="24"/>
          <w:highlight w:val="none"/>
        </w:rPr>
        <w:t>消其</w:t>
      </w:r>
      <w:r>
        <w:rPr>
          <w:rFonts w:ascii="宋体" w:hAnsi="宋体" w:eastAsia="宋体" w:cs="宋体"/>
          <w:color w:val="auto"/>
          <w:spacing w:val="-2"/>
          <w:sz w:val="24"/>
          <w:szCs w:val="24"/>
          <w:highlight w:val="none"/>
        </w:rPr>
        <w:t>中标资格。</w:t>
      </w:r>
    </w:p>
    <w:p w14:paraId="35404F8A">
      <w:pPr>
        <w:spacing w:line="268" w:lineRule="auto"/>
        <w:rPr>
          <w:rFonts w:ascii="宋体" w:hAnsi="宋体" w:eastAsia="宋体" w:cs="宋体"/>
          <w:color w:val="auto"/>
          <w:sz w:val="24"/>
          <w:szCs w:val="24"/>
          <w:highlight w:val="none"/>
        </w:rPr>
        <w:sectPr>
          <w:footerReference r:id="rId61" w:type="default"/>
          <w:pgSz w:w="11906" w:h="16839"/>
          <w:pgMar w:top="1431" w:right="1415" w:bottom="1297" w:left="1423" w:header="0" w:footer="1067" w:gutter="0"/>
          <w:pgBorders>
            <w:top w:val="none" w:sz="0" w:space="0"/>
            <w:left w:val="none" w:sz="0" w:space="0"/>
            <w:bottom w:val="none" w:sz="0" w:space="0"/>
            <w:right w:val="none" w:sz="0" w:space="0"/>
          </w:pgBorders>
          <w:pgNumType w:fmt="decimal"/>
          <w:cols w:space="720" w:num="1"/>
        </w:sectPr>
      </w:pPr>
    </w:p>
    <w:p w14:paraId="62127A22">
      <w:pPr>
        <w:spacing w:before="64" w:line="223" w:lineRule="auto"/>
        <w:ind w:left="242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（二）监理服务费报价表</w:t>
      </w:r>
    </w:p>
    <w:p w14:paraId="7534E9BF">
      <w:pPr>
        <w:spacing w:before="32"/>
        <w:rPr>
          <w:color w:val="auto"/>
          <w:highlight w:val="none"/>
        </w:rPr>
      </w:pPr>
    </w:p>
    <w:p w14:paraId="0A8F2C51">
      <w:pPr>
        <w:spacing w:before="32"/>
        <w:rPr>
          <w:color w:val="auto"/>
          <w:highlight w:val="none"/>
        </w:rPr>
      </w:pPr>
    </w:p>
    <w:p w14:paraId="6858210C">
      <w:pPr>
        <w:spacing w:before="32"/>
        <w:rPr>
          <w:color w:val="auto"/>
          <w:highlight w:val="none"/>
        </w:rPr>
      </w:pPr>
    </w:p>
    <w:tbl>
      <w:tblPr>
        <w:tblStyle w:val="22"/>
        <w:tblW w:w="3771" w:type="dxa"/>
        <w:tblInd w:w="47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90"/>
        <w:gridCol w:w="3281"/>
      </w:tblGrid>
      <w:tr w14:paraId="7BED8E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2" w:hRule="atLeast"/>
        </w:trPr>
        <w:tc>
          <w:tcPr>
            <w:tcW w:w="490" w:type="dxa"/>
            <w:vAlign w:val="top"/>
          </w:tcPr>
          <w:p w14:paraId="3DABAFE6">
            <w:pPr>
              <w:pStyle w:val="23"/>
              <w:spacing w:before="1" w:line="220" w:lineRule="auto"/>
              <w:rPr>
                <w:color w:val="auto"/>
                <w:sz w:val="24"/>
                <w:szCs w:val="24"/>
                <w:highlight w:val="none"/>
              </w:rPr>
            </w:pPr>
            <w:r>
              <w:rPr>
                <w:color w:val="auto"/>
                <w:spacing w:val="-5"/>
                <w:sz w:val="24"/>
                <w:szCs w:val="24"/>
                <w:highlight w:val="none"/>
              </w:rPr>
              <w:t>表</w:t>
            </w:r>
            <w:r>
              <w:rPr>
                <w:color w:val="auto"/>
                <w:spacing w:val="-33"/>
                <w:sz w:val="24"/>
                <w:szCs w:val="24"/>
                <w:highlight w:val="none"/>
              </w:rPr>
              <w:t xml:space="preserve"> </w:t>
            </w:r>
            <w:r>
              <w:rPr>
                <w:color w:val="auto"/>
                <w:spacing w:val="-5"/>
                <w:sz w:val="24"/>
                <w:szCs w:val="24"/>
                <w:highlight w:val="none"/>
              </w:rPr>
              <w:t>1</w:t>
            </w:r>
          </w:p>
        </w:tc>
        <w:tc>
          <w:tcPr>
            <w:tcW w:w="3281" w:type="dxa"/>
            <w:vAlign w:val="top"/>
          </w:tcPr>
          <w:p w14:paraId="4F392426">
            <w:pPr>
              <w:pStyle w:val="23"/>
              <w:spacing w:before="1" w:line="217" w:lineRule="auto"/>
              <w:ind w:left="171"/>
              <w:rPr>
                <w:color w:val="auto"/>
                <w:sz w:val="24"/>
                <w:szCs w:val="24"/>
                <w:highlight w:val="none"/>
              </w:rPr>
            </w:pPr>
            <w:r>
              <w:rPr>
                <w:color w:val="auto"/>
                <w:spacing w:val="-1"/>
                <w:sz w:val="24"/>
                <w:szCs w:val="24"/>
                <w:highlight w:val="none"/>
              </w:rPr>
              <w:t>监理服务费用报价汇总表</w:t>
            </w:r>
          </w:p>
        </w:tc>
      </w:tr>
      <w:tr w14:paraId="6AC7B9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3902219">
            <w:pPr>
              <w:pStyle w:val="23"/>
              <w:spacing w:before="173" w:line="221" w:lineRule="auto"/>
              <w:rPr>
                <w:color w:val="auto"/>
                <w:sz w:val="24"/>
                <w:szCs w:val="24"/>
                <w:highlight w:val="none"/>
              </w:rPr>
            </w:pPr>
            <w:r>
              <w:rPr>
                <w:color w:val="auto"/>
                <w:spacing w:val="-5"/>
                <w:sz w:val="24"/>
                <w:szCs w:val="24"/>
                <w:highlight w:val="none"/>
              </w:rPr>
              <w:t>表</w:t>
            </w:r>
            <w:r>
              <w:rPr>
                <w:color w:val="auto"/>
                <w:spacing w:val="-48"/>
                <w:sz w:val="24"/>
                <w:szCs w:val="24"/>
                <w:highlight w:val="none"/>
              </w:rPr>
              <w:t xml:space="preserve"> </w:t>
            </w:r>
            <w:r>
              <w:rPr>
                <w:color w:val="auto"/>
                <w:spacing w:val="-5"/>
                <w:sz w:val="24"/>
                <w:szCs w:val="24"/>
                <w:highlight w:val="none"/>
              </w:rPr>
              <w:t>2</w:t>
            </w:r>
          </w:p>
        </w:tc>
        <w:tc>
          <w:tcPr>
            <w:tcW w:w="3281" w:type="dxa"/>
            <w:vAlign w:val="top"/>
          </w:tcPr>
          <w:p w14:paraId="4AFD5088">
            <w:pPr>
              <w:pStyle w:val="23"/>
              <w:spacing w:before="173" w:line="218" w:lineRule="auto"/>
              <w:ind w:left="171"/>
              <w:rPr>
                <w:color w:val="auto"/>
                <w:sz w:val="24"/>
                <w:szCs w:val="24"/>
                <w:highlight w:val="none"/>
              </w:rPr>
            </w:pPr>
            <w:r>
              <w:rPr>
                <w:color w:val="auto"/>
                <w:spacing w:val="-2"/>
                <w:sz w:val="24"/>
                <w:szCs w:val="24"/>
                <w:highlight w:val="none"/>
              </w:rPr>
              <w:t>监理人员服务费报价表</w:t>
            </w:r>
          </w:p>
        </w:tc>
      </w:tr>
      <w:tr w14:paraId="13AFC6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3033ADB">
            <w:pPr>
              <w:pStyle w:val="23"/>
              <w:spacing w:before="174"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3</w:t>
            </w:r>
          </w:p>
        </w:tc>
        <w:tc>
          <w:tcPr>
            <w:tcW w:w="3281" w:type="dxa"/>
            <w:vAlign w:val="top"/>
          </w:tcPr>
          <w:p w14:paraId="05C57500">
            <w:pPr>
              <w:pStyle w:val="23"/>
              <w:spacing w:before="174" w:line="218" w:lineRule="auto"/>
              <w:jc w:val="right"/>
              <w:rPr>
                <w:color w:val="auto"/>
                <w:sz w:val="24"/>
                <w:szCs w:val="24"/>
                <w:highlight w:val="none"/>
              </w:rPr>
            </w:pPr>
            <w:r>
              <w:rPr>
                <w:color w:val="auto"/>
                <w:spacing w:val="-1"/>
                <w:sz w:val="24"/>
                <w:szCs w:val="24"/>
                <w:highlight w:val="none"/>
              </w:rPr>
              <w:t>监理工程师办公设施费报价表</w:t>
            </w:r>
          </w:p>
        </w:tc>
      </w:tr>
      <w:tr w14:paraId="7ACD0DA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5" w:hRule="atLeast"/>
        </w:trPr>
        <w:tc>
          <w:tcPr>
            <w:tcW w:w="490" w:type="dxa"/>
            <w:vAlign w:val="top"/>
          </w:tcPr>
          <w:p w14:paraId="0C3ADE7C">
            <w:pPr>
              <w:pStyle w:val="23"/>
              <w:spacing w:before="172" w:line="221" w:lineRule="auto"/>
              <w:rPr>
                <w:color w:val="auto"/>
                <w:sz w:val="24"/>
                <w:szCs w:val="24"/>
                <w:highlight w:val="none"/>
              </w:rPr>
            </w:pPr>
            <w:r>
              <w:rPr>
                <w:color w:val="auto"/>
                <w:spacing w:val="-5"/>
                <w:sz w:val="24"/>
                <w:szCs w:val="24"/>
                <w:highlight w:val="none"/>
              </w:rPr>
              <w:t>表</w:t>
            </w:r>
            <w:r>
              <w:rPr>
                <w:color w:val="auto"/>
                <w:spacing w:val="-51"/>
                <w:sz w:val="24"/>
                <w:szCs w:val="24"/>
                <w:highlight w:val="none"/>
              </w:rPr>
              <w:t xml:space="preserve"> </w:t>
            </w:r>
            <w:r>
              <w:rPr>
                <w:color w:val="auto"/>
                <w:spacing w:val="-5"/>
                <w:sz w:val="24"/>
                <w:szCs w:val="24"/>
                <w:highlight w:val="none"/>
              </w:rPr>
              <w:t>4</w:t>
            </w:r>
          </w:p>
        </w:tc>
        <w:tc>
          <w:tcPr>
            <w:tcW w:w="3281" w:type="dxa"/>
            <w:vAlign w:val="top"/>
          </w:tcPr>
          <w:p w14:paraId="2B8B6334">
            <w:pPr>
              <w:pStyle w:val="23"/>
              <w:spacing w:before="173" w:line="218" w:lineRule="auto"/>
              <w:jc w:val="right"/>
              <w:rPr>
                <w:color w:val="auto"/>
                <w:sz w:val="24"/>
                <w:szCs w:val="24"/>
                <w:highlight w:val="none"/>
              </w:rPr>
            </w:pPr>
            <w:r>
              <w:rPr>
                <w:color w:val="auto"/>
                <w:spacing w:val="-1"/>
                <w:sz w:val="24"/>
                <w:szCs w:val="24"/>
                <w:highlight w:val="none"/>
              </w:rPr>
              <w:t>监理工程师交通设施费报价表</w:t>
            </w:r>
          </w:p>
        </w:tc>
      </w:tr>
      <w:tr w14:paraId="59F969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6" w:hRule="atLeast"/>
        </w:trPr>
        <w:tc>
          <w:tcPr>
            <w:tcW w:w="490" w:type="dxa"/>
            <w:vAlign w:val="top"/>
          </w:tcPr>
          <w:p w14:paraId="5C878EAF">
            <w:pPr>
              <w:pStyle w:val="23"/>
              <w:spacing w:before="173"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5</w:t>
            </w:r>
          </w:p>
        </w:tc>
        <w:tc>
          <w:tcPr>
            <w:tcW w:w="3281" w:type="dxa"/>
            <w:vAlign w:val="top"/>
          </w:tcPr>
          <w:p w14:paraId="40FF5FDE">
            <w:pPr>
              <w:pStyle w:val="23"/>
              <w:spacing w:before="173" w:line="218" w:lineRule="auto"/>
              <w:ind w:left="171"/>
              <w:rPr>
                <w:color w:val="auto"/>
                <w:sz w:val="24"/>
                <w:szCs w:val="24"/>
                <w:highlight w:val="none"/>
              </w:rPr>
            </w:pPr>
            <w:r>
              <w:rPr>
                <w:color w:val="auto"/>
                <w:spacing w:val="-2"/>
                <w:sz w:val="24"/>
                <w:szCs w:val="24"/>
                <w:highlight w:val="none"/>
              </w:rPr>
              <w:t>监理试验设施费报价表</w:t>
            </w:r>
          </w:p>
        </w:tc>
      </w:tr>
      <w:tr w14:paraId="4801D0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8" w:hRule="atLeast"/>
        </w:trPr>
        <w:tc>
          <w:tcPr>
            <w:tcW w:w="490" w:type="dxa"/>
            <w:vAlign w:val="top"/>
          </w:tcPr>
          <w:p w14:paraId="2F87E93E">
            <w:pPr>
              <w:pStyle w:val="23"/>
              <w:spacing w:before="175" w:line="221" w:lineRule="auto"/>
              <w:rPr>
                <w:color w:val="auto"/>
                <w:sz w:val="24"/>
                <w:szCs w:val="24"/>
                <w:highlight w:val="none"/>
              </w:rPr>
            </w:pPr>
            <w:r>
              <w:rPr>
                <w:color w:val="auto"/>
                <w:spacing w:val="-5"/>
                <w:sz w:val="24"/>
                <w:szCs w:val="24"/>
                <w:highlight w:val="none"/>
              </w:rPr>
              <w:t>表</w:t>
            </w:r>
            <w:r>
              <w:rPr>
                <w:color w:val="auto"/>
                <w:spacing w:val="-49"/>
                <w:sz w:val="24"/>
                <w:szCs w:val="24"/>
                <w:highlight w:val="none"/>
              </w:rPr>
              <w:t xml:space="preserve"> </w:t>
            </w:r>
            <w:r>
              <w:rPr>
                <w:color w:val="auto"/>
                <w:spacing w:val="-5"/>
                <w:sz w:val="24"/>
                <w:szCs w:val="24"/>
                <w:highlight w:val="none"/>
              </w:rPr>
              <w:t>6</w:t>
            </w:r>
          </w:p>
        </w:tc>
        <w:tc>
          <w:tcPr>
            <w:tcW w:w="3281" w:type="dxa"/>
            <w:vAlign w:val="top"/>
          </w:tcPr>
          <w:p w14:paraId="50B34C64">
            <w:pPr>
              <w:pStyle w:val="23"/>
              <w:spacing w:before="175" w:line="218" w:lineRule="auto"/>
              <w:jc w:val="right"/>
              <w:rPr>
                <w:color w:val="auto"/>
                <w:sz w:val="24"/>
                <w:szCs w:val="24"/>
                <w:highlight w:val="none"/>
              </w:rPr>
            </w:pPr>
            <w:r>
              <w:rPr>
                <w:color w:val="auto"/>
                <w:spacing w:val="-1"/>
                <w:sz w:val="24"/>
                <w:szCs w:val="24"/>
                <w:highlight w:val="none"/>
              </w:rPr>
              <w:t>监理工程师生活设施费报价表</w:t>
            </w:r>
          </w:p>
        </w:tc>
      </w:tr>
      <w:tr w14:paraId="1E8CC7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3C073B74">
            <w:pPr>
              <w:pStyle w:val="23"/>
              <w:spacing w:before="175" w:line="221" w:lineRule="auto"/>
              <w:rPr>
                <w:color w:val="auto"/>
                <w:sz w:val="24"/>
                <w:szCs w:val="24"/>
                <w:highlight w:val="none"/>
              </w:rPr>
            </w:pPr>
            <w:r>
              <w:rPr>
                <w:color w:val="auto"/>
                <w:spacing w:val="-5"/>
                <w:sz w:val="24"/>
                <w:szCs w:val="24"/>
                <w:highlight w:val="none"/>
              </w:rPr>
              <w:t>表</w:t>
            </w:r>
            <w:r>
              <w:rPr>
                <w:color w:val="auto"/>
                <w:spacing w:val="-45"/>
                <w:sz w:val="24"/>
                <w:szCs w:val="24"/>
                <w:highlight w:val="none"/>
              </w:rPr>
              <w:t xml:space="preserve"> </w:t>
            </w:r>
            <w:r>
              <w:rPr>
                <w:color w:val="auto"/>
                <w:spacing w:val="-5"/>
                <w:sz w:val="24"/>
                <w:szCs w:val="24"/>
                <w:highlight w:val="none"/>
              </w:rPr>
              <w:t>7</w:t>
            </w:r>
          </w:p>
        </w:tc>
        <w:tc>
          <w:tcPr>
            <w:tcW w:w="3281" w:type="dxa"/>
            <w:vAlign w:val="top"/>
          </w:tcPr>
          <w:p w14:paraId="5C26D68C">
            <w:pPr>
              <w:pStyle w:val="23"/>
              <w:spacing w:before="175" w:line="218" w:lineRule="auto"/>
              <w:ind w:left="171"/>
              <w:rPr>
                <w:color w:val="auto"/>
                <w:sz w:val="24"/>
                <w:szCs w:val="24"/>
                <w:highlight w:val="none"/>
              </w:rPr>
            </w:pPr>
            <w:r>
              <w:rPr>
                <w:color w:val="auto"/>
                <w:spacing w:val="-2"/>
                <w:sz w:val="24"/>
                <w:szCs w:val="24"/>
                <w:highlight w:val="none"/>
              </w:rPr>
              <w:t>其他费用报价表</w:t>
            </w:r>
          </w:p>
        </w:tc>
      </w:tr>
      <w:tr w14:paraId="7669FE2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490" w:type="dxa"/>
            <w:vAlign w:val="top"/>
          </w:tcPr>
          <w:p w14:paraId="3589969F">
            <w:pPr>
              <w:pStyle w:val="23"/>
              <w:spacing w:before="173" w:line="177" w:lineRule="auto"/>
              <w:rPr>
                <w:color w:val="auto"/>
                <w:sz w:val="24"/>
                <w:szCs w:val="24"/>
                <w:highlight w:val="none"/>
              </w:rPr>
            </w:pPr>
            <w:r>
              <w:rPr>
                <w:color w:val="auto"/>
                <w:spacing w:val="-5"/>
                <w:sz w:val="24"/>
                <w:szCs w:val="24"/>
                <w:highlight w:val="none"/>
              </w:rPr>
              <w:t>表</w:t>
            </w:r>
            <w:r>
              <w:rPr>
                <w:color w:val="auto"/>
                <w:spacing w:val="-50"/>
                <w:sz w:val="24"/>
                <w:szCs w:val="24"/>
                <w:highlight w:val="none"/>
              </w:rPr>
              <w:t xml:space="preserve"> </w:t>
            </w:r>
            <w:r>
              <w:rPr>
                <w:color w:val="auto"/>
                <w:spacing w:val="-5"/>
                <w:sz w:val="24"/>
                <w:szCs w:val="24"/>
                <w:highlight w:val="none"/>
              </w:rPr>
              <w:t>8</w:t>
            </w:r>
          </w:p>
        </w:tc>
        <w:tc>
          <w:tcPr>
            <w:tcW w:w="3281" w:type="dxa"/>
            <w:vAlign w:val="top"/>
          </w:tcPr>
          <w:p w14:paraId="2C5684F1">
            <w:pPr>
              <w:pStyle w:val="23"/>
              <w:spacing w:before="173" w:line="177" w:lineRule="auto"/>
              <w:ind w:left="171"/>
              <w:rPr>
                <w:color w:val="auto"/>
                <w:sz w:val="24"/>
                <w:szCs w:val="24"/>
                <w:highlight w:val="none"/>
              </w:rPr>
            </w:pPr>
            <w:r>
              <w:rPr>
                <w:color w:val="auto"/>
                <w:spacing w:val="-2"/>
                <w:sz w:val="24"/>
                <w:szCs w:val="24"/>
                <w:highlight w:val="none"/>
              </w:rPr>
              <w:t>监理费用支付估算表</w:t>
            </w:r>
          </w:p>
        </w:tc>
      </w:tr>
    </w:tbl>
    <w:p w14:paraId="15D67704">
      <w:pPr>
        <w:spacing w:line="269" w:lineRule="auto"/>
        <w:rPr>
          <w:rFonts w:ascii="Arial"/>
          <w:color w:val="auto"/>
          <w:sz w:val="21"/>
          <w:highlight w:val="none"/>
        </w:rPr>
      </w:pPr>
    </w:p>
    <w:p w14:paraId="480BEE48">
      <w:pPr>
        <w:spacing w:before="78" w:line="452" w:lineRule="auto"/>
        <w:ind w:left="498" w:right="444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附件</w:t>
      </w:r>
      <w:r>
        <w:rPr>
          <w:rFonts w:ascii="宋体" w:hAnsi="宋体" w:eastAsia="宋体" w:cs="宋体"/>
          <w:color w:val="auto"/>
          <w:spacing w:val="-30"/>
          <w:sz w:val="24"/>
          <w:szCs w:val="24"/>
          <w:highlight w:val="none"/>
        </w:rPr>
        <w:t xml:space="preserve"> </w:t>
      </w:r>
      <w:r>
        <w:rPr>
          <w:rFonts w:ascii="宋体" w:hAnsi="宋体" w:eastAsia="宋体" w:cs="宋体"/>
          <w:color w:val="auto"/>
          <w:spacing w:val="-4"/>
          <w:sz w:val="24"/>
          <w:szCs w:val="24"/>
          <w:highlight w:val="none"/>
        </w:rPr>
        <w:t>1 监理人员工作计划安排表</w:t>
      </w:r>
      <w:r>
        <w:rPr>
          <w:rFonts w:ascii="宋体" w:hAnsi="宋体" w:eastAsia="宋体" w:cs="宋体"/>
          <w:color w:val="auto"/>
          <w:spacing w:val="-3"/>
          <w:sz w:val="24"/>
          <w:szCs w:val="24"/>
          <w:highlight w:val="none"/>
        </w:rPr>
        <w:t>附件</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2 监理设施进出场时间表</w:t>
      </w:r>
    </w:p>
    <w:p w14:paraId="0CEBFE84">
      <w:pPr>
        <w:spacing w:line="452" w:lineRule="auto"/>
        <w:rPr>
          <w:rFonts w:ascii="宋体" w:hAnsi="宋体" w:eastAsia="宋体" w:cs="宋体"/>
          <w:color w:val="auto"/>
          <w:sz w:val="24"/>
          <w:szCs w:val="24"/>
          <w:highlight w:val="none"/>
        </w:rPr>
        <w:sectPr>
          <w:footerReference r:id="rId62" w:type="default"/>
          <w:pgSz w:w="11906" w:h="16839"/>
          <w:pgMar w:top="1403" w:right="1785" w:bottom="1297" w:left="1785" w:header="0" w:footer="1067" w:gutter="0"/>
          <w:pgBorders>
            <w:top w:val="none" w:sz="0" w:space="0"/>
            <w:left w:val="none" w:sz="0" w:space="0"/>
            <w:bottom w:val="none" w:sz="0" w:space="0"/>
            <w:right w:val="none" w:sz="0" w:space="0"/>
          </w:pgBorders>
          <w:pgNumType w:fmt="decimal"/>
          <w:cols w:space="720" w:num="1"/>
        </w:sectPr>
      </w:pPr>
    </w:p>
    <w:p w14:paraId="3CE6F940">
      <w:pPr>
        <w:spacing w:line="352" w:lineRule="auto"/>
        <w:rPr>
          <w:rFonts w:ascii="Arial"/>
          <w:color w:val="auto"/>
          <w:sz w:val="21"/>
          <w:highlight w:val="none"/>
        </w:rPr>
      </w:pPr>
    </w:p>
    <w:p w14:paraId="4983055C">
      <w:pPr>
        <w:spacing w:before="91" w:line="219" w:lineRule="auto"/>
        <w:ind w:left="5187"/>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表</w:t>
      </w:r>
      <w:r>
        <w:rPr>
          <w:rFonts w:ascii="宋体" w:hAnsi="宋体" w:eastAsia="宋体" w:cs="宋体"/>
          <w:color w:val="auto"/>
          <w:spacing w:val="-28"/>
          <w:sz w:val="28"/>
          <w:szCs w:val="28"/>
          <w:highlight w:val="none"/>
        </w:rPr>
        <w:t xml:space="preserve"> </w:t>
      </w:r>
      <w:r>
        <w:rPr>
          <w:rFonts w:ascii="宋体" w:hAnsi="宋体" w:eastAsia="宋体" w:cs="宋体"/>
          <w:b/>
          <w:bCs/>
          <w:color w:val="auto"/>
          <w:spacing w:val="-5"/>
          <w:sz w:val="28"/>
          <w:szCs w:val="28"/>
          <w:highlight w:val="none"/>
        </w:rPr>
        <w:t>1</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监理服务费用报价汇总表</w:t>
      </w:r>
    </w:p>
    <w:p w14:paraId="6AF845A1">
      <w:pPr>
        <w:spacing w:before="114" w:line="212" w:lineRule="auto"/>
        <w:ind w:left="1244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单位: 人民币元</w:t>
      </w:r>
    </w:p>
    <w:tbl>
      <w:tblPr>
        <w:tblStyle w:val="22"/>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3812"/>
        <w:gridCol w:w="2874"/>
        <w:gridCol w:w="2874"/>
        <w:gridCol w:w="3657"/>
      </w:tblGrid>
      <w:tr w14:paraId="22774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0E5067F6">
            <w:pPr>
              <w:pStyle w:val="23"/>
              <w:spacing w:before="180" w:line="229" w:lineRule="auto"/>
              <w:ind w:left="295"/>
              <w:rPr>
                <w:color w:val="auto"/>
                <w:highlight w:val="none"/>
              </w:rPr>
            </w:pPr>
            <w:r>
              <w:rPr>
                <w:color w:val="auto"/>
                <w:spacing w:val="5"/>
                <w:highlight w:val="none"/>
              </w:rPr>
              <w:t>序号</w:t>
            </w:r>
          </w:p>
        </w:tc>
        <w:tc>
          <w:tcPr>
            <w:tcW w:w="3812" w:type="dxa"/>
            <w:vAlign w:val="top"/>
          </w:tcPr>
          <w:p w14:paraId="616B313B">
            <w:pPr>
              <w:pStyle w:val="23"/>
              <w:spacing w:before="180" w:line="228" w:lineRule="auto"/>
              <w:ind w:left="1598"/>
              <w:rPr>
                <w:color w:val="auto"/>
                <w:highlight w:val="none"/>
              </w:rPr>
            </w:pPr>
            <w:r>
              <w:rPr>
                <w:color w:val="auto"/>
                <w:spacing w:val="-2"/>
                <w:highlight w:val="none"/>
              </w:rPr>
              <w:t>项</w:t>
            </w:r>
            <w:r>
              <w:rPr>
                <w:color w:val="auto"/>
                <w:spacing w:val="29"/>
                <w:highlight w:val="none"/>
              </w:rPr>
              <w:t xml:space="preserve">  </w:t>
            </w:r>
            <w:r>
              <w:rPr>
                <w:color w:val="auto"/>
                <w:spacing w:val="-2"/>
                <w:highlight w:val="none"/>
              </w:rPr>
              <w:t>目</w:t>
            </w:r>
          </w:p>
        </w:tc>
        <w:tc>
          <w:tcPr>
            <w:tcW w:w="2874" w:type="dxa"/>
            <w:vAlign w:val="top"/>
          </w:tcPr>
          <w:p w14:paraId="40D32946">
            <w:pPr>
              <w:pStyle w:val="23"/>
              <w:spacing w:before="180" w:line="228" w:lineRule="auto"/>
              <w:ind w:left="1125"/>
              <w:rPr>
                <w:color w:val="auto"/>
                <w:highlight w:val="none"/>
              </w:rPr>
            </w:pPr>
            <w:r>
              <w:rPr>
                <w:color w:val="auto"/>
                <w:spacing w:val="7"/>
                <w:highlight w:val="none"/>
              </w:rPr>
              <w:t>施工期</w:t>
            </w:r>
          </w:p>
        </w:tc>
        <w:tc>
          <w:tcPr>
            <w:tcW w:w="2874" w:type="dxa"/>
            <w:vAlign w:val="top"/>
          </w:tcPr>
          <w:p w14:paraId="0CA69342">
            <w:pPr>
              <w:pStyle w:val="23"/>
              <w:spacing w:before="180" w:line="228" w:lineRule="auto"/>
              <w:ind w:left="918"/>
              <w:rPr>
                <w:color w:val="auto"/>
                <w:highlight w:val="none"/>
              </w:rPr>
            </w:pPr>
            <w:r>
              <w:rPr>
                <w:color w:val="auto"/>
                <w:spacing w:val="8"/>
                <w:highlight w:val="none"/>
              </w:rPr>
              <w:t>缺陷责任期</w:t>
            </w:r>
          </w:p>
        </w:tc>
        <w:tc>
          <w:tcPr>
            <w:tcW w:w="3657" w:type="dxa"/>
            <w:vAlign w:val="top"/>
          </w:tcPr>
          <w:p w14:paraId="0128B0BA">
            <w:pPr>
              <w:pStyle w:val="23"/>
              <w:spacing w:before="180" w:line="228" w:lineRule="auto"/>
              <w:ind w:left="1419"/>
              <w:rPr>
                <w:color w:val="auto"/>
                <w:highlight w:val="none"/>
              </w:rPr>
            </w:pPr>
            <w:r>
              <w:rPr>
                <w:color w:val="auto"/>
                <w:spacing w:val="5"/>
                <w:highlight w:val="none"/>
              </w:rPr>
              <w:t>小计金额</w:t>
            </w:r>
          </w:p>
        </w:tc>
      </w:tr>
      <w:tr w14:paraId="6FF57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9B2ABB6">
            <w:pPr>
              <w:pStyle w:val="23"/>
              <w:spacing w:before="174" w:line="270" w:lineRule="exact"/>
              <w:ind w:left="468"/>
              <w:rPr>
                <w:color w:val="auto"/>
                <w:highlight w:val="none"/>
              </w:rPr>
            </w:pPr>
            <w:r>
              <w:rPr>
                <w:color w:val="auto"/>
                <w:position w:val="1"/>
                <w:highlight w:val="none"/>
              </w:rPr>
              <w:t>1</w:t>
            </w:r>
          </w:p>
        </w:tc>
        <w:tc>
          <w:tcPr>
            <w:tcW w:w="3812" w:type="dxa"/>
            <w:vAlign w:val="top"/>
          </w:tcPr>
          <w:p w14:paraId="2734B8C2">
            <w:pPr>
              <w:pStyle w:val="23"/>
              <w:spacing w:before="174" w:line="228" w:lineRule="auto"/>
              <w:ind w:left="1175"/>
              <w:rPr>
                <w:color w:val="auto"/>
                <w:highlight w:val="none"/>
              </w:rPr>
            </w:pPr>
            <w:r>
              <w:rPr>
                <w:color w:val="auto"/>
                <w:spacing w:val="8"/>
                <w:highlight w:val="none"/>
              </w:rPr>
              <w:t>监理人员服务费</w:t>
            </w:r>
          </w:p>
        </w:tc>
        <w:tc>
          <w:tcPr>
            <w:tcW w:w="2874" w:type="dxa"/>
            <w:vAlign w:val="top"/>
          </w:tcPr>
          <w:p w14:paraId="10BD6192">
            <w:pPr>
              <w:rPr>
                <w:rFonts w:ascii="Arial"/>
                <w:color w:val="auto"/>
                <w:sz w:val="21"/>
                <w:highlight w:val="none"/>
              </w:rPr>
            </w:pPr>
          </w:p>
        </w:tc>
        <w:tc>
          <w:tcPr>
            <w:tcW w:w="2874" w:type="dxa"/>
            <w:vAlign w:val="top"/>
          </w:tcPr>
          <w:p w14:paraId="68982D5A">
            <w:pPr>
              <w:rPr>
                <w:rFonts w:ascii="Arial"/>
                <w:color w:val="auto"/>
                <w:sz w:val="21"/>
                <w:highlight w:val="none"/>
              </w:rPr>
            </w:pPr>
          </w:p>
        </w:tc>
        <w:tc>
          <w:tcPr>
            <w:tcW w:w="3657" w:type="dxa"/>
            <w:vAlign w:val="top"/>
          </w:tcPr>
          <w:p w14:paraId="5B90DDF5">
            <w:pPr>
              <w:rPr>
                <w:rFonts w:ascii="Arial"/>
                <w:color w:val="auto"/>
                <w:sz w:val="21"/>
                <w:highlight w:val="none"/>
              </w:rPr>
            </w:pPr>
          </w:p>
        </w:tc>
      </w:tr>
      <w:tr w14:paraId="514DE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3A833778">
            <w:pPr>
              <w:pStyle w:val="23"/>
              <w:spacing w:before="176" w:line="270" w:lineRule="exact"/>
              <w:ind w:left="455"/>
              <w:rPr>
                <w:color w:val="auto"/>
                <w:highlight w:val="none"/>
              </w:rPr>
            </w:pPr>
            <w:r>
              <w:rPr>
                <w:color w:val="auto"/>
                <w:position w:val="1"/>
                <w:highlight w:val="none"/>
              </w:rPr>
              <w:t>2</w:t>
            </w:r>
          </w:p>
        </w:tc>
        <w:tc>
          <w:tcPr>
            <w:tcW w:w="3812" w:type="dxa"/>
            <w:vAlign w:val="top"/>
          </w:tcPr>
          <w:p w14:paraId="01DBB3BE">
            <w:pPr>
              <w:pStyle w:val="23"/>
              <w:spacing w:before="176" w:line="228" w:lineRule="auto"/>
              <w:ind w:left="1175"/>
              <w:rPr>
                <w:color w:val="auto"/>
                <w:highlight w:val="none"/>
              </w:rPr>
            </w:pPr>
            <w:r>
              <w:rPr>
                <w:color w:val="auto"/>
                <w:spacing w:val="8"/>
                <w:highlight w:val="none"/>
              </w:rPr>
              <w:t>监理办公设施费</w:t>
            </w:r>
          </w:p>
        </w:tc>
        <w:tc>
          <w:tcPr>
            <w:tcW w:w="2874" w:type="dxa"/>
            <w:vAlign w:val="top"/>
          </w:tcPr>
          <w:p w14:paraId="10EF2A5F">
            <w:pPr>
              <w:rPr>
                <w:rFonts w:ascii="Arial"/>
                <w:color w:val="auto"/>
                <w:sz w:val="21"/>
                <w:highlight w:val="none"/>
              </w:rPr>
            </w:pPr>
          </w:p>
        </w:tc>
        <w:tc>
          <w:tcPr>
            <w:tcW w:w="2874" w:type="dxa"/>
            <w:vAlign w:val="top"/>
          </w:tcPr>
          <w:p w14:paraId="7E922AF7">
            <w:pPr>
              <w:rPr>
                <w:rFonts w:ascii="Arial"/>
                <w:color w:val="auto"/>
                <w:sz w:val="21"/>
                <w:highlight w:val="none"/>
              </w:rPr>
            </w:pPr>
          </w:p>
        </w:tc>
        <w:tc>
          <w:tcPr>
            <w:tcW w:w="3657" w:type="dxa"/>
            <w:vAlign w:val="top"/>
          </w:tcPr>
          <w:p w14:paraId="1286DD5B">
            <w:pPr>
              <w:rPr>
                <w:rFonts w:ascii="Arial"/>
                <w:color w:val="auto"/>
                <w:sz w:val="21"/>
                <w:highlight w:val="none"/>
              </w:rPr>
            </w:pPr>
          </w:p>
        </w:tc>
      </w:tr>
      <w:tr w14:paraId="5DF6A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AA84AE5">
            <w:pPr>
              <w:pStyle w:val="23"/>
              <w:spacing w:before="178" w:line="268" w:lineRule="exact"/>
              <w:ind w:left="456"/>
              <w:rPr>
                <w:color w:val="auto"/>
                <w:highlight w:val="none"/>
              </w:rPr>
            </w:pPr>
            <w:r>
              <w:rPr>
                <w:color w:val="auto"/>
                <w:position w:val="1"/>
                <w:highlight w:val="none"/>
              </w:rPr>
              <w:t>3</w:t>
            </w:r>
          </w:p>
        </w:tc>
        <w:tc>
          <w:tcPr>
            <w:tcW w:w="3812" w:type="dxa"/>
            <w:vAlign w:val="top"/>
          </w:tcPr>
          <w:p w14:paraId="4393C689">
            <w:pPr>
              <w:pStyle w:val="23"/>
              <w:spacing w:before="178" w:line="228" w:lineRule="auto"/>
              <w:ind w:left="1175"/>
              <w:rPr>
                <w:color w:val="auto"/>
                <w:highlight w:val="none"/>
              </w:rPr>
            </w:pPr>
            <w:r>
              <w:rPr>
                <w:color w:val="auto"/>
                <w:spacing w:val="8"/>
                <w:highlight w:val="none"/>
              </w:rPr>
              <w:t>监理交通设施费</w:t>
            </w:r>
          </w:p>
        </w:tc>
        <w:tc>
          <w:tcPr>
            <w:tcW w:w="2874" w:type="dxa"/>
            <w:vAlign w:val="top"/>
          </w:tcPr>
          <w:p w14:paraId="3FF401C8">
            <w:pPr>
              <w:rPr>
                <w:rFonts w:ascii="Arial"/>
                <w:color w:val="auto"/>
                <w:sz w:val="21"/>
                <w:highlight w:val="none"/>
              </w:rPr>
            </w:pPr>
          </w:p>
        </w:tc>
        <w:tc>
          <w:tcPr>
            <w:tcW w:w="2874" w:type="dxa"/>
            <w:vAlign w:val="top"/>
          </w:tcPr>
          <w:p w14:paraId="1CCD755C">
            <w:pPr>
              <w:rPr>
                <w:rFonts w:ascii="Arial"/>
                <w:color w:val="auto"/>
                <w:sz w:val="21"/>
                <w:highlight w:val="none"/>
              </w:rPr>
            </w:pPr>
          </w:p>
        </w:tc>
        <w:tc>
          <w:tcPr>
            <w:tcW w:w="3657" w:type="dxa"/>
            <w:vAlign w:val="top"/>
          </w:tcPr>
          <w:p w14:paraId="5A931A94">
            <w:pPr>
              <w:rPr>
                <w:rFonts w:ascii="Arial"/>
                <w:color w:val="auto"/>
                <w:sz w:val="21"/>
                <w:highlight w:val="none"/>
              </w:rPr>
            </w:pPr>
          </w:p>
        </w:tc>
      </w:tr>
      <w:tr w14:paraId="12F59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7C3A72C3">
            <w:pPr>
              <w:pStyle w:val="23"/>
              <w:spacing w:before="177" w:line="270" w:lineRule="exact"/>
              <w:ind w:left="451"/>
              <w:rPr>
                <w:color w:val="auto"/>
                <w:highlight w:val="none"/>
              </w:rPr>
            </w:pPr>
            <w:r>
              <w:rPr>
                <w:color w:val="auto"/>
                <w:position w:val="1"/>
                <w:highlight w:val="none"/>
              </w:rPr>
              <w:t>4</w:t>
            </w:r>
          </w:p>
        </w:tc>
        <w:tc>
          <w:tcPr>
            <w:tcW w:w="3812" w:type="dxa"/>
            <w:vAlign w:val="top"/>
          </w:tcPr>
          <w:p w14:paraId="7D08BBAA">
            <w:pPr>
              <w:pStyle w:val="23"/>
              <w:spacing w:before="177" w:line="228" w:lineRule="auto"/>
              <w:ind w:left="544"/>
              <w:rPr>
                <w:color w:val="auto"/>
                <w:highlight w:val="none"/>
              </w:rPr>
            </w:pPr>
            <w:r>
              <w:rPr>
                <w:color w:val="auto"/>
                <w:spacing w:val="8"/>
                <w:highlight w:val="none"/>
              </w:rPr>
              <w:t>监理试验设施费（常规检测）</w:t>
            </w:r>
          </w:p>
        </w:tc>
        <w:tc>
          <w:tcPr>
            <w:tcW w:w="2874" w:type="dxa"/>
            <w:vAlign w:val="top"/>
          </w:tcPr>
          <w:p w14:paraId="37456EC1">
            <w:pPr>
              <w:rPr>
                <w:rFonts w:ascii="Arial"/>
                <w:color w:val="auto"/>
                <w:sz w:val="21"/>
                <w:highlight w:val="none"/>
              </w:rPr>
            </w:pPr>
          </w:p>
        </w:tc>
        <w:tc>
          <w:tcPr>
            <w:tcW w:w="2874" w:type="dxa"/>
            <w:vAlign w:val="top"/>
          </w:tcPr>
          <w:p w14:paraId="45F5B332">
            <w:pPr>
              <w:rPr>
                <w:rFonts w:ascii="Arial"/>
                <w:color w:val="auto"/>
                <w:sz w:val="21"/>
                <w:highlight w:val="none"/>
              </w:rPr>
            </w:pPr>
          </w:p>
        </w:tc>
        <w:tc>
          <w:tcPr>
            <w:tcW w:w="3657" w:type="dxa"/>
            <w:vAlign w:val="top"/>
          </w:tcPr>
          <w:p w14:paraId="76DFAF16">
            <w:pPr>
              <w:rPr>
                <w:rFonts w:ascii="Arial"/>
                <w:color w:val="auto"/>
                <w:sz w:val="21"/>
                <w:highlight w:val="none"/>
              </w:rPr>
            </w:pPr>
          </w:p>
        </w:tc>
      </w:tr>
      <w:tr w14:paraId="574F9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57254866">
            <w:pPr>
              <w:pStyle w:val="23"/>
              <w:spacing w:before="179" w:line="269" w:lineRule="exact"/>
              <w:ind w:left="456"/>
              <w:rPr>
                <w:color w:val="auto"/>
                <w:highlight w:val="none"/>
              </w:rPr>
            </w:pPr>
            <w:r>
              <w:rPr>
                <w:color w:val="auto"/>
                <w:position w:val="1"/>
                <w:highlight w:val="none"/>
              </w:rPr>
              <w:t>5</w:t>
            </w:r>
          </w:p>
        </w:tc>
        <w:tc>
          <w:tcPr>
            <w:tcW w:w="3812" w:type="dxa"/>
            <w:vAlign w:val="top"/>
          </w:tcPr>
          <w:p w14:paraId="088D64E4">
            <w:pPr>
              <w:pStyle w:val="23"/>
              <w:spacing w:before="180" w:line="228" w:lineRule="auto"/>
              <w:ind w:left="1175"/>
              <w:rPr>
                <w:color w:val="auto"/>
                <w:highlight w:val="none"/>
              </w:rPr>
            </w:pPr>
            <w:r>
              <w:rPr>
                <w:color w:val="auto"/>
                <w:spacing w:val="8"/>
                <w:highlight w:val="none"/>
              </w:rPr>
              <w:t>监理生活设施费</w:t>
            </w:r>
          </w:p>
        </w:tc>
        <w:tc>
          <w:tcPr>
            <w:tcW w:w="2874" w:type="dxa"/>
            <w:vAlign w:val="top"/>
          </w:tcPr>
          <w:p w14:paraId="48F83C4A">
            <w:pPr>
              <w:rPr>
                <w:rFonts w:ascii="Arial"/>
                <w:color w:val="auto"/>
                <w:sz w:val="21"/>
                <w:highlight w:val="none"/>
              </w:rPr>
            </w:pPr>
          </w:p>
        </w:tc>
        <w:tc>
          <w:tcPr>
            <w:tcW w:w="2874" w:type="dxa"/>
            <w:vAlign w:val="top"/>
          </w:tcPr>
          <w:p w14:paraId="46976A8B">
            <w:pPr>
              <w:rPr>
                <w:rFonts w:ascii="Arial"/>
                <w:color w:val="auto"/>
                <w:sz w:val="21"/>
                <w:highlight w:val="none"/>
              </w:rPr>
            </w:pPr>
          </w:p>
        </w:tc>
        <w:tc>
          <w:tcPr>
            <w:tcW w:w="3657" w:type="dxa"/>
            <w:vAlign w:val="top"/>
          </w:tcPr>
          <w:p w14:paraId="0B8BB0C7">
            <w:pPr>
              <w:rPr>
                <w:rFonts w:ascii="Arial"/>
                <w:color w:val="auto"/>
                <w:sz w:val="21"/>
                <w:highlight w:val="none"/>
              </w:rPr>
            </w:pPr>
          </w:p>
        </w:tc>
      </w:tr>
      <w:tr w14:paraId="7EF41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2207B322">
            <w:pPr>
              <w:pStyle w:val="23"/>
              <w:spacing w:before="180" w:line="268" w:lineRule="exact"/>
              <w:ind w:left="454"/>
              <w:rPr>
                <w:color w:val="auto"/>
                <w:highlight w:val="none"/>
              </w:rPr>
            </w:pPr>
            <w:r>
              <w:rPr>
                <w:color w:val="auto"/>
                <w:position w:val="1"/>
                <w:highlight w:val="none"/>
              </w:rPr>
              <w:t>6</w:t>
            </w:r>
          </w:p>
        </w:tc>
        <w:tc>
          <w:tcPr>
            <w:tcW w:w="3812" w:type="dxa"/>
            <w:vAlign w:val="top"/>
          </w:tcPr>
          <w:p w14:paraId="3407ACBC">
            <w:pPr>
              <w:pStyle w:val="23"/>
              <w:spacing w:before="180" w:line="228" w:lineRule="auto"/>
              <w:ind w:left="1490"/>
              <w:rPr>
                <w:color w:val="auto"/>
                <w:highlight w:val="none"/>
              </w:rPr>
            </w:pPr>
            <w:r>
              <w:rPr>
                <w:color w:val="auto"/>
                <w:spacing w:val="7"/>
                <w:highlight w:val="none"/>
              </w:rPr>
              <w:t>其他费用</w:t>
            </w:r>
          </w:p>
        </w:tc>
        <w:tc>
          <w:tcPr>
            <w:tcW w:w="2874" w:type="dxa"/>
            <w:vAlign w:val="top"/>
          </w:tcPr>
          <w:p w14:paraId="57DB9BD7">
            <w:pPr>
              <w:rPr>
                <w:rFonts w:ascii="Arial"/>
                <w:color w:val="auto"/>
                <w:sz w:val="21"/>
                <w:highlight w:val="none"/>
              </w:rPr>
            </w:pPr>
          </w:p>
        </w:tc>
        <w:tc>
          <w:tcPr>
            <w:tcW w:w="2874" w:type="dxa"/>
            <w:vAlign w:val="top"/>
          </w:tcPr>
          <w:p w14:paraId="0020E274">
            <w:pPr>
              <w:rPr>
                <w:rFonts w:ascii="Arial"/>
                <w:color w:val="auto"/>
                <w:sz w:val="21"/>
                <w:highlight w:val="none"/>
              </w:rPr>
            </w:pPr>
          </w:p>
        </w:tc>
        <w:tc>
          <w:tcPr>
            <w:tcW w:w="3657" w:type="dxa"/>
            <w:vAlign w:val="top"/>
          </w:tcPr>
          <w:p w14:paraId="040AA099">
            <w:pPr>
              <w:rPr>
                <w:rFonts w:ascii="Arial"/>
                <w:color w:val="auto"/>
                <w:sz w:val="21"/>
                <w:highlight w:val="none"/>
              </w:rPr>
            </w:pPr>
          </w:p>
        </w:tc>
      </w:tr>
      <w:tr w14:paraId="552A2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6348A5A1">
            <w:pPr>
              <w:pStyle w:val="23"/>
              <w:spacing w:before="178" w:line="269" w:lineRule="exact"/>
              <w:ind w:left="457"/>
              <w:rPr>
                <w:color w:val="auto"/>
                <w:highlight w:val="none"/>
              </w:rPr>
            </w:pPr>
            <w:r>
              <w:rPr>
                <w:color w:val="auto"/>
                <w:position w:val="1"/>
                <w:highlight w:val="none"/>
              </w:rPr>
              <w:t>7</w:t>
            </w:r>
          </w:p>
        </w:tc>
        <w:tc>
          <w:tcPr>
            <w:tcW w:w="9560" w:type="dxa"/>
            <w:gridSpan w:val="3"/>
            <w:vAlign w:val="top"/>
          </w:tcPr>
          <w:p w14:paraId="08BE3FE7">
            <w:pPr>
              <w:pStyle w:val="23"/>
              <w:spacing w:before="178" w:line="229" w:lineRule="auto"/>
              <w:ind w:left="3683"/>
              <w:rPr>
                <w:color w:val="auto"/>
                <w:highlight w:val="none"/>
              </w:rPr>
            </w:pPr>
            <w:r>
              <w:rPr>
                <w:color w:val="auto"/>
                <w:spacing w:val="5"/>
                <w:highlight w:val="none"/>
              </w:rPr>
              <w:t>合  计（1+2+3+4+5+6）</w:t>
            </w:r>
          </w:p>
        </w:tc>
        <w:tc>
          <w:tcPr>
            <w:tcW w:w="3657" w:type="dxa"/>
            <w:vAlign w:val="top"/>
          </w:tcPr>
          <w:p w14:paraId="78F919B7">
            <w:pPr>
              <w:rPr>
                <w:rFonts w:ascii="Arial"/>
                <w:color w:val="auto"/>
                <w:sz w:val="21"/>
                <w:highlight w:val="none"/>
              </w:rPr>
            </w:pPr>
          </w:p>
        </w:tc>
      </w:tr>
      <w:tr w14:paraId="79924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27D7E378">
            <w:pPr>
              <w:pStyle w:val="23"/>
              <w:spacing w:before="179" w:line="269" w:lineRule="exact"/>
              <w:ind w:left="453"/>
              <w:rPr>
                <w:color w:val="auto"/>
                <w:highlight w:val="none"/>
              </w:rPr>
            </w:pPr>
            <w:r>
              <w:rPr>
                <w:color w:val="auto"/>
                <w:position w:val="1"/>
                <w:highlight w:val="none"/>
              </w:rPr>
              <w:t>8</w:t>
            </w:r>
          </w:p>
        </w:tc>
        <w:tc>
          <w:tcPr>
            <w:tcW w:w="9560" w:type="dxa"/>
            <w:gridSpan w:val="3"/>
            <w:vAlign w:val="top"/>
          </w:tcPr>
          <w:p w14:paraId="70304885">
            <w:pPr>
              <w:pStyle w:val="23"/>
              <w:spacing w:before="152" w:line="228" w:lineRule="auto"/>
              <w:ind w:left="3795"/>
              <w:rPr>
                <w:color w:val="auto"/>
                <w:highlight w:val="none"/>
              </w:rPr>
            </w:pPr>
            <w:r>
              <w:rPr>
                <w:color w:val="auto"/>
                <w:spacing w:val="5"/>
                <w:highlight w:val="none"/>
              </w:rPr>
              <w:t>暂列金额（7×</w:t>
            </w:r>
            <w:r>
              <w:rPr>
                <w:color w:val="auto"/>
                <w:spacing w:val="5"/>
                <w:highlight w:val="none"/>
                <w:u w:val="single" w:color="auto"/>
              </w:rPr>
              <w:t xml:space="preserve">   </w:t>
            </w:r>
            <w:r>
              <w:rPr>
                <w:color w:val="auto"/>
                <w:spacing w:val="-92"/>
                <w:highlight w:val="none"/>
              </w:rPr>
              <w:t xml:space="preserve"> </w:t>
            </w:r>
            <w:r>
              <w:rPr>
                <w:color w:val="auto"/>
                <w:spacing w:val="5"/>
                <w:highlight w:val="none"/>
              </w:rPr>
              <w:t>%）</w:t>
            </w:r>
          </w:p>
        </w:tc>
        <w:tc>
          <w:tcPr>
            <w:tcW w:w="3657" w:type="dxa"/>
            <w:vAlign w:val="top"/>
          </w:tcPr>
          <w:p w14:paraId="396FBD01">
            <w:pPr>
              <w:rPr>
                <w:rFonts w:ascii="Arial"/>
                <w:color w:val="auto"/>
                <w:sz w:val="21"/>
                <w:highlight w:val="none"/>
              </w:rPr>
            </w:pPr>
          </w:p>
        </w:tc>
      </w:tr>
      <w:tr w14:paraId="74582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7CE4EB0F">
            <w:pPr>
              <w:pStyle w:val="23"/>
              <w:spacing w:before="180" w:line="268" w:lineRule="exact"/>
              <w:ind w:left="453"/>
              <w:rPr>
                <w:color w:val="auto"/>
                <w:highlight w:val="none"/>
              </w:rPr>
            </w:pPr>
            <w:r>
              <w:rPr>
                <w:color w:val="auto"/>
                <w:position w:val="1"/>
                <w:highlight w:val="none"/>
              </w:rPr>
              <w:t>9</w:t>
            </w:r>
          </w:p>
        </w:tc>
        <w:tc>
          <w:tcPr>
            <w:tcW w:w="9560" w:type="dxa"/>
            <w:gridSpan w:val="3"/>
            <w:vAlign w:val="top"/>
          </w:tcPr>
          <w:p w14:paraId="0D3880FC">
            <w:pPr>
              <w:pStyle w:val="23"/>
              <w:spacing w:before="154" w:line="228" w:lineRule="auto"/>
              <w:ind w:left="3789"/>
              <w:rPr>
                <w:color w:val="auto"/>
                <w:highlight w:val="none"/>
              </w:rPr>
            </w:pPr>
            <w:r>
              <w:rPr>
                <w:color w:val="auto"/>
                <w:spacing w:val="6"/>
                <w:highlight w:val="none"/>
              </w:rPr>
              <w:t>监理奖金（7×</w:t>
            </w:r>
            <w:r>
              <w:rPr>
                <w:color w:val="auto"/>
                <w:spacing w:val="6"/>
                <w:highlight w:val="none"/>
                <w:u w:val="single" w:color="auto"/>
              </w:rPr>
              <w:t xml:space="preserve">   </w:t>
            </w:r>
            <w:r>
              <w:rPr>
                <w:color w:val="auto"/>
                <w:spacing w:val="-97"/>
                <w:highlight w:val="none"/>
              </w:rPr>
              <w:t xml:space="preserve"> </w:t>
            </w:r>
            <w:r>
              <w:rPr>
                <w:color w:val="auto"/>
                <w:spacing w:val="6"/>
                <w:highlight w:val="none"/>
              </w:rPr>
              <w:t>%）</w:t>
            </w:r>
          </w:p>
        </w:tc>
        <w:tc>
          <w:tcPr>
            <w:tcW w:w="3657" w:type="dxa"/>
            <w:vAlign w:val="top"/>
          </w:tcPr>
          <w:p w14:paraId="25BED7C7">
            <w:pPr>
              <w:rPr>
                <w:rFonts w:ascii="Arial"/>
                <w:color w:val="auto"/>
                <w:sz w:val="21"/>
                <w:highlight w:val="none"/>
              </w:rPr>
            </w:pPr>
          </w:p>
        </w:tc>
      </w:tr>
      <w:tr w14:paraId="7E8F4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0AA3574C">
            <w:pPr>
              <w:pStyle w:val="23"/>
              <w:spacing w:before="178" w:line="269" w:lineRule="exact"/>
              <w:ind w:left="415"/>
              <w:rPr>
                <w:color w:val="auto"/>
                <w:highlight w:val="none"/>
              </w:rPr>
            </w:pPr>
            <w:r>
              <w:rPr>
                <w:color w:val="auto"/>
                <w:spacing w:val="-7"/>
                <w:position w:val="1"/>
                <w:highlight w:val="none"/>
              </w:rPr>
              <w:t>10</w:t>
            </w:r>
          </w:p>
        </w:tc>
        <w:tc>
          <w:tcPr>
            <w:tcW w:w="9560" w:type="dxa"/>
            <w:gridSpan w:val="3"/>
            <w:vAlign w:val="top"/>
          </w:tcPr>
          <w:p w14:paraId="17F42489">
            <w:pPr>
              <w:pStyle w:val="23"/>
              <w:spacing w:before="179" w:line="226" w:lineRule="auto"/>
              <w:ind w:left="3738"/>
              <w:rPr>
                <w:color w:val="auto"/>
                <w:highlight w:val="none"/>
              </w:rPr>
            </w:pPr>
            <w:r>
              <w:rPr>
                <w:color w:val="auto"/>
                <w:spacing w:val="2"/>
                <w:highlight w:val="none"/>
              </w:rPr>
              <w:t>投标报价总计</w:t>
            </w:r>
            <w:r>
              <w:rPr>
                <w:color w:val="auto"/>
                <w:spacing w:val="61"/>
                <w:highlight w:val="none"/>
              </w:rPr>
              <w:t xml:space="preserve"> </w:t>
            </w:r>
            <w:r>
              <w:rPr>
                <w:color w:val="auto"/>
                <w:spacing w:val="2"/>
                <w:highlight w:val="none"/>
              </w:rPr>
              <w:t>(7+8+9)</w:t>
            </w:r>
          </w:p>
        </w:tc>
        <w:tc>
          <w:tcPr>
            <w:tcW w:w="3657" w:type="dxa"/>
            <w:vAlign w:val="top"/>
          </w:tcPr>
          <w:p w14:paraId="68205B3A">
            <w:pPr>
              <w:rPr>
                <w:rFonts w:ascii="Arial"/>
                <w:color w:val="auto"/>
                <w:sz w:val="21"/>
                <w:highlight w:val="none"/>
              </w:rPr>
            </w:pPr>
          </w:p>
        </w:tc>
      </w:tr>
    </w:tbl>
    <w:p w14:paraId="08B2B28F">
      <w:pPr>
        <w:rPr>
          <w:rFonts w:ascii="Arial"/>
          <w:color w:val="auto"/>
          <w:sz w:val="21"/>
          <w:highlight w:val="none"/>
        </w:rPr>
      </w:pPr>
    </w:p>
    <w:p w14:paraId="50E6CC3B">
      <w:pPr>
        <w:rPr>
          <w:rFonts w:ascii="Arial" w:hAnsi="Arial" w:eastAsia="Arial" w:cs="Arial"/>
          <w:color w:val="auto"/>
          <w:sz w:val="21"/>
          <w:szCs w:val="21"/>
          <w:highlight w:val="none"/>
        </w:rPr>
        <w:sectPr>
          <w:footerReference r:id="rId63" w:type="default"/>
          <w:pgSz w:w="16839" w:h="11906"/>
          <w:pgMar w:top="1012" w:right="1307" w:bottom="1297" w:left="1307" w:header="0" w:footer="1067" w:gutter="0"/>
          <w:pgBorders>
            <w:top w:val="none" w:sz="0" w:space="0"/>
            <w:left w:val="none" w:sz="0" w:space="0"/>
            <w:bottom w:val="none" w:sz="0" w:space="0"/>
            <w:right w:val="none" w:sz="0" w:space="0"/>
          </w:pgBorders>
          <w:pgNumType w:fmt="decimal"/>
          <w:cols w:space="720" w:num="1"/>
        </w:sectPr>
      </w:pPr>
    </w:p>
    <w:p w14:paraId="4FF96A94">
      <w:pPr>
        <w:spacing w:line="353" w:lineRule="auto"/>
        <w:rPr>
          <w:rFonts w:ascii="Arial"/>
          <w:color w:val="auto"/>
          <w:sz w:val="21"/>
          <w:highlight w:val="none"/>
        </w:rPr>
      </w:pPr>
    </w:p>
    <w:p w14:paraId="6F011C17">
      <w:pPr>
        <w:spacing w:before="91" w:line="212" w:lineRule="auto"/>
        <w:ind w:left="5332"/>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监理人员服务费报价表</w:t>
      </w:r>
    </w:p>
    <w:tbl>
      <w:tblPr>
        <w:tblStyle w:val="22"/>
        <w:tblW w:w="142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3073"/>
        <w:gridCol w:w="1746"/>
        <w:gridCol w:w="1746"/>
        <w:gridCol w:w="1751"/>
        <w:gridCol w:w="1747"/>
        <w:gridCol w:w="1746"/>
        <w:gridCol w:w="1759"/>
      </w:tblGrid>
      <w:tr w14:paraId="4D769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vMerge w:val="restart"/>
            <w:tcBorders>
              <w:bottom w:val="nil"/>
            </w:tcBorders>
            <w:vAlign w:val="top"/>
          </w:tcPr>
          <w:p w14:paraId="6657FBD0">
            <w:pPr>
              <w:spacing w:line="350" w:lineRule="auto"/>
              <w:rPr>
                <w:rFonts w:ascii="Arial"/>
                <w:color w:val="auto"/>
                <w:sz w:val="21"/>
                <w:highlight w:val="none"/>
              </w:rPr>
            </w:pPr>
          </w:p>
          <w:p w14:paraId="1EAACB58">
            <w:pPr>
              <w:pStyle w:val="23"/>
              <w:spacing w:before="65" w:line="229" w:lineRule="auto"/>
              <w:ind w:left="121"/>
              <w:rPr>
                <w:color w:val="auto"/>
                <w:highlight w:val="none"/>
              </w:rPr>
            </w:pPr>
            <w:r>
              <w:rPr>
                <w:color w:val="auto"/>
                <w:spacing w:val="5"/>
                <w:highlight w:val="none"/>
              </w:rPr>
              <w:t>序号</w:t>
            </w:r>
          </w:p>
        </w:tc>
        <w:tc>
          <w:tcPr>
            <w:tcW w:w="3073" w:type="dxa"/>
            <w:vMerge w:val="restart"/>
            <w:tcBorders>
              <w:bottom w:val="nil"/>
            </w:tcBorders>
            <w:vAlign w:val="top"/>
          </w:tcPr>
          <w:p w14:paraId="7A13FD4B">
            <w:pPr>
              <w:pStyle w:val="23"/>
              <w:spacing w:before="297" w:line="229" w:lineRule="auto"/>
              <w:ind w:left="1330"/>
              <w:rPr>
                <w:color w:val="auto"/>
                <w:highlight w:val="none"/>
              </w:rPr>
            </w:pPr>
            <w:r>
              <w:rPr>
                <w:color w:val="auto"/>
                <w:spacing w:val="3"/>
                <w:highlight w:val="none"/>
              </w:rPr>
              <w:t>人员</w:t>
            </w:r>
          </w:p>
        </w:tc>
        <w:tc>
          <w:tcPr>
            <w:tcW w:w="5243" w:type="dxa"/>
            <w:gridSpan w:val="3"/>
            <w:vAlign w:val="top"/>
          </w:tcPr>
          <w:p w14:paraId="55D24A70">
            <w:pPr>
              <w:pStyle w:val="23"/>
              <w:spacing w:before="141" w:line="228" w:lineRule="auto"/>
              <w:ind w:left="2311"/>
              <w:rPr>
                <w:color w:val="auto"/>
                <w:highlight w:val="none"/>
              </w:rPr>
            </w:pPr>
            <w:r>
              <w:rPr>
                <w:color w:val="auto"/>
                <w:spacing w:val="7"/>
                <w:highlight w:val="none"/>
              </w:rPr>
              <w:t>施工期</w:t>
            </w:r>
          </w:p>
        </w:tc>
        <w:tc>
          <w:tcPr>
            <w:tcW w:w="5252" w:type="dxa"/>
            <w:gridSpan w:val="3"/>
            <w:vAlign w:val="top"/>
          </w:tcPr>
          <w:p w14:paraId="2F1246D7">
            <w:pPr>
              <w:pStyle w:val="23"/>
              <w:spacing w:before="140" w:line="228" w:lineRule="auto"/>
              <w:ind w:left="2125"/>
              <w:rPr>
                <w:color w:val="auto"/>
                <w:highlight w:val="none"/>
              </w:rPr>
            </w:pPr>
            <w:r>
              <w:rPr>
                <w:color w:val="auto"/>
                <w:spacing w:val="8"/>
                <w:highlight w:val="none"/>
              </w:rPr>
              <w:t>缺陷责任期</w:t>
            </w:r>
          </w:p>
        </w:tc>
      </w:tr>
      <w:tr w14:paraId="3170D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3" w:type="dxa"/>
            <w:vMerge w:val="continue"/>
            <w:tcBorders>
              <w:top w:val="nil"/>
            </w:tcBorders>
            <w:vAlign w:val="top"/>
          </w:tcPr>
          <w:p w14:paraId="7F1D7EC5">
            <w:pPr>
              <w:rPr>
                <w:rFonts w:ascii="Arial"/>
                <w:color w:val="auto"/>
                <w:sz w:val="21"/>
                <w:highlight w:val="none"/>
              </w:rPr>
            </w:pPr>
          </w:p>
        </w:tc>
        <w:tc>
          <w:tcPr>
            <w:tcW w:w="3073" w:type="dxa"/>
            <w:vMerge w:val="continue"/>
            <w:tcBorders>
              <w:top w:val="nil"/>
            </w:tcBorders>
            <w:vAlign w:val="top"/>
          </w:tcPr>
          <w:p w14:paraId="1ABDD7FF">
            <w:pPr>
              <w:rPr>
                <w:rFonts w:ascii="Arial"/>
                <w:color w:val="auto"/>
                <w:sz w:val="21"/>
                <w:highlight w:val="none"/>
              </w:rPr>
            </w:pPr>
          </w:p>
        </w:tc>
        <w:tc>
          <w:tcPr>
            <w:tcW w:w="1746" w:type="dxa"/>
            <w:vAlign w:val="top"/>
          </w:tcPr>
          <w:p w14:paraId="775A2416">
            <w:pPr>
              <w:pStyle w:val="23"/>
              <w:spacing w:before="168" w:line="228" w:lineRule="auto"/>
              <w:ind w:left="667"/>
              <w:rPr>
                <w:color w:val="auto"/>
                <w:highlight w:val="none"/>
              </w:rPr>
            </w:pPr>
            <w:r>
              <w:rPr>
                <w:color w:val="auto"/>
                <w:spacing w:val="3"/>
                <w:highlight w:val="none"/>
              </w:rPr>
              <w:t>数量</w:t>
            </w:r>
          </w:p>
        </w:tc>
        <w:tc>
          <w:tcPr>
            <w:tcW w:w="1746" w:type="dxa"/>
            <w:vAlign w:val="top"/>
          </w:tcPr>
          <w:p w14:paraId="6321734C">
            <w:pPr>
              <w:pStyle w:val="23"/>
              <w:spacing w:before="31" w:line="226" w:lineRule="auto"/>
              <w:ind w:left="668"/>
              <w:rPr>
                <w:color w:val="auto"/>
                <w:highlight w:val="none"/>
              </w:rPr>
            </w:pPr>
            <w:r>
              <w:rPr>
                <w:color w:val="auto"/>
                <w:spacing w:val="3"/>
                <w:highlight w:val="none"/>
              </w:rPr>
              <w:t>单价</w:t>
            </w:r>
          </w:p>
          <w:p w14:paraId="6B82B008">
            <w:pPr>
              <w:pStyle w:val="23"/>
              <w:spacing w:before="28" w:line="216" w:lineRule="auto"/>
              <w:ind w:left="415"/>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1" w:type="dxa"/>
            <w:vAlign w:val="top"/>
          </w:tcPr>
          <w:p w14:paraId="7DF7AA2B">
            <w:pPr>
              <w:pStyle w:val="23"/>
              <w:spacing w:before="168" w:line="228" w:lineRule="auto"/>
              <w:ind w:left="463"/>
              <w:rPr>
                <w:color w:val="auto"/>
                <w:highlight w:val="none"/>
              </w:rPr>
            </w:pPr>
            <w:r>
              <w:rPr>
                <w:color w:val="auto"/>
                <w:spacing w:val="5"/>
                <w:highlight w:val="none"/>
              </w:rPr>
              <w:t>金额(元)</w:t>
            </w:r>
          </w:p>
        </w:tc>
        <w:tc>
          <w:tcPr>
            <w:tcW w:w="1747" w:type="dxa"/>
            <w:vAlign w:val="top"/>
          </w:tcPr>
          <w:p w14:paraId="0B8BE56B">
            <w:pPr>
              <w:pStyle w:val="23"/>
              <w:spacing w:before="168" w:line="228" w:lineRule="auto"/>
              <w:ind w:left="670"/>
              <w:rPr>
                <w:color w:val="auto"/>
                <w:highlight w:val="none"/>
              </w:rPr>
            </w:pPr>
            <w:r>
              <w:rPr>
                <w:color w:val="auto"/>
                <w:spacing w:val="3"/>
                <w:highlight w:val="none"/>
              </w:rPr>
              <w:t>数量</w:t>
            </w:r>
          </w:p>
        </w:tc>
        <w:tc>
          <w:tcPr>
            <w:tcW w:w="1746" w:type="dxa"/>
            <w:vAlign w:val="top"/>
          </w:tcPr>
          <w:p w14:paraId="1EABFB88">
            <w:pPr>
              <w:pStyle w:val="23"/>
              <w:spacing w:before="31" w:line="226" w:lineRule="auto"/>
              <w:ind w:left="671"/>
              <w:rPr>
                <w:color w:val="auto"/>
                <w:highlight w:val="none"/>
              </w:rPr>
            </w:pPr>
            <w:r>
              <w:rPr>
                <w:color w:val="auto"/>
                <w:spacing w:val="3"/>
                <w:highlight w:val="none"/>
              </w:rPr>
              <w:t>单价</w:t>
            </w:r>
          </w:p>
          <w:p w14:paraId="2C241F1B">
            <w:pPr>
              <w:pStyle w:val="23"/>
              <w:spacing w:before="28" w:line="216" w:lineRule="auto"/>
              <w:ind w:left="418"/>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9" w:type="dxa"/>
            <w:vAlign w:val="top"/>
          </w:tcPr>
          <w:p w14:paraId="1A15BA87">
            <w:pPr>
              <w:pStyle w:val="23"/>
              <w:spacing w:before="168" w:line="228" w:lineRule="auto"/>
              <w:ind w:left="487"/>
              <w:rPr>
                <w:color w:val="auto"/>
                <w:highlight w:val="none"/>
              </w:rPr>
            </w:pPr>
            <w:r>
              <w:rPr>
                <w:color w:val="auto"/>
                <w:spacing w:val="5"/>
                <w:highlight w:val="none"/>
              </w:rPr>
              <w:t>金额(元)</w:t>
            </w:r>
          </w:p>
        </w:tc>
      </w:tr>
      <w:tr w14:paraId="5B729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04E7296">
            <w:pPr>
              <w:pStyle w:val="23"/>
              <w:spacing w:before="135" w:line="270" w:lineRule="exact"/>
              <w:ind w:left="293"/>
              <w:rPr>
                <w:color w:val="auto"/>
                <w:highlight w:val="none"/>
              </w:rPr>
            </w:pPr>
            <w:r>
              <w:rPr>
                <w:color w:val="auto"/>
                <w:position w:val="1"/>
                <w:highlight w:val="none"/>
              </w:rPr>
              <w:t>1</w:t>
            </w:r>
          </w:p>
        </w:tc>
        <w:tc>
          <w:tcPr>
            <w:tcW w:w="3073" w:type="dxa"/>
            <w:vAlign w:val="top"/>
          </w:tcPr>
          <w:p w14:paraId="4BC94812">
            <w:pPr>
              <w:pStyle w:val="23"/>
              <w:spacing w:before="134" w:line="228" w:lineRule="auto"/>
              <w:ind w:left="914"/>
              <w:rPr>
                <w:color w:val="auto"/>
                <w:highlight w:val="none"/>
              </w:rPr>
            </w:pPr>
            <w:r>
              <w:rPr>
                <w:color w:val="auto"/>
                <w:spacing w:val="7"/>
                <w:highlight w:val="none"/>
              </w:rPr>
              <w:t>总监理工程师</w:t>
            </w:r>
          </w:p>
        </w:tc>
        <w:tc>
          <w:tcPr>
            <w:tcW w:w="1746" w:type="dxa"/>
            <w:vAlign w:val="top"/>
          </w:tcPr>
          <w:p w14:paraId="23502D58">
            <w:pPr>
              <w:rPr>
                <w:rFonts w:ascii="Arial"/>
                <w:color w:val="auto"/>
                <w:sz w:val="21"/>
                <w:highlight w:val="none"/>
              </w:rPr>
            </w:pPr>
          </w:p>
        </w:tc>
        <w:tc>
          <w:tcPr>
            <w:tcW w:w="1746" w:type="dxa"/>
            <w:vAlign w:val="top"/>
          </w:tcPr>
          <w:p w14:paraId="20405F4A">
            <w:pPr>
              <w:rPr>
                <w:rFonts w:ascii="Arial"/>
                <w:color w:val="auto"/>
                <w:sz w:val="21"/>
                <w:highlight w:val="none"/>
              </w:rPr>
            </w:pPr>
          </w:p>
        </w:tc>
        <w:tc>
          <w:tcPr>
            <w:tcW w:w="1751" w:type="dxa"/>
            <w:vAlign w:val="top"/>
          </w:tcPr>
          <w:p w14:paraId="5227C155">
            <w:pPr>
              <w:rPr>
                <w:rFonts w:ascii="Arial"/>
                <w:color w:val="auto"/>
                <w:sz w:val="21"/>
                <w:highlight w:val="none"/>
              </w:rPr>
            </w:pPr>
          </w:p>
        </w:tc>
        <w:tc>
          <w:tcPr>
            <w:tcW w:w="1747" w:type="dxa"/>
            <w:vAlign w:val="top"/>
          </w:tcPr>
          <w:p w14:paraId="50BA4F66">
            <w:pPr>
              <w:rPr>
                <w:rFonts w:ascii="Arial"/>
                <w:color w:val="auto"/>
                <w:sz w:val="21"/>
                <w:highlight w:val="none"/>
              </w:rPr>
            </w:pPr>
          </w:p>
        </w:tc>
        <w:tc>
          <w:tcPr>
            <w:tcW w:w="1746" w:type="dxa"/>
            <w:vAlign w:val="top"/>
          </w:tcPr>
          <w:p w14:paraId="05C232BF">
            <w:pPr>
              <w:rPr>
                <w:rFonts w:ascii="Arial"/>
                <w:color w:val="auto"/>
                <w:sz w:val="21"/>
                <w:highlight w:val="none"/>
              </w:rPr>
            </w:pPr>
          </w:p>
        </w:tc>
        <w:tc>
          <w:tcPr>
            <w:tcW w:w="1759" w:type="dxa"/>
            <w:vAlign w:val="top"/>
          </w:tcPr>
          <w:p w14:paraId="6DDF930A">
            <w:pPr>
              <w:rPr>
                <w:rFonts w:ascii="Arial"/>
                <w:color w:val="auto"/>
                <w:sz w:val="21"/>
                <w:highlight w:val="none"/>
              </w:rPr>
            </w:pPr>
          </w:p>
        </w:tc>
      </w:tr>
      <w:tr w14:paraId="3498D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59472C30">
            <w:pPr>
              <w:pStyle w:val="23"/>
              <w:spacing w:before="135" w:line="270" w:lineRule="exact"/>
              <w:ind w:left="280"/>
              <w:rPr>
                <w:color w:val="auto"/>
                <w:highlight w:val="none"/>
              </w:rPr>
            </w:pPr>
            <w:r>
              <w:rPr>
                <w:color w:val="auto"/>
                <w:position w:val="1"/>
                <w:highlight w:val="none"/>
              </w:rPr>
              <w:t>2</w:t>
            </w:r>
          </w:p>
        </w:tc>
        <w:tc>
          <w:tcPr>
            <w:tcW w:w="3073" w:type="dxa"/>
            <w:vAlign w:val="top"/>
          </w:tcPr>
          <w:p w14:paraId="3DF3B8DB">
            <w:pPr>
              <w:pStyle w:val="23"/>
              <w:spacing w:before="101" w:line="228" w:lineRule="auto"/>
              <w:ind w:left="699"/>
              <w:rPr>
                <w:color w:val="auto"/>
                <w:highlight w:val="none"/>
              </w:rPr>
            </w:pPr>
            <w:r>
              <w:rPr>
                <w:color w:val="auto"/>
                <w:spacing w:val="7"/>
                <w:highlight w:val="none"/>
              </w:rPr>
              <w:t>**专业监理工程师</w:t>
            </w:r>
          </w:p>
        </w:tc>
        <w:tc>
          <w:tcPr>
            <w:tcW w:w="1746" w:type="dxa"/>
            <w:vAlign w:val="top"/>
          </w:tcPr>
          <w:p w14:paraId="0F2CCE46">
            <w:pPr>
              <w:rPr>
                <w:rFonts w:ascii="Arial"/>
                <w:color w:val="auto"/>
                <w:sz w:val="21"/>
                <w:highlight w:val="none"/>
              </w:rPr>
            </w:pPr>
          </w:p>
        </w:tc>
        <w:tc>
          <w:tcPr>
            <w:tcW w:w="1746" w:type="dxa"/>
            <w:vAlign w:val="top"/>
          </w:tcPr>
          <w:p w14:paraId="5954D49D">
            <w:pPr>
              <w:rPr>
                <w:rFonts w:ascii="Arial"/>
                <w:color w:val="auto"/>
                <w:sz w:val="21"/>
                <w:highlight w:val="none"/>
              </w:rPr>
            </w:pPr>
          </w:p>
        </w:tc>
        <w:tc>
          <w:tcPr>
            <w:tcW w:w="1751" w:type="dxa"/>
            <w:vAlign w:val="top"/>
          </w:tcPr>
          <w:p w14:paraId="70B8B112">
            <w:pPr>
              <w:rPr>
                <w:rFonts w:ascii="Arial"/>
                <w:color w:val="auto"/>
                <w:sz w:val="21"/>
                <w:highlight w:val="none"/>
              </w:rPr>
            </w:pPr>
          </w:p>
        </w:tc>
        <w:tc>
          <w:tcPr>
            <w:tcW w:w="1747" w:type="dxa"/>
            <w:vAlign w:val="top"/>
          </w:tcPr>
          <w:p w14:paraId="63B2F77C">
            <w:pPr>
              <w:rPr>
                <w:rFonts w:ascii="Arial"/>
                <w:color w:val="auto"/>
                <w:sz w:val="21"/>
                <w:highlight w:val="none"/>
              </w:rPr>
            </w:pPr>
          </w:p>
        </w:tc>
        <w:tc>
          <w:tcPr>
            <w:tcW w:w="1746" w:type="dxa"/>
            <w:vAlign w:val="top"/>
          </w:tcPr>
          <w:p w14:paraId="5835E37E">
            <w:pPr>
              <w:rPr>
                <w:rFonts w:ascii="Arial"/>
                <w:color w:val="auto"/>
                <w:sz w:val="21"/>
                <w:highlight w:val="none"/>
              </w:rPr>
            </w:pPr>
          </w:p>
        </w:tc>
        <w:tc>
          <w:tcPr>
            <w:tcW w:w="1759" w:type="dxa"/>
            <w:vAlign w:val="top"/>
          </w:tcPr>
          <w:p w14:paraId="7F430698">
            <w:pPr>
              <w:rPr>
                <w:rFonts w:ascii="Arial"/>
                <w:color w:val="auto"/>
                <w:sz w:val="21"/>
                <w:highlight w:val="none"/>
              </w:rPr>
            </w:pPr>
          </w:p>
        </w:tc>
      </w:tr>
      <w:tr w14:paraId="146B8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2F0206F">
            <w:pPr>
              <w:pStyle w:val="23"/>
              <w:spacing w:before="136" w:line="268" w:lineRule="exact"/>
              <w:ind w:left="282"/>
              <w:rPr>
                <w:color w:val="auto"/>
                <w:highlight w:val="none"/>
              </w:rPr>
            </w:pPr>
            <w:r>
              <w:rPr>
                <w:color w:val="auto"/>
                <w:position w:val="1"/>
                <w:highlight w:val="none"/>
              </w:rPr>
              <w:t>3</w:t>
            </w:r>
          </w:p>
        </w:tc>
        <w:tc>
          <w:tcPr>
            <w:tcW w:w="3073" w:type="dxa"/>
            <w:vAlign w:val="top"/>
          </w:tcPr>
          <w:p w14:paraId="320D09AB">
            <w:pPr>
              <w:pStyle w:val="23"/>
              <w:spacing w:before="135" w:line="228" w:lineRule="auto"/>
              <w:ind w:left="699"/>
              <w:rPr>
                <w:color w:val="auto"/>
                <w:highlight w:val="none"/>
              </w:rPr>
            </w:pPr>
            <w:r>
              <w:rPr>
                <w:color w:val="auto"/>
                <w:spacing w:val="7"/>
                <w:highlight w:val="none"/>
              </w:rPr>
              <w:t>**专业监理工程师</w:t>
            </w:r>
          </w:p>
        </w:tc>
        <w:tc>
          <w:tcPr>
            <w:tcW w:w="1746" w:type="dxa"/>
            <w:vAlign w:val="top"/>
          </w:tcPr>
          <w:p w14:paraId="3F0D35F1">
            <w:pPr>
              <w:rPr>
                <w:rFonts w:ascii="Arial"/>
                <w:color w:val="auto"/>
                <w:sz w:val="21"/>
                <w:highlight w:val="none"/>
              </w:rPr>
            </w:pPr>
          </w:p>
        </w:tc>
        <w:tc>
          <w:tcPr>
            <w:tcW w:w="1746" w:type="dxa"/>
            <w:vAlign w:val="top"/>
          </w:tcPr>
          <w:p w14:paraId="4E3116C7">
            <w:pPr>
              <w:rPr>
                <w:rFonts w:ascii="Arial"/>
                <w:color w:val="auto"/>
                <w:sz w:val="21"/>
                <w:highlight w:val="none"/>
              </w:rPr>
            </w:pPr>
          </w:p>
        </w:tc>
        <w:tc>
          <w:tcPr>
            <w:tcW w:w="1751" w:type="dxa"/>
            <w:vAlign w:val="top"/>
          </w:tcPr>
          <w:p w14:paraId="5A26F229">
            <w:pPr>
              <w:rPr>
                <w:rFonts w:ascii="Arial"/>
                <w:color w:val="auto"/>
                <w:sz w:val="21"/>
                <w:highlight w:val="none"/>
              </w:rPr>
            </w:pPr>
          </w:p>
        </w:tc>
        <w:tc>
          <w:tcPr>
            <w:tcW w:w="1747" w:type="dxa"/>
            <w:vAlign w:val="top"/>
          </w:tcPr>
          <w:p w14:paraId="36148114">
            <w:pPr>
              <w:rPr>
                <w:rFonts w:ascii="Arial"/>
                <w:color w:val="auto"/>
                <w:sz w:val="21"/>
                <w:highlight w:val="none"/>
              </w:rPr>
            </w:pPr>
          </w:p>
        </w:tc>
        <w:tc>
          <w:tcPr>
            <w:tcW w:w="1746" w:type="dxa"/>
            <w:vAlign w:val="top"/>
          </w:tcPr>
          <w:p w14:paraId="2E66F514">
            <w:pPr>
              <w:rPr>
                <w:rFonts w:ascii="Arial"/>
                <w:color w:val="auto"/>
                <w:sz w:val="21"/>
                <w:highlight w:val="none"/>
              </w:rPr>
            </w:pPr>
          </w:p>
        </w:tc>
        <w:tc>
          <w:tcPr>
            <w:tcW w:w="1759" w:type="dxa"/>
            <w:vAlign w:val="top"/>
          </w:tcPr>
          <w:p w14:paraId="2CD1738C">
            <w:pPr>
              <w:rPr>
                <w:rFonts w:ascii="Arial"/>
                <w:color w:val="auto"/>
                <w:sz w:val="21"/>
                <w:highlight w:val="none"/>
              </w:rPr>
            </w:pPr>
          </w:p>
        </w:tc>
      </w:tr>
      <w:tr w14:paraId="79455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08F6D902">
            <w:pPr>
              <w:pStyle w:val="23"/>
              <w:spacing w:before="136" w:line="270" w:lineRule="exact"/>
              <w:ind w:left="277"/>
              <w:rPr>
                <w:color w:val="auto"/>
                <w:highlight w:val="none"/>
              </w:rPr>
            </w:pPr>
            <w:r>
              <w:rPr>
                <w:color w:val="auto"/>
                <w:position w:val="1"/>
                <w:highlight w:val="none"/>
              </w:rPr>
              <w:t>4</w:t>
            </w:r>
          </w:p>
        </w:tc>
        <w:tc>
          <w:tcPr>
            <w:tcW w:w="3073" w:type="dxa"/>
            <w:vAlign w:val="top"/>
          </w:tcPr>
          <w:p w14:paraId="349B7C69">
            <w:pPr>
              <w:pStyle w:val="23"/>
              <w:spacing w:before="135" w:line="228" w:lineRule="auto"/>
              <w:ind w:left="699"/>
              <w:rPr>
                <w:color w:val="auto"/>
                <w:highlight w:val="none"/>
              </w:rPr>
            </w:pPr>
            <w:r>
              <w:rPr>
                <w:color w:val="auto"/>
                <w:spacing w:val="7"/>
                <w:highlight w:val="none"/>
              </w:rPr>
              <w:t>**专业监理工程师</w:t>
            </w:r>
          </w:p>
        </w:tc>
        <w:tc>
          <w:tcPr>
            <w:tcW w:w="1746" w:type="dxa"/>
            <w:vAlign w:val="top"/>
          </w:tcPr>
          <w:p w14:paraId="16BEC4E4">
            <w:pPr>
              <w:rPr>
                <w:rFonts w:ascii="Arial"/>
                <w:color w:val="auto"/>
                <w:sz w:val="21"/>
                <w:highlight w:val="none"/>
              </w:rPr>
            </w:pPr>
          </w:p>
        </w:tc>
        <w:tc>
          <w:tcPr>
            <w:tcW w:w="1746" w:type="dxa"/>
            <w:vAlign w:val="top"/>
          </w:tcPr>
          <w:p w14:paraId="2633F7C1">
            <w:pPr>
              <w:rPr>
                <w:rFonts w:ascii="Arial"/>
                <w:color w:val="auto"/>
                <w:sz w:val="21"/>
                <w:highlight w:val="none"/>
              </w:rPr>
            </w:pPr>
          </w:p>
        </w:tc>
        <w:tc>
          <w:tcPr>
            <w:tcW w:w="1751" w:type="dxa"/>
            <w:vAlign w:val="top"/>
          </w:tcPr>
          <w:p w14:paraId="2461C82D">
            <w:pPr>
              <w:rPr>
                <w:rFonts w:ascii="Arial"/>
                <w:color w:val="auto"/>
                <w:sz w:val="21"/>
                <w:highlight w:val="none"/>
              </w:rPr>
            </w:pPr>
          </w:p>
        </w:tc>
        <w:tc>
          <w:tcPr>
            <w:tcW w:w="1747" w:type="dxa"/>
            <w:vAlign w:val="top"/>
          </w:tcPr>
          <w:p w14:paraId="0E1DA14A">
            <w:pPr>
              <w:rPr>
                <w:rFonts w:ascii="Arial"/>
                <w:color w:val="auto"/>
                <w:sz w:val="21"/>
                <w:highlight w:val="none"/>
              </w:rPr>
            </w:pPr>
          </w:p>
        </w:tc>
        <w:tc>
          <w:tcPr>
            <w:tcW w:w="1746" w:type="dxa"/>
            <w:vAlign w:val="top"/>
          </w:tcPr>
          <w:p w14:paraId="5C2D0353">
            <w:pPr>
              <w:rPr>
                <w:rFonts w:ascii="Arial"/>
                <w:color w:val="auto"/>
                <w:sz w:val="21"/>
                <w:highlight w:val="none"/>
              </w:rPr>
            </w:pPr>
          </w:p>
        </w:tc>
        <w:tc>
          <w:tcPr>
            <w:tcW w:w="1759" w:type="dxa"/>
            <w:vAlign w:val="top"/>
          </w:tcPr>
          <w:p w14:paraId="2E2BDE77">
            <w:pPr>
              <w:rPr>
                <w:rFonts w:ascii="Arial"/>
                <w:color w:val="auto"/>
                <w:sz w:val="21"/>
                <w:highlight w:val="none"/>
              </w:rPr>
            </w:pPr>
          </w:p>
        </w:tc>
      </w:tr>
      <w:tr w14:paraId="12D8A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62E556F1">
            <w:pPr>
              <w:pStyle w:val="23"/>
              <w:spacing w:before="137" w:line="268" w:lineRule="exact"/>
              <w:ind w:left="282"/>
              <w:rPr>
                <w:color w:val="auto"/>
                <w:highlight w:val="none"/>
              </w:rPr>
            </w:pPr>
            <w:r>
              <w:rPr>
                <w:color w:val="auto"/>
                <w:position w:val="1"/>
                <w:highlight w:val="none"/>
              </w:rPr>
              <w:t>5</w:t>
            </w:r>
          </w:p>
        </w:tc>
        <w:tc>
          <w:tcPr>
            <w:tcW w:w="3073" w:type="dxa"/>
            <w:vAlign w:val="top"/>
          </w:tcPr>
          <w:p w14:paraId="4A078DAB">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33205431">
            <w:pPr>
              <w:rPr>
                <w:rFonts w:ascii="Arial"/>
                <w:color w:val="auto"/>
                <w:sz w:val="21"/>
                <w:highlight w:val="none"/>
              </w:rPr>
            </w:pPr>
          </w:p>
        </w:tc>
        <w:tc>
          <w:tcPr>
            <w:tcW w:w="1746" w:type="dxa"/>
            <w:vAlign w:val="top"/>
          </w:tcPr>
          <w:p w14:paraId="527CA12B">
            <w:pPr>
              <w:rPr>
                <w:rFonts w:ascii="Arial"/>
                <w:color w:val="auto"/>
                <w:sz w:val="21"/>
                <w:highlight w:val="none"/>
              </w:rPr>
            </w:pPr>
          </w:p>
        </w:tc>
        <w:tc>
          <w:tcPr>
            <w:tcW w:w="1751" w:type="dxa"/>
            <w:vAlign w:val="top"/>
          </w:tcPr>
          <w:p w14:paraId="785107ED">
            <w:pPr>
              <w:rPr>
                <w:rFonts w:ascii="Arial"/>
                <w:color w:val="auto"/>
                <w:sz w:val="21"/>
                <w:highlight w:val="none"/>
              </w:rPr>
            </w:pPr>
          </w:p>
        </w:tc>
        <w:tc>
          <w:tcPr>
            <w:tcW w:w="1747" w:type="dxa"/>
            <w:vAlign w:val="top"/>
          </w:tcPr>
          <w:p w14:paraId="6F2F1A75">
            <w:pPr>
              <w:rPr>
                <w:rFonts w:ascii="Arial"/>
                <w:color w:val="auto"/>
                <w:sz w:val="21"/>
                <w:highlight w:val="none"/>
              </w:rPr>
            </w:pPr>
          </w:p>
        </w:tc>
        <w:tc>
          <w:tcPr>
            <w:tcW w:w="1746" w:type="dxa"/>
            <w:vAlign w:val="top"/>
          </w:tcPr>
          <w:p w14:paraId="35815A24">
            <w:pPr>
              <w:rPr>
                <w:rFonts w:ascii="Arial"/>
                <w:color w:val="auto"/>
                <w:sz w:val="21"/>
                <w:highlight w:val="none"/>
              </w:rPr>
            </w:pPr>
          </w:p>
        </w:tc>
        <w:tc>
          <w:tcPr>
            <w:tcW w:w="1759" w:type="dxa"/>
            <w:vAlign w:val="top"/>
          </w:tcPr>
          <w:p w14:paraId="4DE17B85">
            <w:pPr>
              <w:rPr>
                <w:rFonts w:ascii="Arial"/>
                <w:color w:val="auto"/>
                <w:sz w:val="21"/>
                <w:highlight w:val="none"/>
              </w:rPr>
            </w:pPr>
          </w:p>
        </w:tc>
      </w:tr>
      <w:tr w14:paraId="71E11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7A85C9F3">
            <w:pPr>
              <w:pStyle w:val="23"/>
              <w:spacing w:before="137" w:line="268" w:lineRule="exact"/>
              <w:ind w:left="279"/>
              <w:rPr>
                <w:color w:val="auto"/>
                <w:highlight w:val="none"/>
              </w:rPr>
            </w:pPr>
            <w:r>
              <w:rPr>
                <w:color w:val="auto"/>
                <w:position w:val="1"/>
                <w:highlight w:val="none"/>
              </w:rPr>
              <w:t>6</w:t>
            </w:r>
          </w:p>
        </w:tc>
        <w:tc>
          <w:tcPr>
            <w:tcW w:w="3073" w:type="dxa"/>
            <w:vAlign w:val="top"/>
          </w:tcPr>
          <w:p w14:paraId="28E1DA17">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130A12CC">
            <w:pPr>
              <w:rPr>
                <w:rFonts w:ascii="Arial"/>
                <w:color w:val="auto"/>
                <w:sz w:val="21"/>
                <w:highlight w:val="none"/>
              </w:rPr>
            </w:pPr>
          </w:p>
        </w:tc>
        <w:tc>
          <w:tcPr>
            <w:tcW w:w="1746" w:type="dxa"/>
            <w:vAlign w:val="top"/>
          </w:tcPr>
          <w:p w14:paraId="0CBCEDBB">
            <w:pPr>
              <w:rPr>
                <w:rFonts w:ascii="Arial"/>
                <w:color w:val="auto"/>
                <w:sz w:val="21"/>
                <w:highlight w:val="none"/>
              </w:rPr>
            </w:pPr>
          </w:p>
        </w:tc>
        <w:tc>
          <w:tcPr>
            <w:tcW w:w="1751" w:type="dxa"/>
            <w:vAlign w:val="top"/>
          </w:tcPr>
          <w:p w14:paraId="11C46444">
            <w:pPr>
              <w:rPr>
                <w:rFonts w:ascii="Arial"/>
                <w:color w:val="auto"/>
                <w:sz w:val="21"/>
                <w:highlight w:val="none"/>
              </w:rPr>
            </w:pPr>
          </w:p>
        </w:tc>
        <w:tc>
          <w:tcPr>
            <w:tcW w:w="1747" w:type="dxa"/>
            <w:vAlign w:val="top"/>
          </w:tcPr>
          <w:p w14:paraId="2FABC1D7">
            <w:pPr>
              <w:rPr>
                <w:rFonts w:ascii="Arial"/>
                <w:color w:val="auto"/>
                <w:sz w:val="21"/>
                <w:highlight w:val="none"/>
              </w:rPr>
            </w:pPr>
          </w:p>
        </w:tc>
        <w:tc>
          <w:tcPr>
            <w:tcW w:w="1746" w:type="dxa"/>
            <w:vAlign w:val="top"/>
          </w:tcPr>
          <w:p w14:paraId="2C38D60D">
            <w:pPr>
              <w:rPr>
                <w:rFonts w:ascii="Arial"/>
                <w:color w:val="auto"/>
                <w:sz w:val="21"/>
                <w:highlight w:val="none"/>
              </w:rPr>
            </w:pPr>
          </w:p>
        </w:tc>
        <w:tc>
          <w:tcPr>
            <w:tcW w:w="1759" w:type="dxa"/>
            <w:vAlign w:val="top"/>
          </w:tcPr>
          <w:p w14:paraId="76552536">
            <w:pPr>
              <w:rPr>
                <w:rFonts w:ascii="Arial"/>
                <w:color w:val="auto"/>
                <w:sz w:val="21"/>
                <w:highlight w:val="none"/>
              </w:rPr>
            </w:pPr>
          </w:p>
        </w:tc>
      </w:tr>
      <w:tr w14:paraId="239AC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13612C56">
            <w:pPr>
              <w:pStyle w:val="23"/>
              <w:spacing w:before="137" w:line="268" w:lineRule="exact"/>
              <w:ind w:left="283"/>
              <w:rPr>
                <w:color w:val="auto"/>
                <w:highlight w:val="none"/>
              </w:rPr>
            </w:pPr>
            <w:r>
              <w:rPr>
                <w:color w:val="auto"/>
                <w:position w:val="1"/>
                <w:highlight w:val="none"/>
              </w:rPr>
              <w:t>7</w:t>
            </w:r>
          </w:p>
        </w:tc>
        <w:tc>
          <w:tcPr>
            <w:tcW w:w="3073" w:type="dxa"/>
            <w:vAlign w:val="top"/>
          </w:tcPr>
          <w:p w14:paraId="628C6595">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2460284A">
            <w:pPr>
              <w:rPr>
                <w:rFonts w:ascii="Arial"/>
                <w:color w:val="auto"/>
                <w:sz w:val="21"/>
                <w:highlight w:val="none"/>
              </w:rPr>
            </w:pPr>
          </w:p>
        </w:tc>
        <w:tc>
          <w:tcPr>
            <w:tcW w:w="1746" w:type="dxa"/>
            <w:vAlign w:val="top"/>
          </w:tcPr>
          <w:p w14:paraId="42A9F6C2">
            <w:pPr>
              <w:rPr>
                <w:rFonts w:ascii="Arial"/>
                <w:color w:val="auto"/>
                <w:sz w:val="21"/>
                <w:highlight w:val="none"/>
              </w:rPr>
            </w:pPr>
          </w:p>
        </w:tc>
        <w:tc>
          <w:tcPr>
            <w:tcW w:w="1751" w:type="dxa"/>
            <w:vAlign w:val="top"/>
          </w:tcPr>
          <w:p w14:paraId="65C33948">
            <w:pPr>
              <w:rPr>
                <w:rFonts w:ascii="Arial"/>
                <w:color w:val="auto"/>
                <w:sz w:val="21"/>
                <w:highlight w:val="none"/>
              </w:rPr>
            </w:pPr>
          </w:p>
        </w:tc>
        <w:tc>
          <w:tcPr>
            <w:tcW w:w="1747" w:type="dxa"/>
            <w:vAlign w:val="top"/>
          </w:tcPr>
          <w:p w14:paraId="263C1E89">
            <w:pPr>
              <w:rPr>
                <w:rFonts w:ascii="Arial"/>
                <w:color w:val="auto"/>
                <w:sz w:val="21"/>
                <w:highlight w:val="none"/>
              </w:rPr>
            </w:pPr>
          </w:p>
        </w:tc>
        <w:tc>
          <w:tcPr>
            <w:tcW w:w="1746" w:type="dxa"/>
            <w:vAlign w:val="top"/>
          </w:tcPr>
          <w:p w14:paraId="663B7476">
            <w:pPr>
              <w:rPr>
                <w:rFonts w:ascii="Arial"/>
                <w:color w:val="auto"/>
                <w:sz w:val="21"/>
                <w:highlight w:val="none"/>
              </w:rPr>
            </w:pPr>
          </w:p>
        </w:tc>
        <w:tc>
          <w:tcPr>
            <w:tcW w:w="1759" w:type="dxa"/>
            <w:vAlign w:val="top"/>
          </w:tcPr>
          <w:p w14:paraId="1B5AC5BA">
            <w:pPr>
              <w:rPr>
                <w:rFonts w:ascii="Arial"/>
                <w:color w:val="auto"/>
                <w:sz w:val="21"/>
                <w:highlight w:val="none"/>
              </w:rPr>
            </w:pPr>
          </w:p>
        </w:tc>
      </w:tr>
      <w:tr w14:paraId="7DDC6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49882A2E">
            <w:pPr>
              <w:pStyle w:val="23"/>
              <w:spacing w:before="137" w:line="268" w:lineRule="exact"/>
              <w:ind w:left="278"/>
              <w:rPr>
                <w:color w:val="auto"/>
                <w:highlight w:val="none"/>
              </w:rPr>
            </w:pPr>
            <w:r>
              <w:rPr>
                <w:color w:val="auto"/>
                <w:position w:val="1"/>
                <w:highlight w:val="none"/>
              </w:rPr>
              <w:t>8</w:t>
            </w:r>
          </w:p>
        </w:tc>
        <w:tc>
          <w:tcPr>
            <w:tcW w:w="3073" w:type="dxa"/>
            <w:vAlign w:val="top"/>
          </w:tcPr>
          <w:p w14:paraId="4E256893">
            <w:pPr>
              <w:pStyle w:val="23"/>
              <w:spacing w:before="136" w:line="228" w:lineRule="auto"/>
              <w:ind w:left="699"/>
              <w:rPr>
                <w:color w:val="auto"/>
                <w:highlight w:val="none"/>
              </w:rPr>
            </w:pPr>
            <w:r>
              <w:rPr>
                <w:color w:val="auto"/>
                <w:spacing w:val="7"/>
                <w:highlight w:val="none"/>
              </w:rPr>
              <w:t>**专业监理工程师</w:t>
            </w:r>
          </w:p>
        </w:tc>
        <w:tc>
          <w:tcPr>
            <w:tcW w:w="1746" w:type="dxa"/>
            <w:vAlign w:val="top"/>
          </w:tcPr>
          <w:p w14:paraId="1FEE575D">
            <w:pPr>
              <w:rPr>
                <w:rFonts w:ascii="Arial"/>
                <w:color w:val="auto"/>
                <w:sz w:val="21"/>
                <w:highlight w:val="none"/>
              </w:rPr>
            </w:pPr>
          </w:p>
        </w:tc>
        <w:tc>
          <w:tcPr>
            <w:tcW w:w="1746" w:type="dxa"/>
            <w:vAlign w:val="top"/>
          </w:tcPr>
          <w:p w14:paraId="50633FD1">
            <w:pPr>
              <w:rPr>
                <w:rFonts w:ascii="Arial"/>
                <w:color w:val="auto"/>
                <w:sz w:val="21"/>
                <w:highlight w:val="none"/>
              </w:rPr>
            </w:pPr>
          </w:p>
        </w:tc>
        <w:tc>
          <w:tcPr>
            <w:tcW w:w="1751" w:type="dxa"/>
            <w:vAlign w:val="top"/>
          </w:tcPr>
          <w:p w14:paraId="682D6392">
            <w:pPr>
              <w:rPr>
                <w:rFonts w:ascii="Arial"/>
                <w:color w:val="auto"/>
                <w:sz w:val="21"/>
                <w:highlight w:val="none"/>
              </w:rPr>
            </w:pPr>
          </w:p>
        </w:tc>
        <w:tc>
          <w:tcPr>
            <w:tcW w:w="1747" w:type="dxa"/>
            <w:vAlign w:val="top"/>
          </w:tcPr>
          <w:p w14:paraId="629E3934">
            <w:pPr>
              <w:rPr>
                <w:rFonts w:ascii="Arial"/>
                <w:color w:val="auto"/>
                <w:sz w:val="21"/>
                <w:highlight w:val="none"/>
              </w:rPr>
            </w:pPr>
          </w:p>
        </w:tc>
        <w:tc>
          <w:tcPr>
            <w:tcW w:w="1746" w:type="dxa"/>
            <w:vAlign w:val="top"/>
          </w:tcPr>
          <w:p w14:paraId="31A71535">
            <w:pPr>
              <w:rPr>
                <w:rFonts w:ascii="Arial"/>
                <w:color w:val="auto"/>
                <w:sz w:val="21"/>
                <w:highlight w:val="none"/>
              </w:rPr>
            </w:pPr>
          </w:p>
        </w:tc>
        <w:tc>
          <w:tcPr>
            <w:tcW w:w="1759" w:type="dxa"/>
            <w:vAlign w:val="top"/>
          </w:tcPr>
          <w:p w14:paraId="4C4A1E43">
            <w:pPr>
              <w:rPr>
                <w:rFonts w:ascii="Arial"/>
                <w:color w:val="auto"/>
                <w:sz w:val="21"/>
                <w:highlight w:val="none"/>
              </w:rPr>
            </w:pPr>
          </w:p>
        </w:tc>
      </w:tr>
      <w:tr w14:paraId="10A0D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7470DA69">
            <w:pPr>
              <w:pStyle w:val="23"/>
              <w:spacing w:before="138" w:line="268" w:lineRule="exact"/>
              <w:ind w:left="278"/>
              <w:rPr>
                <w:color w:val="auto"/>
                <w:highlight w:val="none"/>
              </w:rPr>
            </w:pPr>
            <w:r>
              <w:rPr>
                <w:color w:val="auto"/>
                <w:position w:val="1"/>
                <w:highlight w:val="none"/>
              </w:rPr>
              <w:t>9</w:t>
            </w:r>
          </w:p>
        </w:tc>
        <w:tc>
          <w:tcPr>
            <w:tcW w:w="3073" w:type="dxa"/>
            <w:vAlign w:val="top"/>
          </w:tcPr>
          <w:p w14:paraId="0E179E64">
            <w:pPr>
              <w:pStyle w:val="23"/>
              <w:spacing w:before="137" w:line="228" w:lineRule="auto"/>
              <w:ind w:left="699"/>
              <w:rPr>
                <w:color w:val="auto"/>
                <w:highlight w:val="none"/>
              </w:rPr>
            </w:pPr>
            <w:r>
              <w:rPr>
                <w:color w:val="auto"/>
                <w:spacing w:val="7"/>
                <w:highlight w:val="none"/>
              </w:rPr>
              <w:t>**专业监理工程师</w:t>
            </w:r>
          </w:p>
        </w:tc>
        <w:tc>
          <w:tcPr>
            <w:tcW w:w="1746" w:type="dxa"/>
            <w:vAlign w:val="top"/>
          </w:tcPr>
          <w:p w14:paraId="0C0C5FBC">
            <w:pPr>
              <w:rPr>
                <w:rFonts w:ascii="Arial"/>
                <w:color w:val="auto"/>
                <w:sz w:val="21"/>
                <w:highlight w:val="none"/>
              </w:rPr>
            </w:pPr>
          </w:p>
        </w:tc>
        <w:tc>
          <w:tcPr>
            <w:tcW w:w="1746" w:type="dxa"/>
            <w:vAlign w:val="top"/>
          </w:tcPr>
          <w:p w14:paraId="51854342">
            <w:pPr>
              <w:rPr>
                <w:rFonts w:ascii="Arial"/>
                <w:color w:val="auto"/>
                <w:sz w:val="21"/>
                <w:highlight w:val="none"/>
              </w:rPr>
            </w:pPr>
          </w:p>
        </w:tc>
        <w:tc>
          <w:tcPr>
            <w:tcW w:w="1751" w:type="dxa"/>
            <w:vAlign w:val="top"/>
          </w:tcPr>
          <w:p w14:paraId="089BCA41">
            <w:pPr>
              <w:rPr>
                <w:rFonts w:ascii="Arial"/>
                <w:color w:val="auto"/>
                <w:sz w:val="21"/>
                <w:highlight w:val="none"/>
              </w:rPr>
            </w:pPr>
          </w:p>
        </w:tc>
        <w:tc>
          <w:tcPr>
            <w:tcW w:w="1747" w:type="dxa"/>
            <w:vAlign w:val="top"/>
          </w:tcPr>
          <w:p w14:paraId="28646117">
            <w:pPr>
              <w:rPr>
                <w:rFonts w:ascii="Arial"/>
                <w:color w:val="auto"/>
                <w:sz w:val="21"/>
                <w:highlight w:val="none"/>
              </w:rPr>
            </w:pPr>
          </w:p>
        </w:tc>
        <w:tc>
          <w:tcPr>
            <w:tcW w:w="1746" w:type="dxa"/>
            <w:vAlign w:val="top"/>
          </w:tcPr>
          <w:p w14:paraId="32FB592F">
            <w:pPr>
              <w:rPr>
                <w:rFonts w:ascii="Arial"/>
                <w:color w:val="auto"/>
                <w:sz w:val="21"/>
                <w:highlight w:val="none"/>
              </w:rPr>
            </w:pPr>
          </w:p>
        </w:tc>
        <w:tc>
          <w:tcPr>
            <w:tcW w:w="1759" w:type="dxa"/>
            <w:vAlign w:val="top"/>
          </w:tcPr>
          <w:p w14:paraId="0C06945B">
            <w:pPr>
              <w:rPr>
                <w:rFonts w:ascii="Arial"/>
                <w:color w:val="auto"/>
                <w:sz w:val="21"/>
                <w:highlight w:val="none"/>
              </w:rPr>
            </w:pPr>
          </w:p>
        </w:tc>
      </w:tr>
      <w:tr w14:paraId="66847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0A689A17">
            <w:pPr>
              <w:pStyle w:val="23"/>
              <w:spacing w:before="138" w:line="268" w:lineRule="exact"/>
              <w:ind w:left="243"/>
              <w:rPr>
                <w:color w:val="auto"/>
                <w:highlight w:val="none"/>
              </w:rPr>
            </w:pPr>
            <w:r>
              <w:rPr>
                <w:color w:val="auto"/>
                <w:spacing w:val="-7"/>
                <w:position w:val="1"/>
                <w:highlight w:val="none"/>
              </w:rPr>
              <w:t>10</w:t>
            </w:r>
          </w:p>
        </w:tc>
        <w:tc>
          <w:tcPr>
            <w:tcW w:w="3073" w:type="dxa"/>
            <w:vAlign w:val="top"/>
          </w:tcPr>
          <w:p w14:paraId="77FC4E3E">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1DF8C1D5">
            <w:pPr>
              <w:rPr>
                <w:rFonts w:ascii="Arial"/>
                <w:color w:val="auto"/>
                <w:sz w:val="21"/>
                <w:highlight w:val="none"/>
              </w:rPr>
            </w:pPr>
          </w:p>
        </w:tc>
        <w:tc>
          <w:tcPr>
            <w:tcW w:w="1746" w:type="dxa"/>
            <w:vAlign w:val="top"/>
          </w:tcPr>
          <w:p w14:paraId="2F8EBA89">
            <w:pPr>
              <w:rPr>
                <w:rFonts w:ascii="Arial"/>
                <w:color w:val="auto"/>
                <w:sz w:val="21"/>
                <w:highlight w:val="none"/>
              </w:rPr>
            </w:pPr>
          </w:p>
        </w:tc>
        <w:tc>
          <w:tcPr>
            <w:tcW w:w="1751" w:type="dxa"/>
            <w:vAlign w:val="top"/>
          </w:tcPr>
          <w:p w14:paraId="1B742544">
            <w:pPr>
              <w:rPr>
                <w:rFonts w:ascii="Arial"/>
                <w:color w:val="auto"/>
                <w:sz w:val="21"/>
                <w:highlight w:val="none"/>
              </w:rPr>
            </w:pPr>
          </w:p>
        </w:tc>
        <w:tc>
          <w:tcPr>
            <w:tcW w:w="1747" w:type="dxa"/>
            <w:vAlign w:val="top"/>
          </w:tcPr>
          <w:p w14:paraId="4C0A8723">
            <w:pPr>
              <w:rPr>
                <w:rFonts w:ascii="Arial"/>
                <w:color w:val="auto"/>
                <w:sz w:val="21"/>
                <w:highlight w:val="none"/>
              </w:rPr>
            </w:pPr>
          </w:p>
        </w:tc>
        <w:tc>
          <w:tcPr>
            <w:tcW w:w="1746" w:type="dxa"/>
            <w:vAlign w:val="top"/>
          </w:tcPr>
          <w:p w14:paraId="2ED703B7">
            <w:pPr>
              <w:rPr>
                <w:rFonts w:ascii="Arial"/>
                <w:color w:val="auto"/>
                <w:sz w:val="21"/>
                <w:highlight w:val="none"/>
              </w:rPr>
            </w:pPr>
          </w:p>
        </w:tc>
        <w:tc>
          <w:tcPr>
            <w:tcW w:w="1759" w:type="dxa"/>
            <w:vAlign w:val="top"/>
          </w:tcPr>
          <w:p w14:paraId="6C2760DC">
            <w:pPr>
              <w:rPr>
                <w:rFonts w:ascii="Arial"/>
                <w:color w:val="auto"/>
                <w:sz w:val="21"/>
                <w:highlight w:val="none"/>
              </w:rPr>
            </w:pPr>
          </w:p>
        </w:tc>
      </w:tr>
      <w:tr w14:paraId="33371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269A1AB4">
            <w:pPr>
              <w:pStyle w:val="23"/>
              <w:spacing w:before="138" w:line="270" w:lineRule="exact"/>
              <w:ind w:left="243"/>
              <w:rPr>
                <w:color w:val="auto"/>
                <w:highlight w:val="none"/>
              </w:rPr>
            </w:pPr>
            <w:r>
              <w:rPr>
                <w:color w:val="auto"/>
                <w:spacing w:val="-7"/>
                <w:position w:val="1"/>
                <w:highlight w:val="none"/>
              </w:rPr>
              <w:t>11</w:t>
            </w:r>
          </w:p>
        </w:tc>
        <w:tc>
          <w:tcPr>
            <w:tcW w:w="3073" w:type="dxa"/>
            <w:vAlign w:val="top"/>
          </w:tcPr>
          <w:p w14:paraId="3C9CFCC6">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2F86B63C">
            <w:pPr>
              <w:rPr>
                <w:rFonts w:ascii="Arial"/>
                <w:color w:val="auto"/>
                <w:sz w:val="21"/>
                <w:highlight w:val="none"/>
              </w:rPr>
            </w:pPr>
          </w:p>
        </w:tc>
        <w:tc>
          <w:tcPr>
            <w:tcW w:w="1746" w:type="dxa"/>
            <w:vAlign w:val="top"/>
          </w:tcPr>
          <w:p w14:paraId="0F6E16A9">
            <w:pPr>
              <w:rPr>
                <w:rFonts w:ascii="Arial"/>
                <w:color w:val="auto"/>
                <w:sz w:val="21"/>
                <w:highlight w:val="none"/>
              </w:rPr>
            </w:pPr>
          </w:p>
        </w:tc>
        <w:tc>
          <w:tcPr>
            <w:tcW w:w="1751" w:type="dxa"/>
            <w:vAlign w:val="top"/>
          </w:tcPr>
          <w:p w14:paraId="66A70B91">
            <w:pPr>
              <w:rPr>
                <w:rFonts w:ascii="Arial"/>
                <w:color w:val="auto"/>
                <w:sz w:val="21"/>
                <w:highlight w:val="none"/>
              </w:rPr>
            </w:pPr>
          </w:p>
        </w:tc>
        <w:tc>
          <w:tcPr>
            <w:tcW w:w="1747" w:type="dxa"/>
            <w:vAlign w:val="top"/>
          </w:tcPr>
          <w:p w14:paraId="559B48DB">
            <w:pPr>
              <w:rPr>
                <w:rFonts w:ascii="Arial"/>
                <w:color w:val="auto"/>
                <w:sz w:val="21"/>
                <w:highlight w:val="none"/>
              </w:rPr>
            </w:pPr>
          </w:p>
        </w:tc>
        <w:tc>
          <w:tcPr>
            <w:tcW w:w="1746" w:type="dxa"/>
            <w:vAlign w:val="top"/>
          </w:tcPr>
          <w:p w14:paraId="2574EB4E">
            <w:pPr>
              <w:rPr>
                <w:rFonts w:ascii="Arial"/>
                <w:color w:val="auto"/>
                <w:sz w:val="21"/>
                <w:highlight w:val="none"/>
              </w:rPr>
            </w:pPr>
          </w:p>
        </w:tc>
        <w:tc>
          <w:tcPr>
            <w:tcW w:w="1759" w:type="dxa"/>
            <w:vAlign w:val="top"/>
          </w:tcPr>
          <w:p w14:paraId="2626C19F">
            <w:pPr>
              <w:rPr>
                <w:rFonts w:ascii="Arial"/>
                <w:color w:val="auto"/>
                <w:sz w:val="21"/>
                <w:highlight w:val="none"/>
              </w:rPr>
            </w:pPr>
          </w:p>
        </w:tc>
      </w:tr>
      <w:tr w14:paraId="55890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E582A11">
            <w:pPr>
              <w:pStyle w:val="23"/>
              <w:spacing w:before="138" w:line="270" w:lineRule="exact"/>
              <w:ind w:left="243"/>
              <w:rPr>
                <w:color w:val="auto"/>
                <w:highlight w:val="none"/>
              </w:rPr>
            </w:pPr>
            <w:r>
              <w:rPr>
                <w:color w:val="auto"/>
                <w:spacing w:val="-7"/>
                <w:position w:val="1"/>
                <w:highlight w:val="none"/>
              </w:rPr>
              <w:t>12</w:t>
            </w:r>
          </w:p>
        </w:tc>
        <w:tc>
          <w:tcPr>
            <w:tcW w:w="3073" w:type="dxa"/>
            <w:vAlign w:val="top"/>
          </w:tcPr>
          <w:p w14:paraId="6A81CAB6">
            <w:pPr>
              <w:pStyle w:val="23"/>
              <w:spacing w:before="138" w:line="324" w:lineRule="exact"/>
              <w:ind w:left="1342"/>
              <w:rPr>
                <w:color w:val="auto"/>
                <w:highlight w:val="none"/>
              </w:rPr>
            </w:pPr>
            <w:r>
              <w:rPr>
                <w:color w:val="auto"/>
                <w:spacing w:val="-2"/>
                <w:position w:val="2"/>
                <w:highlight w:val="none"/>
              </w:rPr>
              <w:t>……</w:t>
            </w:r>
          </w:p>
        </w:tc>
        <w:tc>
          <w:tcPr>
            <w:tcW w:w="1746" w:type="dxa"/>
            <w:vAlign w:val="top"/>
          </w:tcPr>
          <w:p w14:paraId="14AE815C">
            <w:pPr>
              <w:rPr>
                <w:rFonts w:ascii="Arial"/>
                <w:color w:val="auto"/>
                <w:sz w:val="21"/>
                <w:highlight w:val="none"/>
              </w:rPr>
            </w:pPr>
          </w:p>
        </w:tc>
        <w:tc>
          <w:tcPr>
            <w:tcW w:w="1746" w:type="dxa"/>
            <w:vAlign w:val="top"/>
          </w:tcPr>
          <w:p w14:paraId="0903C766">
            <w:pPr>
              <w:rPr>
                <w:rFonts w:ascii="Arial"/>
                <w:color w:val="auto"/>
                <w:sz w:val="21"/>
                <w:highlight w:val="none"/>
              </w:rPr>
            </w:pPr>
          </w:p>
        </w:tc>
        <w:tc>
          <w:tcPr>
            <w:tcW w:w="1751" w:type="dxa"/>
            <w:vAlign w:val="top"/>
          </w:tcPr>
          <w:p w14:paraId="0507EC3F">
            <w:pPr>
              <w:rPr>
                <w:rFonts w:ascii="Arial"/>
                <w:color w:val="auto"/>
                <w:sz w:val="21"/>
                <w:highlight w:val="none"/>
              </w:rPr>
            </w:pPr>
          </w:p>
        </w:tc>
        <w:tc>
          <w:tcPr>
            <w:tcW w:w="1747" w:type="dxa"/>
            <w:vAlign w:val="top"/>
          </w:tcPr>
          <w:p w14:paraId="1EDA4BDC">
            <w:pPr>
              <w:rPr>
                <w:rFonts w:ascii="Arial"/>
                <w:color w:val="auto"/>
                <w:sz w:val="21"/>
                <w:highlight w:val="none"/>
              </w:rPr>
            </w:pPr>
          </w:p>
        </w:tc>
        <w:tc>
          <w:tcPr>
            <w:tcW w:w="1746" w:type="dxa"/>
            <w:vAlign w:val="top"/>
          </w:tcPr>
          <w:p w14:paraId="32A7BD8F">
            <w:pPr>
              <w:rPr>
                <w:rFonts w:ascii="Arial"/>
                <w:color w:val="auto"/>
                <w:sz w:val="21"/>
                <w:highlight w:val="none"/>
              </w:rPr>
            </w:pPr>
          </w:p>
        </w:tc>
        <w:tc>
          <w:tcPr>
            <w:tcW w:w="1759" w:type="dxa"/>
            <w:vAlign w:val="top"/>
          </w:tcPr>
          <w:p w14:paraId="6D72A84D">
            <w:pPr>
              <w:rPr>
                <w:rFonts w:ascii="Arial"/>
                <w:color w:val="auto"/>
                <w:sz w:val="21"/>
                <w:highlight w:val="none"/>
              </w:rPr>
            </w:pPr>
          </w:p>
        </w:tc>
      </w:tr>
      <w:tr w14:paraId="445B1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tcBorders>
              <w:right w:val="nil"/>
            </w:tcBorders>
            <w:vAlign w:val="top"/>
          </w:tcPr>
          <w:p w14:paraId="471ACA45">
            <w:pPr>
              <w:rPr>
                <w:rFonts w:ascii="Arial"/>
                <w:color w:val="auto"/>
                <w:sz w:val="21"/>
                <w:highlight w:val="none"/>
              </w:rPr>
            </w:pPr>
          </w:p>
        </w:tc>
        <w:tc>
          <w:tcPr>
            <w:tcW w:w="3073" w:type="dxa"/>
            <w:tcBorders>
              <w:left w:val="nil"/>
            </w:tcBorders>
            <w:vAlign w:val="top"/>
          </w:tcPr>
          <w:p w14:paraId="48E9EE91">
            <w:pPr>
              <w:pStyle w:val="23"/>
              <w:spacing w:before="138" w:line="228" w:lineRule="auto"/>
              <w:ind w:left="694"/>
              <w:rPr>
                <w:color w:val="auto"/>
                <w:highlight w:val="none"/>
              </w:rPr>
            </w:pPr>
            <w:r>
              <w:rPr>
                <w:color w:val="auto"/>
                <w:spacing w:val="5"/>
                <w:highlight w:val="none"/>
              </w:rPr>
              <w:t>合计（元）</w:t>
            </w:r>
          </w:p>
        </w:tc>
        <w:tc>
          <w:tcPr>
            <w:tcW w:w="1746" w:type="dxa"/>
            <w:vAlign w:val="top"/>
          </w:tcPr>
          <w:p w14:paraId="6FC20F8C">
            <w:pPr>
              <w:rPr>
                <w:rFonts w:ascii="Arial"/>
                <w:color w:val="auto"/>
                <w:sz w:val="21"/>
                <w:highlight w:val="none"/>
              </w:rPr>
            </w:pPr>
          </w:p>
        </w:tc>
        <w:tc>
          <w:tcPr>
            <w:tcW w:w="1746" w:type="dxa"/>
            <w:vAlign w:val="top"/>
          </w:tcPr>
          <w:p w14:paraId="75DC139F">
            <w:pPr>
              <w:rPr>
                <w:rFonts w:ascii="Arial"/>
                <w:color w:val="auto"/>
                <w:sz w:val="21"/>
                <w:highlight w:val="none"/>
              </w:rPr>
            </w:pPr>
          </w:p>
        </w:tc>
        <w:tc>
          <w:tcPr>
            <w:tcW w:w="1751" w:type="dxa"/>
            <w:vAlign w:val="top"/>
          </w:tcPr>
          <w:p w14:paraId="6806A770">
            <w:pPr>
              <w:rPr>
                <w:rFonts w:ascii="Arial"/>
                <w:color w:val="auto"/>
                <w:sz w:val="21"/>
                <w:highlight w:val="none"/>
              </w:rPr>
            </w:pPr>
          </w:p>
        </w:tc>
        <w:tc>
          <w:tcPr>
            <w:tcW w:w="1747" w:type="dxa"/>
            <w:vAlign w:val="top"/>
          </w:tcPr>
          <w:p w14:paraId="77A77708">
            <w:pPr>
              <w:rPr>
                <w:rFonts w:ascii="Arial"/>
                <w:color w:val="auto"/>
                <w:sz w:val="21"/>
                <w:highlight w:val="none"/>
              </w:rPr>
            </w:pPr>
          </w:p>
        </w:tc>
        <w:tc>
          <w:tcPr>
            <w:tcW w:w="1746" w:type="dxa"/>
            <w:vAlign w:val="top"/>
          </w:tcPr>
          <w:p w14:paraId="73EB1D61">
            <w:pPr>
              <w:rPr>
                <w:rFonts w:ascii="Arial"/>
                <w:color w:val="auto"/>
                <w:sz w:val="21"/>
                <w:highlight w:val="none"/>
              </w:rPr>
            </w:pPr>
          </w:p>
        </w:tc>
        <w:tc>
          <w:tcPr>
            <w:tcW w:w="1759" w:type="dxa"/>
            <w:vAlign w:val="top"/>
          </w:tcPr>
          <w:p w14:paraId="1538A5B0">
            <w:pPr>
              <w:rPr>
                <w:rFonts w:ascii="Arial"/>
                <w:color w:val="auto"/>
                <w:sz w:val="21"/>
                <w:highlight w:val="none"/>
              </w:rPr>
            </w:pPr>
          </w:p>
        </w:tc>
      </w:tr>
    </w:tbl>
    <w:p w14:paraId="4F5E5938">
      <w:pPr>
        <w:rPr>
          <w:rFonts w:ascii="Arial"/>
          <w:color w:val="auto"/>
          <w:sz w:val="21"/>
          <w:highlight w:val="none"/>
        </w:rPr>
      </w:pPr>
    </w:p>
    <w:p w14:paraId="423BCB95">
      <w:pPr>
        <w:rPr>
          <w:rFonts w:ascii="Arial" w:hAnsi="Arial" w:eastAsia="Arial" w:cs="Arial"/>
          <w:color w:val="auto"/>
          <w:sz w:val="21"/>
          <w:szCs w:val="21"/>
          <w:highlight w:val="none"/>
        </w:rPr>
        <w:sectPr>
          <w:footerReference r:id="rId64" w:type="default"/>
          <w:pgSz w:w="16839" w:h="11906"/>
          <w:pgMar w:top="1012" w:right="1307" w:bottom="1297" w:left="1304" w:header="0" w:footer="1067" w:gutter="0"/>
          <w:pgBorders>
            <w:top w:val="none" w:sz="0" w:space="0"/>
            <w:left w:val="none" w:sz="0" w:space="0"/>
            <w:bottom w:val="none" w:sz="0" w:space="0"/>
            <w:right w:val="none" w:sz="0" w:space="0"/>
          </w:pgBorders>
          <w:pgNumType w:fmt="decimal"/>
          <w:cols w:space="720" w:num="1"/>
        </w:sectPr>
      </w:pPr>
    </w:p>
    <w:p w14:paraId="7C7FE666">
      <w:pPr>
        <w:spacing w:line="353" w:lineRule="auto"/>
        <w:rPr>
          <w:rFonts w:ascii="Arial"/>
          <w:color w:val="auto"/>
          <w:sz w:val="21"/>
          <w:highlight w:val="none"/>
        </w:rPr>
      </w:pPr>
    </w:p>
    <w:p w14:paraId="5BAB8A3D">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3</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监理工程师办公设施费报价表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063"/>
        <w:gridCol w:w="753"/>
        <w:gridCol w:w="1148"/>
        <w:gridCol w:w="966"/>
        <w:gridCol w:w="1012"/>
        <w:gridCol w:w="1784"/>
        <w:gridCol w:w="1241"/>
        <w:gridCol w:w="949"/>
        <w:gridCol w:w="1108"/>
        <w:gridCol w:w="1040"/>
        <w:gridCol w:w="1040"/>
        <w:gridCol w:w="1482"/>
      </w:tblGrid>
      <w:tr w14:paraId="33B2D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35" w:type="dxa"/>
            <w:vMerge w:val="restart"/>
            <w:tcBorders>
              <w:top w:val="single" w:color="000000" w:sz="6" w:space="0"/>
              <w:left w:val="single" w:color="000000" w:sz="6" w:space="0"/>
              <w:bottom w:val="nil"/>
            </w:tcBorders>
            <w:textDirection w:val="tbRlV"/>
            <w:vAlign w:val="top"/>
          </w:tcPr>
          <w:p w14:paraId="50C5E2E4">
            <w:pPr>
              <w:pStyle w:val="23"/>
              <w:spacing w:before="214" w:line="218" w:lineRule="auto"/>
              <w:ind w:left="467"/>
              <w:rPr>
                <w:color w:val="auto"/>
                <w:highlight w:val="none"/>
              </w:rPr>
            </w:pPr>
            <w:r>
              <w:rPr>
                <w:color w:val="auto"/>
                <w:spacing w:val="8"/>
                <w:highlight w:val="none"/>
              </w:rPr>
              <w:t>序</w:t>
            </w:r>
            <w:r>
              <w:rPr>
                <w:color w:val="auto"/>
                <w:spacing w:val="92"/>
                <w:highlight w:val="none"/>
              </w:rPr>
              <w:t xml:space="preserve"> </w:t>
            </w:r>
            <w:r>
              <w:rPr>
                <w:color w:val="auto"/>
                <w:spacing w:val="8"/>
                <w:highlight w:val="none"/>
              </w:rPr>
              <w:t>号</w:t>
            </w:r>
          </w:p>
        </w:tc>
        <w:tc>
          <w:tcPr>
            <w:tcW w:w="6726" w:type="dxa"/>
            <w:gridSpan w:val="6"/>
            <w:tcBorders>
              <w:top w:val="single" w:color="000000" w:sz="6" w:space="0"/>
            </w:tcBorders>
            <w:vAlign w:val="top"/>
          </w:tcPr>
          <w:p w14:paraId="1461CA60">
            <w:pPr>
              <w:pStyle w:val="23"/>
              <w:spacing w:before="184" w:line="228" w:lineRule="auto"/>
              <w:ind w:left="3049"/>
              <w:rPr>
                <w:color w:val="auto"/>
                <w:highlight w:val="none"/>
              </w:rPr>
            </w:pPr>
            <w:r>
              <w:rPr>
                <w:color w:val="auto"/>
                <w:spacing w:val="7"/>
                <w:highlight w:val="none"/>
              </w:rPr>
              <w:t>施工期</w:t>
            </w:r>
          </w:p>
        </w:tc>
        <w:tc>
          <w:tcPr>
            <w:tcW w:w="6860" w:type="dxa"/>
            <w:gridSpan w:val="6"/>
            <w:tcBorders>
              <w:top w:val="single" w:color="000000" w:sz="6" w:space="0"/>
              <w:right w:val="single" w:color="000000" w:sz="6" w:space="0"/>
            </w:tcBorders>
            <w:vAlign w:val="top"/>
          </w:tcPr>
          <w:p w14:paraId="67B71B70">
            <w:pPr>
              <w:pStyle w:val="23"/>
              <w:spacing w:before="183" w:line="228" w:lineRule="auto"/>
              <w:ind w:left="2909"/>
              <w:rPr>
                <w:color w:val="auto"/>
                <w:highlight w:val="none"/>
              </w:rPr>
            </w:pPr>
            <w:r>
              <w:rPr>
                <w:color w:val="auto"/>
                <w:spacing w:val="8"/>
                <w:highlight w:val="none"/>
              </w:rPr>
              <w:t>缺陷责任期</w:t>
            </w:r>
          </w:p>
        </w:tc>
      </w:tr>
      <w:tr w14:paraId="29F37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635" w:type="dxa"/>
            <w:vMerge w:val="continue"/>
            <w:tcBorders>
              <w:top w:val="nil"/>
              <w:left w:val="single" w:color="000000" w:sz="6" w:space="0"/>
            </w:tcBorders>
            <w:textDirection w:val="tbRlV"/>
            <w:vAlign w:val="top"/>
          </w:tcPr>
          <w:p w14:paraId="01E5353A">
            <w:pPr>
              <w:rPr>
                <w:rFonts w:ascii="Arial"/>
                <w:color w:val="auto"/>
                <w:sz w:val="21"/>
                <w:highlight w:val="none"/>
              </w:rPr>
            </w:pPr>
          </w:p>
        </w:tc>
        <w:tc>
          <w:tcPr>
            <w:tcW w:w="1063" w:type="dxa"/>
            <w:vAlign w:val="top"/>
          </w:tcPr>
          <w:p w14:paraId="35A78DB4">
            <w:pPr>
              <w:pStyle w:val="23"/>
              <w:spacing w:before="180" w:line="295" w:lineRule="auto"/>
              <w:ind w:left="431" w:right="118" w:hanging="319"/>
              <w:rPr>
                <w:color w:val="auto"/>
                <w:highlight w:val="none"/>
              </w:rPr>
            </w:pPr>
            <w:r>
              <w:rPr>
                <w:color w:val="auto"/>
                <w:spacing w:val="6"/>
                <w:highlight w:val="none"/>
              </w:rPr>
              <w:t>名称及型</w:t>
            </w:r>
            <w:r>
              <w:rPr>
                <w:color w:val="auto"/>
                <w:highlight w:val="none"/>
              </w:rPr>
              <w:t>号</w:t>
            </w:r>
          </w:p>
        </w:tc>
        <w:tc>
          <w:tcPr>
            <w:tcW w:w="753" w:type="dxa"/>
            <w:vAlign w:val="top"/>
          </w:tcPr>
          <w:p w14:paraId="3A3850BE">
            <w:pPr>
              <w:spacing w:line="312" w:lineRule="auto"/>
              <w:rPr>
                <w:rFonts w:ascii="Arial"/>
                <w:color w:val="auto"/>
                <w:sz w:val="21"/>
                <w:highlight w:val="none"/>
              </w:rPr>
            </w:pPr>
          </w:p>
          <w:p w14:paraId="0022F4D2">
            <w:pPr>
              <w:pStyle w:val="23"/>
              <w:spacing w:before="65" w:line="228" w:lineRule="auto"/>
              <w:ind w:left="169"/>
              <w:rPr>
                <w:color w:val="auto"/>
                <w:highlight w:val="none"/>
              </w:rPr>
            </w:pPr>
            <w:r>
              <w:rPr>
                <w:color w:val="auto"/>
                <w:spacing w:val="3"/>
                <w:highlight w:val="none"/>
              </w:rPr>
              <w:t>数量</w:t>
            </w:r>
          </w:p>
        </w:tc>
        <w:tc>
          <w:tcPr>
            <w:tcW w:w="1148" w:type="dxa"/>
            <w:vAlign w:val="top"/>
          </w:tcPr>
          <w:p w14:paraId="213C61DF">
            <w:pPr>
              <w:pStyle w:val="23"/>
              <w:spacing w:before="180" w:line="252" w:lineRule="auto"/>
              <w:ind w:left="401" w:right="159" w:hanging="249"/>
              <w:rPr>
                <w:color w:val="auto"/>
                <w:highlight w:val="none"/>
              </w:rPr>
            </w:pPr>
            <w:r>
              <w:rPr>
                <w:color w:val="auto"/>
                <w:spacing w:val="7"/>
                <w:highlight w:val="none"/>
              </w:rPr>
              <w:t>购置合价</w:t>
            </w:r>
            <w:r>
              <w:rPr>
                <w:color w:val="auto"/>
                <w:spacing w:val="-9"/>
                <w:highlight w:val="none"/>
              </w:rPr>
              <w:t>(元)</w:t>
            </w:r>
          </w:p>
        </w:tc>
        <w:tc>
          <w:tcPr>
            <w:tcW w:w="966" w:type="dxa"/>
            <w:vAlign w:val="top"/>
          </w:tcPr>
          <w:p w14:paraId="588E37B3">
            <w:pPr>
              <w:pStyle w:val="23"/>
              <w:spacing w:before="180" w:line="252" w:lineRule="auto"/>
              <w:ind w:left="311" w:right="170" w:hanging="140"/>
              <w:rPr>
                <w:color w:val="auto"/>
                <w:highlight w:val="none"/>
              </w:rPr>
            </w:pPr>
            <w:r>
              <w:rPr>
                <w:color w:val="auto"/>
                <w:spacing w:val="6"/>
                <w:highlight w:val="none"/>
              </w:rPr>
              <w:t>折旧费</w:t>
            </w:r>
            <w:r>
              <w:rPr>
                <w:color w:val="auto"/>
                <w:spacing w:val="-9"/>
                <w:highlight w:val="none"/>
              </w:rPr>
              <w:t>(元)</w:t>
            </w:r>
          </w:p>
        </w:tc>
        <w:tc>
          <w:tcPr>
            <w:tcW w:w="1012" w:type="dxa"/>
            <w:vAlign w:val="top"/>
          </w:tcPr>
          <w:p w14:paraId="42BAEDA8">
            <w:pPr>
              <w:pStyle w:val="23"/>
              <w:spacing w:before="180" w:line="252" w:lineRule="auto"/>
              <w:ind w:left="334" w:right="193" w:hanging="141"/>
              <w:rPr>
                <w:color w:val="auto"/>
                <w:highlight w:val="none"/>
              </w:rPr>
            </w:pPr>
            <w:r>
              <w:rPr>
                <w:color w:val="auto"/>
                <w:spacing w:val="6"/>
                <w:highlight w:val="none"/>
              </w:rPr>
              <w:t>使用费</w:t>
            </w:r>
            <w:r>
              <w:rPr>
                <w:color w:val="auto"/>
                <w:spacing w:val="-9"/>
                <w:highlight w:val="none"/>
              </w:rPr>
              <w:t>(元)</w:t>
            </w:r>
          </w:p>
        </w:tc>
        <w:tc>
          <w:tcPr>
            <w:tcW w:w="1784" w:type="dxa"/>
            <w:vAlign w:val="top"/>
          </w:tcPr>
          <w:p w14:paraId="3F6B07A0">
            <w:pPr>
              <w:pStyle w:val="23"/>
              <w:spacing w:before="43" w:line="229" w:lineRule="auto"/>
              <w:ind w:left="587"/>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1E47FAC1">
            <w:pPr>
              <w:pStyle w:val="23"/>
              <w:spacing w:before="22" w:line="228" w:lineRule="auto"/>
              <w:ind w:left="267"/>
              <w:rPr>
                <w:color w:val="auto"/>
                <w:highlight w:val="none"/>
              </w:rPr>
            </w:pPr>
            <w:r>
              <w:rPr>
                <w:color w:val="auto"/>
                <w:spacing w:val="7"/>
                <w:highlight w:val="none"/>
              </w:rPr>
              <w:t>折旧及使用费</w:t>
            </w:r>
          </w:p>
          <w:p w14:paraId="2778013A">
            <w:pPr>
              <w:pStyle w:val="23"/>
              <w:spacing w:before="26" w:line="214" w:lineRule="auto"/>
              <w:ind w:left="722"/>
              <w:rPr>
                <w:color w:val="auto"/>
                <w:highlight w:val="none"/>
              </w:rPr>
            </w:pPr>
            <w:r>
              <w:rPr>
                <w:color w:val="auto"/>
                <w:spacing w:val="-8"/>
                <w:highlight w:val="none"/>
              </w:rPr>
              <w:t>(元)</w:t>
            </w:r>
          </w:p>
        </w:tc>
        <w:tc>
          <w:tcPr>
            <w:tcW w:w="1241" w:type="dxa"/>
            <w:vAlign w:val="top"/>
          </w:tcPr>
          <w:p w14:paraId="1B33D8D0">
            <w:pPr>
              <w:pStyle w:val="23"/>
              <w:spacing w:before="180" w:line="295" w:lineRule="auto"/>
              <w:ind w:left="525" w:right="199" w:hanging="316"/>
              <w:rPr>
                <w:color w:val="auto"/>
                <w:highlight w:val="none"/>
              </w:rPr>
            </w:pPr>
            <w:r>
              <w:rPr>
                <w:color w:val="auto"/>
                <w:spacing w:val="6"/>
                <w:highlight w:val="none"/>
              </w:rPr>
              <w:t>名称及型</w:t>
            </w:r>
            <w:r>
              <w:rPr>
                <w:color w:val="auto"/>
                <w:highlight w:val="none"/>
              </w:rPr>
              <w:t>号</w:t>
            </w:r>
          </w:p>
        </w:tc>
        <w:tc>
          <w:tcPr>
            <w:tcW w:w="949" w:type="dxa"/>
            <w:vAlign w:val="top"/>
          </w:tcPr>
          <w:p w14:paraId="112635FA">
            <w:pPr>
              <w:spacing w:line="312" w:lineRule="auto"/>
              <w:rPr>
                <w:rFonts w:ascii="Arial"/>
                <w:color w:val="auto"/>
                <w:sz w:val="21"/>
                <w:highlight w:val="none"/>
              </w:rPr>
            </w:pPr>
          </w:p>
          <w:p w14:paraId="24988EFE">
            <w:pPr>
              <w:pStyle w:val="23"/>
              <w:spacing w:before="65" w:line="228" w:lineRule="auto"/>
              <w:ind w:left="273"/>
              <w:rPr>
                <w:color w:val="auto"/>
                <w:highlight w:val="none"/>
              </w:rPr>
            </w:pPr>
            <w:r>
              <w:rPr>
                <w:color w:val="auto"/>
                <w:spacing w:val="3"/>
                <w:highlight w:val="none"/>
              </w:rPr>
              <w:t>数量</w:t>
            </w:r>
          </w:p>
        </w:tc>
        <w:tc>
          <w:tcPr>
            <w:tcW w:w="1108" w:type="dxa"/>
            <w:vAlign w:val="top"/>
          </w:tcPr>
          <w:p w14:paraId="65F5D807">
            <w:pPr>
              <w:pStyle w:val="23"/>
              <w:spacing w:before="180" w:line="252" w:lineRule="auto"/>
              <w:ind w:left="388" w:right="129" w:hanging="247"/>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60FCEAF5">
            <w:pPr>
              <w:pStyle w:val="23"/>
              <w:spacing w:before="180" w:line="252" w:lineRule="auto"/>
              <w:ind w:left="355" w:right="200"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19E7DE1F">
            <w:pPr>
              <w:pStyle w:val="23"/>
              <w:spacing w:before="180" w:line="252" w:lineRule="auto"/>
              <w:ind w:left="357" w:right="198" w:hanging="141"/>
              <w:rPr>
                <w:color w:val="auto"/>
                <w:highlight w:val="none"/>
              </w:rPr>
            </w:pPr>
            <w:r>
              <w:rPr>
                <w:color w:val="auto"/>
                <w:spacing w:val="6"/>
                <w:highlight w:val="none"/>
              </w:rPr>
              <w:t>使用费</w:t>
            </w:r>
            <w:r>
              <w:rPr>
                <w:color w:val="auto"/>
                <w:spacing w:val="-9"/>
                <w:highlight w:val="none"/>
              </w:rPr>
              <w:t>(元)</w:t>
            </w:r>
          </w:p>
        </w:tc>
        <w:tc>
          <w:tcPr>
            <w:tcW w:w="1482" w:type="dxa"/>
            <w:tcBorders>
              <w:right w:val="single" w:color="000000" w:sz="6" w:space="0"/>
            </w:tcBorders>
            <w:vAlign w:val="top"/>
          </w:tcPr>
          <w:p w14:paraId="5E6D0E32">
            <w:pPr>
              <w:pStyle w:val="23"/>
              <w:spacing w:before="43" w:line="229" w:lineRule="auto"/>
              <w:ind w:left="438"/>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09842FE">
            <w:pPr>
              <w:pStyle w:val="23"/>
              <w:spacing w:before="23" w:line="233" w:lineRule="auto"/>
              <w:ind w:left="444" w:right="206" w:hanging="218"/>
              <w:rPr>
                <w:color w:val="auto"/>
                <w:highlight w:val="none"/>
              </w:rPr>
            </w:pPr>
            <w:r>
              <w:rPr>
                <w:color w:val="auto"/>
                <w:spacing w:val="7"/>
                <w:highlight w:val="none"/>
              </w:rPr>
              <w:t>折旧及使用</w:t>
            </w:r>
            <w:r>
              <w:rPr>
                <w:color w:val="auto"/>
                <w:spacing w:val="2"/>
                <w:highlight w:val="none"/>
              </w:rPr>
              <w:t>费(元)</w:t>
            </w:r>
          </w:p>
        </w:tc>
      </w:tr>
      <w:tr w14:paraId="2911A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424606D">
            <w:pPr>
              <w:pStyle w:val="23"/>
              <w:spacing w:before="194" w:line="241" w:lineRule="auto"/>
              <w:ind w:left="277"/>
              <w:rPr>
                <w:color w:val="auto"/>
                <w:highlight w:val="none"/>
              </w:rPr>
            </w:pPr>
            <w:r>
              <w:rPr>
                <w:color w:val="auto"/>
                <w:highlight w:val="none"/>
              </w:rPr>
              <w:t>1</w:t>
            </w:r>
          </w:p>
        </w:tc>
        <w:tc>
          <w:tcPr>
            <w:tcW w:w="1063" w:type="dxa"/>
            <w:vAlign w:val="top"/>
          </w:tcPr>
          <w:p w14:paraId="27B8788D">
            <w:pPr>
              <w:rPr>
                <w:rFonts w:ascii="Arial"/>
                <w:color w:val="auto"/>
                <w:sz w:val="21"/>
                <w:highlight w:val="none"/>
              </w:rPr>
            </w:pPr>
          </w:p>
        </w:tc>
        <w:tc>
          <w:tcPr>
            <w:tcW w:w="753" w:type="dxa"/>
            <w:vAlign w:val="top"/>
          </w:tcPr>
          <w:p w14:paraId="2B4B1AE3">
            <w:pPr>
              <w:rPr>
                <w:rFonts w:ascii="Arial"/>
                <w:color w:val="auto"/>
                <w:sz w:val="21"/>
                <w:highlight w:val="none"/>
              </w:rPr>
            </w:pPr>
          </w:p>
        </w:tc>
        <w:tc>
          <w:tcPr>
            <w:tcW w:w="1148" w:type="dxa"/>
            <w:vAlign w:val="top"/>
          </w:tcPr>
          <w:p w14:paraId="158A5752">
            <w:pPr>
              <w:rPr>
                <w:rFonts w:ascii="Arial"/>
                <w:color w:val="auto"/>
                <w:sz w:val="21"/>
                <w:highlight w:val="none"/>
              </w:rPr>
            </w:pPr>
          </w:p>
        </w:tc>
        <w:tc>
          <w:tcPr>
            <w:tcW w:w="966" w:type="dxa"/>
            <w:vAlign w:val="top"/>
          </w:tcPr>
          <w:p w14:paraId="609340E3">
            <w:pPr>
              <w:rPr>
                <w:rFonts w:ascii="Arial"/>
                <w:color w:val="auto"/>
                <w:sz w:val="21"/>
                <w:highlight w:val="none"/>
              </w:rPr>
            </w:pPr>
          </w:p>
        </w:tc>
        <w:tc>
          <w:tcPr>
            <w:tcW w:w="1012" w:type="dxa"/>
            <w:vAlign w:val="top"/>
          </w:tcPr>
          <w:p w14:paraId="0D163F12">
            <w:pPr>
              <w:rPr>
                <w:rFonts w:ascii="Arial"/>
                <w:color w:val="auto"/>
                <w:sz w:val="21"/>
                <w:highlight w:val="none"/>
              </w:rPr>
            </w:pPr>
          </w:p>
        </w:tc>
        <w:tc>
          <w:tcPr>
            <w:tcW w:w="1784" w:type="dxa"/>
            <w:vAlign w:val="top"/>
          </w:tcPr>
          <w:p w14:paraId="03E7B11A">
            <w:pPr>
              <w:rPr>
                <w:rFonts w:ascii="Arial"/>
                <w:color w:val="auto"/>
                <w:sz w:val="21"/>
                <w:highlight w:val="none"/>
              </w:rPr>
            </w:pPr>
          </w:p>
        </w:tc>
        <w:tc>
          <w:tcPr>
            <w:tcW w:w="1241" w:type="dxa"/>
            <w:vAlign w:val="top"/>
          </w:tcPr>
          <w:p w14:paraId="50C2BE69">
            <w:pPr>
              <w:rPr>
                <w:rFonts w:ascii="Arial"/>
                <w:color w:val="auto"/>
                <w:sz w:val="21"/>
                <w:highlight w:val="none"/>
              </w:rPr>
            </w:pPr>
          </w:p>
        </w:tc>
        <w:tc>
          <w:tcPr>
            <w:tcW w:w="949" w:type="dxa"/>
            <w:vAlign w:val="top"/>
          </w:tcPr>
          <w:p w14:paraId="5361BE48">
            <w:pPr>
              <w:rPr>
                <w:rFonts w:ascii="Arial"/>
                <w:color w:val="auto"/>
                <w:sz w:val="21"/>
                <w:highlight w:val="none"/>
              </w:rPr>
            </w:pPr>
          </w:p>
        </w:tc>
        <w:tc>
          <w:tcPr>
            <w:tcW w:w="1108" w:type="dxa"/>
            <w:vAlign w:val="top"/>
          </w:tcPr>
          <w:p w14:paraId="009AC097">
            <w:pPr>
              <w:rPr>
                <w:rFonts w:ascii="Arial"/>
                <w:color w:val="auto"/>
                <w:sz w:val="21"/>
                <w:highlight w:val="none"/>
              </w:rPr>
            </w:pPr>
          </w:p>
        </w:tc>
        <w:tc>
          <w:tcPr>
            <w:tcW w:w="1040" w:type="dxa"/>
            <w:vAlign w:val="top"/>
          </w:tcPr>
          <w:p w14:paraId="423A575E">
            <w:pPr>
              <w:rPr>
                <w:rFonts w:ascii="Arial"/>
                <w:color w:val="auto"/>
                <w:sz w:val="21"/>
                <w:highlight w:val="none"/>
              </w:rPr>
            </w:pPr>
          </w:p>
        </w:tc>
        <w:tc>
          <w:tcPr>
            <w:tcW w:w="1040" w:type="dxa"/>
            <w:vAlign w:val="top"/>
          </w:tcPr>
          <w:p w14:paraId="1116ECB0">
            <w:pPr>
              <w:rPr>
                <w:rFonts w:ascii="Arial"/>
                <w:color w:val="auto"/>
                <w:sz w:val="21"/>
                <w:highlight w:val="none"/>
              </w:rPr>
            </w:pPr>
          </w:p>
        </w:tc>
        <w:tc>
          <w:tcPr>
            <w:tcW w:w="1482" w:type="dxa"/>
            <w:tcBorders>
              <w:right w:val="single" w:color="000000" w:sz="6" w:space="0"/>
            </w:tcBorders>
            <w:vAlign w:val="top"/>
          </w:tcPr>
          <w:p w14:paraId="21E5BEAA">
            <w:pPr>
              <w:rPr>
                <w:rFonts w:ascii="Arial"/>
                <w:color w:val="auto"/>
                <w:sz w:val="21"/>
                <w:highlight w:val="none"/>
              </w:rPr>
            </w:pPr>
          </w:p>
        </w:tc>
      </w:tr>
      <w:tr w14:paraId="729E7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BB4F99D">
            <w:pPr>
              <w:pStyle w:val="23"/>
              <w:spacing w:before="194" w:line="241" w:lineRule="auto"/>
              <w:ind w:left="264"/>
              <w:rPr>
                <w:color w:val="auto"/>
                <w:highlight w:val="none"/>
              </w:rPr>
            </w:pPr>
            <w:r>
              <w:rPr>
                <w:color w:val="auto"/>
                <w:highlight w:val="none"/>
              </w:rPr>
              <w:t>2</w:t>
            </w:r>
          </w:p>
        </w:tc>
        <w:tc>
          <w:tcPr>
            <w:tcW w:w="1063" w:type="dxa"/>
            <w:vAlign w:val="top"/>
          </w:tcPr>
          <w:p w14:paraId="3471D977">
            <w:pPr>
              <w:rPr>
                <w:rFonts w:ascii="Arial"/>
                <w:color w:val="auto"/>
                <w:sz w:val="21"/>
                <w:highlight w:val="none"/>
              </w:rPr>
            </w:pPr>
          </w:p>
        </w:tc>
        <w:tc>
          <w:tcPr>
            <w:tcW w:w="753" w:type="dxa"/>
            <w:vAlign w:val="top"/>
          </w:tcPr>
          <w:p w14:paraId="66E3873D">
            <w:pPr>
              <w:rPr>
                <w:rFonts w:ascii="Arial"/>
                <w:color w:val="auto"/>
                <w:sz w:val="21"/>
                <w:highlight w:val="none"/>
              </w:rPr>
            </w:pPr>
          </w:p>
        </w:tc>
        <w:tc>
          <w:tcPr>
            <w:tcW w:w="1148" w:type="dxa"/>
            <w:vAlign w:val="top"/>
          </w:tcPr>
          <w:p w14:paraId="4B1E3D37">
            <w:pPr>
              <w:rPr>
                <w:rFonts w:ascii="Arial"/>
                <w:color w:val="auto"/>
                <w:sz w:val="21"/>
                <w:highlight w:val="none"/>
              </w:rPr>
            </w:pPr>
          </w:p>
        </w:tc>
        <w:tc>
          <w:tcPr>
            <w:tcW w:w="966" w:type="dxa"/>
            <w:vAlign w:val="top"/>
          </w:tcPr>
          <w:p w14:paraId="6B18C41D">
            <w:pPr>
              <w:rPr>
                <w:rFonts w:ascii="Arial"/>
                <w:color w:val="auto"/>
                <w:sz w:val="21"/>
                <w:highlight w:val="none"/>
              </w:rPr>
            </w:pPr>
          </w:p>
        </w:tc>
        <w:tc>
          <w:tcPr>
            <w:tcW w:w="1012" w:type="dxa"/>
            <w:vAlign w:val="top"/>
          </w:tcPr>
          <w:p w14:paraId="1C2CB95E">
            <w:pPr>
              <w:rPr>
                <w:rFonts w:ascii="Arial"/>
                <w:color w:val="auto"/>
                <w:sz w:val="21"/>
                <w:highlight w:val="none"/>
              </w:rPr>
            </w:pPr>
          </w:p>
        </w:tc>
        <w:tc>
          <w:tcPr>
            <w:tcW w:w="1784" w:type="dxa"/>
            <w:vAlign w:val="top"/>
          </w:tcPr>
          <w:p w14:paraId="77FFA2CA">
            <w:pPr>
              <w:rPr>
                <w:rFonts w:ascii="Arial"/>
                <w:color w:val="auto"/>
                <w:sz w:val="21"/>
                <w:highlight w:val="none"/>
              </w:rPr>
            </w:pPr>
          </w:p>
        </w:tc>
        <w:tc>
          <w:tcPr>
            <w:tcW w:w="1241" w:type="dxa"/>
            <w:vAlign w:val="top"/>
          </w:tcPr>
          <w:p w14:paraId="0252DE6F">
            <w:pPr>
              <w:rPr>
                <w:rFonts w:ascii="Arial"/>
                <w:color w:val="auto"/>
                <w:sz w:val="21"/>
                <w:highlight w:val="none"/>
              </w:rPr>
            </w:pPr>
          </w:p>
        </w:tc>
        <w:tc>
          <w:tcPr>
            <w:tcW w:w="949" w:type="dxa"/>
            <w:vAlign w:val="top"/>
          </w:tcPr>
          <w:p w14:paraId="469599ED">
            <w:pPr>
              <w:rPr>
                <w:rFonts w:ascii="Arial"/>
                <w:color w:val="auto"/>
                <w:sz w:val="21"/>
                <w:highlight w:val="none"/>
              </w:rPr>
            </w:pPr>
          </w:p>
        </w:tc>
        <w:tc>
          <w:tcPr>
            <w:tcW w:w="1108" w:type="dxa"/>
            <w:vAlign w:val="top"/>
          </w:tcPr>
          <w:p w14:paraId="597A762E">
            <w:pPr>
              <w:rPr>
                <w:rFonts w:ascii="Arial"/>
                <w:color w:val="auto"/>
                <w:sz w:val="21"/>
                <w:highlight w:val="none"/>
              </w:rPr>
            </w:pPr>
          </w:p>
        </w:tc>
        <w:tc>
          <w:tcPr>
            <w:tcW w:w="1040" w:type="dxa"/>
            <w:vAlign w:val="top"/>
          </w:tcPr>
          <w:p w14:paraId="08954583">
            <w:pPr>
              <w:rPr>
                <w:rFonts w:ascii="Arial"/>
                <w:color w:val="auto"/>
                <w:sz w:val="21"/>
                <w:highlight w:val="none"/>
              </w:rPr>
            </w:pPr>
          </w:p>
        </w:tc>
        <w:tc>
          <w:tcPr>
            <w:tcW w:w="1040" w:type="dxa"/>
            <w:vAlign w:val="top"/>
          </w:tcPr>
          <w:p w14:paraId="5E6078B1">
            <w:pPr>
              <w:rPr>
                <w:rFonts w:ascii="Arial"/>
                <w:color w:val="auto"/>
                <w:sz w:val="21"/>
                <w:highlight w:val="none"/>
              </w:rPr>
            </w:pPr>
          </w:p>
        </w:tc>
        <w:tc>
          <w:tcPr>
            <w:tcW w:w="1482" w:type="dxa"/>
            <w:tcBorders>
              <w:right w:val="single" w:color="000000" w:sz="6" w:space="0"/>
            </w:tcBorders>
            <w:vAlign w:val="top"/>
          </w:tcPr>
          <w:p w14:paraId="3D67FF5C">
            <w:pPr>
              <w:rPr>
                <w:rFonts w:ascii="Arial"/>
                <w:color w:val="auto"/>
                <w:sz w:val="21"/>
                <w:highlight w:val="none"/>
              </w:rPr>
            </w:pPr>
          </w:p>
        </w:tc>
      </w:tr>
      <w:tr w14:paraId="4CAC4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8ADD34E">
            <w:pPr>
              <w:pStyle w:val="23"/>
              <w:spacing w:before="195"/>
              <w:ind w:left="266"/>
              <w:rPr>
                <w:color w:val="auto"/>
                <w:highlight w:val="none"/>
              </w:rPr>
            </w:pPr>
            <w:r>
              <w:rPr>
                <w:color w:val="auto"/>
                <w:highlight w:val="none"/>
              </w:rPr>
              <w:t>3</w:t>
            </w:r>
          </w:p>
        </w:tc>
        <w:tc>
          <w:tcPr>
            <w:tcW w:w="1063" w:type="dxa"/>
            <w:vAlign w:val="top"/>
          </w:tcPr>
          <w:p w14:paraId="171BDD57">
            <w:pPr>
              <w:rPr>
                <w:rFonts w:ascii="Arial"/>
                <w:color w:val="auto"/>
                <w:sz w:val="21"/>
                <w:highlight w:val="none"/>
              </w:rPr>
            </w:pPr>
          </w:p>
        </w:tc>
        <w:tc>
          <w:tcPr>
            <w:tcW w:w="753" w:type="dxa"/>
            <w:vAlign w:val="top"/>
          </w:tcPr>
          <w:p w14:paraId="7A3107B9">
            <w:pPr>
              <w:rPr>
                <w:rFonts w:ascii="Arial"/>
                <w:color w:val="auto"/>
                <w:sz w:val="21"/>
                <w:highlight w:val="none"/>
              </w:rPr>
            </w:pPr>
          </w:p>
        </w:tc>
        <w:tc>
          <w:tcPr>
            <w:tcW w:w="1148" w:type="dxa"/>
            <w:vAlign w:val="top"/>
          </w:tcPr>
          <w:p w14:paraId="48445906">
            <w:pPr>
              <w:rPr>
                <w:rFonts w:ascii="Arial"/>
                <w:color w:val="auto"/>
                <w:sz w:val="21"/>
                <w:highlight w:val="none"/>
              </w:rPr>
            </w:pPr>
          </w:p>
        </w:tc>
        <w:tc>
          <w:tcPr>
            <w:tcW w:w="966" w:type="dxa"/>
            <w:vAlign w:val="top"/>
          </w:tcPr>
          <w:p w14:paraId="1AEC2DE3">
            <w:pPr>
              <w:rPr>
                <w:rFonts w:ascii="Arial"/>
                <w:color w:val="auto"/>
                <w:sz w:val="21"/>
                <w:highlight w:val="none"/>
              </w:rPr>
            </w:pPr>
          </w:p>
        </w:tc>
        <w:tc>
          <w:tcPr>
            <w:tcW w:w="1012" w:type="dxa"/>
            <w:vAlign w:val="top"/>
          </w:tcPr>
          <w:p w14:paraId="2222BAEE">
            <w:pPr>
              <w:rPr>
                <w:rFonts w:ascii="Arial"/>
                <w:color w:val="auto"/>
                <w:sz w:val="21"/>
                <w:highlight w:val="none"/>
              </w:rPr>
            </w:pPr>
          </w:p>
        </w:tc>
        <w:tc>
          <w:tcPr>
            <w:tcW w:w="1784" w:type="dxa"/>
            <w:vAlign w:val="top"/>
          </w:tcPr>
          <w:p w14:paraId="4828A25D">
            <w:pPr>
              <w:rPr>
                <w:rFonts w:ascii="Arial"/>
                <w:color w:val="auto"/>
                <w:sz w:val="21"/>
                <w:highlight w:val="none"/>
              </w:rPr>
            </w:pPr>
          </w:p>
        </w:tc>
        <w:tc>
          <w:tcPr>
            <w:tcW w:w="1241" w:type="dxa"/>
            <w:vAlign w:val="top"/>
          </w:tcPr>
          <w:p w14:paraId="6186E6E9">
            <w:pPr>
              <w:rPr>
                <w:rFonts w:ascii="Arial"/>
                <w:color w:val="auto"/>
                <w:sz w:val="21"/>
                <w:highlight w:val="none"/>
              </w:rPr>
            </w:pPr>
          </w:p>
        </w:tc>
        <w:tc>
          <w:tcPr>
            <w:tcW w:w="949" w:type="dxa"/>
            <w:vAlign w:val="top"/>
          </w:tcPr>
          <w:p w14:paraId="12D5EE21">
            <w:pPr>
              <w:rPr>
                <w:rFonts w:ascii="Arial"/>
                <w:color w:val="auto"/>
                <w:sz w:val="21"/>
                <w:highlight w:val="none"/>
              </w:rPr>
            </w:pPr>
          </w:p>
        </w:tc>
        <w:tc>
          <w:tcPr>
            <w:tcW w:w="1108" w:type="dxa"/>
            <w:vAlign w:val="top"/>
          </w:tcPr>
          <w:p w14:paraId="3946F6A6">
            <w:pPr>
              <w:rPr>
                <w:rFonts w:ascii="Arial"/>
                <w:color w:val="auto"/>
                <w:sz w:val="21"/>
                <w:highlight w:val="none"/>
              </w:rPr>
            </w:pPr>
          </w:p>
        </w:tc>
        <w:tc>
          <w:tcPr>
            <w:tcW w:w="1040" w:type="dxa"/>
            <w:vAlign w:val="top"/>
          </w:tcPr>
          <w:p w14:paraId="33A06376">
            <w:pPr>
              <w:rPr>
                <w:rFonts w:ascii="Arial"/>
                <w:color w:val="auto"/>
                <w:sz w:val="21"/>
                <w:highlight w:val="none"/>
              </w:rPr>
            </w:pPr>
          </w:p>
        </w:tc>
        <w:tc>
          <w:tcPr>
            <w:tcW w:w="1040" w:type="dxa"/>
            <w:vAlign w:val="top"/>
          </w:tcPr>
          <w:p w14:paraId="5126D183">
            <w:pPr>
              <w:rPr>
                <w:rFonts w:ascii="Arial"/>
                <w:color w:val="auto"/>
                <w:sz w:val="21"/>
                <w:highlight w:val="none"/>
              </w:rPr>
            </w:pPr>
          </w:p>
        </w:tc>
        <w:tc>
          <w:tcPr>
            <w:tcW w:w="1482" w:type="dxa"/>
            <w:tcBorders>
              <w:right w:val="single" w:color="000000" w:sz="6" w:space="0"/>
            </w:tcBorders>
            <w:vAlign w:val="top"/>
          </w:tcPr>
          <w:p w14:paraId="411E4B55">
            <w:pPr>
              <w:rPr>
                <w:rFonts w:ascii="Arial"/>
                <w:color w:val="auto"/>
                <w:sz w:val="21"/>
                <w:highlight w:val="none"/>
              </w:rPr>
            </w:pPr>
          </w:p>
        </w:tc>
      </w:tr>
      <w:tr w14:paraId="11F56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C65427C">
            <w:pPr>
              <w:pStyle w:val="23"/>
              <w:spacing w:before="198" w:line="238" w:lineRule="auto"/>
              <w:ind w:left="261"/>
              <w:rPr>
                <w:color w:val="auto"/>
                <w:highlight w:val="none"/>
              </w:rPr>
            </w:pPr>
            <w:r>
              <w:rPr>
                <w:color w:val="auto"/>
                <w:highlight w:val="none"/>
              </w:rPr>
              <w:t>4</w:t>
            </w:r>
          </w:p>
        </w:tc>
        <w:tc>
          <w:tcPr>
            <w:tcW w:w="1063" w:type="dxa"/>
            <w:vAlign w:val="top"/>
          </w:tcPr>
          <w:p w14:paraId="6F6560B1">
            <w:pPr>
              <w:rPr>
                <w:rFonts w:ascii="Arial"/>
                <w:color w:val="auto"/>
                <w:sz w:val="21"/>
                <w:highlight w:val="none"/>
              </w:rPr>
            </w:pPr>
          </w:p>
        </w:tc>
        <w:tc>
          <w:tcPr>
            <w:tcW w:w="753" w:type="dxa"/>
            <w:vAlign w:val="top"/>
          </w:tcPr>
          <w:p w14:paraId="3062BD2D">
            <w:pPr>
              <w:rPr>
                <w:rFonts w:ascii="Arial"/>
                <w:color w:val="auto"/>
                <w:sz w:val="21"/>
                <w:highlight w:val="none"/>
              </w:rPr>
            </w:pPr>
          </w:p>
        </w:tc>
        <w:tc>
          <w:tcPr>
            <w:tcW w:w="1148" w:type="dxa"/>
            <w:vAlign w:val="top"/>
          </w:tcPr>
          <w:p w14:paraId="38D5C3F3">
            <w:pPr>
              <w:rPr>
                <w:rFonts w:ascii="Arial"/>
                <w:color w:val="auto"/>
                <w:sz w:val="21"/>
                <w:highlight w:val="none"/>
              </w:rPr>
            </w:pPr>
          </w:p>
        </w:tc>
        <w:tc>
          <w:tcPr>
            <w:tcW w:w="966" w:type="dxa"/>
            <w:vAlign w:val="top"/>
          </w:tcPr>
          <w:p w14:paraId="1EFD86AE">
            <w:pPr>
              <w:rPr>
                <w:rFonts w:ascii="Arial"/>
                <w:color w:val="auto"/>
                <w:sz w:val="21"/>
                <w:highlight w:val="none"/>
              </w:rPr>
            </w:pPr>
          </w:p>
        </w:tc>
        <w:tc>
          <w:tcPr>
            <w:tcW w:w="1012" w:type="dxa"/>
            <w:vAlign w:val="top"/>
          </w:tcPr>
          <w:p w14:paraId="61CE893C">
            <w:pPr>
              <w:rPr>
                <w:rFonts w:ascii="Arial"/>
                <w:color w:val="auto"/>
                <w:sz w:val="21"/>
                <w:highlight w:val="none"/>
              </w:rPr>
            </w:pPr>
          </w:p>
        </w:tc>
        <w:tc>
          <w:tcPr>
            <w:tcW w:w="1784" w:type="dxa"/>
            <w:vAlign w:val="top"/>
          </w:tcPr>
          <w:p w14:paraId="25749978">
            <w:pPr>
              <w:rPr>
                <w:rFonts w:ascii="Arial"/>
                <w:color w:val="auto"/>
                <w:sz w:val="21"/>
                <w:highlight w:val="none"/>
              </w:rPr>
            </w:pPr>
          </w:p>
        </w:tc>
        <w:tc>
          <w:tcPr>
            <w:tcW w:w="1241" w:type="dxa"/>
            <w:vAlign w:val="top"/>
          </w:tcPr>
          <w:p w14:paraId="1B584230">
            <w:pPr>
              <w:rPr>
                <w:rFonts w:ascii="Arial"/>
                <w:color w:val="auto"/>
                <w:sz w:val="21"/>
                <w:highlight w:val="none"/>
              </w:rPr>
            </w:pPr>
          </w:p>
        </w:tc>
        <w:tc>
          <w:tcPr>
            <w:tcW w:w="949" w:type="dxa"/>
            <w:vAlign w:val="top"/>
          </w:tcPr>
          <w:p w14:paraId="61B6C6ED">
            <w:pPr>
              <w:rPr>
                <w:rFonts w:ascii="Arial"/>
                <w:color w:val="auto"/>
                <w:sz w:val="21"/>
                <w:highlight w:val="none"/>
              </w:rPr>
            </w:pPr>
          </w:p>
        </w:tc>
        <w:tc>
          <w:tcPr>
            <w:tcW w:w="1108" w:type="dxa"/>
            <w:vAlign w:val="top"/>
          </w:tcPr>
          <w:p w14:paraId="6F91778B">
            <w:pPr>
              <w:rPr>
                <w:rFonts w:ascii="Arial"/>
                <w:color w:val="auto"/>
                <w:sz w:val="21"/>
                <w:highlight w:val="none"/>
              </w:rPr>
            </w:pPr>
          </w:p>
        </w:tc>
        <w:tc>
          <w:tcPr>
            <w:tcW w:w="1040" w:type="dxa"/>
            <w:vAlign w:val="top"/>
          </w:tcPr>
          <w:p w14:paraId="5409B721">
            <w:pPr>
              <w:rPr>
                <w:rFonts w:ascii="Arial"/>
                <w:color w:val="auto"/>
                <w:sz w:val="21"/>
                <w:highlight w:val="none"/>
              </w:rPr>
            </w:pPr>
          </w:p>
        </w:tc>
        <w:tc>
          <w:tcPr>
            <w:tcW w:w="1040" w:type="dxa"/>
            <w:vAlign w:val="top"/>
          </w:tcPr>
          <w:p w14:paraId="3DF80D52">
            <w:pPr>
              <w:rPr>
                <w:rFonts w:ascii="Arial"/>
                <w:color w:val="auto"/>
                <w:sz w:val="21"/>
                <w:highlight w:val="none"/>
              </w:rPr>
            </w:pPr>
          </w:p>
        </w:tc>
        <w:tc>
          <w:tcPr>
            <w:tcW w:w="1482" w:type="dxa"/>
            <w:tcBorders>
              <w:right w:val="single" w:color="000000" w:sz="6" w:space="0"/>
            </w:tcBorders>
            <w:vAlign w:val="top"/>
          </w:tcPr>
          <w:p w14:paraId="2040FAA2">
            <w:pPr>
              <w:rPr>
                <w:rFonts w:ascii="Arial"/>
                <w:color w:val="auto"/>
                <w:sz w:val="21"/>
                <w:highlight w:val="none"/>
              </w:rPr>
            </w:pPr>
          </w:p>
        </w:tc>
      </w:tr>
      <w:tr w14:paraId="6344F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1602EB1">
            <w:pPr>
              <w:pStyle w:val="23"/>
              <w:spacing w:before="197" w:line="239" w:lineRule="auto"/>
              <w:ind w:left="266"/>
              <w:rPr>
                <w:color w:val="auto"/>
                <w:highlight w:val="none"/>
              </w:rPr>
            </w:pPr>
            <w:r>
              <w:rPr>
                <w:color w:val="auto"/>
                <w:highlight w:val="none"/>
              </w:rPr>
              <w:t>5</w:t>
            </w:r>
          </w:p>
        </w:tc>
        <w:tc>
          <w:tcPr>
            <w:tcW w:w="1063" w:type="dxa"/>
            <w:vAlign w:val="top"/>
          </w:tcPr>
          <w:p w14:paraId="02EB6D33">
            <w:pPr>
              <w:rPr>
                <w:rFonts w:ascii="Arial"/>
                <w:color w:val="auto"/>
                <w:sz w:val="21"/>
                <w:highlight w:val="none"/>
              </w:rPr>
            </w:pPr>
          </w:p>
        </w:tc>
        <w:tc>
          <w:tcPr>
            <w:tcW w:w="753" w:type="dxa"/>
            <w:vAlign w:val="top"/>
          </w:tcPr>
          <w:p w14:paraId="3E33E17E">
            <w:pPr>
              <w:rPr>
                <w:rFonts w:ascii="Arial"/>
                <w:color w:val="auto"/>
                <w:sz w:val="21"/>
                <w:highlight w:val="none"/>
              </w:rPr>
            </w:pPr>
          </w:p>
        </w:tc>
        <w:tc>
          <w:tcPr>
            <w:tcW w:w="1148" w:type="dxa"/>
            <w:vAlign w:val="top"/>
          </w:tcPr>
          <w:p w14:paraId="0344E8F3">
            <w:pPr>
              <w:rPr>
                <w:rFonts w:ascii="Arial"/>
                <w:color w:val="auto"/>
                <w:sz w:val="21"/>
                <w:highlight w:val="none"/>
              </w:rPr>
            </w:pPr>
          </w:p>
        </w:tc>
        <w:tc>
          <w:tcPr>
            <w:tcW w:w="966" w:type="dxa"/>
            <w:vAlign w:val="top"/>
          </w:tcPr>
          <w:p w14:paraId="58B804D1">
            <w:pPr>
              <w:rPr>
                <w:rFonts w:ascii="Arial"/>
                <w:color w:val="auto"/>
                <w:sz w:val="21"/>
                <w:highlight w:val="none"/>
              </w:rPr>
            </w:pPr>
          </w:p>
        </w:tc>
        <w:tc>
          <w:tcPr>
            <w:tcW w:w="1012" w:type="dxa"/>
            <w:vAlign w:val="top"/>
          </w:tcPr>
          <w:p w14:paraId="0DE7D748">
            <w:pPr>
              <w:rPr>
                <w:rFonts w:ascii="Arial"/>
                <w:color w:val="auto"/>
                <w:sz w:val="21"/>
                <w:highlight w:val="none"/>
              </w:rPr>
            </w:pPr>
          </w:p>
        </w:tc>
        <w:tc>
          <w:tcPr>
            <w:tcW w:w="1784" w:type="dxa"/>
            <w:vAlign w:val="top"/>
          </w:tcPr>
          <w:p w14:paraId="2DD3EEDD">
            <w:pPr>
              <w:rPr>
                <w:rFonts w:ascii="Arial"/>
                <w:color w:val="auto"/>
                <w:sz w:val="21"/>
                <w:highlight w:val="none"/>
              </w:rPr>
            </w:pPr>
          </w:p>
        </w:tc>
        <w:tc>
          <w:tcPr>
            <w:tcW w:w="1241" w:type="dxa"/>
            <w:vAlign w:val="top"/>
          </w:tcPr>
          <w:p w14:paraId="116BFC4E">
            <w:pPr>
              <w:rPr>
                <w:rFonts w:ascii="Arial"/>
                <w:color w:val="auto"/>
                <w:sz w:val="21"/>
                <w:highlight w:val="none"/>
              </w:rPr>
            </w:pPr>
          </w:p>
        </w:tc>
        <w:tc>
          <w:tcPr>
            <w:tcW w:w="949" w:type="dxa"/>
            <w:vAlign w:val="top"/>
          </w:tcPr>
          <w:p w14:paraId="57EA5029">
            <w:pPr>
              <w:rPr>
                <w:rFonts w:ascii="Arial"/>
                <w:color w:val="auto"/>
                <w:sz w:val="21"/>
                <w:highlight w:val="none"/>
              </w:rPr>
            </w:pPr>
          </w:p>
        </w:tc>
        <w:tc>
          <w:tcPr>
            <w:tcW w:w="1108" w:type="dxa"/>
            <w:vAlign w:val="top"/>
          </w:tcPr>
          <w:p w14:paraId="3858E67F">
            <w:pPr>
              <w:rPr>
                <w:rFonts w:ascii="Arial"/>
                <w:color w:val="auto"/>
                <w:sz w:val="21"/>
                <w:highlight w:val="none"/>
              </w:rPr>
            </w:pPr>
          </w:p>
        </w:tc>
        <w:tc>
          <w:tcPr>
            <w:tcW w:w="1040" w:type="dxa"/>
            <w:vAlign w:val="top"/>
          </w:tcPr>
          <w:p w14:paraId="59D683EB">
            <w:pPr>
              <w:rPr>
                <w:rFonts w:ascii="Arial"/>
                <w:color w:val="auto"/>
                <w:sz w:val="21"/>
                <w:highlight w:val="none"/>
              </w:rPr>
            </w:pPr>
          </w:p>
        </w:tc>
        <w:tc>
          <w:tcPr>
            <w:tcW w:w="1040" w:type="dxa"/>
            <w:vAlign w:val="top"/>
          </w:tcPr>
          <w:p w14:paraId="758E4E8D">
            <w:pPr>
              <w:rPr>
                <w:rFonts w:ascii="Arial"/>
                <w:color w:val="auto"/>
                <w:sz w:val="21"/>
                <w:highlight w:val="none"/>
              </w:rPr>
            </w:pPr>
          </w:p>
        </w:tc>
        <w:tc>
          <w:tcPr>
            <w:tcW w:w="1482" w:type="dxa"/>
            <w:tcBorders>
              <w:right w:val="single" w:color="000000" w:sz="6" w:space="0"/>
            </w:tcBorders>
            <w:vAlign w:val="top"/>
          </w:tcPr>
          <w:p w14:paraId="1A2B5034">
            <w:pPr>
              <w:rPr>
                <w:rFonts w:ascii="Arial"/>
                <w:color w:val="auto"/>
                <w:sz w:val="21"/>
                <w:highlight w:val="none"/>
              </w:rPr>
            </w:pPr>
          </w:p>
        </w:tc>
      </w:tr>
      <w:tr w14:paraId="387FD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12EAE730">
            <w:pPr>
              <w:pStyle w:val="23"/>
              <w:spacing w:before="199" w:line="238" w:lineRule="auto"/>
              <w:ind w:left="264"/>
              <w:rPr>
                <w:color w:val="auto"/>
                <w:highlight w:val="none"/>
              </w:rPr>
            </w:pPr>
            <w:r>
              <w:rPr>
                <w:color w:val="auto"/>
                <w:highlight w:val="none"/>
              </w:rPr>
              <w:t>6</w:t>
            </w:r>
          </w:p>
        </w:tc>
        <w:tc>
          <w:tcPr>
            <w:tcW w:w="1063" w:type="dxa"/>
            <w:vAlign w:val="top"/>
          </w:tcPr>
          <w:p w14:paraId="735F5C63">
            <w:pPr>
              <w:rPr>
                <w:rFonts w:ascii="Arial"/>
                <w:color w:val="auto"/>
                <w:sz w:val="21"/>
                <w:highlight w:val="none"/>
              </w:rPr>
            </w:pPr>
          </w:p>
        </w:tc>
        <w:tc>
          <w:tcPr>
            <w:tcW w:w="753" w:type="dxa"/>
            <w:vAlign w:val="top"/>
          </w:tcPr>
          <w:p w14:paraId="258ED080">
            <w:pPr>
              <w:rPr>
                <w:rFonts w:ascii="Arial"/>
                <w:color w:val="auto"/>
                <w:sz w:val="21"/>
                <w:highlight w:val="none"/>
              </w:rPr>
            </w:pPr>
          </w:p>
        </w:tc>
        <w:tc>
          <w:tcPr>
            <w:tcW w:w="1148" w:type="dxa"/>
            <w:vAlign w:val="top"/>
          </w:tcPr>
          <w:p w14:paraId="4C19A3D1">
            <w:pPr>
              <w:rPr>
                <w:rFonts w:ascii="Arial"/>
                <w:color w:val="auto"/>
                <w:sz w:val="21"/>
                <w:highlight w:val="none"/>
              </w:rPr>
            </w:pPr>
          </w:p>
        </w:tc>
        <w:tc>
          <w:tcPr>
            <w:tcW w:w="966" w:type="dxa"/>
            <w:vAlign w:val="top"/>
          </w:tcPr>
          <w:p w14:paraId="2A23B092">
            <w:pPr>
              <w:rPr>
                <w:rFonts w:ascii="Arial"/>
                <w:color w:val="auto"/>
                <w:sz w:val="21"/>
                <w:highlight w:val="none"/>
              </w:rPr>
            </w:pPr>
          </w:p>
        </w:tc>
        <w:tc>
          <w:tcPr>
            <w:tcW w:w="1012" w:type="dxa"/>
            <w:vAlign w:val="top"/>
          </w:tcPr>
          <w:p w14:paraId="400AAAEE">
            <w:pPr>
              <w:rPr>
                <w:rFonts w:ascii="Arial"/>
                <w:color w:val="auto"/>
                <w:sz w:val="21"/>
                <w:highlight w:val="none"/>
              </w:rPr>
            </w:pPr>
          </w:p>
        </w:tc>
        <w:tc>
          <w:tcPr>
            <w:tcW w:w="1784" w:type="dxa"/>
            <w:vAlign w:val="top"/>
          </w:tcPr>
          <w:p w14:paraId="3714DB53">
            <w:pPr>
              <w:rPr>
                <w:rFonts w:ascii="Arial"/>
                <w:color w:val="auto"/>
                <w:sz w:val="21"/>
                <w:highlight w:val="none"/>
              </w:rPr>
            </w:pPr>
          </w:p>
        </w:tc>
        <w:tc>
          <w:tcPr>
            <w:tcW w:w="1241" w:type="dxa"/>
            <w:vAlign w:val="top"/>
          </w:tcPr>
          <w:p w14:paraId="1010D626">
            <w:pPr>
              <w:rPr>
                <w:rFonts w:ascii="Arial"/>
                <w:color w:val="auto"/>
                <w:sz w:val="21"/>
                <w:highlight w:val="none"/>
              </w:rPr>
            </w:pPr>
          </w:p>
        </w:tc>
        <w:tc>
          <w:tcPr>
            <w:tcW w:w="949" w:type="dxa"/>
            <w:vAlign w:val="top"/>
          </w:tcPr>
          <w:p w14:paraId="302E8050">
            <w:pPr>
              <w:rPr>
                <w:rFonts w:ascii="Arial"/>
                <w:color w:val="auto"/>
                <w:sz w:val="21"/>
                <w:highlight w:val="none"/>
              </w:rPr>
            </w:pPr>
          </w:p>
        </w:tc>
        <w:tc>
          <w:tcPr>
            <w:tcW w:w="1108" w:type="dxa"/>
            <w:vAlign w:val="top"/>
          </w:tcPr>
          <w:p w14:paraId="0975A2A1">
            <w:pPr>
              <w:rPr>
                <w:rFonts w:ascii="Arial"/>
                <w:color w:val="auto"/>
                <w:sz w:val="21"/>
                <w:highlight w:val="none"/>
              </w:rPr>
            </w:pPr>
          </w:p>
        </w:tc>
        <w:tc>
          <w:tcPr>
            <w:tcW w:w="1040" w:type="dxa"/>
            <w:vAlign w:val="top"/>
          </w:tcPr>
          <w:p w14:paraId="6F22F907">
            <w:pPr>
              <w:rPr>
                <w:rFonts w:ascii="Arial"/>
                <w:color w:val="auto"/>
                <w:sz w:val="21"/>
                <w:highlight w:val="none"/>
              </w:rPr>
            </w:pPr>
          </w:p>
        </w:tc>
        <w:tc>
          <w:tcPr>
            <w:tcW w:w="1040" w:type="dxa"/>
            <w:vAlign w:val="top"/>
          </w:tcPr>
          <w:p w14:paraId="0F0E8323">
            <w:pPr>
              <w:rPr>
                <w:rFonts w:ascii="Arial"/>
                <w:color w:val="auto"/>
                <w:sz w:val="21"/>
                <w:highlight w:val="none"/>
              </w:rPr>
            </w:pPr>
          </w:p>
        </w:tc>
        <w:tc>
          <w:tcPr>
            <w:tcW w:w="1482" w:type="dxa"/>
            <w:tcBorders>
              <w:right w:val="single" w:color="000000" w:sz="6" w:space="0"/>
            </w:tcBorders>
            <w:vAlign w:val="top"/>
          </w:tcPr>
          <w:p w14:paraId="1121B902">
            <w:pPr>
              <w:rPr>
                <w:rFonts w:ascii="Arial"/>
                <w:color w:val="auto"/>
                <w:sz w:val="21"/>
                <w:highlight w:val="none"/>
              </w:rPr>
            </w:pPr>
          </w:p>
        </w:tc>
      </w:tr>
      <w:tr w14:paraId="4DD67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41531B9">
            <w:pPr>
              <w:pStyle w:val="23"/>
              <w:spacing w:before="200" w:line="236" w:lineRule="auto"/>
              <w:ind w:left="267"/>
              <w:rPr>
                <w:color w:val="auto"/>
                <w:highlight w:val="none"/>
              </w:rPr>
            </w:pPr>
            <w:r>
              <w:rPr>
                <w:color w:val="auto"/>
                <w:highlight w:val="none"/>
              </w:rPr>
              <w:t>7</w:t>
            </w:r>
          </w:p>
        </w:tc>
        <w:tc>
          <w:tcPr>
            <w:tcW w:w="1063" w:type="dxa"/>
            <w:vAlign w:val="top"/>
          </w:tcPr>
          <w:p w14:paraId="0089390A">
            <w:pPr>
              <w:rPr>
                <w:rFonts w:ascii="Arial"/>
                <w:color w:val="auto"/>
                <w:sz w:val="21"/>
                <w:highlight w:val="none"/>
              </w:rPr>
            </w:pPr>
          </w:p>
        </w:tc>
        <w:tc>
          <w:tcPr>
            <w:tcW w:w="753" w:type="dxa"/>
            <w:vAlign w:val="top"/>
          </w:tcPr>
          <w:p w14:paraId="061CCAF6">
            <w:pPr>
              <w:rPr>
                <w:rFonts w:ascii="Arial"/>
                <w:color w:val="auto"/>
                <w:sz w:val="21"/>
                <w:highlight w:val="none"/>
              </w:rPr>
            </w:pPr>
          </w:p>
        </w:tc>
        <w:tc>
          <w:tcPr>
            <w:tcW w:w="1148" w:type="dxa"/>
            <w:vAlign w:val="top"/>
          </w:tcPr>
          <w:p w14:paraId="4B5C0C25">
            <w:pPr>
              <w:rPr>
                <w:rFonts w:ascii="Arial"/>
                <w:color w:val="auto"/>
                <w:sz w:val="21"/>
                <w:highlight w:val="none"/>
              </w:rPr>
            </w:pPr>
          </w:p>
        </w:tc>
        <w:tc>
          <w:tcPr>
            <w:tcW w:w="966" w:type="dxa"/>
            <w:vAlign w:val="top"/>
          </w:tcPr>
          <w:p w14:paraId="7A195358">
            <w:pPr>
              <w:rPr>
                <w:rFonts w:ascii="Arial"/>
                <w:color w:val="auto"/>
                <w:sz w:val="21"/>
                <w:highlight w:val="none"/>
              </w:rPr>
            </w:pPr>
          </w:p>
        </w:tc>
        <w:tc>
          <w:tcPr>
            <w:tcW w:w="1012" w:type="dxa"/>
            <w:vAlign w:val="top"/>
          </w:tcPr>
          <w:p w14:paraId="27288603">
            <w:pPr>
              <w:rPr>
                <w:rFonts w:ascii="Arial"/>
                <w:color w:val="auto"/>
                <w:sz w:val="21"/>
                <w:highlight w:val="none"/>
              </w:rPr>
            </w:pPr>
          </w:p>
        </w:tc>
        <w:tc>
          <w:tcPr>
            <w:tcW w:w="1784" w:type="dxa"/>
            <w:vAlign w:val="top"/>
          </w:tcPr>
          <w:p w14:paraId="6B18F815">
            <w:pPr>
              <w:rPr>
                <w:rFonts w:ascii="Arial"/>
                <w:color w:val="auto"/>
                <w:sz w:val="21"/>
                <w:highlight w:val="none"/>
              </w:rPr>
            </w:pPr>
          </w:p>
        </w:tc>
        <w:tc>
          <w:tcPr>
            <w:tcW w:w="1241" w:type="dxa"/>
            <w:vAlign w:val="top"/>
          </w:tcPr>
          <w:p w14:paraId="2B92362E">
            <w:pPr>
              <w:rPr>
                <w:rFonts w:ascii="Arial"/>
                <w:color w:val="auto"/>
                <w:sz w:val="21"/>
                <w:highlight w:val="none"/>
              </w:rPr>
            </w:pPr>
          </w:p>
        </w:tc>
        <w:tc>
          <w:tcPr>
            <w:tcW w:w="949" w:type="dxa"/>
            <w:vAlign w:val="top"/>
          </w:tcPr>
          <w:p w14:paraId="30958D29">
            <w:pPr>
              <w:rPr>
                <w:rFonts w:ascii="Arial"/>
                <w:color w:val="auto"/>
                <w:sz w:val="21"/>
                <w:highlight w:val="none"/>
              </w:rPr>
            </w:pPr>
          </w:p>
        </w:tc>
        <w:tc>
          <w:tcPr>
            <w:tcW w:w="1108" w:type="dxa"/>
            <w:vAlign w:val="top"/>
          </w:tcPr>
          <w:p w14:paraId="05F0FAF8">
            <w:pPr>
              <w:rPr>
                <w:rFonts w:ascii="Arial"/>
                <w:color w:val="auto"/>
                <w:sz w:val="21"/>
                <w:highlight w:val="none"/>
              </w:rPr>
            </w:pPr>
          </w:p>
        </w:tc>
        <w:tc>
          <w:tcPr>
            <w:tcW w:w="1040" w:type="dxa"/>
            <w:vAlign w:val="top"/>
          </w:tcPr>
          <w:p w14:paraId="205FCAEF">
            <w:pPr>
              <w:rPr>
                <w:rFonts w:ascii="Arial"/>
                <w:color w:val="auto"/>
                <w:sz w:val="21"/>
                <w:highlight w:val="none"/>
              </w:rPr>
            </w:pPr>
          </w:p>
        </w:tc>
        <w:tc>
          <w:tcPr>
            <w:tcW w:w="1040" w:type="dxa"/>
            <w:vAlign w:val="top"/>
          </w:tcPr>
          <w:p w14:paraId="18C3B64D">
            <w:pPr>
              <w:rPr>
                <w:rFonts w:ascii="Arial"/>
                <w:color w:val="auto"/>
                <w:sz w:val="21"/>
                <w:highlight w:val="none"/>
              </w:rPr>
            </w:pPr>
          </w:p>
        </w:tc>
        <w:tc>
          <w:tcPr>
            <w:tcW w:w="1482" w:type="dxa"/>
            <w:tcBorders>
              <w:right w:val="single" w:color="000000" w:sz="6" w:space="0"/>
            </w:tcBorders>
            <w:vAlign w:val="top"/>
          </w:tcPr>
          <w:p w14:paraId="22F7CC80">
            <w:pPr>
              <w:rPr>
                <w:rFonts w:ascii="Arial"/>
                <w:color w:val="auto"/>
                <w:sz w:val="21"/>
                <w:highlight w:val="none"/>
              </w:rPr>
            </w:pPr>
          </w:p>
        </w:tc>
      </w:tr>
      <w:tr w14:paraId="60614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4B0EC573">
            <w:pPr>
              <w:pStyle w:val="23"/>
              <w:spacing w:before="201" w:line="235" w:lineRule="auto"/>
              <w:ind w:left="263"/>
              <w:rPr>
                <w:color w:val="auto"/>
                <w:highlight w:val="none"/>
              </w:rPr>
            </w:pPr>
            <w:r>
              <w:rPr>
                <w:color w:val="auto"/>
                <w:highlight w:val="none"/>
              </w:rPr>
              <w:t>8</w:t>
            </w:r>
          </w:p>
        </w:tc>
        <w:tc>
          <w:tcPr>
            <w:tcW w:w="1063" w:type="dxa"/>
            <w:vAlign w:val="top"/>
          </w:tcPr>
          <w:p w14:paraId="40EBBEBD">
            <w:pPr>
              <w:rPr>
                <w:rFonts w:ascii="Arial"/>
                <w:color w:val="auto"/>
                <w:sz w:val="21"/>
                <w:highlight w:val="none"/>
              </w:rPr>
            </w:pPr>
          </w:p>
        </w:tc>
        <w:tc>
          <w:tcPr>
            <w:tcW w:w="753" w:type="dxa"/>
            <w:vAlign w:val="top"/>
          </w:tcPr>
          <w:p w14:paraId="2DAAD8C5">
            <w:pPr>
              <w:rPr>
                <w:rFonts w:ascii="Arial"/>
                <w:color w:val="auto"/>
                <w:sz w:val="21"/>
                <w:highlight w:val="none"/>
              </w:rPr>
            </w:pPr>
          </w:p>
        </w:tc>
        <w:tc>
          <w:tcPr>
            <w:tcW w:w="1148" w:type="dxa"/>
            <w:vAlign w:val="top"/>
          </w:tcPr>
          <w:p w14:paraId="2C62FB81">
            <w:pPr>
              <w:rPr>
                <w:rFonts w:ascii="Arial"/>
                <w:color w:val="auto"/>
                <w:sz w:val="21"/>
                <w:highlight w:val="none"/>
              </w:rPr>
            </w:pPr>
          </w:p>
        </w:tc>
        <w:tc>
          <w:tcPr>
            <w:tcW w:w="966" w:type="dxa"/>
            <w:vAlign w:val="top"/>
          </w:tcPr>
          <w:p w14:paraId="71D2F719">
            <w:pPr>
              <w:rPr>
                <w:rFonts w:ascii="Arial"/>
                <w:color w:val="auto"/>
                <w:sz w:val="21"/>
                <w:highlight w:val="none"/>
              </w:rPr>
            </w:pPr>
          </w:p>
        </w:tc>
        <w:tc>
          <w:tcPr>
            <w:tcW w:w="1012" w:type="dxa"/>
            <w:vAlign w:val="top"/>
          </w:tcPr>
          <w:p w14:paraId="18E01E45">
            <w:pPr>
              <w:rPr>
                <w:rFonts w:ascii="Arial"/>
                <w:color w:val="auto"/>
                <w:sz w:val="21"/>
                <w:highlight w:val="none"/>
              </w:rPr>
            </w:pPr>
          </w:p>
        </w:tc>
        <w:tc>
          <w:tcPr>
            <w:tcW w:w="1784" w:type="dxa"/>
            <w:vAlign w:val="top"/>
          </w:tcPr>
          <w:p w14:paraId="67095ED2">
            <w:pPr>
              <w:rPr>
                <w:rFonts w:ascii="Arial"/>
                <w:color w:val="auto"/>
                <w:sz w:val="21"/>
                <w:highlight w:val="none"/>
              </w:rPr>
            </w:pPr>
          </w:p>
        </w:tc>
        <w:tc>
          <w:tcPr>
            <w:tcW w:w="1241" w:type="dxa"/>
            <w:vAlign w:val="top"/>
          </w:tcPr>
          <w:p w14:paraId="3150D780">
            <w:pPr>
              <w:rPr>
                <w:rFonts w:ascii="Arial"/>
                <w:color w:val="auto"/>
                <w:sz w:val="21"/>
                <w:highlight w:val="none"/>
              </w:rPr>
            </w:pPr>
          </w:p>
        </w:tc>
        <w:tc>
          <w:tcPr>
            <w:tcW w:w="949" w:type="dxa"/>
            <w:vAlign w:val="top"/>
          </w:tcPr>
          <w:p w14:paraId="69A1F230">
            <w:pPr>
              <w:rPr>
                <w:rFonts w:ascii="Arial"/>
                <w:color w:val="auto"/>
                <w:sz w:val="21"/>
                <w:highlight w:val="none"/>
              </w:rPr>
            </w:pPr>
          </w:p>
        </w:tc>
        <w:tc>
          <w:tcPr>
            <w:tcW w:w="1108" w:type="dxa"/>
            <w:vAlign w:val="top"/>
          </w:tcPr>
          <w:p w14:paraId="1CD6F1C3">
            <w:pPr>
              <w:rPr>
                <w:rFonts w:ascii="Arial"/>
                <w:color w:val="auto"/>
                <w:sz w:val="21"/>
                <w:highlight w:val="none"/>
              </w:rPr>
            </w:pPr>
          </w:p>
        </w:tc>
        <w:tc>
          <w:tcPr>
            <w:tcW w:w="1040" w:type="dxa"/>
            <w:vAlign w:val="top"/>
          </w:tcPr>
          <w:p w14:paraId="57D77C14">
            <w:pPr>
              <w:rPr>
                <w:rFonts w:ascii="Arial"/>
                <w:color w:val="auto"/>
                <w:sz w:val="21"/>
                <w:highlight w:val="none"/>
              </w:rPr>
            </w:pPr>
          </w:p>
        </w:tc>
        <w:tc>
          <w:tcPr>
            <w:tcW w:w="1040" w:type="dxa"/>
            <w:vAlign w:val="top"/>
          </w:tcPr>
          <w:p w14:paraId="16AC3B47">
            <w:pPr>
              <w:rPr>
                <w:rFonts w:ascii="Arial"/>
                <w:color w:val="auto"/>
                <w:sz w:val="21"/>
                <w:highlight w:val="none"/>
              </w:rPr>
            </w:pPr>
          </w:p>
        </w:tc>
        <w:tc>
          <w:tcPr>
            <w:tcW w:w="1482" w:type="dxa"/>
            <w:tcBorders>
              <w:right w:val="single" w:color="000000" w:sz="6" w:space="0"/>
            </w:tcBorders>
            <w:vAlign w:val="top"/>
          </w:tcPr>
          <w:p w14:paraId="4F3AA292">
            <w:pPr>
              <w:rPr>
                <w:rFonts w:ascii="Arial"/>
                <w:color w:val="auto"/>
                <w:sz w:val="21"/>
                <w:highlight w:val="none"/>
              </w:rPr>
            </w:pPr>
          </w:p>
        </w:tc>
      </w:tr>
      <w:tr w14:paraId="6D158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BFC0705">
            <w:pPr>
              <w:pStyle w:val="23"/>
              <w:spacing w:before="201" w:line="235" w:lineRule="auto"/>
              <w:ind w:left="263"/>
              <w:rPr>
                <w:color w:val="auto"/>
                <w:highlight w:val="none"/>
              </w:rPr>
            </w:pPr>
            <w:r>
              <w:rPr>
                <w:color w:val="auto"/>
                <w:highlight w:val="none"/>
              </w:rPr>
              <w:t>9</w:t>
            </w:r>
          </w:p>
        </w:tc>
        <w:tc>
          <w:tcPr>
            <w:tcW w:w="1063" w:type="dxa"/>
            <w:vAlign w:val="top"/>
          </w:tcPr>
          <w:p w14:paraId="4C25C497">
            <w:pPr>
              <w:rPr>
                <w:rFonts w:ascii="Arial"/>
                <w:color w:val="auto"/>
                <w:sz w:val="21"/>
                <w:highlight w:val="none"/>
              </w:rPr>
            </w:pPr>
          </w:p>
        </w:tc>
        <w:tc>
          <w:tcPr>
            <w:tcW w:w="753" w:type="dxa"/>
            <w:vAlign w:val="top"/>
          </w:tcPr>
          <w:p w14:paraId="766B9F35">
            <w:pPr>
              <w:rPr>
                <w:rFonts w:ascii="Arial"/>
                <w:color w:val="auto"/>
                <w:sz w:val="21"/>
                <w:highlight w:val="none"/>
              </w:rPr>
            </w:pPr>
          </w:p>
        </w:tc>
        <w:tc>
          <w:tcPr>
            <w:tcW w:w="1148" w:type="dxa"/>
            <w:vAlign w:val="top"/>
          </w:tcPr>
          <w:p w14:paraId="41325495">
            <w:pPr>
              <w:rPr>
                <w:rFonts w:ascii="Arial"/>
                <w:color w:val="auto"/>
                <w:sz w:val="21"/>
                <w:highlight w:val="none"/>
              </w:rPr>
            </w:pPr>
          </w:p>
        </w:tc>
        <w:tc>
          <w:tcPr>
            <w:tcW w:w="966" w:type="dxa"/>
            <w:vAlign w:val="top"/>
          </w:tcPr>
          <w:p w14:paraId="27DD82FA">
            <w:pPr>
              <w:rPr>
                <w:rFonts w:ascii="Arial"/>
                <w:color w:val="auto"/>
                <w:sz w:val="21"/>
                <w:highlight w:val="none"/>
              </w:rPr>
            </w:pPr>
          </w:p>
        </w:tc>
        <w:tc>
          <w:tcPr>
            <w:tcW w:w="1012" w:type="dxa"/>
            <w:vAlign w:val="top"/>
          </w:tcPr>
          <w:p w14:paraId="1360F247">
            <w:pPr>
              <w:rPr>
                <w:rFonts w:ascii="Arial"/>
                <w:color w:val="auto"/>
                <w:sz w:val="21"/>
                <w:highlight w:val="none"/>
              </w:rPr>
            </w:pPr>
          </w:p>
        </w:tc>
        <w:tc>
          <w:tcPr>
            <w:tcW w:w="1784" w:type="dxa"/>
            <w:vAlign w:val="top"/>
          </w:tcPr>
          <w:p w14:paraId="2905AE87">
            <w:pPr>
              <w:rPr>
                <w:rFonts w:ascii="Arial"/>
                <w:color w:val="auto"/>
                <w:sz w:val="21"/>
                <w:highlight w:val="none"/>
              </w:rPr>
            </w:pPr>
          </w:p>
        </w:tc>
        <w:tc>
          <w:tcPr>
            <w:tcW w:w="1241" w:type="dxa"/>
            <w:vAlign w:val="top"/>
          </w:tcPr>
          <w:p w14:paraId="3C429C8C">
            <w:pPr>
              <w:rPr>
                <w:rFonts w:ascii="Arial"/>
                <w:color w:val="auto"/>
                <w:sz w:val="21"/>
                <w:highlight w:val="none"/>
              </w:rPr>
            </w:pPr>
          </w:p>
        </w:tc>
        <w:tc>
          <w:tcPr>
            <w:tcW w:w="949" w:type="dxa"/>
            <w:vAlign w:val="top"/>
          </w:tcPr>
          <w:p w14:paraId="02C1A80C">
            <w:pPr>
              <w:rPr>
                <w:rFonts w:ascii="Arial"/>
                <w:color w:val="auto"/>
                <w:sz w:val="21"/>
                <w:highlight w:val="none"/>
              </w:rPr>
            </w:pPr>
          </w:p>
        </w:tc>
        <w:tc>
          <w:tcPr>
            <w:tcW w:w="1108" w:type="dxa"/>
            <w:vAlign w:val="top"/>
          </w:tcPr>
          <w:p w14:paraId="0E567923">
            <w:pPr>
              <w:rPr>
                <w:rFonts w:ascii="Arial"/>
                <w:color w:val="auto"/>
                <w:sz w:val="21"/>
                <w:highlight w:val="none"/>
              </w:rPr>
            </w:pPr>
          </w:p>
        </w:tc>
        <w:tc>
          <w:tcPr>
            <w:tcW w:w="1040" w:type="dxa"/>
            <w:vAlign w:val="top"/>
          </w:tcPr>
          <w:p w14:paraId="7FD53C3A">
            <w:pPr>
              <w:rPr>
                <w:rFonts w:ascii="Arial"/>
                <w:color w:val="auto"/>
                <w:sz w:val="21"/>
                <w:highlight w:val="none"/>
              </w:rPr>
            </w:pPr>
          </w:p>
        </w:tc>
        <w:tc>
          <w:tcPr>
            <w:tcW w:w="1040" w:type="dxa"/>
            <w:vAlign w:val="top"/>
          </w:tcPr>
          <w:p w14:paraId="46A852AF">
            <w:pPr>
              <w:rPr>
                <w:rFonts w:ascii="Arial"/>
                <w:color w:val="auto"/>
                <w:sz w:val="21"/>
                <w:highlight w:val="none"/>
              </w:rPr>
            </w:pPr>
          </w:p>
        </w:tc>
        <w:tc>
          <w:tcPr>
            <w:tcW w:w="1482" w:type="dxa"/>
            <w:tcBorders>
              <w:right w:val="single" w:color="000000" w:sz="6" w:space="0"/>
            </w:tcBorders>
            <w:vAlign w:val="top"/>
          </w:tcPr>
          <w:p w14:paraId="2C248F38">
            <w:pPr>
              <w:rPr>
                <w:rFonts w:ascii="Arial"/>
                <w:color w:val="auto"/>
                <w:sz w:val="21"/>
                <w:highlight w:val="none"/>
              </w:rPr>
            </w:pPr>
          </w:p>
        </w:tc>
      </w:tr>
      <w:tr w14:paraId="1D5E2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60C3F8E6">
            <w:pPr>
              <w:pStyle w:val="23"/>
              <w:spacing w:before="203" w:line="233" w:lineRule="auto"/>
              <w:ind w:left="222"/>
              <w:rPr>
                <w:color w:val="auto"/>
                <w:highlight w:val="none"/>
              </w:rPr>
            </w:pPr>
            <w:r>
              <w:rPr>
                <w:color w:val="auto"/>
                <w:highlight w:val="none"/>
              </w:rPr>
              <w:t>…</w:t>
            </w:r>
          </w:p>
        </w:tc>
        <w:tc>
          <w:tcPr>
            <w:tcW w:w="1063" w:type="dxa"/>
            <w:vAlign w:val="top"/>
          </w:tcPr>
          <w:p w14:paraId="39F4771F">
            <w:pPr>
              <w:rPr>
                <w:rFonts w:ascii="Arial"/>
                <w:color w:val="auto"/>
                <w:sz w:val="21"/>
                <w:highlight w:val="none"/>
              </w:rPr>
            </w:pPr>
          </w:p>
        </w:tc>
        <w:tc>
          <w:tcPr>
            <w:tcW w:w="753" w:type="dxa"/>
            <w:vAlign w:val="top"/>
          </w:tcPr>
          <w:p w14:paraId="4E5E36BB">
            <w:pPr>
              <w:rPr>
                <w:rFonts w:ascii="Arial"/>
                <w:color w:val="auto"/>
                <w:sz w:val="21"/>
                <w:highlight w:val="none"/>
              </w:rPr>
            </w:pPr>
          </w:p>
        </w:tc>
        <w:tc>
          <w:tcPr>
            <w:tcW w:w="1148" w:type="dxa"/>
            <w:vAlign w:val="top"/>
          </w:tcPr>
          <w:p w14:paraId="76BB2EC4">
            <w:pPr>
              <w:rPr>
                <w:rFonts w:ascii="Arial"/>
                <w:color w:val="auto"/>
                <w:sz w:val="21"/>
                <w:highlight w:val="none"/>
              </w:rPr>
            </w:pPr>
          </w:p>
        </w:tc>
        <w:tc>
          <w:tcPr>
            <w:tcW w:w="966" w:type="dxa"/>
            <w:vAlign w:val="top"/>
          </w:tcPr>
          <w:p w14:paraId="45A9D2D9">
            <w:pPr>
              <w:rPr>
                <w:rFonts w:ascii="Arial"/>
                <w:color w:val="auto"/>
                <w:sz w:val="21"/>
                <w:highlight w:val="none"/>
              </w:rPr>
            </w:pPr>
          </w:p>
        </w:tc>
        <w:tc>
          <w:tcPr>
            <w:tcW w:w="1012" w:type="dxa"/>
            <w:vAlign w:val="top"/>
          </w:tcPr>
          <w:p w14:paraId="0237F7A8">
            <w:pPr>
              <w:rPr>
                <w:rFonts w:ascii="Arial"/>
                <w:color w:val="auto"/>
                <w:sz w:val="21"/>
                <w:highlight w:val="none"/>
              </w:rPr>
            </w:pPr>
          </w:p>
        </w:tc>
        <w:tc>
          <w:tcPr>
            <w:tcW w:w="1784" w:type="dxa"/>
            <w:vAlign w:val="top"/>
          </w:tcPr>
          <w:p w14:paraId="246F2F26">
            <w:pPr>
              <w:rPr>
                <w:rFonts w:ascii="Arial"/>
                <w:color w:val="auto"/>
                <w:sz w:val="21"/>
                <w:highlight w:val="none"/>
              </w:rPr>
            </w:pPr>
          </w:p>
        </w:tc>
        <w:tc>
          <w:tcPr>
            <w:tcW w:w="1241" w:type="dxa"/>
            <w:vAlign w:val="top"/>
          </w:tcPr>
          <w:p w14:paraId="112F6008">
            <w:pPr>
              <w:rPr>
                <w:rFonts w:ascii="Arial"/>
                <w:color w:val="auto"/>
                <w:sz w:val="21"/>
                <w:highlight w:val="none"/>
              </w:rPr>
            </w:pPr>
          </w:p>
        </w:tc>
        <w:tc>
          <w:tcPr>
            <w:tcW w:w="949" w:type="dxa"/>
            <w:vAlign w:val="top"/>
          </w:tcPr>
          <w:p w14:paraId="4222D90B">
            <w:pPr>
              <w:rPr>
                <w:rFonts w:ascii="Arial"/>
                <w:color w:val="auto"/>
                <w:sz w:val="21"/>
                <w:highlight w:val="none"/>
              </w:rPr>
            </w:pPr>
          </w:p>
        </w:tc>
        <w:tc>
          <w:tcPr>
            <w:tcW w:w="1108" w:type="dxa"/>
            <w:vAlign w:val="top"/>
          </w:tcPr>
          <w:p w14:paraId="3291F19D">
            <w:pPr>
              <w:rPr>
                <w:rFonts w:ascii="Arial"/>
                <w:color w:val="auto"/>
                <w:sz w:val="21"/>
                <w:highlight w:val="none"/>
              </w:rPr>
            </w:pPr>
          </w:p>
        </w:tc>
        <w:tc>
          <w:tcPr>
            <w:tcW w:w="1040" w:type="dxa"/>
            <w:vAlign w:val="top"/>
          </w:tcPr>
          <w:p w14:paraId="3ED8A66F">
            <w:pPr>
              <w:rPr>
                <w:rFonts w:ascii="Arial"/>
                <w:color w:val="auto"/>
                <w:sz w:val="21"/>
                <w:highlight w:val="none"/>
              </w:rPr>
            </w:pPr>
          </w:p>
        </w:tc>
        <w:tc>
          <w:tcPr>
            <w:tcW w:w="1040" w:type="dxa"/>
            <w:vAlign w:val="top"/>
          </w:tcPr>
          <w:p w14:paraId="426A5751">
            <w:pPr>
              <w:rPr>
                <w:rFonts w:ascii="Arial"/>
                <w:color w:val="auto"/>
                <w:sz w:val="21"/>
                <w:highlight w:val="none"/>
              </w:rPr>
            </w:pPr>
          </w:p>
        </w:tc>
        <w:tc>
          <w:tcPr>
            <w:tcW w:w="1482" w:type="dxa"/>
            <w:tcBorders>
              <w:right w:val="single" w:color="000000" w:sz="6" w:space="0"/>
            </w:tcBorders>
            <w:vAlign w:val="top"/>
          </w:tcPr>
          <w:p w14:paraId="64A392C0">
            <w:pPr>
              <w:rPr>
                <w:rFonts w:ascii="Arial"/>
                <w:color w:val="auto"/>
                <w:sz w:val="21"/>
                <w:highlight w:val="none"/>
              </w:rPr>
            </w:pPr>
          </w:p>
        </w:tc>
      </w:tr>
      <w:tr w14:paraId="029D8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6878172A">
            <w:pPr>
              <w:rPr>
                <w:rFonts w:ascii="Arial"/>
                <w:color w:val="auto"/>
                <w:sz w:val="21"/>
                <w:highlight w:val="none"/>
              </w:rPr>
            </w:pPr>
          </w:p>
        </w:tc>
        <w:tc>
          <w:tcPr>
            <w:tcW w:w="2964" w:type="dxa"/>
            <w:gridSpan w:val="3"/>
            <w:tcBorders>
              <w:left w:val="nil"/>
              <w:bottom w:val="single" w:color="000000" w:sz="6" w:space="0"/>
            </w:tcBorders>
            <w:vAlign w:val="top"/>
          </w:tcPr>
          <w:p w14:paraId="3824502E">
            <w:pPr>
              <w:pStyle w:val="23"/>
              <w:spacing w:before="205" w:line="228" w:lineRule="auto"/>
              <w:ind w:left="646"/>
              <w:rPr>
                <w:color w:val="auto"/>
                <w:highlight w:val="none"/>
              </w:rPr>
            </w:pPr>
            <w:r>
              <w:rPr>
                <w:color w:val="auto"/>
                <w:spacing w:val="4"/>
                <w:highlight w:val="none"/>
              </w:rPr>
              <w:t>合</w:t>
            </w:r>
            <w:r>
              <w:rPr>
                <w:color w:val="auto"/>
                <w:spacing w:val="10"/>
                <w:highlight w:val="none"/>
              </w:rPr>
              <w:t xml:space="preserve">  </w:t>
            </w:r>
            <w:r>
              <w:rPr>
                <w:color w:val="auto"/>
                <w:spacing w:val="4"/>
                <w:highlight w:val="none"/>
              </w:rPr>
              <w:t>计(元)</w:t>
            </w:r>
          </w:p>
        </w:tc>
        <w:tc>
          <w:tcPr>
            <w:tcW w:w="966" w:type="dxa"/>
            <w:tcBorders>
              <w:bottom w:val="single" w:color="000000" w:sz="6" w:space="0"/>
            </w:tcBorders>
            <w:vAlign w:val="top"/>
          </w:tcPr>
          <w:p w14:paraId="1AE838B2">
            <w:pPr>
              <w:rPr>
                <w:rFonts w:ascii="Arial"/>
                <w:color w:val="auto"/>
                <w:sz w:val="21"/>
                <w:highlight w:val="none"/>
              </w:rPr>
            </w:pPr>
          </w:p>
        </w:tc>
        <w:tc>
          <w:tcPr>
            <w:tcW w:w="1012" w:type="dxa"/>
            <w:tcBorders>
              <w:bottom w:val="single" w:color="000000" w:sz="6" w:space="0"/>
            </w:tcBorders>
            <w:vAlign w:val="top"/>
          </w:tcPr>
          <w:p w14:paraId="5D714D1B">
            <w:pPr>
              <w:rPr>
                <w:rFonts w:ascii="Arial"/>
                <w:color w:val="auto"/>
                <w:sz w:val="21"/>
                <w:highlight w:val="none"/>
              </w:rPr>
            </w:pPr>
          </w:p>
        </w:tc>
        <w:tc>
          <w:tcPr>
            <w:tcW w:w="1784" w:type="dxa"/>
            <w:tcBorders>
              <w:bottom w:val="single" w:color="000000" w:sz="6" w:space="0"/>
            </w:tcBorders>
            <w:vAlign w:val="top"/>
          </w:tcPr>
          <w:p w14:paraId="0B38376F">
            <w:pPr>
              <w:rPr>
                <w:rFonts w:ascii="Arial"/>
                <w:color w:val="auto"/>
                <w:sz w:val="21"/>
                <w:highlight w:val="none"/>
              </w:rPr>
            </w:pPr>
          </w:p>
        </w:tc>
        <w:tc>
          <w:tcPr>
            <w:tcW w:w="3298" w:type="dxa"/>
            <w:gridSpan w:val="3"/>
            <w:tcBorders>
              <w:bottom w:val="single" w:color="000000" w:sz="6" w:space="0"/>
            </w:tcBorders>
            <w:vAlign w:val="top"/>
          </w:tcPr>
          <w:p w14:paraId="4ABB8DCD">
            <w:pPr>
              <w:pStyle w:val="23"/>
              <w:spacing w:before="205" w:line="228" w:lineRule="auto"/>
              <w:ind w:left="1237"/>
              <w:rPr>
                <w:color w:val="auto"/>
                <w:highlight w:val="none"/>
              </w:rPr>
            </w:pPr>
            <w:r>
              <w:rPr>
                <w:color w:val="auto"/>
                <w:spacing w:val="5"/>
                <w:highlight w:val="none"/>
              </w:rPr>
              <w:t>合计(元)</w:t>
            </w:r>
          </w:p>
        </w:tc>
        <w:tc>
          <w:tcPr>
            <w:tcW w:w="1040" w:type="dxa"/>
            <w:tcBorders>
              <w:bottom w:val="single" w:color="000000" w:sz="6" w:space="0"/>
            </w:tcBorders>
            <w:vAlign w:val="top"/>
          </w:tcPr>
          <w:p w14:paraId="1C6708F2">
            <w:pPr>
              <w:rPr>
                <w:rFonts w:ascii="Arial"/>
                <w:color w:val="auto"/>
                <w:sz w:val="21"/>
                <w:highlight w:val="none"/>
              </w:rPr>
            </w:pPr>
          </w:p>
        </w:tc>
        <w:tc>
          <w:tcPr>
            <w:tcW w:w="1040" w:type="dxa"/>
            <w:tcBorders>
              <w:bottom w:val="single" w:color="000000" w:sz="6" w:space="0"/>
            </w:tcBorders>
            <w:vAlign w:val="top"/>
          </w:tcPr>
          <w:p w14:paraId="280E27A3">
            <w:pPr>
              <w:rPr>
                <w:rFonts w:ascii="Arial"/>
                <w:color w:val="auto"/>
                <w:sz w:val="21"/>
                <w:highlight w:val="none"/>
              </w:rPr>
            </w:pPr>
          </w:p>
        </w:tc>
        <w:tc>
          <w:tcPr>
            <w:tcW w:w="1482" w:type="dxa"/>
            <w:tcBorders>
              <w:bottom w:val="single" w:color="000000" w:sz="6" w:space="0"/>
              <w:right w:val="single" w:color="000000" w:sz="6" w:space="0"/>
            </w:tcBorders>
            <w:vAlign w:val="top"/>
          </w:tcPr>
          <w:p w14:paraId="3AC6866C">
            <w:pPr>
              <w:rPr>
                <w:rFonts w:ascii="Arial"/>
                <w:color w:val="auto"/>
                <w:sz w:val="21"/>
                <w:highlight w:val="none"/>
              </w:rPr>
            </w:pPr>
          </w:p>
        </w:tc>
      </w:tr>
    </w:tbl>
    <w:p w14:paraId="507A98A3">
      <w:pPr>
        <w:rPr>
          <w:rFonts w:ascii="Arial"/>
          <w:color w:val="auto"/>
          <w:sz w:val="21"/>
          <w:highlight w:val="none"/>
        </w:rPr>
      </w:pPr>
    </w:p>
    <w:p w14:paraId="103DDF37">
      <w:pPr>
        <w:rPr>
          <w:rFonts w:ascii="Arial" w:hAnsi="Arial" w:eastAsia="Arial" w:cs="Arial"/>
          <w:color w:val="auto"/>
          <w:sz w:val="21"/>
          <w:szCs w:val="21"/>
          <w:highlight w:val="none"/>
        </w:rPr>
        <w:sectPr>
          <w:footerReference r:id="rId65" w:type="default"/>
          <w:pgSz w:w="16839" w:h="11906"/>
          <w:pgMar w:top="1012" w:right="1301" w:bottom="1297" w:left="1300" w:header="0" w:footer="1067" w:gutter="0"/>
          <w:pgBorders>
            <w:top w:val="none" w:sz="0" w:space="0"/>
            <w:left w:val="none" w:sz="0" w:space="0"/>
            <w:bottom w:val="none" w:sz="0" w:space="0"/>
            <w:right w:val="none" w:sz="0" w:space="0"/>
          </w:pgBorders>
          <w:pgNumType w:fmt="decimal"/>
          <w:cols w:space="720" w:num="1"/>
        </w:sectPr>
      </w:pPr>
    </w:p>
    <w:p w14:paraId="431147FA">
      <w:pPr>
        <w:spacing w:line="247" w:lineRule="auto"/>
        <w:rPr>
          <w:rFonts w:ascii="Arial"/>
          <w:color w:val="auto"/>
          <w:sz w:val="21"/>
          <w:highlight w:val="none"/>
        </w:rPr>
      </w:pPr>
    </w:p>
    <w:p w14:paraId="6D7AAC4D">
      <w:pPr>
        <w:spacing w:line="247" w:lineRule="auto"/>
        <w:rPr>
          <w:rFonts w:ascii="Arial"/>
          <w:color w:val="auto"/>
          <w:sz w:val="21"/>
          <w:highlight w:val="none"/>
        </w:rPr>
      </w:pPr>
    </w:p>
    <w:p w14:paraId="61C4F871">
      <w:pPr>
        <w:spacing w:line="248" w:lineRule="auto"/>
        <w:rPr>
          <w:rFonts w:ascii="Arial"/>
          <w:color w:val="auto"/>
          <w:sz w:val="21"/>
          <w:highlight w:val="none"/>
        </w:rPr>
      </w:pPr>
    </w:p>
    <w:p w14:paraId="6582A928">
      <w:pPr>
        <w:spacing w:line="248" w:lineRule="auto"/>
        <w:rPr>
          <w:rFonts w:ascii="Arial"/>
          <w:color w:val="auto"/>
          <w:sz w:val="21"/>
          <w:highlight w:val="none"/>
        </w:rPr>
      </w:pPr>
    </w:p>
    <w:p w14:paraId="271FB906">
      <w:pPr>
        <w:spacing w:before="91" w:line="211" w:lineRule="auto"/>
        <w:ind w:left="491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9"/>
          <w:sz w:val="28"/>
          <w:szCs w:val="28"/>
          <w:highlight w:val="none"/>
        </w:rPr>
        <w:t xml:space="preserve"> </w:t>
      </w:r>
      <w:r>
        <w:rPr>
          <w:rFonts w:ascii="宋体" w:hAnsi="宋体" w:eastAsia="宋体" w:cs="宋体"/>
          <w:b/>
          <w:bCs/>
          <w:color w:val="auto"/>
          <w:spacing w:val="-3"/>
          <w:sz w:val="28"/>
          <w:szCs w:val="28"/>
          <w:highlight w:val="none"/>
        </w:rPr>
        <w:t>4</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监理工程师交通设施费报价表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83"/>
        <w:gridCol w:w="886"/>
        <w:gridCol w:w="884"/>
        <w:gridCol w:w="895"/>
        <w:gridCol w:w="884"/>
        <w:gridCol w:w="887"/>
        <w:gridCol w:w="1600"/>
        <w:gridCol w:w="915"/>
        <w:gridCol w:w="878"/>
        <w:gridCol w:w="821"/>
        <w:gridCol w:w="887"/>
        <w:gridCol w:w="1057"/>
        <w:gridCol w:w="958"/>
        <w:gridCol w:w="1215"/>
      </w:tblGrid>
      <w:tr w14:paraId="4EAA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571" w:type="dxa"/>
            <w:vMerge w:val="restart"/>
            <w:tcBorders>
              <w:top w:val="single" w:color="000000" w:sz="6" w:space="0"/>
              <w:left w:val="single" w:color="000000" w:sz="6" w:space="0"/>
              <w:bottom w:val="nil"/>
            </w:tcBorders>
            <w:vAlign w:val="top"/>
          </w:tcPr>
          <w:p w14:paraId="5E71CC59">
            <w:pPr>
              <w:spacing w:line="266" w:lineRule="auto"/>
              <w:rPr>
                <w:rFonts w:ascii="Arial"/>
                <w:color w:val="auto"/>
                <w:sz w:val="21"/>
                <w:highlight w:val="none"/>
              </w:rPr>
            </w:pPr>
          </w:p>
          <w:p w14:paraId="1746AC03">
            <w:pPr>
              <w:spacing w:line="266" w:lineRule="auto"/>
              <w:rPr>
                <w:rFonts w:ascii="Arial"/>
                <w:color w:val="auto"/>
                <w:sz w:val="21"/>
                <w:highlight w:val="none"/>
              </w:rPr>
            </w:pPr>
          </w:p>
          <w:p w14:paraId="182167DA">
            <w:pPr>
              <w:spacing w:line="267" w:lineRule="auto"/>
              <w:rPr>
                <w:rFonts w:ascii="Arial"/>
                <w:color w:val="auto"/>
                <w:sz w:val="21"/>
                <w:highlight w:val="none"/>
              </w:rPr>
            </w:pPr>
          </w:p>
          <w:p w14:paraId="259E9614">
            <w:pPr>
              <w:pStyle w:val="23"/>
              <w:spacing w:before="65" w:line="229" w:lineRule="auto"/>
              <w:ind w:left="71"/>
              <w:rPr>
                <w:color w:val="auto"/>
                <w:highlight w:val="none"/>
              </w:rPr>
            </w:pPr>
            <w:r>
              <w:rPr>
                <w:color w:val="auto"/>
                <w:spacing w:val="5"/>
                <w:highlight w:val="none"/>
              </w:rPr>
              <w:t>序号</w:t>
            </w:r>
          </w:p>
        </w:tc>
        <w:tc>
          <w:tcPr>
            <w:tcW w:w="6919" w:type="dxa"/>
            <w:gridSpan w:val="7"/>
            <w:tcBorders>
              <w:top w:val="single" w:color="000000" w:sz="6" w:space="0"/>
            </w:tcBorders>
            <w:vAlign w:val="top"/>
          </w:tcPr>
          <w:p w14:paraId="512531E2">
            <w:pPr>
              <w:pStyle w:val="23"/>
              <w:spacing w:before="194" w:line="228" w:lineRule="auto"/>
              <w:ind w:left="3146"/>
              <w:rPr>
                <w:color w:val="auto"/>
                <w:highlight w:val="none"/>
              </w:rPr>
            </w:pPr>
            <w:r>
              <w:rPr>
                <w:color w:val="auto"/>
                <w:spacing w:val="7"/>
                <w:highlight w:val="none"/>
              </w:rPr>
              <w:t>施工期</w:t>
            </w:r>
          </w:p>
        </w:tc>
        <w:tc>
          <w:tcPr>
            <w:tcW w:w="6731" w:type="dxa"/>
            <w:gridSpan w:val="7"/>
            <w:tcBorders>
              <w:top w:val="single" w:color="000000" w:sz="6" w:space="0"/>
              <w:right w:val="single" w:color="000000" w:sz="6" w:space="0"/>
            </w:tcBorders>
            <w:vAlign w:val="top"/>
          </w:tcPr>
          <w:p w14:paraId="7DCBD6CE">
            <w:pPr>
              <w:pStyle w:val="23"/>
              <w:spacing w:before="194" w:line="228" w:lineRule="auto"/>
              <w:ind w:left="2845"/>
              <w:rPr>
                <w:color w:val="auto"/>
                <w:highlight w:val="none"/>
              </w:rPr>
            </w:pPr>
            <w:r>
              <w:rPr>
                <w:color w:val="auto"/>
                <w:spacing w:val="8"/>
                <w:highlight w:val="none"/>
              </w:rPr>
              <w:t>缺陷责任期</w:t>
            </w:r>
          </w:p>
        </w:tc>
      </w:tr>
      <w:tr w14:paraId="5689E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1" w:hRule="atLeast"/>
        </w:trPr>
        <w:tc>
          <w:tcPr>
            <w:tcW w:w="571" w:type="dxa"/>
            <w:vMerge w:val="continue"/>
            <w:tcBorders>
              <w:top w:val="nil"/>
              <w:left w:val="single" w:color="000000" w:sz="6" w:space="0"/>
            </w:tcBorders>
            <w:vAlign w:val="top"/>
          </w:tcPr>
          <w:p w14:paraId="0271A49E">
            <w:pPr>
              <w:rPr>
                <w:rFonts w:ascii="Arial"/>
                <w:color w:val="auto"/>
                <w:sz w:val="21"/>
                <w:highlight w:val="none"/>
              </w:rPr>
            </w:pPr>
          </w:p>
        </w:tc>
        <w:tc>
          <w:tcPr>
            <w:tcW w:w="883" w:type="dxa"/>
            <w:vAlign w:val="top"/>
          </w:tcPr>
          <w:p w14:paraId="5642A80E">
            <w:pPr>
              <w:spacing w:line="305" w:lineRule="auto"/>
              <w:rPr>
                <w:rFonts w:ascii="Arial"/>
                <w:color w:val="auto"/>
                <w:sz w:val="21"/>
                <w:highlight w:val="none"/>
              </w:rPr>
            </w:pPr>
          </w:p>
          <w:p w14:paraId="23A2C0D9">
            <w:pPr>
              <w:pStyle w:val="23"/>
              <w:spacing w:before="65" w:line="370" w:lineRule="auto"/>
              <w:ind w:left="237" w:right="131" w:hanging="109"/>
              <w:rPr>
                <w:color w:val="auto"/>
                <w:highlight w:val="none"/>
              </w:rPr>
            </w:pPr>
            <w:r>
              <w:rPr>
                <w:color w:val="auto"/>
                <w:spacing w:val="6"/>
                <w:highlight w:val="none"/>
              </w:rPr>
              <w:t>名称及</w:t>
            </w:r>
            <w:r>
              <w:rPr>
                <w:color w:val="auto"/>
                <w:spacing w:val="1"/>
                <w:highlight w:val="none"/>
              </w:rPr>
              <w:t>型号</w:t>
            </w:r>
          </w:p>
        </w:tc>
        <w:tc>
          <w:tcPr>
            <w:tcW w:w="886" w:type="dxa"/>
            <w:vAlign w:val="top"/>
          </w:tcPr>
          <w:p w14:paraId="32D1FAE2">
            <w:pPr>
              <w:spacing w:line="305" w:lineRule="auto"/>
              <w:rPr>
                <w:rFonts w:ascii="Arial"/>
                <w:color w:val="auto"/>
                <w:sz w:val="21"/>
                <w:highlight w:val="none"/>
              </w:rPr>
            </w:pPr>
          </w:p>
          <w:p w14:paraId="0F2B8B19">
            <w:pPr>
              <w:pStyle w:val="23"/>
              <w:spacing w:before="65" w:line="369" w:lineRule="auto"/>
              <w:ind w:left="268" w:right="236" w:hanging="35"/>
              <w:rPr>
                <w:color w:val="auto"/>
                <w:highlight w:val="none"/>
              </w:rPr>
            </w:pPr>
            <w:r>
              <w:rPr>
                <w:color w:val="auto"/>
                <w:spacing w:val="3"/>
                <w:highlight w:val="none"/>
              </w:rPr>
              <w:t>数量</w:t>
            </w:r>
            <w:r>
              <w:rPr>
                <w:color w:val="auto"/>
                <w:spacing w:val="-8"/>
                <w:highlight w:val="none"/>
              </w:rPr>
              <w:t>(辆)</w:t>
            </w:r>
          </w:p>
        </w:tc>
        <w:tc>
          <w:tcPr>
            <w:tcW w:w="884" w:type="dxa"/>
            <w:vAlign w:val="top"/>
          </w:tcPr>
          <w:p w14:paraId="2F070648">
            <w:pPr>
              <w:spacing w:line="304" w:lineRule="auto"/>
              <w:rPr>
                <w:rFonts w:ascii="Arial"/>
                <w:color w:val="auto"/>
                <w:sz w:val="21"/>
                <w:highlight w:val="none"/>
              </w:rPr>
            </w:pPr>
          </w:p>
          <w:p w14:paraId="00C94810">
            <w:pPr>
              <w:pStyle w:val="23"/>
              <w:spacing w:before="65" w:line="370" w:lineRule="auto"/>
              <w:ind w:left="270" w:right="232" w:hanging="35"/>
              <w:rPr>
                <w:color w:val="auto"/>
                <w:highlight w:val="none"/>
              </w:rPr>
            </w:pPr>
            <w:r>
              <w:rPr>
                <w:color w:val="auto"/>
                <w:spacing w:val="3"/>
                <w:highlight w:val="none"/>
              </w:rPr>
              <w:t>单价</w:t>
            </w:r>
            <w:r>
              <w:rPr>
                <w:color w:val="auto"/>
                <w:spacing w:val="-8"/>
                <w:highlight w:val="none"/>
              </w:rPr>
              <w:t>(元)</w:t>
            </w:r>
          </w:p>
        </w:tc>
        <w:tc>
          <w:tcPr>
            <w:tcW w:w="895" w:type="dxa"/>
            <w:vAlign w:val="top"/>
          </w:tcPr>
          <w:p w14:paraId="381F97BF">
            <w:pPr>
              <w:spacing w:line="251" w:lineRule="auto"/>
              <w:rPr>
                <w:rFonts w:ascii="Arial"/>
                <w:color w:val="auto"/>
                <w:sz w:val="21"/>
                <w:highlight w:val="none"/>
              </w:rPr>
            </w:pPr>
          </w:p>
          <w:p w14:paraId="6E071B5C">
            <w:pPr>
              <w:spacing w:line="252" w:lineRule="auto"/>
              <w:rPr>
                <w:rFonts w:ascii="Arial"/>
                <w:color w:val="auto"/>
                <w:sz w:val="21"/>
                <w:highlight w:val="none"/>
              </w:rPr>
            </w:pPr>
          </w:p>
          <w:p w14:paraId="06DB3F4F">
            <w:pPr>
              <w:pStyle w:val="23"/>
              <w:spacing w:before="65" w:line="226" w:lineRule="auto"/>
              <w:ind w:left="44"/>
              <w:rPr>
                <w:color w:val="auto"/>
                <w:highlight w:val="none"/>
              </w:rPr>
            </w:pPr>
            <w:r>
              <w:rPr>
                <w:color w:val="auto"/>
                <w:spacing w:val="5"/>
                <w:highlight w:val="none"/>
              </w:rPr>
              <w:t>合价(元)</w:t>
            </w:r>
          </w:p>
        </w:tc>
        <w:tc>
          <w:tcPr>
            <w:tcW w:w="884" w:type="dxa"/>
            <w:vAlign w:val="top"/>
          </w:tcPr>
          <w:p w14:paraId="27592A89">
            <w:pPr>
              <w:spacing w:line="304" w:lineRule="auto"/>
              <w:rPr>
                <w:rFonts w:ascii="Arial"/>
                <w:color w:val="auto"/>
                <w:sz w:val="21"/>
                <w:highlight w:val="none"/>
              </w:rPr>
            </w:pPr>
          </w:p>
          <w:p w14:paraId="0A1D5A3B">
            <w:pPr>
              <w:pStyle w:val="23"/>
              <w:spacing w:before="65" w:line="370" w:lineRule="auto"/>
              <w:ind w:left="271" w:right="128" w:hanging="140"/>
              <w:rPr>
                <w:color w:val="auto"/>
                <w:highlight w:val="none"/>
              </w:rPr>
            </w:pPr>
            <w:r>
              <w:rPr>
                <w:color w:val="auto"/>
                <w:spacing w:val="6"/>
                <w:highlight w:val="none"/>
              </w:rPr>
              <w:t>折旧费</w:t>
            </w:r>
            <w:r>
              <w:rPr>
                <w:color w:val="auto"/>
                <w:spacing w:val="-9"/>
                <w:highlight w:val="none"/>
              </w:rPr>
              <w:t>(元)</w:t>
            </w:r>
          </w:p>
        </w:tc>
        <w:tc>
          <w:tcPr>
            <w:tcW w:w="887" w:type="dxa"/>
            <w:vAlign w:val="top"/>
          </w:tcPr>
          <w:p w14:paraId="28B8C930">
            <w:pPr>
              <w:spacing w:line="304" w:lineRule="auto"/>
              <w:rPr>
                <w:rFonts w:ascii="Arial"/>
                <w:color w:val="auto"/>
                <w:sz w:val="21"/>
                <w:highlight w:val="none"/>
              </w:rPr>
            </w:pPr>
          </w:p>
          <w:p w14:paraId="4836A14F">
            <w:pPr>
              <w:pStyle w:val="23"/>
              <w:spacing w:before="65" w:line="370" w:lineRule="auto"/>
              <w:ind w:left="273" w:right="129" w:hanging="141"/>
              <w:rPr>
                <w:color w:val="auto"/>
                <w:highlight w:val="none"/>
              </w:rPr>
            </w:pPr>
            <w:r>
              <w:rPr>
                <w:color w:val="auto"/>
                <w:spacing w:val="6"/>
                <w:highlight w:val="none"/>
              </w:rPr>
              <w:t>使用费</w:t>
            </w:r>
            <w:r>
              <w:rPr>
                <w:color w:val="auto"/>
                <w:spacing w:val="-9"/>
                <w:highlight w:val="none"/>
              </w:rPr>
              <w:t>(元)</w:t>
            </w:r>
          </w:p>
        </w:tc>
        <w:tc>
          <w:tcPr>
            <w:tcW w:w="1600" w:type="dxa"/>
            <w:vAlign w:val="top"/>
          </w:tcPr>
          <w:p w14:paraId="4E2F428D">
            <w:pPr>
              <w:pStyle w:val="23"/>
              <w:spacing w:before="170" w:line="229" w:lineRule="auto"/>
              <w:ind w:left="591"/>
              <w:rPr>
                <w:color w:val="auto"/>
                <w:highlight w:val="none"/>
              </w:rPr>
            </w:pPr>
            <w:r>
              <w:rPr>
                <w:color w:val="auto"/>
                <w:spacing w:val="2"/>
                <w:highlight w:val="none"/>
              </w:rPr>
              <w:t>小计</w:t>
            </w:r>
          </w:p>
          <w:p w14:paraId="7A93C923">
            <w:pPr>
              <w:pStyle w:val="23"/>
              <w:spacing w:before="152" w:line="228" w:lineRule="auto"/>
              <w:ind w:left="167"/>
              <w:rPr>
                <w:color w:val="auto"/>
                <w:highlight w:val="none"/>
              </w:rPr>
            </w:pPr>
            <w:r>
              <w:rPr>
                <w:color w:val="auto"/>
                <w:spacing w:val="7"/>
                <w:highlight w:val="none"/>
              </w:rPr>
              <w:t>折旧及使用费</w:t>
            </w:r>
          </w:p>
          <w:p w14:paraId="1AB1CCFC">
            <w:pPr>
              <w:pStyle w:val="23"/>
              <w:spacing w:before="154" w:line="211" w:lineRule="auto"/>
              <w:ind w:left="622"/>
              <w:rPr>
                <w:color w:val="auto"/>
                <w:highlight w:val="none"/>
              </w:rPr>
            </w:pPr>
            <w:r>
              <w:rPr>
                <w:color w:val="auto"/>
                <w:spacing w:val="-9"/>
                <w:highlight w:val="none"/>
              </w:rPr>
              <w:t>(元)</w:t>
            </w:r>
          </w:p>
        </w:tc>
        <w:tc>
          <w:tcPr>
            <w:tcW w:w="915" w:type="dxa"/>
            <w:vAlign w:val="top"/>
          </w:tcPr>
          <w:p w14:paraId="642E4323">
            <w:pPr>
              <w:spacing w:line="305" w:lineRule="auto"/>
              <w:rPr>
                <w:rFonts w:ascii="Arial"/>
                <w:color w:val="auto"/>
                <w:sz w:val="21"/>
                <w:highlight w:val="none"/>
              </w:rPr>
            </w:pPr>
          </w:p>
          <w:p w14:paraId="5A5BFD56">
            <w:pPr>
              <w:pStyle w:val="23"/>
              <w:spacing w:before="65" w:line="370" w:lineRule="auto"/>
              <w:ind w:left="261" w:right="139" w:hanging="109"/>
              <w:rPr>
                <w:color w:val="auto"/>
                <w:highlight w:val="none"/>
              </w:rPr>
            </w:pPr>
            <w:r>
              <w:rPr>
                <w:color w:val="auto"/>
                <w:spacing w:val="6"/>
                <w:highlight w:val="none"/>
              </w:rPr>
              <w:t>名称及</w:t>
            </w:r>
            <w:r>
              <w:rPr>
                <w:color w:val="auto"/>
                <w:spacing w:val="1"/>
                <w:highlight w:val="none"/>
              </w:rPr>
              <w:t>型号</w:t>
            </w:r>
          </w:p>
        </w:tc>
        <w:tc>
          <w:tcPr>
            <w:tcW w:w="878" w:type="dxa"/>
            <w:vAlign w:val="top"/>
          </w:tcPr>
          <w:p w14:paraId="3BEF748D">
            <w:pPr>
              <w:spacing w:line="305" w:lineRule="auto"/>
              <w:rPr>
                <w:rFonts w:ascii="Arial"/>
                <w:color w:val="auto"/>
                <w:sz w:val="21"/>
                <w:highlight w:val="none"/>
              </w:rPr>
            </w:pPr>
          </w:p>
          <w:p w14:paraId="607A19B5">
            <w:pPr>
              <w:pStyle w:val="23"/>
              <w:spacing w:before="65" w:line="369" w:lineRule="auto"/>
              <w:ind w:left="272" w:right="223" w:hanging="35"/>
              <w:rPr>
                <w:color w:val="auto"/>
                <w:highlight w:val="none"/>
              </w:rPr>
            </w:pPr>
            <w:r>
              <w:rPr>
                <w:color w:val="auto"/>
                <w:spacing w:val="3"/>
                <w:highlight w:val="none"/>
              </w:rPr>
              <w:t>数量</w:t>
            </w:r>
            <w:r>
              <w:rPr>
                <w:color w:val="auto"/>
                <w:spacing w:val="-8"/>
                <w:highlight w:val="none"/>
              </w:rPr>
              <w:t>(辆)</w:t>
            </w:r>
          </w:p>
        </w:tc>
        <w:tc>
          <w:tcPr>
            <w:tcW w:w="821" w:type="dxa"/>
            <w:vAlign w:val="top"/>
          </w:tcPr>
          <w:p w14:paraId="73E94468">
            <w:pPr>
              <w:spacing w:line="304" w:lineRule="auto"/>
              <w:rPr>
                <w:rFonts w:ascii="Arial"/>
                <w:color w:val="auto"/>
                <w:sz w:val="21"/>
                <w:highlight w:val="none"/>
              </w:rPr>
            </w:pPr>
          </w:p>
          <w:p w14:paraId="782798C3">
            <w:pPr>
              <w:pStyle w:val="23"/>
              <w:spacing w:before="65" w:line="370" w:lineRule="auto"/>
              <w:ind w:left="249" w:right="192" w:hanging="35"/>
              <w:rPr>
                <w:color w:val="auto"/>
                <w:highlight w:val="none"/>
              </w:rPr>
            </w:pPr>
            <w:r>
              <w:rPr>
                <w:color w:val="auto"/>
                <w:spacing w:val="3"/>
                <w:highlight w:val="none"/>
              </w:rPr>
              <w:t>单价</w:t>
            </w:r>
            <w:r>
              <w:rPr>
                <w:color w:val="auto"/>
                <w:spacing w:val="-9"/>
                <w:highlight w:val="none"/>
              </w:rPr>
              <w:t>(元)</w:t>
            </w:r>
          </w:p>
        </w:tc>
        <w:tc>
          <w:tcPr>
            <w:tcW w:w="887" w:type="dxa"/>
            <w:vAlign w:val="top"/>
          </w:tcPr>
          <w:p w14:paraId="20E78777">
            <w:pPr>
              <w:spacing w:line="304" w:lineRule="auto"/>
              <w:rPr>
                <w:rFonts w:ascii="Arial"/>
                <w:color w:val="auto"/>
                <w:sz w:val="21"/>
                <w:highlight w:val="none"/>
              </w:rPr>
            </w:pPr>
          </w:p>
          <w:p w14:paraId="0D722428">
            <w:pPr>
              <w:pStyle w:val="23"/>
              <w:spacing w:before="65" w:line="370" w:lineRule="auto"/>
              <w:ind w:left="293" w:right="213" w:hanging="35"/>
              <w:rPr>
                <w:color w:val="auto"/>
                <w:highlight w:val="none"/>
              </w:rPr>
            </w:pPr>
            <w:r>
              <w:rPr>
                <w:color w:val="auto"/>
                <w:spacing w:val="4"/>
                <w:highlight w:val="none"/>
              </w:rPr>
              <w:t>合价</w:t>
            </w:r>
            <w:r>
              <w:rPr>
                <w:color w:val="auto"/>
                <w:spacing w:val="-9"/>
                <w:highlight w:val="none"/>
              </w:rPr>
              <w:t>(元)</w:t>
            </w:r>
          </w:p>
        </w:tc>
        <w:tc>
          <w:tcPr>
            <w:tcW w:w="1057" w:type="dxa"/>
            <w:vAlign w:val="top"/>
          </w:tcPr>
          <w:p w14:paraId="68F464EF">
            <w:pPr>
              <w:spacing w:line="304" w:lineRule="auto"/>
              <w:rPr>
                <w:rFonts w:ascii="Arial"/>
                <w:color w:val="auto"/>
                <w:sz w:val="21"/>
                <w:highlight w:val="none"/>
              </w:rPr>
            </w:pPr>
          </w:p>
          <w:p w14:paraId="5649FAE1">
            <w:pPr>
              <w:pStyle w:val="23"/>
              <w:spacing w:before="65" w:line="370" w:lineRule="auto"/>
              <w:ind w:left="366" w:right="206" w:hanging="140"/>
              <w:rPr>
                <w:color w:val="auto"/>
                <w:highlight w:val="none"/>
              </w:rPr>
            </w:pPr>
            <w:r>
              <w:rPr>
                <w:color w:val="auto"/>
                <w:spacing w:val="6"/>
                <w:highlight w:val="none"/>
              </w:rPr>
              <w:t>折旧费</w:t>
            </w:r>
            <w:r>
              <w:rPr>
                <w:color w:val="auto"/>
                <w:spacing w:val="-9"/>
                <w:highlight w:val="none"/>
              </w:rPr>
              <w:t>(元)</w:t>
            </w:r>
          </w:p>
        </w:tc>
        <w:tc>
          <w:tcPr>
            <w:tcW w:w="958" w:type="dxa"/>
            <w:vAlign w:val="top"/>
          </w:tcPr>
          <w:p w14:paraId="50A93F04">
            <w:pPr>
              <w:spacing w:line="304" w:lineRule="auto"/>
              <w:rPr>
                <w:rFonts w:ascii="Arial"/>
                <w:color w:val="auto"/>
                <w:sz w:val="21"/>
                <w:highlight w:val="none"/>
              </w:rPr>
            </w:pPr>
          </w:p>
          <w:p w14:paraId="3CEAB461">
            <w:pPr>
              <w:pStyle w:val="23"/>
              <w:spacing w:before="65" w:line="370" w:lineRule="auto"/>
              <w:ind w:left="317" w:right="156" w:hanging="141"/>
              <w:rPr>
                <w:color w:val="auto"/>
                <w:highlight w:val="none"/>
              </w:rPr>
            </w:pPr>
            <w:r>
              <w:rPr>
                <w:color w:val="auto"/>
                <w:spacing w:val="6"/>
                <w:highlight w:val="none"/>
              </w:rPr>
              <w:t>使用费</w:t>
            </w:r>
            <w:r>
              <w:rPr>
                <w:color w:val="auto"/>
                <w:spacing w:val="-9"/>
                <w:highlight w:val="none"/>
              </w:rPr>
              <w:t>(元)</w:t>
            </w:r>
          </w:p>
        </w:tc>
        <w:tc>
          <w:tcPr>
            <w:tcW w:w="1215" w:type="dxa"/>
            <w:tcBorders>
              <w:right w:val="single" w:color="000000" w:sz="6" w:space="0"/>
            </w:tcBorders>
            <w:vAlign w:val="top"/>
          </w:tcPr>
          <w:p w14:paraId="6334B005">
            <w:pPr>
              <w:pStyle w:val="23"/>
              <w:spacing w:before="170" w:line="229" w:lineRule="auto"/>
              <w:ind w:left="402"/>
              <w:rPr>
                <w:color w:val="auto"/>
                <w:highlight w:val="none"/>
              </w:rPr>
            </w:pPr>
            <w:r>
              <w:rPr>
                <w:color w:val="auto"/>
                <w:spacing w:val="2"/>
                <w:highlight w:val="none"/>
              </w:rPr>
              <w:t>小计</w:t>
            </w:r>
          </w:p>
          <w:p w14:paraId="7ACB06FB">
            <w:pPr>
              <w:pStyle w:val="23"/>
              <w:spacing w:before="153" w:line="290" w:lineRule="auto"/>
              <w:ind w:left="301" w:right="82" w:hanging="218"/>
              <w:rPr>
                <w:color w:val="auto"/>
                <w:highlight w:val="none"/>
              </w:rPr>
            </w:pPr>
            <w:r>
              <w:rPr>
                <w:color w:val="auto"/>
                <w:spacing w:val="7"/>
                <w:highlight w:val="none"/>
              </w:rPr>
              <w:t>折旧及使用</w:t>
            </w:r>
            <w:r>
              <w:rPr>
                <w:color w:val="auto"/>
                <w:spacing w:val="2"/>
                <w:highlight w:val="none"/>
              </w:rPr>
              <w:t>费(元)</w:t>
            </w:r>
          </w:p>
        </w:tc>
      </w:tr>
      <w:tr w14:paraId="3C897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480C199F">
            <w:pPr>
              <w:pStyle w:val="23"/>
              <w:spacing w:before="284" w:line="270" w:lineRule="exact"/>
              <w:ind w:left="244"/>
              <w:rPr>
                <w:color w:val="auto"/>
                <w:highlight w:val="none"/>
              </w:rPr>
            </w:pPr>
            <w:r>
              <w:rPr>
                <w:color w:val="auto"/>
                <w:position w:val="1"/>
                <w:highlight w:val="none"/>
              </w:rPr>
              <w:t>1</w:t>
            </w:r>
          </w:p>
        </w:tc>
        <w:tc>
          <w:tcPr>
            <w:tcW w:w="883" w:type="dxa"/>
            <w:vAlign w:val="top"/>
          </w:tcPr>
          <w:p w14:paraId="24EC8827">
            <w:pPr>
              <w:rPr>
                <w:rFonts w:ascii="Arial"/>
                <w:color w:val="auto"/>
                <w:sz w:val="21"/>
                <w:highlight w:val="none"/>
              </w:rPr>
            </w:pPr>
          </w:p>
        </w:tc>
        <w:tc>
          <w:tcPr>
            <w:tcW w:w="886" w:type="dxa"/>
            <w:vAlign w:val="top"/>
          </w:tcPr>
          <w:p w14:paraId="6392CC57">
            <w:pPr>
              <w:rPr>
                <w:rFonts w:ascii="Arial"/>
                <w:color w:val="auto"/>
                <w:sz w:val="21"/>
                <w:highlight w:val="none"/>
              </w:rPr>
            </w:pPr>
          </w:p>
        </w:tc>
        <w:tc>
          <w:tcPr>
            <w:tcW w:w="884" w:type="dxa"/>
            <w:vAlign w:val="top"/>
          </w:tcPr>
          <w:p w14:paraId="34B83EE9">
            <w:pPr>
              <w:rPr>
                <w:rFonts w:ascii="Arial"/>
                <w:color w:val="auto"/>
                <w:sz w:val="21"/>
                <w:highlight w:val="none"/>
              </w:rPr>
            </w:pPr>
          </w:p>
        </w:tc>
        <w:tc>
          <w:tcPr>
            <w:tcW w:w="895" w:type="dxa"/>
            <w:vAlign w:val="top"/>
          </w:tcPr>
          <w:p w14:paraId="1BC4F0C0">
            <w:pPr>
              <w:rPr>
                <w:rFonts w:ascii="Arial"/>
                <w:color w:val="auto"/>
                <w:sz w:val="21"/>
                <w:highlight w:val="none"/>
              </w:rPr>
            </w:pPr>
          </w:p>
        </w:tc>
        <w:tc>
          <w:tcPr>
            <w:tcW w:w="884" w:type="dxa"/>
            <w:vAlign w:val="top"/>
          </w:tcPr>
          <w:p w14:paraId="381D1AB3">
            <w:pPr>
              <w:rPr>
                <w:rFonts w:ascii="Arial"/>
                <w:color w:val="auto"/>
                <w:sz w:val="21"/>
                <w:highlight w:val="none"/>
              </w:rPr>
            </w:pPr>
          </w:p>
        </w:tc>
        <w:tc>
          <w:tcPr>
            <w:tcW w:w="887" w:type="dxa"/>
            <w:vAlign w:val="top"/>
          </w:tcPr>
          <w:p w14:paraId="1C3474C4">
            <w:pPr>
              <w:rPr>
                <w:rFonts w:ascii="Arial"/>
                <w:color w:val="auto"/>
                <w:sz w:val="21"/>
                <w:highlight w:val="none"/>
              </w:rPr>
            </w:pPr>
          </w:p>
        </w:tc>
        <w:tc>
          <w:tcPr>
            <w:tcW w:w="1600" w:type="dxa"/>
            <w:vAlign w:val="top"/>
          </w:tcPr>
          <w:p w14:paraId="08803521">
            <w:pPr>
              <w:rPr>
                <w:rFonts w:ascii="Arial"/>
                <w:color w:val="auto"/>
                <w:sz w:val="21"/>
                <w:highlight w:val="none"/>
              </w:rPr>
            </w:pPr>
          </w:p>
        </w:tc>
        <w:tc>
          <w:tcPr>
            <w:tcW w:w="915" w:type="dxa"/>
            <w:vAlign w:val="top"/>
          </w:tcPr>
          <w:p w14:paraId="5FD48E94">
            <w:pPr>
              <w:rPr>
                <w:rFonts w:ascii="Arial"/>
                <w:color w:val="auto"/>
                <w:sz w:val="21"/>
                <w:highlight w:val="none"/>
              </w:rPr>
            </w:pPr>
          </w:p>
        </w:tc>
        <w:tc>
          <w:tcPr>
            <w:tcW w:w="878" w:type="dxa"/>
            <w:vAlign w:val="top"/>
          </w:tcPr>
          <w:p w14:paraId="0AA2C4E6">
            <w:pPr>
              <w:rPr>
                <w:rFonts w:ascii="Arial"/>
                <w:color w:val="auto"/>
                <w:sz w:val="21"/>
                <w:highlight w:val="none"/>
              </w:rPr>
            </w:pPr>
          </w:p>
        </w:tc>
        <w:tc>
          <w:tcPr>
            <w:tcW w:w="821" w:type="dxa"/>
            <w:vAlign w:val="top"/>
          </w:tcPr>
          <w:p w14:paraId="20D153C5">
            <w:pPr>
              <w:rPr>
                <w:rFonts w:ascii="Arial"/>
                <w:color w:val="auto"/>
                <w:sz w:val="21"/>
                <w:highlight w:val="none"/>
              </w:rPr>
            </w:pPr>
          </w:p>
        </w:tc>
        <w:tc>
          <w:tcPr>
            <w:tcW w:w="887" w:type="dxa"/>
            <w:vAlign w:val="top"/>
          </w:tcPr>
          <w:p w14:paraId="5F79A288">
            <w:pPr>
              <w:rPr>
                <w:rFonts w:ascii="Arial"/>
                <w:color w:val="auto"/>
                <w:sz w:val="21"/>
                <w:highlight w:val="none"/>
              </w:rPr>
            </w:pPr>
          </w:p>
        </w:tc>
        <w:tc>
          <w:tcPr>
            <w:tcW w:w="1057" w:type="dxa"/>
            <w:vAlign w:val="top"/>
          </w:tcPr>
          <w:p w14:paraId="143B3BD5">
            <w:pPr>
              <w:rPr>
                <w:rFonts w:ascii="Arial"/>
                <w:color w:val="auto"/>
                <w:sz w:val="21"/>
                <w:highlight w:val="none"/>
              </w:rPr>
            </w:pPr>
          </w:p>
        </w:tc>
        <w:tc>
          <w:tcPr>
            <w:tcW w:w="958" w:type="dxa"/>
            <w:vAlign w:val="top"/>
          </w:tcPr>
          <w:p w14:paraId="001E35BA">
            <w:pPr>
              <w:rPr>
                <w:rFonts w:ascii="Arial"/>
                <w:color w:val="auto"/>
                <w:sz w:val="21"/>
                <w:highlight w:val="none"/>
              </w:rPr>
            </w:pPr>
          </w:p>
        </w:tc>
        <w:tc>
          <w:tcPr>
            <w:tcW w:w="1215" w:type="dxa"/>
            <w:tcBorders>
              <w:right w:val="single" w:color="000000" w:sz="6" w:space="0"/>
            </w:tcBorders>
            <w:vAlign w:val="top"/>
          </w:tcPr>
          <w:p w14:paraId="10C0F837">
            <w:pPr>
              <w:rPr>
                <w:rFonts w:ascii="Arial"/>
                <w:color w:val="auto"/>
                <w:sz w:val="21"/>
                <w:highlight w:val="none"/>
              </w:rPr>
            </w:pPr>
          </w:p>
        </w:tc>
      </w:tr>
      <w:tr w14:paraId="2D3A3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098C7719">
            <w:pPr>
              <w:pStyle w:val="23"/>
              <w:spacing w:before="286" w:line="270" w:lineRule="exact"/>
              <w:ind w:left="231"/>
              <w:rPr>
                <w:color w:val="auto"/>
                <w:highlight w:val="none"/>
              </w:rPr>
            </w:pPr>
            <w:r>
              <w:rPr>
                <w:color w:val="auto"/>
                <w:position w:val="1"/>
                <w:highlight w:val="none"/>
              </w:rPr>
              <w:t>2</w:t>
            </w:r>
          </w:p>
        </w:tc>
        <w:tc>
          <w:tcPr>
            <w:tcW w:w="883" w:type="dxa"/>
            <w:vAlign w:val="top"/>
          </w:tcPr>
          <w:p w14:paraId="2A517FE9">
            <w:pPr>
              <w:rPr>
                <w:rFonts w:ascii="Arial"/>
                <w:color w:val="auto"/>
                <w:sz w:val="21"/>
                <w:highlight w:val="none"/>
              </w:rPr>
            </w:pPr>
          </w:p>
        </w:tc>
        <w:tc>
          <w:tcPr>
            <w:tcW w:w="886" w:type="dxa"/>
            <w:vAlign w:val="top"/>
          </w:tcPr>
          <w:p w14:paraId="607805C7">
            <w:pPr>
              <w:rPr>
                <w:rFonts w:ascii="Arial"/>
                <w:color w:val="auto"/>
                <w:sz w:val="21"/>
                <w:highlight w:val="none"/>
              </w:rPr>
            </w:pPr>
          </w:p>
        </w:tc>
        <w:tc>
          <w:tcPr>
            <w:tcW w:w="884" w:type="dxa"/>
            <w:vAlign w:val="top"/>
          </w:tcPr>
          <w:p w14:paraId="079A5CE3">
            <w:pPr>
              <w:rPr>
                <w:rFonts w:ascii="Arial"/>
                <w:color w:val="auto"/>
                <w:sz w:val="21"/>
                <w:highlight w:val="none"/>
              </w:rPr>
            </w:pPr>
          </w:p>
        </w:tc>
        <w:tc>
          <w:tcPr>
            <w:tcW w:w="895" w:type="dxa"/>
            <w:vAlign w:val="top"/>
          </w:tcPr>
          <w:p w14:paraId="4D4D461C">
            <w:pPr>
              <w:rPr>
                <w:rFonts w:ascii="Arial"/>
                <w:color w:val="auto"/>
                <w:sz w:val="21"/>
                <w:highlight w:val="none"/>
              </w:rPr>
            </w:pPr>
          </w:p>
        </w:tc>
        <w:tc>
          <w:tcPr>
            <w:tcW w:w="884" w:type="dxa"/>
            <w:vAlign w:val="top"/>
          </w:tcPr>
          <w:p w14:paraId="599647D9">
            <w:pPr>
              <w:rPr>
                <w:rFonts w:ascii="Arial"/>
                <w:color w:val="auto"/>
                <w:sz w:val="21"/>
                <w:highlight w:val="none"/>
              </w:rPr>
            </w:pPr>
          </w:p>
        </w:tc>
        <w:tc>
          <w:tcPr>
            <w:tcW w:w="887" w:type="dxa"/>
            <w:vAlign w:val="top"/>
          </w:tcPr>
          <w:p w14:paraId="3F0D0BCF">
            <w:pPr>
              <w:rPr>
                <w:rFonts w:ascii="Arial"/>
                <w:color w:val="auto"/>
                <w:sz w:val="21"/>
                <w:highlight w:val="none"/>
              </w:rPr>
            </w:pPr>
          </w:p>
        </w:tc>
        <w:tc>
          <w:tcPr>
            <w:tcW w:w="1600" w:type="dxa"/>
            <w:vAlign w:val="top"/>
          </w:tcPr>
          <w:p w14:paraId="6678A7CE">
            <w:pPr>
              <w:rPr>
                <w:rFonts w:ascii="Arial"/>
                <w:color w:val="auto"/>
                <w:sz w:val="21"/>
                <w:highlight w:val="none"/>
              </w:rPr>
            </w:pPr>
          </w:p>
        </w:tc>
        <w:tc>
          <w:tcPr>
            <w:tcW w:w="915" w:type="dxa"/>
            <w:vAlign w:val="top"/>
          </w:tcPr>
          <w:p w14:paraId="0E8F5F3B">
            <w:pPr>
              <w:rPr>
                <w:rFonts w:ascii="Arial"/>
                <w:color w:val="auto"/>
                <w:sz w:val="21"/>
                <w:highlight w:val="none"/>
              </w:rPr>
            </w:pPr>
          </w:p>
        </w:tc>
        <w:tc>
          <w:tcPr>
            <w:tcW w:w="878" w:type="dxa"/>
            <w:vAlign w:val="top"/>
          </w:tcPr>
          <w:p w14:paraId="261F9ABA">
            <w:pPr>
              <w:rPr>
                <w:rFonts w:ascii="Arial"/>
                <w:color w:val="auto"/>
                <w:sz w:val="21"/>
                <w:highlight w:val="none"/>
              </w:rPr>
            </w:pPr>
          </w:p>
        </w:tc>
        <w:tc>
          <w:tcPr>
            <w:tcW w:w="821" w:type="dxa"/>
            <w:vAlign w:val="top"/>
          </w:tcPr>
          <w:p w14:paraId="5F552972">
            <w:pPr>
              <w:rPr>
                <w:rFonts w:ascii="Arial"/>
                <w:color w:val="auto"/>
                <w:sz w:val="21"/>
                <w:highlight w:val="none"/>
              </w:rPr>
            </w:pPr>
          </w:p>
        </w:tc>
        <w:tc>
          <w:tcPr>
            <w:tcW w:w="887" w:type="dxa"/>
            <w:vAlign w:val="top"/>
          </w:tcPr>
          <w:p w14:paraId="717324DF">
            <w:pPr>
              <w:rPr>
                <w:rFonts w:ascii="Arial"/>
                <w:color w:val="auto"/>
                <w:sz w:val="21"/>
                <w:highlight w:val="none"/>
              </w:rPr>
            </w:pPr>
          </w:p>
        </w:tc>
        <w:tc>
          <w:tcPr>
            <w:tcW w:w="1057" w:type="dxa"/>
            <w:vAlign w:val="top"/>
          </w:tcPr>
          <w:p w14:paraId="29DA98FE">
            <w:pPr>
              <w:rPr>
                <w:rFonts w:ascii="Arial"/>
                <w:color w:val="auto"/>
                <w:sz w:val="21"/>
                <w:highlight w:val="none"/>
              </w:rPr>
            </w:pPr>
          </w:p>
        </w:tc>
        <w:tc>
          <w:tcPr>
            <w:tcW w:w="958" w:type="dxa"/>
            <w:vAlign w:val="top"/>
          </w:tcPr>
          <w:p w14:paraId="7033D03C">
            <w:pPr>
              <w:rPr>
                <w:rFonts w:ascii="Arial"/>
                <w:color w:val="auto"/>
                <w:sz w:val="21"/>
                <w:highlight w:val="none"/>
              </w:rPr>
            </w:pPr>
          </w:p>
        </w:tc>
        <w:tc>
          <w:tcPr>
            <w:tcW w:w="1215" w:type="dxa"/>
            <w:tcBorders>
              <w:right w:val="single" w:color="000000" w:sz="6" w:space="0"/>
            </w:tcBorders>
            <w:vAlign w:val="top"/>
          </w:tcPr>
          <w:p w14:paraId="7FD7F3D4">
            <w:pPr>
              <w:rPr>
                <w:rFonts w:ascii="Arial"/>
                <w:color w:val="auto"/>
                <w:sz w:val="21"/>
                <w:highlight w:val="none"/>
              </w:rPr>
            </w:pPr>
          </w:p>
        </w:tc>
      </w:tr>
      <w:tr w14:paraId="0D3BC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3C4D35FE">
            <w:pPr>
              <w:pStyle w:val="23"/>
              <w:spacing w:before="289" w:line="268" w:lineRule="exact"/>
              <w:ind w:left="232"/>
              <w:rPr>
                <w:color w:val="auto"/>
                <w:highlight w:val="none"/>
              </w:rPr>
            </w:pPr>
            <w:r>
              <w:rPr>
                <w:color w:val="auto"/>
                <w:position w:val="1"/>
                <w:highlight w:val="none"/>
              </w:rPr>
              <w:t>3</w:t>
            </w:r>
          </w:p>
        </w:tc>
        <w:tc>
          <w:tcPr>
            <w:tcW w:w="883" w:type="dxa"/>
            <w:vAlign w:val="top"/>
          </w:tcPr>
          <w:p w14:paraId="70DD6688">
            <w:pPr>
              <w:rPr>
                <w:rFonts w:ascii="Arial"/>
                <w:color w:val="auto"/>
                <w:sz w:val="21"/>
                <w:highlight w:val="none"/>
              </w:rPr>
            </w:pPr>
          </w:p>
        </w:tc>
        <w:tc>
          <w:tcPr>
            <w:tcW w:w="886" w:type="dxa"/>
            <w:vAlign w:val="top"/>
          </w:tcPr>
          <w:p w14:paraId="3ECFD8BF">
            <w:pPr>
              <w:rPr>
                <w:rFonts w:ascii="Arial"/>
                <w:color w:val="auto"/>
                <w:sz w:val="21"/>
                <w:highlight w:val="none"/>
              </w:rPr>
            </w:pPr>
          </w:p>
        </w:tc>
        <w:tc>
          <w:tcPr>
            <w:tcW w:w="884" w:type="dxa"/>
            <w:vAlign w:val="top"/>
          </w:tcPr>
          <w:p w14:paraId="64445459">
            <w:pPr>
              <w:rPr>
                <w:rFonts w:ascii="Arial"/>
                <w:color w:val="auto"/>
                <w:sz w:val="21"/>
                <w:highlight w:val="none"/>
              </w:rPr>
            </w:pPr>
          </w:p>
        </w:tc>
        <w:tc>
          <w:tcPr>
            <w:tcW w:w="895" w:type="dxa"/>
            <w:vAlign w:val="top"/>
          </w:tcPr>
          <w:p w14:paraId="6FC1719F">
            <w:pPr>
              <w:rPr>
                <w:rFonts w:ascii="Arial"/>
                <w:color w:val="auto"/>
                <w:sz w:val="21"/>
                <w:highlight w:val="none"/>
              </w:rPr>
            </w:pPr>
          </w:p>
        </w:tc>
        <w:tc>
          <w:tcPr>
            <w:tcW w:w="884" w:type="dxa"/>
            <w:vAlign w:val="top"/>
          </w:tcPr>
          <w:p w14:paraId="79FBB143">
            <w:pPr>
              <w:rPr>
                <w:rFonts w:ascii="Arial"/>
                <w:color w:val="auto"/>
                <w:sz w:val="21"/>
                <w:highlight w:val="none"/>
              </w:rPr>
            </w:pPr>
          </w:p>
        </w:tc>
        <w:tc>
          <w:tcPr>
            <w:tcW w:w="887" w:type="dxa"/>
            <w:vAlign w:val="top"/>
          </w:tcPr>
          <w:p w14:paraId="2BD65A4E">
            <w:pPr>
              <w:rPr>
                <w:rFonts w:ascii="Arial"/>
                <w:color w:val="auto"/>
                <w:sz w:val="21"/>
                <w:highlight w:val="none"/>
              </w:rPr>
            </w:pPr>
          </w:p>
        </w:tc>
        <w:tc>
          <w:tcPr>
            <w:tcW w:w="1600" w:type="dxa"/>
            <w:vAlign w:val="top"/>
          </w:tcPr>
          <w:p w14:paraId="0FB3BB84">
            <w:pPr>
              <w:rPr>
                <w:rFonts w:ascii="Arial"/>
                <w:color w:val="auto"/>
                <w:sz w:val="21"/>
                <w:highlight w:val="none"/>
              </w:rPr>
            </w:pPr>
          </w:p>
        </w:tc>
        <w:tc>
          <w:tcPr>
            <w:tcW w:w="915" w:type="dxa"/>
            <w:vAlign w:val="top"/>
          </w:tcPr>
          <w:p w14:paraId="17D9E3AD">
            <w:pPr>
              <w:rPr>
                <w:rFonts w:ascii="Arial"/>
                <w:color w:val="auto"/>
                <w:sz w:val="21"/>
                <w:highlight w:val="none"/>
              </w:rPr>
            </w:pPr>
          </w:p>
        </w:tc>
        <w:tc>
          <w:tcPr>
            <w:tcW w:w="878" w:type="dxa"/>
            <w:vAlign w:val="top"/>
          </w:tcPr>
          <w:p w14:paraId="502862D9">
            <w:pPr>
              <w:rPr>
                <w:rFonts w:ascii="Arial"/>
                <w:color w:val="auto"/>
                <w:sz w:val="21"/>
                <w:highlight w:val="none"/>
              </w:rPr>
            </w:pPr>
          </w:p>
        </w:tc>
        <w:tc>
          <w:tcPr>
            <w:tcW w:w="821" w:type="dxa"/>
            <w:vAlign w:val="top"/>
          </w:tcPr>
          <w:p w14:paraId="18A22402">
            <w:pPr>
              <w:rPr>
                <w:rFonts w:ascii="Arial"/>
                <w:color w:val="auto"/>
                <w:sz w:val="21"/>
                <w:highlight w:val="none"/>
              </w:rPr>
            </w:pPr>
          </w:p>
        </w:tc>
        <w:tc>
          <w:tcPr>
            <w:tcW w:w="887" w:type="dxa"/>
            <w:vAlign w:val="top"/>
          </w:tcPr>
          <w:p w14:paraId="3442E2FF">
            <w:pPr>
              <w:rPr>
                <w:rFonts w:ascii="Arial"/>
                <w:color w:val="auto"/>
                <w:sz w:val="21"/>
                <w:highlight w:val="none"/>
              </w:rPr>
            </w:pPr>
          </w:p>
        </w:tc>
        <w:tc>
          <w:tcPr>
            <w:tcW w:w="1057" w:type="dxa"/>
            <w:vAlign w:val="top"/>
          </w:tcPr>
          <w:p w14:paraId="68B1266F">
            <w:pPr>
              <w:rPr>
                <w:rFonts w:ascii="Arial"/>
                <w:color w:val="auto"/>
                <w:sz w:val="21"/>
                <w:highlight w:val="none"/>
              </w:rPr>
            </w:pPr>
          </w:p>
        </w:tc>
        <w:tc>
          <w:tcPr>
            <w:tcW w:w="958" w:type="dxa"/>
            <w:vAlign w:val="top"/>
          </w:tcPr>
          <w:p w14:paraId="2DCAB170">
            <w:pPr>
              <w:rPr>
                <w:rFonts w:ascii="Arial"/>
                <w:color w:val="auto"/>
                <w:sz w:val="21"/>
                <w:highlight w:val="none"/>
              </w:rPr>
            </w:pPr>
          </w:p>
        </w:tc>
        <w:tc>
          <w:tcPr>
            <w:tcW w:w="1215" w:type="dxa"/>
            <w:tcBorders>
              <w:right w:val="single" w:color="000000" w:sz="6" w:space="0"/>
            </w:tcBorders>
            <w:vAlign w:val="top"/>
          </w:tcPr>
          <w:p w14:paraId="7817B16E">
            <w:pPr>
              <w:rPr>
                <w:rFonts w:ascii="Arial"/>
                <w:color w:val="auto"/>
                <w:sz w:val="21"/>
                <w:highlight w:val="none"/>
              </w:rPr>
            </w:pPr>
          </w:p>
        </w:tc>
      </w:tr>
      <w:tr w14:paraId="581A2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242377F4">
            <w:pPr>
              <w:pStyle w:val="23"/>
              <w:spacing w:before="291" w:line="324" w:lineRule="exact"/>
              <w:ind w:left="189"/>
              <w:rPr>
                <w:color w:val="auto"/>
                <w:highlight w:val="none"/>
              </w:rPr>
            </w:pPr>
            <w:r>
              <w:rPr>
                <w:color w:val="auto"/>
                <w:position w:val="2"/>
                <w:highlight w:val="none"/>
              </w:rPr>
              <w:t>…</w:t>
            </w:r>
          </w:p>
        </w:tc>
        <w:tc>
          <w:tcPr>
            <w:tcW w:w="883" w:type="dxa"/>
            <w:vAlign w:val="top"/>
          </w:tcPr>
          <w:p w14:paraId="788AEF90">
            <w:pPr>
              <w:rPr>
                <w:rFonts w:ascii="Arial"/>
                <w:color w:val="auto"/>
                <w:sz w:val="21"/>
                <w:highlight w:val="none"/>
              </w:rPr>
            </w:pPr>
          </w:p>
        </w:tc>
        <w:tc>
          <w:tcPr>
            <w:tcW w:w="886" w:type="dxa"/>
            <w:vAlign w:val="top"/>
          </w:tcPr>
          <w:p w14:paraId="25F56E67">
            <w:pPr>
              <w:rPr>
                <w:rFonts w:ascii="Arial"/>
                <w:color w:val="auto"/>
                <w:sz w:val="21"/>
                <w:highlight w:val="none"/>
              </w:rPr>
            </w:pPr>
          </w:p>
        </w:tc>
        <w:tc>
          <w:tcPr>
            <w:tcW w:w="884" w:type="dxa"/>
            <w:vAlign w:val="top"/>
          </w:tcPr>
          <w:p w14:paraId="382805B8">
            <w:pPr>
              <w:rPr>
                <w:rFonts w:ascii="Arial"/>
                <w:color w:val="auto"/>
                <w:sz w:val="21"/>
                <w:highlight w:val="none"/>
              </w:rPr>
            </w:pPr>
          </w:p>
        </w:tc>
        <w:tc>
          <w:tcPr>
            <w:tcW w:w="895" w:type="dxa"/>
            <w:vAlign w:val="top"/>
          </w:tcPr>
          <w:p w14:paraId="2C7DC685">
            <w:pPr>
              <w:rPr>
                <w:rFonts w:ascii="Arial"/>
                <w:color w:val="auto"/>
                <w:sz w:val="21"/>
                <w:highlight w:val="none"/>
              </w:rPr>
            </w:pPr>
          </w:p>
        </w:tc>
        <w:tc>
          <w:tcPr>
            <w:tcW w:w="884" w:type="dxa"/>
            <w:vAlign w:val="top"/>
          </w:tcPr>
          <w:p w14:paraId="690047BF">
            <w:pPr>
              <w:rPr>
                <w:rFonts w:ascii="Arial"/>
                <w:color w:val="auto"/>
                <w:sz w:val="21"/>
                <w:highlight w:val="none"/>
              </w:rPr>
            </w:pPr>
          </w:p>
        </w:tc>
        <w:tc>
          <w:tcPr>
            <w:tcW w:w="887" w:type="dxa"/>
            <w:vAlign w:val="top"/>
          </w:tcPr>
          <w:p w14:paraId="6BDD47E8">
            <w:pPr>
              <w:rPr>
                <w:rFonts w:ascii="Arial"/>
                <w:color w:val="auto"/>
                <w:sz w:val="21"/>
                <w:highlight w:val="none"/>
              </w:rPr>
            </w:pPr>
          </w:p>
        </w:tc>
        <w:tc>
          <w:tcPr>
            <w:tcW w:w="1600" w:type="dxa"/>
            <w:vAlign w:val="top"/>
          </w:tcPr>
          <w:p w14:paraId="0C20D122">
            <w:pPr>
              <w:rPr>
                <w:rFonts w:ascii="Arial"/>
                <w:color w:val="auto"/>
                <w:sz w:val="21"/>
                <w:highlight w:val="none"/>
              </w:rPr>
            </w:pPr>
          </w:p>
        </w:tc>
        <w:tc>
          <w:tcPr>
            <w:tcW w:w="915" w:type="dxa"/>
            <w:vAlign w:val="top"/>
          </w:tcPr>
          <w:p w14:paraId="009A6C3B">
            <w:pPr>
              <w:rPr>
                <w:rFonts w:ascii="Arial"/>
                <w:color w:val="auto"/>
                <w:sz w:val="21"/>
                <w:highlight w:val="none"/>
              </w:rPr>
            </w:pPr>
          </w:p>
        </w:tc>
        <w:tc>
          <w:tcPr>
            <w:tcW w:w="878" w:type="dxa"/>
            <w:vAlign w:val="top"/>
          </w:tcPr>
          <w:p w14:paraId="71FD7652">
            <w:pPr>
              <w:rPr>
                <w:rFonts w:ascii="Arial"/>
                <w:color w:val="auto"/>
                <w:sz w:val="21"/>
                <w:highlight w:val="none"/>
              </w:rPr>
            </w:pPr>
          </w:p>
        </w:tc>
        <w:tc>
          <w:tcPr>
            <w:tcW w:w="821" w:type="dxa"/>
            <w:vAlign w:val="top"/>
          </w:tcPr>
          <w:p w14:paraId="4BDC6629">
            <w:pPr>
              <w:rPr>
                <w:rFonts w:ascii="Arial"/>
                <w:color w:val="auto"/>
                <w:sz w:val="21"/>
                <w:highlight w:val="none"/>
              </w:rPr>
            </w:pPr>
          </w:p>
        </w:tc>
        <w:tc>
          <w:tcPr>
            <w:tcW w:w="887" w:type="dxa"/>
            <w:vAlign w:val="top"/>
          </w:tcPr>
          <w:p w14:paraId="7FC5870D">
            <w:pPr>
              <w:rPr>
                <w:rFonts w:ascii="Arial"/>
                <w:color w:val="auto"/>
                <w:sz w:val="21"/>
                <w:highlight w:val="none"/>
              </w:rPr>
            </w:pPr>
          </w:p>
        </w:tc>
        <w:tc>
          <w:tcPr>
            <w:tcW w:w="1057" w:type="dxa"/>
            <w:vAlign w:val="top"/>
          </w:tcPr>
          <w:p w14:paraId="07AA149D">
            <w:pPr>
              <w:rPr>
                <w:rFonts w:ascii="Arial"/>
                <w:color w:val="auto"/>
                <w:sz w:val="21"/>
                <w:highlight w:val="none"/>
              </w:rPr>
            </w:pPr>
          </w:p>
        </w:tc>
        <w:tc>
          <w:tcPr>
            <w:tcW w:w="958" w:type="dxa"/>
            <w:vAlign w:val="top"/>
          </w:tcPr>
          <w:p w14:paraId="1E829D19">
            <w:pPr>
              <w:rPr>
                <w:rFonts w:ascii="Arial"/>
                <w:color w:val="auto"/>
                <w:sz w:val="21"/>
                <w:highlight w:val="none"/>
              </w:rPr>
            </w:pPr>
          </w:p>
        </w:tc>
        <w:tc>
          <w:tcPr>
            <w:tcW w:w="1215" w:type="dxa"/>
            <w:tcBorders>
              <w:right w:val="single" w:color="000000" w:sz="6" w:space="0"/>
            </w:tcBorders>
            <w:vAlign w:val="top"/>
          </w:tcPr>
          <w:p w14:paraId="7B17C76B">
            <w:pPr>
              <w:rPr>
                <w:rFonts w:ascii="Arial"/>
                <w:color w:val="auto"/>
                <w:sz w:val="21"/>
                <w:highlight w:val="none"/>
              </w:rPr>
            </w:pPr>
          </w:p>
        </w:tc>
      </w:tr>
      <w:tr w14:paraId="3F693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571" w:type="dxa"/>
            <w:tcBorders>
              <w:left w:val="single" w:color="000000" w:sz="6" w:space="0"/>
              <w:bottom w:val="single" w:color="000000" w:sz="6" w:space="0"/>
              <w:right w:val="nil"/>
            </w:tcBorders>
            <w:vAlign w:val="top"/>
          </w:tcPr>
          <w:p w14:paraId="31463B9E">
            <w:pPr>
              <w:rPr>
                <w:rFonts w:ascii="Arial"/>
                <w:color w:val="auto"/>
                <w:sz w:val="21"/>
                <w:highlight w:val="none"/>
              </w:rPr>
            </w:pPr>
          </w:p>
        </w:tc>
        <w:tc>
          <w:tcPr>
            <w:tcW w:w="3548" w:type="dxa"/>
            <w:gridSpan w:val="4"/>
            <w:tcBorders>
              <w:left w:val="nil"/>
              <w:bottom w:val="single" w:color="000000" w:sz="6" w:space="0"/>
            </w:tcBorders>
            <w:vAlign w:val="top"/>
          </w:tcPr>
          <w:p w14:paraId="126AF511">
            <w:pPr>
              <w:pStyle w:val="23"/>
              <w:spacing w:before="294" w:line="228" w:lineRule="auto"/>
              <w:ind w:left="918"/>
              <w:rPr>
                <w:color w:val="auto"/>
                <w:highlight w:val="none"/>
              </w:rPr>
            </w:pPr>
            <w:r>
              <w:rPr>
                <w:color w:val="auto"/>
                <w:spacing w:val="-5"/>
                <w:highlight w:val="none"/>
              </w:rPr>
              <w:t>合</w:t>
            </w:r>
            <w:r>
              <w:rPr>
                <w:color w:val="auto"/>
                <w:spacing w:val="10"/>
                <w:highlight w:val="none"/>
              </w:rPr>
              <w:t xml:space="preserve">  </w:t>
            </w:r>
            <w:r>
              <w:rPr>
                <w:color w:val="auto"/>
                <w:spacing w:val="-5"/>
                <w:highlight w:val="none"/>
              </w:rPr>
              <w:t>计</w:t>
            </w:r>
            <w:r>
              <w:rPr>
                <w:color w:val="auto"/>
                <w:spacing w:val="50"/>
                <w:highlight w:val="none"/>
              </w:rPr>
              <w:t xml:space="preserve"> </w:t>
            </w:r>
            <w:r>
              <w:rPr>
                <w:color w:val="auto"/>
                <w:spacing w:val="-5"/>
                <w:highlight w:val="none"/>
              </w:rPr>
              <w:t>(元)</w:t>
            </w:r>
          </w:p>
        </w:tc>
        <w:tc>
          <w:tcPr>
            <w:tcW w:w="884" w:type="dxa"/>
            <w:tcBorders>
              <w:bottom w:val="single" w:color="000000" w:sz="6" w:space="0"/>
            </w:tcBorders>
            <w:vAlign w:val="top"/>
          </w:tcPr>
          <w:p w14:paraId="7B44BA9B">
            <w:pPr>
              <w:rPr>
                <w:rFonts w:ascii="Arial"/>
                <w:color w:val="auto"/>
                <w:sz w:val="21"/>
                <w:highlight w:val="none"/>
              </w:rPr>
            </w:pPr>
          </w:p>
        </w:tc>
        <w:tc>
          <w:tcPr>
            <w:tcW w:w="887" w:type="dxa"/>
            <w:tcBorders>
              <w:bottom w:val="single" w:color="000000" w:sz="6" w:space="0"/>
            </w:tcBorders>
            <w:vAlign w:val="top"/>
          </w:tcPr>
          <w:p w14:paraId="464B734C">
            <w:pPr>
              <w:rPr>
                <w:rFonts w:ascii="Arial"/>
                <w:color w:val="auto"/>
                <w:sz w:val="21"/>
                <w:highlight w:val="none"/>
              </w:rPr>
            </w:pPr>
          </w:p>
        </w:tc>
        <w:tc>
          <w:tcPr>
            <w:tcW w:w="1600" w:type="dxa"/>
            <w:tcBorders>
              <w:bottom w:val="single" w:color="000000" w:sz="6" w:space="0"/>
            </w:tcBorders>
            <w:vAlign w:val="top"/>
          </w:tcPr>
          <w:p w14:paraId="5472625C">
            <w:pPr>
              <w:rPr>
                <w:rFonts w:ascii="Arial"/>
                <w:color w:val="auto"/>
                <w:sz w:val="21"/>
                <w:highlight w:val="none"/>
              </w:rPr>
            </w:pPr>
          </w:p>
        </w:tc>
        <w:tc>
          <w:tcPr>
            <w:tcW w:w="3501" w:type="dxa"/>
            <w:gridSpan w:val="4"/>
            <w:tcBorders>
              <w:bottom w:val="single" w:color="000000" w:sz="6" w:space="0"/>
            </w:tcBorders>
            <w:vAlign w:val="top"/>
          </w:tcPr>
          <w:p w14:paraId="15D2F71C">
            <w:pPr>
              <w:pStyle w:val="23"/>
              <w:spacing w:before="229" w:line="228" w:lineRule="auto"/>
              <w:ind w:left="1182"/>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57" w:type="dxa"/>
            <w:tcBorders>
              <w:bottom w:val="single" w:color="000000" w:sz="6" w:space="0"/>
            </w:tcBorders>
            <w:vAlign w:val="top"/>
          </w:tcPr>
          <w:p w14:paraId="1CC3EDFA">
            <w:pPr>
              <w:rPr>
                <w:rFonts w:ascii="Arial"/>
                <w:color w:val="auto"/>
                <w:sz w:val="21"/>
                <w:highlight w:val="none"/>
              </w:rPr>
            </w:pPr>
          </w:p>
        </w:tc>
        <w:tc>
          <w:tcPr>
            <w:tcW w:w="958" w:type="dxa"/>
            <w:tcBorders>
              <w:bottom w:val="single" w:color="000000" w:sz="6" w:space="0"/>
            </w:tcBorders>
            <w:vAlign w:val="top"/>
          </w:tcPr>
          <w:p w14:paraId="1B90DDFE">
            <w:pPr>
              <w:rPr>
                <w:rFonts w:ascii="Arial"/>
                <w:color w:val="auto"/>
                <w:sz w:val="21"/>
                <w:highlight w:val="none"/>
              </w:rPr>
            </w:pPr>
          </w:p>
        </w:tc>
        <w:tc>
          <w:tcPr>
            <w:tcW w:w="1215" w:type="dxa"/>
            <w:tcBorders>
              <w:bottom w:val="single" w:color="000000" w:sz="6" w:space="0"/>
              <w:right w:val="single" w:color="000000" w:sz="6" w:space="0"/>
            </w:tcBorders>
            <w:vAlign w:val="top"/>
          </w:tcPr>
          <w:p w14:paraId="0BA95FD4">
            <w:pPr>
              <w:rPr>
                <w:rFonts w:ascii="Arial"/>
                <w:color w:val="auto"/>
                <w:sz w:val="21"/>
                <w:highlight w:val="none"/>
              </w:rPr>
            </w:pPr>
          </w:p>
        </w:tc>
      </w:tr>
    </w:tbl>
    <w:p w14:paraId="659E8293">
      <w:pPr>
        <w:rPr>
          <w:rFonts w:ascii="Arial"/>
          <w:color w:val="auto"/>
          <w:sz w:val="21"/>
          <w:highlight w:val="none"/>
        </w:rPr>
      </w:pPr>
    </w:p>
    <w:p w14:paraId="52E68FED">
      <w:pPr>
        <w:rPr>
          <w:rFonts w:ascii="Arial" w:hAnsi="Arial" w:eastAsia="Arial" w:cs="Arial"/>
          <w:color w:val="auto"/>
          <w:sz w:val="21"/>
          <w:szCs w:val="21"/>
          <w:highlight w:val="none"/>
        </w:rPr>
        <w:sectPr>
          <w:footerReference r:id="rId66" w:type="default"/>
          <w:pgSz w:w="16839" w:h="11906"/>
          <w:pgMar w:top="1012" w:right="1301" w:bottom="1297" w:left="1300" w:header="0" w:footer="1067" w:gutter="0"/>
          <w:pgBorders>
            <w:top w:val="none" w:sz="0" w:space="0"/>
            <w:left w:val="none" w:sz="0" w:space="0"/>
            <w:bottom w:val="none" w:sz="0" w:space="0"/>
            <w:right w:val="none" w:sz="0" w:space="0"/>
          </w:pgBorders>
          <w:pgNumType w:fmt="decimal"/>
          <w:cols w:space="720" w:num="1"/>
        </w:sectPr>
      </w:pPr>
    </w:p>
    <w:p w14:paraId="05D61094">
      <w:pPr>
        <w:spacing w:line="353" w:lineRule="auto"/>
        <w:rPr>
          <w:rFonts w:ascii="Arial"/>
          <w:color w:val="auto"/>
          <w:sz w:val="21"/>
          <w:highlight w:val="none"/>
        </w:rPr>
      </w:pPr>
    </w:p>
    <w:p w14:paraId="24EEA479">
      <w:pPr>
        <w:spacing w:before="91" w:line="212" w:lineRule="auto"/>
        <w:ind w:left="449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5"/>
          <w:sz w:val="28"/>
          <w:szCs w:val="28"/>
          <w:highlight w:val="none"/>
        </w:rPr>
        <w:t xml:space="preserve"> </w:t>
      </w:r>
      <w:r>
        <w:rPr>
          <w:rFonts w:ascii="宋体" w:hAnsi="宋体" w:eastAsia="宋体" w:cs="宋体"/>
          <w:b/>
          <w:bCs/>
          <w:color w:val="auto"/>
          <w:spacing w:val="-3"/>
          <w:sz w:val="28"/>
          <w:szCs w:val="28"/>
          <w:highlight w:val="none"/>
        </w:rPr>
        <w:t>5</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监理试验设施费报价表（常规检测）</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029"/>
        <w:gridCol w:w="792"/>
        <w:gridCol w:w="696"/>
        <w:gridCol w:w="1068"/>
        <w:gridCol w:w="20"/>
        <w:gridCol w:w="923"/>
        <w:gridCol w:w="935"/>
        <w:gridCol w:w="1230"/>
        <w:gridCol w:w="1222"/>
        <w:gridCol w:w="827"/>
        <w:gridCol w:w="682"/>
        <w:gridCol w:w="1034"/>
        <w:gridCol w:w="1026"/>
        <w:gridCol w:w="1026"/>
        <w:gridCol w:w="1237"/>
      </w:tblGrid>
      <w:tr w14:paraId="24D04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474" w:type="dxa"/>
            <w:vMerge w:val="restart"/>
            <w:tcBorders>
              <w:top w:val="single" w:color="000000" w:sz="6" w:space="0"/>
              <w:left w:val="single" w:color="000000" w:sz="6" w:space="0"/>
              <w:bottom w:val="nil"/>
            </w:tcBorders>
            <w:textDirection w:val="tbRlV"/>
            <w:vAlign w:val="top"/>
          </w:tcPr>
          <w:p w14:paraId="17C4A4FB">
            <w:pPr>
              <w:pStyle w:val="23"/>
              <w:spacing w:before="13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93" w:type="dxa"/>
            <w:gridSpan w:val="8"/>
            <w:tcBorders>
              <w:top w:val="single" w:color="000000" w:sz="6" w:space="0"/>
            </w:tcBorders>
            <w:vAlign w:val="top"/>
          </w:tcPr>
          <w:p w14:paraId="63B2C8CE">
            <w:pPr>
              <w:pStyle w:val="23"/>
              <w:spacing w:before="194" w:line="228" w:lineRule="auto"/>
              <w:ind w:left="3032"/>
              <w:rPr>
                <w:color w:val="auto"/>
                <w:highlight w:val="none"/>
              </w:rPr>
            </w:pPr>
            <w:r>
              <w:rPr>
                <w:color w:val="auto"/>
                <w:spacing w:val="7"/>
                <w:highlight w:val="none"/>
              </w:rPr>
              <w:t>施工期</w:t>
            </w:r>
          </w:p>
        </w:tc>
        <w:tc>
          <w:tcPr>
            <w:tcW w:w="7054" w:type="dxa"/>
            <w:gridSpan w:val="7"/>
            <w:tcBorders>
              <w:top w:val="single" w:color="000000" w:sz="6" w:space="0"/>
              <w:right w:val="single" w:color="000000" w:sz="6" w:space="0"/>
            </w:tcBorders>
            <w:vAlign w:val="top"/>
          </w:tcPr>
          <w:p w14:paraId="0349275D">
            <w:pPr>
              <w:pStyle w:val="23"/>
              <w:spacing w:before="193" w:line="228" w:lineRule="auto"/>
              <w:ind w:left="3007"/>
              <w:rPr>
                <w:color w:val="auto"/>
                <w:highlight w:val="none"/>
              </w:rPr>
            </w:pPr>
            <w:r>
              <w:rPr>
                <w:color w:val="auto"/>
                <w:spacing w:val="8"/>
                <w:highlight w:val="none"/>
              </w:rPr>
              <w:t>缺陷责任期</w:t>
            </w:r>
          </w:p>
        </w:tc>
      </w:tr>
      <w:tr w14:paraId="35AEB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474" w:type="dxa"/>
            <w:vMerge w:val="continue"/>
            <w:tcBorders>
              <w:top w:val="nil"/>
              <w:left w:val="single" w:color="000000" w:sz="6" w:space="0"/>
            </w:tcBorders>
            <w:textDirection w:val="tbRlV"/>
            <w:vAlign w:val="top"/>
          </w:tcPr>
          <w:p w14:paraId="0C8A6061">
            <w:pPr>
              <w:rPr>
                <w:rFonts w:ascii="Arial"/>
                <w:color w:val="auto"/>
                <w:sz w:val="21"/>
                <w:highlight w:val="none"/>
              </w:rPr>
            </w:pPr>
          </w:p>
        </w:tc>
        <w:tc>
          <w:tcPr>
            <w:tcW w:w="1029" w:type="dxa"/>
            <w:vAlign w:val="top"/>
          </w:tcPr>
          <w:p w14:paraId="7D2BEE92">
            <w:pPr>
              <w:spacing w:line="251" w:lineRule="auto"/>
              <w:rPr>
                <w:rFonts w:ascii="Arial"/>
                <w:color w:val="auto"/>
                <w:sz w:val="21"/>
                <w:highlight w:val="none"/>
              </w:rPr>
            </w:pPr>
          </w:p>
          <w:p w14:paraId="117F0259">
            <w:pPr>
              <w:spacing w:line="251" w:lineRule="auto"/>
              <w:rPr>
                <w:rFonts w:ascii="Arial"/>
                <w:color w:val="auto"/>
                <w:sz w:val="21"/>
                <w:highlight w:val="none"/>
              </w:rPr>
            </w:pPr>
          </w:p>
          <w:p w14:paraId="0EDB4952">
            <w:pPr>
              <w:pStyle w:val="23"/>
              <w:spacing w:before="65" w:line="229" w:lineRule="auto"/>
              <w:ind w:left="96"/>
              <w:rPr>
                <w:color w:val="auto"/>
                <w:highlight w:val="none"/>
              </w:rPr>
            </w:pPr>
            <w:r>
              <w:rPr>
                <w:color w:val="auto"/>
                <w:spacing w:val="6"/>
                <w:highlight w:val="none"/>
              </w:rPr>
              <w:t>设备名称</w:t>
            </w:r>
          </w:p>
        </w:tc>
        <w:tc>
          <w:tcPr>
            <w:tcW w:w="792" w:type="dxa"/>
            <w:vAlign w:val="top"/>
          </w:tcPr>
          <w:p w14:paraId="6EB55CAA">
            <w:pPr>
              <w:spacing w:line="251" w:lineRule="auto"/>
              <w:rPr>
                <w:rFonts w:ascii="Arial"/>
                <w:color w:val="auto"/>
                <w:sz w:val="21"/>
                <w:highlight w:val="none"/>
              </w:rPr>
            </w:pPr>
          </w:p>
          <w:p w14:paraId="539BC820">
            <w:pPr>
              <w:spacing w:line="251" w:lineRule="auto"/>
              <w:rPr>
                <w:rFonts w:ascii="Arial"/>
                <w:color w:val="auto"/>
                <w:sz w:val="21"/>
                <w:highlight w:val="none"/>
              </w:rPr>
            </w:pPr>
          </w:p>
          <w:p w14:paraId="0AB47D6D">
            <w:pPr>
              <w:pStyle w:val="23"/>
              <w:spacing w:before="65" w:line="229" w:lineRule="auto"/>
              <w:ind w:left="191"/>
              <w:rPr>
                <w:color w:val="auto"/>
                <w:highlight w:val="none"/>
              </w:rPr>
            </w:pPr>
            <w:r>
              <w:rPr>
                <w:color w:val="auto"/>
                <w:spacing w:val="1"/>
                <w:highlight w:val="none"/>
              </w:rPr>
              <w:t>型号</w:t>
            </w:r>
          </w:p>
        </w:tc>
        <w:tc>
          <w:tcPr>
            <w:tcW w:w="696" w:type="dxa"/>
            <w:vAlign w:val="top"/>
          </w:tcPr>
          <w:p w14:paraId="494957DE">
            <w:pPr>
              <w:spacing w:line="251" w:lineRule="auto"/>
              <w:rPr>
                <w:rFonts w:ascii="Arial"/>
                <w:color w:val="auto"/>
                <w:sz w:val="21"/>
                <w:highlight w:val="none"/>
              </w:rPr>
            </w:pPr>
          </w:p>
          <w:p w14:paraId="548FE009">
            <w:pPr>
              <w:spacing w:line="251" w:lineRule="auto"/>
              <w:rPr>
                <w:rFonts w:ascii="Arial"/>
                <w:color w:val="auto"/>
                <w:sz w:val="21"/>
                <w:highlight w:val="none"/>
              </w:rPr>
            </w:pPr>
          </w:p>
          <w:p w14:paraId="4F88DA34">
            <w:pPr>
              <w:pStyle w:val="23"/>
              <w:spacing w:before="65" w:line="228" w:lineRule="auto"/>
              <w:ind w:left="141"/>
              <w:rPr>
                <w:color w:val="auto"/>
                <w:highlight w:val="none"/>
              </w:rPr>
            </w:pPr>
            <w:r>
              <w:rPr>
                <w:color w:val="auto"/>
                <w:spacing w:val="3"/>
                <w:highlight w:val="none"/>
              </w:rPr>
              <w:t>数量</w:t>
            </w:r>
          </w:p>
        </w:tc>
        <w:tc>
          <w:tcPr>
            <w:tcW w:w="1068" w:type="dxa"/>
            <w:vAlign w:val="top"/>
          </w:tcPr>
          <w:p w14:paraId="085ECE0F">
            <w:pPr>
              <w:spacing w:line="304" w:lineRule="auto"/>
              <w:rPr>
                <w:rFonts w:ascii="Arial"/>
                <w:color w:val="auto"/>
                <w:sz w:val="21"/>
                <w:highlight w:val="none"/>
              </w:rPr>
            </w:pPr>
          </w:p>
          <w:p w14:paraId="44A59D94">
            <w:pPr>
              <w:pStyle w:val="23"/>
              <w:spacing w:before="65" w:line="372" w:lineRule="auto"/>
              <w:ind w:left="375" w:right="103" w:hanging="247"/>
              <w:rPr>
                <w:color w:val="auto"/>
                <w:highlight w:val="none"/>
              </w:rPr>
            </w:pPr>
            <w:r>
              <w:rPr>
                <w:color w:val="auto"/>
                <w:spacing w:val="7"/>
                <w:highlight w:val="none"/>
              </w:rPr>
              <w:t>购置合价</w:t>
            </w:r>
            <w:r>
              <w:rPr>
                <w:color w:val="auto"/>
                <w:spacing w:val="-8"/>
                <w:highlight w:val="none"/>
              </w:rPr>
              <w:t>(元)</w:t>
            </w:r>
          </w:p>
        </w:tc>
        <w:tc>
          <w:tcPr>
            <w:tcW w:w="943" w:type="dxa"/>
            <w:gridSpan w:val="2"/>
            <w:vAlign w:val="top"/>
          </w:tcPr>
          <w:p w14:paraId="6AA64910">
            <w:pPr>
              <w:spacing w:line="304" w:lineRule="auto"/>
              <w:rPr>
                <w:rFonts w:ascii="Arial"/>
                <w:color w:val="auto"/>
                <w:sz w:val="21"/>
                <w:highlight w:val="none"/>
              </w:rPr>
            </w:pPr>
          </w:p>
          <w:p w14:paraId="06123CEF">
            <w:pPr>
              <w:pStyle w:val="23"/>
              <w:spacing w:before="65" w:line="372" w:lineRule="auto"/>
              <w:ind w:left="300" w:right="158" w:hanging="140"/>
              <w:rPr>
                <w:color w:val="auto"/>
                <w:highlight w:val="none"/>
              </w:rPr>
            </w:pPr>
            <w:r>
              <w:rPr>
                <w:color w:val="auto"/>
                <w:spacing w:val="6"/>
                <w:highlight w:val="none"/>
              </w:rPr>
              <w:t>折旧费</w:t>
            </w:r>
            <w:r>
              <w:rPr>
                <w:color w:val="auto"/>
                <w:spacing w:val="-9"/>
                <w:highlight w:val="none"/>
              </w:rPr>
              <w:t>(元)</w:t>
            </w:r>
          </w:p>
        </w:tc>
        <w:tc>
          <w:tcPr>
            <w:tcW w:w="935" w:type="dxa"/>
            <w:vAlign w:val="top"/>
          </w:tcPr>
          <w:p w14:paraId="61111840">
            <w:pPr>
              <w:spacing w:line="304" w:lineRule="auto"/>
              <w:rPr>
                <w:rFonts w:ascii="Arial"/>
                <w:color w:val="auto"/>
                <w:sz w:val="21"/>
                <w:highlight w:val="none"/>
              </w:rPr>
            </w:pPr>
          </w:p>
          <w:p w14:paraId="3424ABA6">
            <w:pPr>
              <w:pStyle w:val="23"/>
              <w:spacing w:before="65" w:line="372" w:lineRule="auto"/>
              <w:ind w:left="298" w:right="152" w:hanging="141"/>
              <w:rPr>
                <w:color w:val="auto"/>
                <w:highlight w:val="none"/>
              </w:rPr>
            </w:pPr>
            <w:r>
              <w:rPr>
                <w:color w:val="auto"/>
                <w:spacing w:val="6"/>
                <w:highlight w:val="none"/>
              </w:rPr>
              <w:t>使用费</w:t>
            </w:r>
            <w:r>
              <w:rPr>
                <w:color w:val="auto"/>
                <w:spacing w:val="-9"/>
                <w:highlight w:val="none"/>
              </w:rPr>
              <w:t>(元)</w:t>
            </w:r>
          </w:p>
        </w:tc>
        <w:tc>
          <w:tcPr>
            <w:tcW w:w="1230" w:type="dxa"/>
            <w:vAlign w:val="top"/>
          </w:tcPr>
          <w:p w14:paraId="5F75294B">
            <w:pPr>
              <w:pStyle w:val="23"/>
              <w:spacing w:before="172" w:line="229" w:lineRule="auto"/>
              <w:ind w:left="407"/>
              <w:rPr>
                <w:color w:val="auto"/>
                <w:highlight w:val="none"/>
              </w:rPr>
            </w:pPr>
            <w:r>
              <w:rPr>
                <w:color w:val="auto"/>
                <w:spacing w:val="2"/>
                <w:highlight w:val="none"/>
              </w:rPr>
              <w:t>小计</w:t>
            </w:r>
          </w:p>
          <w:p w14:paraId="22EACA74">
            <w:pPr>
              <w:pStyle w:val="23"/>
              <w:spacing w:before="150" w:line="291" w:lineRule="auto"/>
              <w:ind w:left="308" w:right="98" w:hanging="221"/>
              <w:rPr>
                <w:color w:val="auto"/>
                <w:highlight w:val="none"/>
              </w:rPr>
            </w:pPr>
            <w:r>
              <w:rPr>
                <w:color w:val="auto"/>
                <w:spacing w:val="7"/>
                <w:highlight w:val="none"/>
              </w:rPr>
              <w:t>折旧及使用</w:t>
            </w:r>
            <w:r>
              <w:rPr>
                <w:color w:val="auto"/>
                <w:spacing w:val="2"/>
                <w:highlight w:val="none"/>
              </w:rPr>
              <w:t>费(元)</w:t>
            </w:r>
          </w:p>
        </w:tc>
        <w:tc>
          <w:tcPr>
            <w:tcW w:w="1222" w:type="dxa"/>
            <w:vAlign w:val="top"/>
          </w:tcPr>
          <w:p w14:paraId="6A20B79D">
            <w:pPr>
              <w:spacing w:line="251" w:lineRule="auto"/>
              <w:rPr>
                <w:rFonts w:ascii="Arial"/>
                <w:color w:val="auto"/>
                <w:sz w:val="21"/>
                <w:highlight w:val="none"/>
              </w:rPr>
            </w:pPr>
          </w:p>
          <w:p w14:paraId="01277679">
            <w:pPr>
              <w:spacing w:line="251" w:lineRule="auto"/>
              <w:rPr>
                <w:rFonts w:ascii="Arial"/>
                <w:color w:val="auto"/>
                <w:sz w:val="21"/>
                <w:highlight w:val="none"/>
              </w:rPr>
            </w:pPr>
          </w:p>
          <w:p w14:paraId="5E4A9912">
            <w:pPr>
              <w:pStyle w:val="23"/>
              <w:spacing w:before="65" w:line="229" w:lineRule="auto"/>
              <w:ind w:left="200"/>
              <w:rPr>
                <w:color w:val="auto"/>
                <w:highlight w:val="none"/>
              </w:rPr>
            </w:pPr>
            <w:r>
              <w:rPr>
                <w:color w:val="auto"/>
                <w:spacing w:val="6"/>
                <w:highlight w:val="none"/>
              </w:rPr>
              <w:t>设备名称</w:t>
            </w:r>
          </w:p>
        </w:tc>
        <w:tc>
          <w:tcPr>
            <w:tcW w:w="827" w:type="dxa"/>
            <w:vAlign w:val="top"/>
          </w:tcPr>
          <w:p w14:paraId="2786BB3E">
            <w:pPr>
              <w:spacing w:line="251" w:lineRule="auto"/>
              <w:rPr>
                <w:rFonts w:ascii="Arial"/>
                <w:color w:val="auto"/>
                <w:sz w:val="21"/>
                <w:highlight w:val="none"/>
              </w:rPr>
            </w:pPr>
          </w:p>
          <w:p w14:paraId="67FF01D3">
            <w:pPr>
              <w:spacing w:line="251" w:lineRule="auto"/>
              <w:rPr>
                <w:rFonts w:ascii="Arial"/>
                <w:color w:val="auto"/>
                <w:sz w:val="21"/>
                <w:highlight w:val="none"/>
              </w:rPr>
            </w:pPr>
          </w:p>
          <w:p w14:paraId="4BCA4B0F">
            <w:pPr>
              <w:pStyle w:val="23"/>
              <w:spacing w:before="65" w:line="229" w:lineRule="auto"/>
              <w:ind w:left="217"/>
              <w:rPr>
                <w:color w:val="auto"/>
                <w:highlight w:val="none"/>
              </w:rPr>
            </w:pPr>
            <w:r>
              <w:rPr>
                <w:color w:val="auto"/>
                <w:spacing w:val="1"/>
                <w:highlight w:val="none"/>
              </w:rPr>
              <w:t>型号</w:t>
            </w:r>
          </w:p>
        </w:tc>
        <w:tc>
          <w:tcPr>
            <w:tcW w:w="682" w:type="dxa"/>
            <w:vAlign w:val="top"/>
          </w:tcPr>
          <w:p w14:paraId="1BB2F0DF">
            <w:pPr>
              <w:spacing w:line="251" w:lineRule="auto"/>
              <w:rPr>
                <w:rFonts w:ascii="Arial"/>
                <w:color w:val="auto"/>
                <w:sz w:val="21"/>
                <w:highlight w:val="none"/>
              </w:rPr>
            </w:pPr>
          </w:p>
          <w:p w14:paraId="1FB9E653">
            <w:pPr>
              <w:spacing w:line="251" w:lineRule="auto"/>
              <w:rPr>
                <w:rFonts w:ascii="Arial"/>
                <w:color w:val="auto"/>
                <w:sz w:val="21"/>
                <w:highlight w:val="none"/>
              </w:rPr>
            </w:pPr>
          </w:p>
          <w:p w14:paraId="3A2EFBD8">
            <w:pPr>
              <w:pStyle w:val="23"/>
              <w:spacing w:before="65" w:line="228" w:lineRule="auto"/>
              <w:ind w:left="141"/>
              <w:rPr>
                <w:color w:val="auto"/>
                <w:highlight w:val="none"/>
              </w:rPr>
            </w:pPr>
            <w:r>
              <w:rPr>
                <w:color w:val="auto"/>
                <w:spacing w:val="3"/>
                <w:highlight w:val="none"/>
              </w:rPr>
              <w:t>数量</w:t>
            </w:r>
          </w:p>
        </w:tc>
        <w:tc>
          <w:tcPr>
            <w:tcW w:w="1034" w:type="dxa"/>
            <w:vAlign w:val="top"/>
          </w:tcPr>
          <w:p w14:paraId="33608811">
            <w:pPr>
              <w:spacing w:line="304" w:lineRule="auto"/>
              <w:rPr>
                <w:rFonts w:ascii="Arial"/>
                <w:color w:val="auto"/>
                <w:sz w:val="21"/>
                <w:highlight w:val="none"/>
              </w:rPr>
            </w:pPr>
          </w:p>
          <w:p w14:paraId="0BCCAE0E">
            <w:pPr>
              <w:pStyle w:val="23"/>
              <w:spacing w:before="65" w:line="372" w:lineRule="auto"/>
              <w:ind w:left="365" w:right="78" w:hanging="247"/>
              <w:rPr>
                <w:color w:val="auto"/>
                <w:highlight w:val="none"/>
              </w:rPr>
            </w:pPr>
            <w:r>
              <w:rPr>
                <w:color w:val="auto"/>
                <w:spacing w:val="7"/>
                <w:highlight w:val="none"/>
              </w:rPr>
              <w:t>购置合价</w:t>
            </w:r>
            <w:r>
              <w:rPr>
                <w:color w:val="auto"/>
                <w:spacing w:val="-9"/>
                <w:highlight w:val="none"/>
              </w:rPr>
              <w:t>(元)</w:t>
            </w:r>
          </w:p>
        </w:tc>
        <w:tc>
          <w:tcPr>
            <w:tcW w:w="1026" w:type="dxa"/>
            <w:vAlign w:val="top"/>
          </w:tcPr>
          <w:p w14:paraId="072C83AE">
            <w:pPr>
              <w:spacing w:line="304" w:lineRule="auto"/>
              <w:rPr>
                <w:rFonts w:ascii="Arial"/>
                <w:color w:val="auto"/>
                <w:sz w:val="21"/>
                <w:highlight w:val="none"/>
              </w:rPr>
            </w:pPr>
          </w:p>
          <w:p w14:paraId="71606FEB">
            <w:pPr>
              <w:pStyle w:val="23"/>
              <w:spacing w:before="65" w:line="372" w:lineRule="auto"/>
              <w:ind w:left="349" w:right="192" w:hanging="140"/>
              <w:rPr>
                <w:color w:val="auto"/>
                <w:highlight w:val="none"/>
              </w:rPr>
            </w:pPr>
            <w:r>
              <w:rPr>
                <w:color w:val="auto"/>
                <w:spacing w:val="6"/>
                <w:highlight w:val="none"/>
              </w:rPr>
              <w:t>折旧费</w:t>
            </w:r>
            <w:r>
              <w:rPr>
                <w:color w:val="auto"/>
                <w:spacing w:val="-9"/>
                <w:highlight w:val="none"/>
              </w:rPr>
              <w:t>(元)</w:t>
            </w:r>
          </w:p>
        </w:tc>
        <w:tc>
          <w:tcPr>
            <w:tcW w:w="1026" w:type="dxa"/>
            <w:vAlign w:val="top"/>
          </w:tcPr>
          <w:p w14:paraId="3663485C">
            <w:pPr>
              <w:spacing w:line="304" w:lineRule="auto"/>
              <w:rPr>
                <w:rFonts w:ascii="Arial"/>
                <w:color w:val="auto"/>
                <w:sz w:val="21"/>
                <w:highlight w:val="none"/>
              </w:rPr>
            </w:pPr>
          </w:p>
          <w:p w14:paraId="322C2A34">
            <w:pPr>
              <w:pStyle w:val="23"/>
              <w:spacing w:before="65" w:line="372" w:lineRule="auto"/>
              <w:ind w:left="350" w:right="191" w:hanging="141"/>
              <w:rPr>
                <w:color w:val="auto"/>
                <w:highlight w:val="none"/>
              </w:rPr>
            </w:pPr>
            <w:r>
              <w:rPr>
                <w:color w:val="auto"/>
                <w:spacing w:val="6"/>
                <w:highlight w:val="none"/>
              </w:rPr>
              <w:t>使用费</w:t>
            </w:r>
            <w:r>
              <w:rPr>
                <w:color w:val="auto"/>
                <w:spacing w:val="-9"/>
                <w:highlight w:val="none"/>
              </w:rPr>
              <w:t>(元)</w:t>
            </w:r>
          </w:p>
        </w:tc>
        <w:tc>
          <w:tcPr>
            <w:tcW w:w="1237" w:type="dxa"/>
            <w:tcBorders>
              <w:right w:val="single" w:color="000000" w:sz="6" w:space="0"/>
            </w:tcBorders>
            <w:vAlign w:val="top"/>
          </w:tcPr>
          <w:p w14:paraId="756C43B3">
            <w:pPr>
              <w:pStyle w:val="23"/>
              <w:spacing w:before="172" w:line="229" w:lineRule="auto"/>
              <w:ind w:left="412"/>
              <w:rPr>
                <w:color w:val="auto"/>
                <w:highlight w:val="none"/>
              </w:rPr>
            </w:pPr>
            <w:r>
              <w:rPr>
                <w:color w:val="auto"/>
                <w:spacing w:val="2"/>
                <w:highlight w:val="none"/>
              </w:rPr>
              <w:t>小计</w:t>
            </w:r>
          </w:p>
          <w:p w14:paraId="40926BB4">
            <w:pPr>
              <w:pStyle w:val="23"/>
              <w:spacing w:before="150" w:line="291" w:lineRule="auto"/>
              <w:ind w:left="314" w:right="94" w:hanging="221"/>
              <w:rPr>
                <w:color w:val="auto"/>
                <w:highlight w:val="none"/>
              </w:rPr>
            </w:pPr>
            <w:r>
              <w:rPr>
                <w:color w:val="auto"/>
                <w:spacing w:val="7"/>
                <w:highlight w:val="none"/>
              </w:rPr>
              <w:t>折旧及使用</w:t>
            </w:r>
            <w:r>
              <w:rPr>
                <w:color w:val="auto"/>
                <w:spacing w:val="2"/>
                <w:highlight w:val="none"/>
              </w:rPr>
              <w:t>费(元)</w:t>
            </w:r>
          </w:p>
        </w:tc>
      </w:tr>
      <w:tr w14:paraId="64B06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56052669">
            <w:pPr>
              <w:pStyle w:val="23"/>
              <w:spacing w:before="203" w:line="269" w:lineRule="exact"/>
              <w:ind w:left="196"/>
              <w:rPr>
                <w:color w:val="auto"/>
                <w:highlight w:val="none"/>
              </w:rPr>
            </w:pPr>
            <w:r>
              <w:rPr>
                <w:color w:val="auto"/>
                <w:position w:val="1"/>
                <w:highlight w:val="none"/>
              </w:rPr>
              <w:t>1</w:t>
            </w:r>
          </w:p>
        </w:tc>
        <w:tc>
          <w:tcPr>
            <w:tcW w:w="1029" w:type="dxa"/>
            <w:vAlign w:val="top"/>
          </w:tcPr>
          <w:p w14:paraId="446D1FC9">
            <w:pPr>
              <w:rPr>
                <w:rFonts w:ascii="Arial"/>
                <w:color w:val="auto"/>
                <w:sz w:val="21"/>
                <w:highlight w:val="none"/>
              </w:rPr>
            </w:pPr>
          </w:p>
        </w:tc>
        <w:tc>
          <w:tcPr>
            <w:tcW w:w="792" w:type="dxa"/>
            <w:vAlign w:val="top"/>
          </w:tcPr>
          <w:p w14:paraId="0977D2A6">
            <w:pPr>
              <w:rPr>
                <w:rFonts w:ascii="Arial"/>
                <w:color w:val="auto"/>
                <w:sz w:val="21"/>
                <w:highlight w:val="none"/>
              </w:rPr>
            </w:pPr>
          </w:p>
        </w:tc>
        <w:tc>
          <w:tcPr>
            <w:tcW w:w="696" w:type="dxa"/>
            <w:vAlign w:val="top"/>
          </w:tcPr>
          <w:p w14:paraId="111AC6F7">
            <w:pPr>
              <w:rPr>
                <w:rFonts w:ascii="Arial"/>
                <w:color w:val="auto"/>
                <w:sz w:val="21"/>
                <w:highlight w:val="none"/>
              </w:rPr>
            </w:pPr>
          </w:p>
        </w:tc>
        <w:tc>
          <w:tcPr>
            <w:tcW w:w="1068" w:type="dxa"/>
            <w:vAlign w:val="top"/>
          </w:tcPr>
          <w:p w14:paraId="602C8621">
            <w:pPr>
              <w:rPr>
                <w:rFonts w:ascii="Arial"/>
                <w:color w:val="auto"/>
                <w:sz w:val="21"/>
                <w:highlight w:val="none"/>
              </w:rPr>
            </w:pPr>
          </w:p>
        </w:tc>
        <w:tc>
          <w:tcPr>
            <w:tcW w:w="943" w:type="dxa"/>
            <w:gridSpan w:val="2"/>
            <w:vAlign w:val="top"/>
          </w:tcPr>
          <w:p w14:paraId="702ED8C5">
            <w:pPr>
              <w:rPr>
                <w:rFonts w:ascii="Arial"/>
                <w:color w:val="auto"/>
                <w:sz w:val="21"/>
                <w:highlight w:val="none"/>
              </w:rPr>
            </w:pPr>
          </w:p>
        </w:tc>
        <w:tc>
          <w:tcPr>
            <w:tcW w:w="935" w:type="dxa"/>
            <w:vAlign w:val="top"/>
          </w:tcPr>
          <w:p w14:paraId="55BDCDF1">
            <w:pPr>
              <w:rPr>
                <w:rFonts w:ascii="Arial"/>
                <w:color w:val="auto"/>
                <w:sz w:val="21"/>
                <w:highlight w:val="none"/>
              </w:rPr>
            </w:pPr>
          </w:p>
        </w:tc>
        <w:tc>
          <w:tcPr>
            <w:tcW w:w="1230" w:type="dxa"/>
            <w:vAlign w:val="top"/>
          </w:tcPr>
          <w:p w14:paraId="3F4A6E76">
            <w:pPr>
              <w:rPr>
                <w:rFonts w:ascii="Arial"/>
                <w:color w:val="auto"/>
                <w:sz w:val="21"/>
                <w:highlight w:val="none"/>
              </w:rPr>
            </w:pPr>
          </w:p>
        </w:tc>
        <w:tc>
          <w:tcPr>
            <w:tcW w:w="1222" w:type="dxa"/>
            <w:vAlign w:val="top"/>
          </w:tcPr>
          <w:p w14:paraId="29428BA0">
            <w:pPr>
              <w:rPr>
                <w:rFonts w:ascii="Arial"/>
                <w:color w:val="auto"/>
                <w:sz w:val="21"/>
                <w:highlight w:val="none"/>
              </w:rPr>
            </w:pPr>
          </w:p>
        </w:tc>
        <w:tc>
          <w:tcPr>
            <w:tcW w:w="827" w:type="dxa"/>
            <w:vAlign w:val="top"/>
          </w:tcPr>
          <w:p w14:paraId="7CF88518">
            <w:pPr>
              <w:rPr>
                <w:rFonts w:ascii="Arial"/>
                <w:color w:val="auto"/>
                <w:sz w:val="21"/>
                <w:highlight w:val="none"/>
              </w:rPr>
            </w:pPr>
          </w:p>
        </w:tc>
        <w:tc>
          <w:tcPr>
            <w:tcW w:w="682" w:type="dxa"/>
            <w:vAlign w:val="top"/>
          </w:tcPr>
          <w:p w14:paraId="1F82B4C4">
            <w:pPr>
              <w:rPr>
                <w:rFonts w:ascii="Arial"/>
                <w:color w:val="auto"/>
                <w:sz w:val="21"/>
                <w:highlight w:val="none"/>
              </w:rPr>
            </w:pPr>
          </w:p>
        </w:tc>
        <w:tc>
          <w:tcPr>
            <w:tcW w:w="1034" w:type="dxa"/>
            <w:vAlign w:val="top"/>
          </w:tcPr>
          <w:p w14:paraId="3E608D35">
            <w:pPr>
              <w:rPr>
                <w:rFonts w:ascii="Arial"/>
                <w:color w:val="auto"/>
                <w:sz w:val="21"/>
                <w:highlight w:val="none"/>
              </w:rPr>
            </w:pPr>
          </w:p>
        </w:tc>
        <w:tc>
          <w:tcPr>
            <w:tcW w:w="1026" w:type="dxa"/>
            <w:vAlign w:val="top"/>
          </w:tcPr>
          <w:p w14:paraId="07F02401">
            <w:pPr>
              <w:rPr>
                <w:rFonts w:ascii="Arial"/>
                <w:color w:val="auto"/>
                <w:sz w:val="21"/>
                <w:highlight w:val="none"/>
              </w:rPr>
            </w:pPr>
          </w:p>
        </w:tc>
        <w:tc>
          <w:tcPr>
            <w:tcW w:w="1026" w:type="dxa"/>
            <w:vAlign w:val="top"/>
          </w:tcPr>
          <w:p w14:paraId="7C073831">
            <w:pPr>
              <w:rPr>
                <w:rFonts w:ascii="Arial"/>
                <w:color w:val="auto"/>
                <w:sz w:val="21"/>
                <w:highlight w:val="none"/>
              </w:rPr>
            </w:pPr>
          </w:p>
        </w:tc>
        <w:tc>
          <w:tcPr>
            <w:tcW w:w="1237" w:type="dxa"/>
            <w:tcBorders>
              <w:right w:val="single" w:color="000000" w:sz="6" w:space="0"/>
            </w:tcBorders>
            <w:vAlign w:val="top"/>
          </w:tcPr>
          <w:p w14:paraId="718A77E2">
            <w:pPr>
              <w:rPr>
                <w:rFonts w:ascii="Arial"/>
                <w:color w:val="auto"/>
                <w:sz w:val="21"/>
                <w:highlight w:val="none"/>
              </w:rPr>
            </w:pPr>
          </w:p>
        </w:tc>
      </w:tr>
      <w:tr w14:paraId="61C2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7BD45DF3">
            <w:pPr>
              <w:pStyle w:val="23"/>
              <w:spacing w:before="207" w:line="265" w:lineRule="exact"/>
              <w:ind w:left="183"/>
              <w:rPr>
                <w:color w:val="auto"/>
                <w:highlight w:val="none"/>
              </w:rPr>
            </w:pPr>
            <w:r>
              <w:rPr>
                <w:color w:val="auto"/>
                <w:position w:val="1"/>
                <w:highlight w:val="none"/>
              </w:rPr>
              <w:t>2</w:t>
            </w:r>
          </w:p>
        </w:tc>
        <w:tc>
          <w:tcPr>
            <w:tcW w:w="1029" w:type="dxa"/>
            <w:vAlign w:val="top"/>
          </w:tcPr>
          <w:p w14:paraId="2A9B66EA">
            <w:pPr>
              <w:rPr>
                <w:rFonts w:ascii="Arial"/>
                <w:color w:val="auto"/>
                <w:sz w:val="21"/>
                <w:highlight w:val="none"/>
              </w:rPr>
            </w:pPr>
          </w:p>
        </w:tc>
        <w:tc>
          <w:tcPr>
            <w:tcW w:w="792" w:type="dxa"/>
            <w:vAlign w:val="top"/>
          </w:tcPr>
          <w:p w14:paraId="0769E2A4">
            <w:pPr>
              <w:rPr>
                <w:rFonts w:ascii="Arial"/>
                <w:color w:val="auto"/>
                <w:sz w:val="21"/>
                <w:highlight w:val="none"/>
              </w:rPr>
            </w:pPr>
          </w:p>
        </w:tc>
        <w:tc>
          <w:tcPr>
            <w:tcW w:w="696" w:type="dxa"/>
            <w:vAlign w:val="top"/>
          </w:tcPr>
          <w:p w14:paraId="4CAEFA7B">
            <w:pPr>
              <w:rPr>
                <w:rFonts w:ascii="Arial"/>
                <w:color w:val="auto"/>
                <w:sz w:val="21"/>
                <w:highlight w:val="none"/>
              </w:rPr>
            </w:pPr>
          </w:p>
        </w:tc>
        <w:tc>
          <w:tcPr>
            <w:tcW w:w="1068" w:type="dxa"/>
            <w:vAlign w:val="top"/>
          </w:tcPr>
          <w:p w14:paraId="68AEE434">
            <w:pPr>
              <w:rPr>
                <w:rFonts w:ascii="Arial"/>
                <w:color w:val="auto"/>
                <w:sz w:val="21"/>
                <w:highlight w:val="none"/>
              </w:rPr>
            </w:pPr>
          </w:p>
        </w:tc>
        <w:tc>
          <w:tcPr>
            <w:tcW w:w="943" w:type="dxa"/>
            <w:gridSpan w:val="2"/>
            <w:vAlign w:val="top"/>
          </w:tcPr>
          <w:p w14:paraId="27E34CE7">
            <w:pPr>
              <w:rPr>
                <w:rFonts w:ascii="Arial"/>
                <w:color w:val="auto"/>
                <w:sz w:val="21"/>
                <w:highlight w:val="none"/>
              </w:rPr>
            </w:pPr>
          </w:p>
        </w:tc>
        <w:tc>
          <w:tcPr>
            <w:tcW w:w="935" w:type="dxa"/>
            <w:vAlign w:val="top"/>
          </w:tcPr>
          <w:p w14:paraId="31D44AA7">
            <w:pPr>
              <w:rPr>
                <w:rFonts w:ascii="Arial"/>
                <w:color w:val="auto"/>
                <w:sz w:val="21"/>
                <w:highlight w:val="none"/>
              </w:rPr>
            </w:pPr>
          </w:p>
        </w:tc>
        <w:tc>
          <w:tcPr>
            <w:tcW w:w="1230" w:type="dxa"/>
            <w:vAlign w:val="top"/>
          </w:tcPr>
          <w:p w14:paraId="5EE4B024">
            <w:pPr>
              <w:rPr>
                <w:rFonts w:ascii="Arial"/>
                <w:color w:val="auto"/>
                <w:sz w:val="21"/>
                <w:highlight w:val="none"/>
              </w:rPr>
            </w:pPr>
          </w:p>
        </w:tc>
        <w:tc>
          <w:tcPr>
            <w:tcW w:w="1222" w:type="dxa"/>
            <w:vAlign w:val="top"/>
          </w:tcPr>
          <w:p w14:paraId="1A07F460">
            <w:pPr>
              <w:rPr>
                <w:rFonts w:ascii="Arial"/>
                <w:color w:val="auto"/>
                <w:sz w:val="21"/>
                <w:highlight w:val="none"/>
              </w:rPr>
            </w:pPr>
          </w:p>
        </w:tc>
        <w:tc>
          <w:tcPr>
            <w:tcW w:w="827" w:type="dxa"/>
            <w:vAlign w:val="top"/>
          </w:tcPr>
          <w:p w14:paraId="0D667F1F">
            <w:pPr>
              <w:rPr>
                <w:rFonts w:ascii="Arial"/>
                <w:color w:val="auto"/>
                <w:sz w:val="21"/>
                <w:highlight w:val="none"/>
              </w:rPr>
            </w:pPr>
          </w:p>
        </w:tc>
        <w:tc>
          <w:tcPr>
            <w:tcW w:w="682" w:type="dxa"/>
            <w:vAlign w:val="top"/>
          </w:tcPr>
          <w:p w14:paraId="6EB5BA03">
            <w:pPr>
              <w:rPr>
                <w:rFonts w:ascii="Arial"/>
                <w:color w:val="auto"/>
                <w:sz w:val="21"/>
                <w:highlight w:val="none"/>
              </w:rPr>
            </w:pPr>
          </w:p>
        </w:tc>
        <w:tc>
          <w:tcPr>
            <w:tcW w:w="1034" w:type="dxa"/>
            <w:vAlign w:val="top"/>
          </w:tcPr>
          <w:p w14:paraId="337E326F">
            <w:pPr>
              <w:rPr>
                <w:rFonts w:ascii="Arial"/>
                <w:color w:val="auto"/>
                <w:sz w:val="21"/>
                <w:highlight w:val="none"/>
              </w:rPr>
            </w:pPr>
          </w:p>
        </w:tc>
        <w:tc>
          <w:tcPr>
            <w:tcW w:w="1026" w:type="dxa"/>
            <w:vAlign w:val="top"/>
          </w:tcPr>
          <w:p w14:paraId="048C5A31">
            <w:pPr>
              <w:rPr>
                <w:rFonts w:ascii="Arial"/>
                <w:color w:val="auto"/>
                <w:sz w:val="21"/>
                <w:highlight w:val="none"/>
              </w:rPr>
            </w:pPr>
          </w:p>
        </w:tc>
        <w:tc>
          <w:tcPr>
            <w:tcW w:w="1026" w:type="dxa"/>
            <w:vAlign w:val="top"/>
          </w:tcPr>
          <w:p w14:paraId="4BA32354">
            <w:pPr>
              <w:rPr>
                <w:rFonts w:ascii="Arial"/>
                <w:color w:val="auto"/>
                <w:sz w:val="21"/>
                <w:highlight w:val="none"/>
              </w:rPr>
            </w:pPr>
          </w:p>
        </w:tc>
        <w:tc>
          <w:tcPr>
            <w:tcW w:w="1237" w:type="dxa"/>
            <w:tcBorders>
              <w:right w:val="single" w:color="000000" w:sz="6" w:space="0"/>
            </w:tcBorders>
            <w:vAlign w:val="top"/>
          </w:tcPr>
          <w:p w14:paraId="6B298406">
            <w:pPr>
              <w:rPr>
                <w:rFonts w:ascii="Arial"/>
                <w:color w:val="auto"/>
                <w:sz w:val="21"/>
                <w:highlight w:val="none"/>
              </w:rPr>
            </w:pPr>
          </w:p>
        </w:tc>
      </w:tr>
      <w:tr w14:paraId="2C9D2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689ED6A7">
            <w:pPr>
              <w:pStyle w:val="23"/>
              <w:spacing w:before="209" w:line="265" w:lineRule="exact"/>
              <w:ind w:left="184"/>
              <w:rPr>
                <w:color w:val="auto"/>
                <w:highlight w:val="none"/>
              </w:rPr>
            </w:pPr>
            <w:r>
              <w:rPr>
                <w:color w:val="auto"/>
                <w:position w:val="1"/>
                <w:highlight w:val="none"/>
              </w:rPr>
              <w:t>3</w:t>
            </w:r>
          </w:p>
        </w:tc>
        <w:tc>
          <w:tcPr>
            <w:tcW w:w="1029" w:type="dxa"/>
            <w:vAlign w:val="top"/>
          </w:tcPr>
          <w:p w14:paraId="50EE4D52">
            <w:pPr>
              <w:rPr>
                <w:rFonts w:ascii="Arial"/>
                <w:color w:val="auto"/>
                <w:sz w:val="21"/>
                <w:highlight w:val="none"/>
              </w:rPr>
            </w:pPr>
          </w:p>
        </w:tc>
        <w:tc>
          <w:tcPr>
            <w:tcW w:w="792" w:type="dxa"/>
            <w:vAlign w:val="top"/>
          </w:tcPr>
          <w:p w14:paraId="33A55A66">
            <w:pPr>
              <w:rPr>
                <w:rFonts w:ascii="Arial"/>
                <w:color w:val="auto"/>
                <w:sz w:val="21"/>
                <w:highlight w:val="none"/>
              </w:rPr>
            </w:pPr>
          </w:p>
        </w:tc>
        <w:tc>
          <w:tcPr>
            <w:tcW w:w="696" w:type="dxa"/>
            <w:vAlign w:val="top"/>
          </w:tcPr>
          <w:p w14:paraId="7859DA4D">
            <w:pPr>
              <w:rPr>
                <w:rFonts w:ascii="Arial"/>
                <w:color w:val="auto"/>
                <w:sz w:val="21"/>
                <w:highlight w:val="none"/>
              </w:rPr>
            </w:pPr>
          </w:p>
        </w:tc>
        <w:tc>
          <w:tcPr>
            <w:tcW w:w="1068" w:type="dxa"/>
            <w:vAlign w:val="top"/>
          </w:tcPr>
          <w:p w14:paraId="71A090CB">
            <w:pPr>
              <w:rPr>
                <w:rFonts w:ascii="Arial"/>
                <w:color w:val="auto"/>
                <w:sz w:val="21"/>
                <w:highlight w:val="none"/>
              </w:rPr>
            </w:pPr>
          </w:p>
        </w:tc>
        <w:tc>
          <w:tcPr>
            <w:tcW w:w="943" w:type="dxa"/>
            <w:gridSpan w:val="2"/>
            <w:vAlign w:val="top"/>
          </w:tcPr>
          <w:p w14:paraId="59331F37">
            <w:pPr>
              <w:rPr>
                <w:rFonts w:ascii="Arial"/>
                <w:color w:val="auto"/>
                <w:sz w:val="21"/>
                <w:highlight w:val="none"/>
              </w:rPr>
            </w:pPr>
          </w:p>
        </w:tc>
        <w:tc>
          <w:tcPr>
            <w:tcW w:w="935" w:type="dxa"/>
            <w:vAlign w:val="top"/>
          </w:tcPr>
          <w:p w14:paraId="350F184C">
            <w:pPr>
              <w:rPr>
                <w:rFonts w:ascii="Arial"/>
                <w:color w:val="auto"/>
                <w:sz w:val="21"/>
                <w:highlight w:val="none"/>
              </w:rPr>
            </w:pPr>
          </w:p>
        </w:tc>
        <w:tc>
          <w:tcPr>
            <w:tcW w:w="1230" w:type="dxa"/>
            <w:vAlign w:val="top"/>
          </w:tcPr>
          <w:p w14:paraId="06175518">
            <w:pPr>
              <w:rPr>
                <w:rFonts w:ascii="Arial"/>
                <w:color w:val="auto"/>
                <w:sz w:val="21"/>
                <w:highlight w:val="none"/>
              </w:rPr>
            </w:pPr>
          </w:p>
        </w:tc>
        <w:tc>
          <w:tcPr>
            <w:tcW w:w="1222" w:type="dxa"/>
            <w:vAlign w:val="top"/>
          </w:tcPr>
          <w:p w14:paraId="500D868F">
            <w:pPr>
              <w:rPr>
                <w:rFonts w:ascii="Arial"/>
                <w:color w:val="auto"/>
                <w:sz w:val="21"/>
                <w:highlight w:val="none"/>
              </w:rPr>
            </w:pPr>
          </w:p>
        </w:tc>
        <w:tc>
          <w:tcPr>
            <w:tcW w:w="827" w:type="dxa"/>
            <w:vAlign w:val="top"/>
          </w:tcPr>
          <w:p w14:paraId="48B7FC5E">
            <w:pPr>
              <w:rPr>
                <w:rFonts w:ascii="Arial"/>
                <w:color w:val="auto"/>
                <w:sz w:val="21"/>
                <w:highlight w:val="none"/>
              </w:rPr>
            </w:pPr>
          </w:p>
        </w:tc>
        <w:tc>
          <w:tcPr>
            <w:tcW w:w="682" w:type="dxa"/>
            <w:vAlign w:val="top"/>
          </w:tcPr>
          <w:p w14:paraId="26193920">
            <w:pPr>
              <w:rPr>
                <w:rFonts w:ascii="Arial"/>
                <w:color w:val="auto"/>
                <w:sz w:val="21"/>
                <w:highlight w:val="none"/>
              </w:rPr>
            </w:pPr>
          </w:p>
        </w:tc>
        <w:tc>
          <w:tcPr>
            <w:tcW w:w="1034" w:type="dxa"/>
            <w:vAlign w:val="top"/>
          </w:tcPr>
          <w:p w14:paraId="55BFB219">
            <w:pPr>
              <w:rPr>
                <w:rFonts w:ascii="Arial"/>
                <w:color w:val="auto"/>
                <w:sz w:val="21"/>
                <w:highlight w:val="none"/>
              </w:rPr>
            </w:pPr>
          </w:p>
        </w:tc>
        <w:tc>
          <w:tcPr>
            <w:tcW w:w="1026" w:type="dxa"/>
            <w:vAlign w:val="top"/>
          </w:tcPr>
          <w:p w14:paraId="674193D3">
            <w:pPr>
              <w:rPr>
                <w:rFonts w:ascii="Arial"/>
                <w:color w:val="auto"/>
                <w:sz w:val="21"/>
                <w:highlight w:val="none"/>
              </w:rPr>
            </w:pPr>
          </w:p>
        </w:tc>
        <w:tc>
          <w:tcPr>
            <w:tcW w:w="1026" w:type="dxa"/>
            <w:vAlign w:val="top"/>
          </w:tcPr>
          <w:p w14:paraId="4518D50A">
            <w:pPr>
              <w:rPr>
                <w:rFonts w:ascii="Arial"/>
                <w:color w:val="auto"/>
                <w:sz w:val="21"/>
                <w:highlight w:val="none"/>
              </w:rPr>
            </w:pPr>
          </w:p>
        </w:tc>
        <w:tc>
          <w:tcPr>
            <w:tcW w:w="1237" w:type="dxa"/>
            <w:tcBorders>
              <w:right w:val="single" w:color="000000" w:sz="6" w:space="0"/>
            </w:tcBorders>
            <w:vAlign w:val="top"/>
          </w:tcPr>
          <w:p w14:paraId="71277A41">
            <w:pPr>
              <w:rPr>
                <w:rFonts w:ascii="Arial"/>
                <w:color w:val="auto"/>
                <w:sz w:val="21"/>
                <w:highlight w:val="none"/>
              </w:rPr>
            </w:pPr>
          </w:p>
        </w:tc>
      </w:tr>
      <w:tr w14:paraId="351B8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21C70043">
            <w:pPr>
              <w:pStyle w:val="23"/>
              <w:spacing w:before="209" w:line="265" w:lineRule="exact"/>
              <w:ind w:left="179"/>
              <w:rPr>
                <w:color w:val="auto"/>
                <w:highlight w:val="none"/>
              </w:rPr>
            </w:pPr>
            <w:r>
              <w:rPr>
                <w:color w:val="auto"/>
                <w:position w:val="1"/>
                <w:highlight w:val="none"/>
              </w:rPr>
              <w:t>4</w:t>
            </w:r>
          </w:p>
        </w:tc>
        <w:tc>
          <w:tcPr>
            <w:tcW w:w="1029" w:type="dxa"/>
            <w:vAlign w:val="top"/>
          </w:tcPr>
          <w:p w14:paraId="12F3E826">
            <w:pPr>
              <w:rPr>
                <w:rFonts w:ascii="Arial"/>
                <w:color w:val="auto"/>
                <w:sz w:val="21"/>
                <w:highlight w:val="none"/>
              </w:rPr>
            </w:pPr>
          </w:p>
        </w:tc>
        <w:tc>
          <w:tcPr>
            <w:tcW w:w="792" w:type="dxa"/>
            <w:vAlign w:val="top"/>
          </w:tcPr>
          <w:p w14:paraId="22F2D123">
            <w:pPr>
              <w:rPr>
                <w:rFonts w:ascii="Arial"/>
                <w:color w:val="auto"/>
                <w:sz w:val="21"/>
                <w:highlight w:val="none"/>
              </w:rPr>
            </w:pPr>
          </w:p>
        </w:tc>
        <w:tc>
          <w:tcPr>
            <w:tcW w:w="696" w:type="dxa"/>
            <w:vAlign w:val="top"/>
          </w:tcPr>
          <w:p w14:paraId="73B84946">
            <w:pPr>
              <w:rPr>
                <w:rFonts w:ascii="Arial"/>
                <w:color w:val="auto"/>
                <w:sz w:val="21"/>
                <w:highlight w:val="none"/>
              </w:rPr>
            </w:pPr>
          </w:p>
        </w:tc>
        <w:tc>
          <w:tcPr>
            <w:tcW w:w="1068" w:type="dxa"/>
            <w:vAlign w:val="top"/>
          </w:tcPr>
          <w:p w14:paraId="5B40D4A7">
            <w:pPr>
              <w:rPr>
                <w:rFonts w:ascii="Arial"/>
                <w:color w:val="auto"/>
                <w:sz w:val="21"/>
                <w:highlight w:val="none"/>
              </w:rPr>
            </w:pPr>
          </w:p>
        </w:tc>
        <w:tc>
          <w:tcPr>
            <w:tcW w:w="943" w:type="dxa"/>
            <w:gridSpan w:val="2"/>
            <w:vAlign w:val="top"/>
          </w:tcPr>
          <w:p w14:paraId="22870121">
            <w:pPr>
              <w:rPr>
                <w:rFonts w:ascii="Arial"/>
                <w:color w:val="auto"/>
                <w:sz w:val="21"/>
                <w:highlight w:val="none"/>
              </w:rPr>
            </w:pPr>
          </w:p>
        </w:tc>
        <w:tc>
          <w:tcPr>
            <w:tcW w:w="935" w:type="dxa"/>
            <w:vAlign w:val="top"/>
          </w:tcPr>
          <w:p w14:paraId="2B55984D">
            <w:pPr>
              <w:rPr>
                <w:rFonts w:ascii="Arial"/>
                <w:color w:val="auto"/>
                <w:sz w:val="21"/>
                <w:highlight w:val="none"/>
              </w:rPr>
            </w:pPr>
          </w:p>
        </w:tc>
        <w:tc>
          <w:tcPr>
            <w:tcW w:w="1230" w:type="dxa"/>
            <w:vAlign w:val="top"/>
          </w:tcPr>
          <w:p w14:paraId="18548A72">
            <w:pPr>
              <w:rPr>
                <w:rFonts w:ascii="Arial"/>
                <w:color w:val="auto"/>
                <w:sz w:val="21"/>
                <w:highlight w:val="none"/>
              </w:rPr>
            </w:pPr>
          </w:p>
        </w:tc>
        <w:tc>
          <w:tcPr>
            <w:tcW w:w="1222" w:type="dxa"/>
            <w:vAlign w:val="top"/>
          </w:tcPr>
          <w:p w14:paraId="11E29C04">
            <w:pPr>
              <w:rPr>
                <w:rFonts w:ascii="Arial"/>
                <w:color w:val="auto"/>
                <w:sz w:val="21"/>
                <w:highlight w:val="none"/>
              </w:rPr>
            </w:pPr>
          </w:p>
        </w:tc>
        <w:tc>
          <w:tcPr>
            <w:tcW w:w="827" w:type="dxa"/>
            <w:vAlign w:val="top"/>
          </w:tcPr>
          <w:p w14:paraId="65FC603B">
            <w:pPr>
              <w:rPr>
                <w:rFonts w:ascii="Arial"/>
                <w:color w:val="auto"/>
                <w:sz w:val="21"/>
                <w:highlight w:val="none"/>
              </w:rPr>
            </w:pPr>
          </w:p>
        </w:tc>
        <w:tc>
          <w:tcPr>
            <w:tcW w:w="682" w:type="dxa"/>
            <w:vAlign w:val="top"/>
          </w:tcPr>
          <w:p w14:paraId="759F406B">
            <w:pPr>
              <w:rPr>
                <w:rFonts w:ascii="Arial"/>
                <w:color w:val="auto"/>
                <w:sz w:val="21"/>
                <w:highlight w:val="none"/>
              </w:rPr>
            </w:pPr>
          </w:p>
        </w:tc>
        <w:tc>
          <w:tcPr>
            <w:tcW w:w="1034" w:type="dxa"/>
            <w:vAlign w:val="top"/>
          </w:tcPr>
          <w:p w14:paraId="3BE7A3D1">
            <w:pPr>
              <w:rPr>
                <w:rFonts w:ascii="Arial"/>
                <w:color w:val="auto"/>
                <w:sz w:val="21"/>
                <w:highlight w:val="none"/>
              </w:rPr>
            </w:pPr>
          </w:p>
        </w:tc>
        <w:tc>
          <w:tcPr>
            <w:tcW w:w="1026" w:type="dxa"/>
            <w:vAlign w:val="top"/>
          </w:tcPr>
          <w:p w14:paraId="0238A16E">
            <w:pPr>
              <w:rPr>
                <w:rFonts w:ascii="Arial"/>
                <w:color w:val="auto"/>
                <w:sz w:val="21"/>
                <w:highlight w:val="none"/>
              </w:rPr>
            </w:pPr>
          </w:p>
        </w:tc>
        <w:tc>
          <w:tcPr>
            <w:tcW w:w="1026" w:type="dxa"/>
            <w:vAlign w:val="top"/>
          </w:tcPr>
          <w:p w14:paraId="1F85A0BF">
            <w:pPr>
              <w:rPr>
                <w:rFonts w:ascii="Arial"/>
                <w:color w:val="auto"/>
                <w:sz w:val="21"/>
                <w:highlight w:val="none"/>
              </w:rPr>
            </w:pPr>
          </w:p>
        </w:tc>
        <w:tc>
          <w:tcPr>
            <w:tcW w:w="1237" w:type="dxa"/>
            <w:tcBorders>
              <w:right w:val="single" w:color="000000" w:sz="6" w:space="0"/>
            </w:tcBorders>
            <w:vAlign w:val="top"/>
          </w:tcPr>
          <w:p w14:paraId="4DE44C3D">
            <w:pPr>
              <w:rPr>
                <w:rFonts w:ascii="Arial"/>
                <w:color w:val="auto"/>
                <w:sz w:val="21"/>
                <w:highlight w:val="none"/>
              </w:rPr>
            </w:pPr>
          </w:p>
        </w:tc>
      </w:tr>
      <w:tr w14:paraId="3ED2B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46359334">
            <w:pPr>
              <w:pStyle w:val="23"/>
              <w:spacing w:before="210" w:line="264" w:lineRule="exact"/>
              <w:ind w:left="184"/>
              <w:rPr>
                <w:color w:val="auto"/>
                <w:highlight w:val="none"/>
              </w:rPr>
            </w:pPr>
            <w:r>
              <w:rPr>
                <w:color w:val="auto"/>
                <w:position w:val="1"/>
                <w:highlight w:val="none"/>
              </w:rPr>
              <w:t>5</w:t>
            </w:r>
          </w:p>
        </w:tc>
        <w:tc>
          <w:tcPr>
            <w:tcW w:w="1029" w:type="dxa"/>
            <w:vAlign w:val="top"/>
          </w:tcPr>
          <w:p w14:paraId="210D971D">
            <w:pPr>
              <w:rPr>
                <w:rFonts w:ascii="Arial"/>
                <w:color w:val="auto"/>
                <w:sz w:val="21"/>
                <w:highlight w:val="none"/>
              </w:rPr>
            </w:pPr>
          </w:p>
        </w:tc>
        <w:tc>
          <w:tcPr>
            <w:tcW w:w="792" w:type="dxa"/>
            <w:vAlign w:val="top"/>
          </w:tcPr>
          <w:p w14:paraId="01E7916A">
            <w:pPr>
              <w:rPr>
                <w:rFonts w:ascii="Arial"/>
                <w:color w:val="auto"/>
                <w:sz w:val="21"/>
                <w:highlight w:val="none"/>
              </w:rPr>
            </w:pPr>
          </w:p>
        </w:tc>
        <w:tc>
          <w:tcPr>
            <w:tcW w:w="696" w:type="dxa"/>
            <w:vAlign w:val="top"/>
          </w:tcPr>
          <w:p w14:paraId="5C0C4815">
            <w:pPr>
              <w:rPr>
                <w:rFonts w:ascii="Arial"/>
                <w:color w:val="auto"/>
                <w:sz w:val="21"/>
                <w:highlight w:val="none"/>
              </w:rPr>
            </w:pPr>
          </w:p>
        </w:tc>
        <w:tc>
          <w:tcPr>
            <w:tcW w:w="1068" w:type="dxa"/>
            <w:vAlign w:val="top"/>
          </w:tcPr>
          <w:p w14:paraId="5C26AAE1">
            <w:pPr>
              <w:rPr>
                <w:rFonts w:ascii="Arial"/>
                <w:color w:val="auto"/>
                <w:sz w:val="21"/>
                <w:highlight w:val="none"/>
              </w:rPr>
            </w:pPr>
          </w:p>
        </w:tc>
        <w:tc>
          <w:tcPr>
            <w:tcW w:w="943" w:type="dxa"/>
            <w:gridSpan w:val="2"/>
            <w:vAlign w:val="top"/>
          </w:tcPr>
          <w:p w14:paraId="477591F4">
            <w:pPr>
              <w:rPr>
                <w:rFonts w:ascii="Arial"/>
                <w:color w:val="auto"/>
                <w:sz w:val="21"/>
                <w:highlight w:val="none"/>
              </w:rPr>
            </w:pPr>
          </w:p>
        </w:tc>
        <w:tc>
          <w:tcPr>
            <w:tcW w:w="935" w:type="dxa"/>
            <w:vAlign w:val="top"/>
          </w:tcPr>
          <w:p w14:paraId="181ECF94">
            <w:pPr>
              <w:rPr>
                <w:rFonts w:ascii="Arial"/>
                <w:color w:val="auto"/>
                <w:sz w:val="21"/>
                <w:highlight w:val="none"/>
              </w:rPr>
            </w:pPr>
          </w:p>
        </w:tc>
        <w:tc>
          <w:tcPr>
            <w:tcW w:w="1230" w:type="dxa"/>
            <w:vAlign w:val="top"/>
          </w:tcPr>
          <w:p w14:paraId="35DBE468">
            <w:pPr>
              <w:rPr>
                <w:rFonts w:ascii="Arial"/>
                <w:color w:val="auto"/>
                <w:sz w:val="21"/>
                <w:highlight w:val="none"/>
              </w:rPr>
            </w:pPr>
          </w:p>
        </w:tc>
        <w:tc>
          <w:tcPr>
            <w:tcW w:w="1222" w:type="dxa"/>
            <w:vAlign w:val="top"/>
          </w:tcPr>
          <w:p w14:paraId="6F0A4D26">
            <w:pPr>
              <w:rPr>
                <w:rFonts w:ascii="Arial"/>
                <w:color w:val="auto"/>
                <w:sz w:val="21"/>
                <w:highlight w:val="none"/>
              </w:rPr>
            </w:pPr>
          </w:p>
        </w:tc>
        <w:tc>
          <w:tcPr>
            <w:tcW w:w="827" w:type="dxa"/>
            <w:vAlign w:val="top"/>
          </w:tcPr>
          <w:p w14:paraId="7A0FE1E2">
            <w:pPr>
              <w:rPr>
                <w:rFonts w:ascii="Arial"/>
                <w:color w:val="auto"/>
                <w:sz w:val="21"/>
                <w:highlight w:val="none"/>
              </w:rPr>
            </w:pPr>
          </w:p>
        </w:tc>
        <w:tc>
          <w:tcPr>
            <w:tcW w:w="682" w:type="dxa"/>
            <w:vAlign w:val="top"/>
          </w:tcPr>
          <w:p w14:paraId="5FB47C73">
            <w:pPr>
              <w:rPr>
                <w:rFonts w:ascii="Arial"/>
                <w:color w:val="auto"/>
                <w:sz w:val="21"/>
                <w:highlight w:val="none"/>
              </w:rPr>
            </w:pPr>
          </w:p>
        </w:tc>
        <w:tc>
          <w:tcPr>
            <w:tcW w:w="1034" w:type="dxa"/>
            <w:vAlign w:val="top"/>
          </w:tcPr>
          <w:p w14:paraId="325A919A">
            <w:pPr>
              <w:rPr>
                <w:rFonts w:ascii="Arial"/>
                <w:color w:val="auto"/>
                <w:sz w:val="21"/>
                <w:highlight w:val="none"/>
              </w:rPr>
            </w:pPr>
          </w:p>
        </w:tc>
        <w:tc>
          <w:tcPr>
            <w:tcW w:w="1026" w:type="dxa"/>
            <w:vAlign w:val="top"/>
          </w:tcPr>
          <w:p w14:paraId="6434C308">
            <w:pPr>
              <w:rPr>
                <w:rFonts w:ascii="Arial"/>
                <w:color w:val="auto"/>
                <w:sz w:val="21"/>
                <w:highlight w:val="none"/>
              </w:rPr>
            </w:pPr>
          </w:p>
        </w:tc>
        <w:tc>
          <w:tcPr>
            <w:tcW w:w="1026" w:type="dxa"/>
            <w:vAlign w:val="top"/>
          </w:tcPr>
          <w:p w14:paraId="64318191">
            <w:pPr>
              <w:rPr>
                <w:rFonts w:ascii="Arial"/>
                <w:color w:val="auto"/>
                <w:sz w:val="21"/>
                <w:highlight w:val="none"/>
              </w:rPr>
            </w:pPr>
          </w:p>
        </w:tc>
        <w:tc>
          <w:tcPr>
            <w:tcW w:w="1237" w:type="dxa"/>
            <w:tcBorders>
              <w:right w:val="single" w:color="000000" w:sz="6" w:space="0"/>
            </w:tcBorders>
            <w:vAlign w:val="top"/>
          </w:tcPr>
          <w:p w14:paraId="3CDD0AF8">
            <w:pPr>
              <w:rPr>
                <w:rFonts w:ascii="Arial"/>
                <w:color w:val="auto"/>
                <w:sz w:val="21"/>
                <w:highlight w:val="none"/>
              </w:rPr>
            </w:pPr>
          </w:p>
        </w:tc>
      </w:tr>
      <w:tr w14:paraId="6FCDB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2EFF28EA">
            <w:pPr>
              <w:pStyle w:val="23"/>
              <w:spacing w:before="210" w:line="264" w:lineRule="exact"/>
              <w:ind w:left="182"/>
              <w:rPr>
                <w:color w:val="auto"/>
                <w:highlight w:val="none"/>
              </w:rPr>
            </w:pPr>
            <w:r>
              <w:rPr>
                <w:color w:val="auto"/>
                <w:position w:val="1"/>
                <w:highlight w:val="none"/>
              </w:rPr>
              <w:t>6</w:t>
            </w:r>
          </w:p>
        </w:tc>
        <w:tc>
          <w:tcPr>
            <w:tcW w:w="1029" w:type="dxa"/>
            <w:vAlign w:val="top"/>
          </w:tcPr>
          <w:p w14:paraId="044370FA">
            <w:pPr>
              <w:rPr>
                <w:rFonts w:ascii="Arial"/>
                <w:color w:val="auto"/>
                <w:sz w:val="21"/>
                <w:highlight w:val="none"/>
              </w:rPr>
            </w:pPr>
          </w:p>
        </w:tc>
        <w:tc>
          <w:tcPr>
            <w:tcW w:w="792" w:type="dxa"/>
            <w:vAlign w:val="top"/>
          </w:tcPr>
          <w:p w14:paraId="1B423412">
            <w:pPr>
              <w:rPr>
                <w:rFonts w:ascii="Arial"/>
                <w:color w:val="auto"/>
                <w:sz w:val="21"/>
                <w:highlight w:val="none"/>
              </w:rPr>
            </w:pPr>
          </w:p>
        </w:tc>
        <w:tc>
          <w:tcPr>
            <w:tcW w:w="696" w:type="dxa"/>
            <w:vAlign w:val="top"/>
          </w:tcPr>
          <w:p w14:paraId="7130A0F0">
            <w:pPr>
              <w:rPr>
                <w:rFonts w:ascii="Arial"/>
                <w:color w:val="auto"/>
                <w:sz w:val="21"/>
                <w:highlight w:val="none"/>
              </w:rPr>
            </w:pPr>
          </w:p>
        </w:tc>
        <w:tc>
          <w:tcPr>
            <w:tcW w:w="1068" w:type="dxa"/>
            <w:vAlign w:val="top"/>
          </w:tcPr>
          <w:p w14:paraId="0EDFA230">
            <w:pPr>
              <w:rPr>
                <w:rFonts w:ascii="Arial"/>
                <w:color w:val="auto"/>
                <w:sz w:val="21"/>
                <w:highlight w:val="none"/>
              </w:rPr>
            </w:pPr>
          </w:p>
        </w:tc>
        <w:tc>
          <w:tcPr>
            <w:tcW w:w="943" w:type="dxa"/>
            <w:gridSpan w:val="2"/>
            <w:vAlign w:val="top"/>
          </w:tcPr>
          <w:p w14:paraId="35F5EAAF">
            <w:pPr>
              <w:rPr>
                <w:rFonts w:ascii="Arial"/>
                <w:color w:val="auto"/>
                <w:sz w:val="21"/>
                <w:highlight w:val="none"/>
              </w:rPr>
            </w:pPr>
          </w:p>
        </w:tc>
        <w:tc>
          <w:tcPr>
            <w:tcW w:w="935" w:type="dxa"/>
            <w:vAlign w:val="top"/>
          </w:tcPr>
          <w:p w14:paraId="2A3149CE">
            <w:pPr>
              <w:rPr>
                <w:rFonts w:ascii="Arial"/>
                <w:color w:val="auto"/>
                <w:sz w:val="21"/>
                <w:highlight w:val="none"/>
              </w:rPr>
            </w:pPr>
          </w:p>
        </w:tc>
        <w:tc>
          <w:tcPr>
            <w:tcW w:w="1230" w:type="dxa"/>
            <w:vAlign w:val="top"/>
          </w:tcPr>
          <w:p w14:paraId="3D844A02">
            <w:pPr>
              <w:rPr>
                <w:rFonts w:ascii="Arial"/>
                <w:color w:val="auto"/>
                <w:sz w:val="21"/>
                <w:highlight w:val="none"/>
              </w:rPr>
            </w:pPr>
          </w:p>
        </w:tc>
        <w:tc>
          <w:tcPr>
            <w:tcW w:w="1222" w:type="dxa"/>
            <w:vAlign w:val="top"/>
          </w:tcPr>
          <w:p w14:paraId="45DE202E">
            <w:pPr>
              <w:rPr>
                <w:rFonts w:ascii="Arial"/>
                <w:color w:val="auto"/>
                <w:sz w:val="21"/>
                <w:highlight w:val="none"/>
              </w:rPr>
            </w:pPr>
          </w:p>
        </w:tc>
        <w:tc>
          <w:tcPr>
            <w:tcW w:w="827" w:type="dxa"/>
            <w:vAlign w:val="top"/>
          </w:tcPr>
          <w:p w14:paraId="17D06F32">
            <w:pPr>
              <w:rPr>
                <w:rFonts w:ascii="Arial"/>
                <w:color w:val="auto"/>
                <w:sz w:val="21"/>
                <w:highlight w:val="none"/>
              </w:rPr>
            </w:pPr>
          </w:p>
        </w:tc>
        <w:tc>
          <w:tcPr>
            <w:tcW w:w="682" w:type="dxa"/>
            <w:vAlign w:val="top"/>
          </w:tcPr>
          <w:p w14:paraId="107182A2">
            <w:pPr>
              <w:rPr>
                <w:rFonts w:ascii="Arial"/>
                <w:color w:val="auto"/>
                <w:sz w:val="21"/>
                <w:highlight w:val="none"/>
              </w:rPr>
            </w:pPr>
          </w:p>
        </w:tc>
        <w:tc>
          <w:tcPr>
            <w:tcW w:w="1034" w:type="dxa"/>
            <w:vAlign w:val="top"/>
          </w:tcPr>
          <w:p w14:paraId="468AF8CD">
            <w:pPr>
              <w:rPr>
                <w:rFonts w:ascii="Arial"/>
                <w:color w:val="auto"/>
                <w:sz w:val="21"/>
                <w:highlight w:val="none"/>
              </w:rPr>
            </w:pPr>
          </w:p>
        </w:tc>
        <w:tc>
          <w:tcPr>
            <w:tcW w:w="1026" w:type="dxa"/>
            <w:vAlign w:val="top"/>
          </w:tcPr>
          <w:p w14:paraId="467E3CCB">
            <w:pPr>
              <w:rPr>
                <w:rFonts w:ascii="Arial"/>
                <w:color w:val="auto"/>
                <w:sz w:val="21"/>
                <w:highlight w:val="none"/>
              </w:rPr>
            </w:pPr>
          </w:p>
        </w:tc>
        <w:tc>
          <w:tcPr>
            <w:tcW w:w="1026" w:type="dxa"/>
            <w:vAlign w:val="top"/>
          </w:tcPr>
          <w:p w14:paraId="24180304">
            <w:pPr>
              <w:rPr>
                <w:rFonts w:ascii="Arial"/>
                <w:color w:val="auto"/>
                <w:sz w:val="21"/>
                <w:highlight w:val="none"/>
              </w:rPr>
            </w:pPr>
          </w:p>
        </w:tc>
        <w:tc>
          <w:tcPr>
            <w:tcW w:w="1237" w:type="dxa"/>
            <w:tcBorders>
              <w:right w:val="single" w:color="000000" w:sz="6" w:space="0"/>
            </w:tcBorders>
            <w:vAlign w:val="top"/>
          </w:tcPr>
          <w:p w14:paraId="6E3B68C2">
            <w:pPr>
              <w:rPr>
                <w:rFonts w:ascii="Arial"/>
                <w:color w:val="auto"/>
                <w:sz w:val="21"/>
                <w:highlight w:val="none"/>
              </w:rPr>
            </w:pPr>
          </w:p>
        </w:tc>
      </w:tr>
      <w:tr w14:paraId="5D317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76782313">
            <w:pPr>
              <w:pStyle w:val="23"/>
              <w:spacing w:before="211" w:line="242" w:lineRule="auto"/>
              <w:ind w:left="141"/>
              <w:rPr>
                <w:color w:val="auto"/>
                <w:highlight w:val="none"/>
              </w:rPr>
            </w:pPr>
            <w:r>
              <w:rPr>
                <w:color w:val="auto"/>
                <w:highlight w:val="none"/>
              </w:rPr>
              <w:t>…</w:t>
            </w:r>
          </w:p>
        </w:tc>
        <w:tc>
          <w:tcPr>
            <w:tcW w:w="1029" w:type="dxa"/>
            <w:vAlign w:val="top"/>
          </w:tcPr>
          <w:p w14:paraId="729291BC">
            <w:pPr>
              <w:rPr>
                <w:rFonts w:ascii="Arial"/>
                <w:color w:val="auto"/>
                <w:sz w:val="21"/>
                <w:highlight w:val="none"/>
              </w:rPr>
            </w:pPr>
          </w:p>
        </w:tc>
        <w:tc>
          <w:tcPr>
            <w:tcW w:w="792" w:type="dxa"/>
            <w:vAlign w:val="top"/>
          </w:tcPr>
          <w:p w14:paraId="6B3C13BE">
            <w:pPr>
              <w:rPr>
                <w:rFonts w:ascii="Arial"/>
                <w:color w:val="auto"/>
                <w:sz w:val="21"/>
                <w:highlight w:val="none"/>
              </w:rPr>
            </w:pPr>
          </w:p>
        </w:tc>
        <w:tc>
          <w:tcPr>
            <w:tcW w:w="696" w:type="dxa"/>
            <w:vAlign w:val="top"/>
          </w:tcPr>
          <w:p w14:paraId="1D782D11">
            <w:pPr>
              <w:rPr>
                <w:rFonts w:ascii="Arial"/>
                <w:color w:val="auto"/>
                <w:sz w:val="21"/>
                <w:highlight w:val="none"/>
              </w:rPr>
            </w:pPr>
          </w:p>
        </w:tc>
        <w:tc>
          <w:tcPr>
            <w:tcW w:w="1068" w:type="dxa"/>
            <w:vAlign w:val="top"/>
          </w:tcPr>
          <w:p w14:paraId="2B803C3F">
            <w:pPr>
              <w:rPr>
                <w:rFonts w:ascii="Arial"/>
                <w:color w:val="auto"/>
                <w:sz w:val="21"/>
                <w:highlight w:val="none"/>
              </w:rPr>
            </w:pPr>
          </w:p>
        </w:tc>
        <w:tc>
          <w:tcPr>
            <w:tcW w:w="943" w:type="dxa"/>
            <w:gridSpan w:val="2"/>
            <w:vAlign w:val="top"/>
          </w:tcPr>
          <w:p w14:paraId="5655BA47">
            <w:pPr>
              <w:rPr>
                <w:rFonts w:ascii="Arial"/>
                <w:color w:val="auto"/>
                <w:sz w:val="21"/>
                <w:highlight w:val="none"/>
              </w:rPr>
            </w:pPr>
          </w:p>
        </w:tc>
        <w:tc>
          <w:tcPr>
            <w:tcW w:w="935" w:type="dxa"/>
            <w:vAlign w:val="top"/>
          </w:tcPr>
          <w:p w14:paraId="31DE044B">
            <w:pPr>
              <w:rPr>
                <w:rFonts w:ascii="Arial"/>
                <w:color w:val="auto"/>
                <w:sz w:val="21"/>
                <w:highlight w:val="none"/>
              </w:rPr>
            </w:pPr>
          </w:p>
        </w:tc>
        <w:tc>
          <w:tcPr>
            <w:tcW w:w="1230" w:type="dxa"/>
            <w:vAlign w:val="top"/>
          </w:tcPr>
          <w:p w14:paraId="4F189815">
            <w:pPr>
              <w:rPr>
                <w:rFonts w:ascii="Arial"/>
                <w:color w:val="auto"/>
                <w:sz w:val="21"/>
                <w:highlight w:val="none"/>
              </w:rPr>
            </w:pPr>
          </w:p>
        </w:tc>
        <w:tc>
          <w:tcPr>
            <w:tcW w:w="1222" w:type="dxa"/>
            <w:vAlign w:val="top"/>
          </w:tcPr>
          <w:p w14:paraId="19E7B35D">
            <w:pPr>
              <w:rPr>
                <w:rFonts w:ascii="Arial"/>
                <w:color w:val="auto"/>
                <w:sz w:val="21"/>
                <w:highlight w:val="none"/>
              </w:rPr>
            </w:pPr>
          </w:p>
        </w:tc>
        <w:tc>
          <w:tcPr>
            <w:tcW w:w="827" w:type="dxa"/>
            <w:vAlign w:val="top"/>
          </w:tcPr>
          <w:p w14:paraId="1C53D8D2">
            <w:pPr>
              <w:rPr>
                <w:rFonts w:ascii="Arial"/>
                <w:color w:val="auto"/>
                <w:sz w:val="21"/>
                <w:highlight w:val="none"/>
              </w:rPr>
            </w:pPr>
          </w:p>
        </w:tc>
        <w:tc>
          <w:tcPr>
            <w:tcW w:w="682" w:type="dxa"/>
            <w:vAlign w:val="top"/>
          </w:tcPr>
          <w:p w14:paraId="20541D5A">
            <w:pPr>
              <w:rPr>
                <w:rFonts w:ascii="Arial"/>
                <w:color w:val="auto"/>
                <w:sz w:val="21"/>
                <w:highlight w:val="none"/>
              </w:rPr>
            </w:pPr>
          </w:p>
        </w:tc>
        <w:tc>
          <w:tcPr>
            <w:tcW w:w="1034" w:type="dxa"/>
            <w:vAlign w:val="top"/>
          </w:tcPr>
          <w:p w14:paraId="28689A7B">
            <w:pPr>
              <w:rPr>
                <w:rFonts w:ascii="Arial"/>
                <w:color w:val="auto"/>
                <w:sz w:val="21"/>
                <w:highlight w:val="none"/>
              </w:rPr>
            </w:pPr>
          </w:p>
        </w:tc>
        <w:tc>
          <w:tcPr>
            <w:tcW w:w="1026" w:type="dxa"/>
            <w:vAlign w:val="top"/>
          </w:tcPr>
          <w:p w14:paraId="650ECCA8">
            <w:pPr>
              <w:rPr>
                <w:rFonts w:ascii="Arial"/>
                <w:color w:val="auto"/>
                <w:sz w:val="21"/>
                <w:highlight w:val="none"/>
              </w:rPr>
            </w:pPr>
          </w:p>
        </w:tc>
        <w:tc>
          <w:tcPr>
            <w:tcW w:w="1026" w:type="dxa"/>
            <w:vAlign w:val="top"/>
          </w:tcPr>
          <w:p w14:paraId="55560889">
            <w:pPr>
              <w:rPr>
                <w:rFonts w:ascii="Arial"/>
                <w:color w:val="auto"/>
                <w:sz w:val="21"/>
                <w:highlight w:val="none"/>
              </w:rPr>
            </w:pPr>
          </w:p>
        </w:tc>
        <w:tc>
          <w:tcPr>
            <w:tcW w:w="1237" w:type="dxa"/>
            <w:tcBorders>
              <w:right w:val="single" w:color="000000" w:sz="6" w:space="0"/>
            </w:tcBorders>
            <w:vAlign w:val="top"/>
          </w:tcPr>
          <w:p w14:paraId="2BEBA274">
            <w:pPr>
              <w:rPr>
                <w:rFonts w:ascii="Arial"/>
                <w:color w:val="auto"/>
                <w:sz w:val="21"/>
                <w:highlight w:val="none"/>
              </w:rPr>
            </w:pPr>
          </w:p>
        </w:tc>
      </w:tr>
      <w:tr w14:paraId="0A7B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 w:type="dxa"/>
            <w:tcBorders>
              <w:left w:val="single" w:color="000000" w:sz="6" w:space="0"/>
              <w:bottom w:val="single" w:color="000000" w:sz="6" w:space="0"/>
              <w:right w:val="nil"/>
            </w:tcBorders>
            <w:vAlign w:val="top"/>
          </w:tcPr>
          <w:p w14:paraId="16D419B4">
            <w:pPr>
              <w:rPr>
                <w:rFonts w:ascii="Arial"/>
                <w:color w:val="auto"/>
                <w:sz w:val="21"/>
                <w:highlight w:val="none"/>
              </w:rPr>
            </w:pPr>
          </w:p>
        </w:tc>
        <w:tc>
          <w:tcPr>
            <w:tcW w:w="3605" w:type="dxa"/>
            <w:gridSpan w:val="5"/>
            <w:tcBorders>
              <w:left w:val="nil"/>
              <w:bottom w:val="single" w:color="000000" w:sz="6" w:space="0"/>
            </w:tcBorders>
            <w:vAlign w:val="top"/>
          </w:tcPr>
          <w:p w14:paraId="35CC3F36">
            <w:pPr>
              <w:pStyle w:val="23"/>
              <w:spacing w:before="214" w:line="228" w:lineRule="auto"/>
              <w:ind w:left="996"/>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923" w:type="dxa"/>
            <w:tcBorders>
              <w:bottom w:val="single" w:color="000000" w:sz="6" w:space="0"/>
            </w:tcBorders>
            <w:vAlign w:val="top"/>
          </w:tcPr>
          <w:p w14:paraId="73E4BE9E">
            <w:pPr>
              <w:rPr>
                <w:rFonts w:ascii="Arial"/>
                <w:color w:val="auto"/>
                <w:sz w:val="21"/>
                <w:highlight w:val="none"/>
              </w:rPr>
            </w:pPr>
          </w:p>
        </w:tc>
        <w:tc>
          <w:tcPr>
            <w:tcW w:w="935" w:type="dxa"/>
            <w:tcBorders>
              <w:bottom w:val="single" w:color="000000" w:sz="6" w:space="0"/>
            </w:tcBorders>
            <w:vAlign w:val="top"/>
          </w:tcPr>
          <w:p w14:paraId="53046E81">
            <w:pPr>
              <w:rPr>
                <w:rFonts w:ascii="Arial"/>
                <w:color w:val="auto"/>
                <w:sz w:val="21"/>
                <w:highlight w:val="none"/>
              </w:rPr>
            </w:pPr>
          </w:p>
        </w:tc>
        <w:tc>
          <w:tcPr>
            <w:tcW w:w="1230" w:type="dxa"/>
            <w:tcBorders>
              <w:bottom w:val="single" w:color="000000" w:sz="6" w:space="0"/>
            </w:tcBorders>
            <w:vAlign w:val="top"/>
          </w:tcPr>
          <w:p w14:paraId="2C841C52">
            <w:pPr>
              <w:rPr>
                <w:rFonts w:ascii="Arial"/>
                <w:color w:val="auto"/>
                <w:sz w:val="21"/>
                <w:highlight w:val="none"/>
              </w:rPr>
            </w:pPr>
          </w:p>
        </w:tc>
        <w:tc>
          <w:tcPr>
            <w:tcW w:w="3765" w:type="dxa"/>
            <w:gridSpan w:val="4"/>
            <w:tcBorders>
              <w:bottom w:val="single" w:color="000000" w:sz="6" w:space="0"/>
            </w:tcBorders>
            <w:vAlign w:val="top"/>
          </w:tcPr>
          <w:p w14:paraId="60B89187">
            <w:pPr>
              <w:pStyle w:val="23"/>
              <w:spacing w:before="214" w:line="228" w:lineRule="auto"/>
              <w:ind w:left="1313"/>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26" w:type="dxa"/>
            <w:tcBorders>
              <w:bottom w:val="single" w:color="000000" w:sz="6" w:space="0"/>
            </w:tcBorders>
            <w:vAlign w:val="top"/>
          </w:tcPr>
          <w:p w14:paraId="09A443B4">
            <w:pPr>
              <w:rPr>
                <w:rFonts w:ascii="Arial"/>
                <w:color w:val="auto"/>
                <w:sz w:val="21"/>
                <w:highlight w:val="none"/>
              </w:rPr>
            </w:pPr>
          </w:p>
        </w:tc>
        <w:tc>
          <w:tcPr>
            <w:tcW w:w="1026" w:type="dxa"/>
            <w:tcBorders>
              <w:bottom w:val="single" w:color="000000" w:sz="6" w:space="0"/>
            </w:tcBorders>
            <w:vAlign w:val="top"/>
          </w:tcPr>
          <w:p w14:paraId="38F868D5">
            <w:pPr>
              <w:rPr>
                <w:rFonts w:ascii="Arial"/>
                <w:color w:val="auto"/>
                <w:sz w:val="21"/>
                <w:highlight w:val="none"/>
              </w:rPr>
            </w:pPr>
          </w:p>
        </w:tc>
        <w:tc>
          <w:tcPr>
            <w:tcW w:w="1237" w:type="dxa"/>
            <w:tcBorders>
              <w:bottom w:val="single" w:color="000000" w:sz="6" w:space="0"/>
              <w:right w:val="single" w:color="000000" w:sz="6" w:space="0"/>
            </w:tcBorders>
            <w:vAlign w:val="top"/>
          </w:tcPr>
          <w:p w14:paraId="1FC1E340">
            <w:pPr>
              <w:rPr>
                <w:rFonts w:ascii="Arial"/>
                <w:color w:val="auto"/>
                <w:sz w:val="21"/>
                <w:highlight w:val="none"/>
              </w:rPr>
            </w:pPr>
          </w:p>
        </w:tc>
      </w:tr>
    </w:tbl>
    <w:p w14:paraId="2E204207">
      <w:pPr>
        <w:rPr>
          <w:rFonts w:ascii="Arial"/>
          <w:color w:val="auto"/>
          <w:sz w:val="21"/>
          <w:highlight w:val="none"/>
        </w:rPr>
      </w:pPr>
    </w:p>
    <w:p w14:paraId="4D1D1EA0">
      <w:pPr>
        <w:rPr>
          <w:rFonts w:ascii="Arial" w:hAnsi="Arial" w:eastAsia="Arial" w:cs="Arial"/>
          <w:color w:val="auto"/>
          <w:sz w:val="21"/>
          <w:szCs w:val="21"/>
          <w:highlight w:val="none"/>
        </w:rPr>
        <w:sectPr>
          <w:footerReference r:id="rId67" w:type="default"/>
          <w:pgSz w:w="16839" w:h="11906"/>
          <w:pgMar w:top="1012" w:right="1301" w:bottom="1297" w:left="1300" w:header="0" w:footer="1067" w:gutter="0"/>
          <w:pgBorders>
            <w:top w:val="none" w:sz="0" w:space="0"/>
            <w:left w:val="none" w:sz="0" w:space="0"/>
            <w:bottom w:val="none" w:sz="0" w:space="0"/>
            <w:right w:val="none" w:sz="0" w:space="0"/>
          </w:pgBorders>
          <w:pgNumType w:fmt="decimal"/>
          <w:cols w:space="720" w:num="1"/>
        </w:sectPr>
      </w:pPr>
    </w:p>
    <w:p w14:paraId="67A6DE6B">
      <w:pPr>
        <w:spacing w:line="353" w:lineRule="auto"/>
        <w:rPr>
          <w:rFonts w:ascii="Arial"/>
          <w:color w:val="auto"/>
          <w:sz w:val="21"/>
          <w:highlight w:val="none"/>
        </w:rPr>
      </w:pPr>
    </w:p>
    <w:p w14:paraId="40A7A21F">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6</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监理工程师生活设施费报价表</w:t>
      </w:r>
    </w:p>
    <w:tbl>
      <w:tblPr>
        <w:tblStyle w:val="22"/>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396"/>
        <w:gridCol w:w="753"/>
        <w:gridCol w:w="989"/>
        <w:gridCol w:w="966"/>
        <w:gridCol w:w="1009"/>
        <w:gridCol w:w="1497"/>
        <w:gridCol w:w="1491"/>
        <w:gridCol w:w="827"/>
        <w:gridCol w:w="1071"/>
        <w:gridCol w:w="1040"/>
        <w:gridCol w:w="1040"/>
        <w:gridCol w:w="1507"/>
      </w:tblGrid>
      <w:tr w14:paraId="31FAD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635" w:type="dxa"/>
            <w:vMerge w:val="restart"/>
            <w:tcBorders>
              <w:top w:val="single" w:color="000000" w:sz="6" w:space="0"/>
              <w:left w:val="single" w:color="000000" w:sz="6" w:space="0"/>
              <w:bottom w:val="nil"/>
            </w:tcBorders>
            <w:textDirection w:val="tbRlV"/>
            <w:vAlign w:val="top"/>
          </w:tcPr>
          <w:p w14:paraId="469132F8">
            <w:pPr>
              <w:pStyle w:val="23"/>
              <w:spacing w:before="21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10" w:type="dxa"/>
            <w:gridSpan w:val="6"/>
            <w:tcBorders>
              <w:top w:val="single" w:color="000000" w:sz="6" w:space="0"/>
            </w:tcBorders>
            <w:vAlign w:val="top"/>
          </w:tcPr>
          <w:p w14:paraId="6366697E">
            <w:pPr>
              <w:pStyle w:val="23"/>
              <w:spacing w:before="194" w:line="228" w:lineRule="auto"/>
              <w:ind w:left="2991"/>
              <w:rPr>
                <w:color w:val="auto"/>
                <w:highlight w:val="none"/>
              </w:rPr>
            </w:pPr>
            <w:r>
              <w:rPr>
                <w:color w:val="auto"/>
                <w:spacing w:val="7"/>
                <w:highlight w:val="none"/>
              </w:rPr>
              <w:t>施工期</w:t>
            </w:r>
          </w:p>
        </w:tc>
        <w:tc>
          <w:tcPr>
            <w:tcW w:w="6976" w:type="dxa"/>
            <w:gridSpan w:val="6"/>
            <w:tcBorders>
              <w:top w:val="single" w:color="000000" w:sz="6" w:space="0"/>
              <w:right w:val="single" w:color="000000" w:sz="6" w:space="0"/>
            </w:tcBorders>
            <w:vAlign w:val="top"/>
          </w:tcPr>
          <w:p w14:paraId="5395630F">
            <w:pPr>
              <w:pStyle w:val="23"/>
              <w:spacing w:before="193" w:line="228" w:lineRule="auto"/>
              <w:ind w:left="2967"/>
              <w:rPr>
                <w:color w:val="auto"/>
                <w:highlight w:val="none"/>
              </w:rPr>
            </w:pPr>
            <w:r>
              <w:rPr>
                <w:color w:val="auto"/>
                <w:spacing w:val="8"/>
                <w:highlight w:val="none"/>
              </w:rPr>
              <w:t>缺陷责任期</w:t>
            </w:r>
          </w:p>
        </w:tc>
      </w:tr>
      <w:tr w14:paraId="728FB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35" w:type="dxa"/>
            <w:vMerge w:val="continue"/>
            <w:tcBorders>
              <w:top w:val="nil"/>
              <w:left w:val="single" w:color="000000" w:sz="6" w:space="0"/>
            </w:tcBorders>
            <w:textDirection w:val="tbRlV"/>
            <w:vAlign w:val="top"/>
          </w:tcPr>
          <w:p w14:paraId="0AEBCB7D">
            <w:pPr>
              <w:rPr>
                <w:rFonts w:ascii="Arial"/>
                <w:color w:val="auto"/>
                <w:sz w:val="21"/>
                <w:highlight w:val="none"/>
              </w:rPr>
            </w:pPr>
          </w:p>
        </w:tc>
        <w:tc>
          <w:tcPr>
            <w:tcW w:w="1396" w:type="dxa"/>
            <w:vAlign w:val="top"/>
          </w:tcPr>
          <w:p w14:paraId="54F25056">
            <w:pPr>
              <w:spacing w:line="251" w:lineRule="auto"/>
              <w:rPr>
                <w:rFonts w:ascii="Arial"/>
                <w:color w:val="auto"/>
                <w:sz w:val="21"/>
                <w:highlight w:val="none"/>
              </w:rPr>
            </w:pPr>
          </w:p>
          <w:p w14:paraId="3C84A329">
            <w:pPr>
              <w:spacing w:line="251" w:lineRule="auto"/>
              <w:rPr>
                <w:rFonts w:ascii="Arial"/>
                <w:color w:val="auto"/>
                <w:sz w:val="21"/>
                <w:highlight w:val="none"/>
              </w:rPr>
            </w:pPr>
          </w:p>
          <w:p w14:paraId="70BBC77A">
            <w:pPr>
              <w:pStyle w:val="23"/>
              <w:spacing w:before="65" w:line="229" w:lineRule="auto"/>
              <w:ind w:left="174"/>
              <w:rPr>
                <w:color w:val="auto"/>
                <w:highlight w:val="none"/>
              </w:rPr>
            </w:pPr>
            <w:r>
              <w:rPr>
                <w:color w:val="auto"/>
                <w:spacing w:val="7"/>
                <w:highlight w:val="none"/>
              </w:rPr>
              <w:t>名称及型号</w:t>
            </w:r>
          </w:p>
        </w:tc>
        <w:tc>
          <w:tcPr>
            <w:tcW w:w="753" w:type="dxa"/>
            <w:vAlign w:val="top"/>
          </w:tcPr>
          <w:p w14:paraId="72613AB6">
            <w:pPr>
              <w:spacing w:line="251" w:lineRule="auto"/>
              <w:rPr>
                <w:rFonts w:ascii="Arial"/>
                <w:color w:val="auto"/>
                <w:sz w:val="21"/>
                <w:highlight w:val="none"/>
              </w:rPr>
            </w:pPr>
          </w:p>
          <w:p w14:paraId="1720743F">
            <w:pPr>
              <w:spacing w:line="251" w:lineRule="auto"/>
              <w:rPr>
                <w:rFonts w:ascii="Arial"/>
                <w:color w:val="auto"/>
                <w:sz w:val="21"/>
                <w:highlight w:val="none"/>
              </w:rPr>
            </w:pPr>
          </w:p>
          <w:p w14:paraId="42D7452D">
            <w:pPr>
              <w:pStyle w:val="23"/>
              <w:spacing w:before="65" w:line="228" w:lineRule="auto"/>
              <w:ind w:left="167"/>
              <w:rPr>
                <w:color w:val="auto"/>
                <w:highlight w:val="none"/>
              </w:rPr>
            </w:pPr>
            <w:r>
              <w:rPr>
                <w:color w:val="auto"/>
                <w:spacing w:val="3"/>
                <w:highlight w:val="none"/>
              </w:rPr>
              <w:t>数量</w:t>
            </w:r>
          </w:p>
        </w:tc>
        <w:tc>
          <w:tcPr>
            <w:tcW w:w="989" w:type="dxa"/>
            <w:vAlign w:val="top"/>
          </w:tcPr>
          <w:p w14:paraId="569A56D1">
            <w:pPr>
              <w:spacing w:line="304" w:lineRule="auto"/>
              <w:rPr>
                <w:rFonts w:ascii="Arial"/>
                <w:color w:val="auto"/>
                <w:sz w:val="21"/>
                <w:highlight w:val="none"/>
              </w:rPr>
            </w:pPr>
          </w:p>
          <w:p w14:paraId="0492E2F1">
            <w:pPr>
              <w:pStyle w:val="23"/>
              <w:spacing w:before="65" w:line="371" w:lineRule="auto"/>
              <w:ind w:left="181" w:right="181" w:hanging="2"/>
              <w:rPr>
                <w:color w:val="auto"/>
                <w:highlight w:val="none"/>
              </w:rPr>
            </w:pPr>
            <w:r>
              <w:rPr>
                <w:color w:val="auto"/>
                <w:spacing w:val="7"/>
                <w:highlight w:val="none"/>
              </w:rPr>
              <w:t>购置合</w:t>
            </w:r>
            <w:r>
              <w:rPr>
                <w:color w:val="auto"/>
                <w:spacing w:val="5"/>
                <w:highlight w:val="none"/>
              </w:rPr>
              <w:t>价(元)</w:t>
            </w:r>
          </w:p>
        </w:tc>
        <w:tc>
          <w:tcPr>
            <w:tcW w:w="966" w:type="dxa"/>
            <w:vAlign w:val="top"/>
          </w:tcPr>
          <w:p w14:paraId="32603221">
            <w:pPr>
              <w:spacing w:line="304" w:lineRule="auto"/>
              <w:rPr>
                <w:rFonts w:ascii="Arial"/>
                <w:color w:val="auto"/>
                <w:sz w:val="21"/>
                <w:highlight w:val="none"/>
              </w:rPr>
            </w:pPr>
          </w:p>
          <w:p w14:paraId="00671B50">
            <w:pPr>
              <w:pStyle w:val="23"/>
              <w:spacing w:before="65" w:line="372" w:lineRule="auto"/>
              <w:ind w:left="310" w:right="171" w:hanging="140"/>
              <w:rPr>
                <w:color w:val="auto"/>
                <w:highlight w:val="none"/>
              </w:rPr>
            </w:pPr>
            <w:r>
              <w:rPr>
                <w:color w:val="auto"/>
                <w:spacing w:val="6"/>
                <w:highlight w:val="none"/>
              </w:rPr>
              <w:t>折旧费</w:t>
            </w:r>
            <w:r>
              <w:rPr>
                <w:color w:val="auto"/>
                <w:spacing w:val="-9"/>
                <w:highlight w:val="none"/>
              </w:rPr>
              <w:t>(元)</w:t>
            </w:r>
          </w:p>
        </w:tc>
        <w:tc>
          <w:tcPr>
            <w:tcW w:w="1009" w:type="dxa"/>
            <w:vAlign w:val="top"/>
          </w:tcPr>
          <w:p w14:paraId="6B3255EE">
            <w:pPr>
              <w:spacing w:line="304" w:lineRule="auto"/>
              <w:rPr>
                <w:rFonts w:ascii="Arial"/>
                <w:color w:val="auto"/>
                <w:sz w:val="21"/>
                <w:highlight w:val="none"/>
              </w:rPr>
            </w:pPr>
          </w:p>
          <w:p w14:paraId="674E4F32">
            <w:pPr>
              <w:pStyle w:val="23"/>
              <w:spacing w:before="65" w:line="372" w:lineRule="auto"/>
              <w:ind w:left="333" w:right="191" w:hanging="141"/>
              <w:rPr>
                <w:color w:val="auto"/>
                <w:highlight w:val="none"/>
              </w:rPr>
            </w:pPr>
            <w:r>
              <w:rPr>
                <w:color w:val="auto"/>
                <w:spacing w:val="6"/>
                <w:highlight w:val="none"/>
              </w:rPr>
              <w:t>使用费</w:t>
            </w:r>
            <w:r>
              <w:rPr>
                <w:color w:val="auto"/>
                <w:spacing w:val="-9"/>
                <w:highlight w:val="none"/>
              </w:rPr>
              <w:t>(元)</w:t>
            </w:r>
          </w:p>
        </w:tc>
        <w:tc>
          <w:tcPr>
            <w:tcW w:w="1497" w:type="dxa"/>
            <w:vAlign w:val="top"/>
          </w:tcPr>
          <w:p w14:paraId="46180718">
            <w:pPr>
              <w:pStyle w:val="23"/>
              <w:spacing w:before="172" w:line="229" w:lineRule="auto"/>
              <w:ind w:left="443"/>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C68FEEC">
            <w:pPr>
              <w:pStyle w:val="23"/>
              <w:spacing w:before="149" w:line="228" w:lineRule="auto"/>
              <w:ind w:left="125"/>
              <w:rPr>
                <w:color w:val="auto"/>
                <w:highlight w:val="none"/>
              </w:rPr>
            </w:pPr>
            <w:r>
              <w:rPr>
                <w:color w:val="auto"/>
                <w:spacing w:val="7"/>
                <w:highlight w:val="none"/>
              </w:rPr>
              <w:t>折旧及使用费</w:t>
            </w:r>
          </w:p>
          <w:p w14:paraId="566B5B50">
            <w:pPr>
              <w:pStyle w:val="23"/>
              <w:spacing w:before="153" w:line="213" w:lineRule="auto"/>
              <w:ind w:left="580"/>
              <w:rPr>
                <w:color w:val="auto"/>
                <w:highlight w:val="none"/>
              </w:rPr>
            </w:pPr>
            <w:r>
              <w:rPr>
                <w:color w:val="auto"/>
                <w:spacing w:val="-9"/>
                <w:highlight w:val="none"/>
              </w:rPr>
              <w:t>(元)</w:t>
            </w:r>
          </w:p>
        </w:tc>
        <w:tc>
          <w:tcPr>
            <w:tcW w:w="1491" w:type="dxa"/>
            <w:vAlign w:val="top"/>
          </w:tcPr>
          <w:p w14:paraId="502A0EB7">
            <w:pPr>
              <w:spacing w:line="251" w:lineRule="auto"/>
              <w:rPr>
                <w:rFonts w:ascii="Arial"/>
                <w:color w:val="auto"/>
                <w:sz w:val="21"/>
                <w:highlight w:val="none"/>
              </w:rPr>
            </w:pPr>
          </w:p>
          <w:p w14:paraId="12622B5D">
            <w:pPr>
              <w:spacing w:line="251" w:lineRule="auto"/>
              <w:rPr>
                <w:rFonts w:ascii="Arial"/>
                <w:color w:val="auto"/>
                <w:sz w:val="21"/>
                <w:highlight w:val="none"/>
              </w:rPr>
            </w:pPr>
          </w:p>
          <w:p w14:paraId="7EC6B318">
            <w:pPr>
              <w:pStyle w:val="23"/>
              <w:spacing w:before="65" w:line="229" w:lineRule="auto"/>
              <w:ind w:left="229"/>
              <w:rPr>
                <w:color w:val="auto"/>
                <w:highlight w:val="none"/>
              </w:rPr>
            </w:pPr>
            <w:r>
              <w:rPr>
                <w:color w:val="auto"/>
                <w:spacing w:val="7"/>
                <w:highlight w:val="none"/>
              </w:rPr>
              <w:t>名称及型号</w:t>
            </w:r>
          </w:p>
        </w:tc>
        <w:tc>
          <w:tcPr>
            <w:tcW w:w="827" w:type="dxa"/>
            <w:vAlign w:val="top"/>
          </w:tcPr>
          <w:p w14:paraId="2742202A">
            <w:pPr>
              <w:spacing w:line="251" w:lineRule="auto"/>
              <w:rPr>
                <w:rFonts w:ascii="Arial"/>
                <w:color w:val="auto"/>
                <w:sz w:val="21"/>
                <w:highlight w:val="none"/>
              </w:rPr>
            </w:pPr>
          </w:p>
          <w:p w14:paraId="5B6277B0">
            <w:pPr>
              <w:spacing w:line="251" w:lineRule="auto"/>
              <w:rPr>
                <w:rFonts w:ascii="Arial"/>
                <w:color w:val="auto"/>
                <w:sz w:val="21"/>
                <w:highlight w:val="none"/>
              </w:rPr>
            </w:pPr>
          </w:p>
          <w:p w14:paraId="71B3DD71">
            <w:pPr>
              <w:pStyle w:val="23"/>
              <w:spacing w:before="65" w:line="228" w:lineRule="auto"/>
              <w:ind w:left="213"/>
              <w:rPr>
                <w:color w:val="auto"/>
                <w:highlight w:val="none"/>
              </w:rPr>
            </w:pPr>
            <w:r>
              <w:rPr>
                <w:color w:val="auto"/>
                <w:spacing w:val="3"/>
                <w:highlight w:val="none"/>
              </w:rPr>
              <w:t>数量</w:t>
            </w:r>
          </w:p>
        </w:tc>
        <w:tc>
          <w:tcPr>
            <w:tcW w:w="1071" w:type="dxa"/>
            <w:vAlign w:val="top"/>
          </w:tcPr>
          <w:p w14:paraId="520743D0">
            <w:pPr>
              <w:spacing w:line="304" w:lineRule="auto"/>
              <w:rPr>
                <w:rFonts w:ascii="Arial"/>
                <w:color w:val="auto"/>
                <w:sz w:val="21"/>
                <w:highlight w:val="none"/>
              </w:rPr>
            </w:pPr>
          </w:p>
          <w:p w14:paraId="75DADB76">
            <w:pPr>
              <w:pStyle w:val="23"/>
              <w:spacing w:before="65" w:line="372" w:lineRule="auto"/>
              <w:ind w:left="371" w:right="112" w:hanging="249"/>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17D242D0">
            <w:pPr>
              <w:spacing w:line="304" w:lineRule="auto"/>
              <w:rPr>
                <w:rFonts w:ascii="Arial"/>
                <w:color w:val="auto"/>
                <w:sz w:val="21"/>
                <w:highlight w:val="none"/>
              </w:rPr>
            </w:pPr>
          </w:p>
          <w:p w14:paraId="7C76B8CD">
            <w:pPr>
              <w:pStyle w:val="23"/>
              <w:spacing w:before="65" w:line="372" w:lineRule="auto"/>
              <w:ind w:left="356" w:right="199"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7AA2282D">
            <w:pPr>
              <w:spacing w:line="304" w:lineRule="auto"/>
              <w:rPr>
                <w:rFonts w:ascii="Arial"/>
                <w:color w:val="auto"/>
                <w:sz w:val="21"/>
                <w:highlight w:val="none"/>
              </w:rPr>
            </w:pPr>
          </w:p>
          <w:p w14:paraId="37C8DA4B">
            <w:pPr>
              <w:pStyle w:val="23"/>
              <w:spacing w:before="65" w:line="372" w:lineRule="auto"/>
              <w:ind w:left="356" w:right="197" w:hanging="139"/>
              <w:rPr>
                <w:color w:val="auto"/>
                <w:highlight w:val="none"/>
              </w:rPr>
            </w:pPr>
            <w:r>
              <w:rPr>
                <w:color w:val="auto"/>
                <w:spacing w:val="6"/>
                <w:highlight w:val="none"/>
              </w:rPr>
              <w:t>使用费</w:t>
            </w:r>
            <w:r>
              <w:rPr>
                <w:color w:val="auto"/>
                <w:spacing w:val="-8"/>
                <w:highlight w:val="none"/>
              </w:rPr>
              <w:t>(元)</w:t>
            </w:r>
          </w:p>
        </w:tc>
        <w:tc>
          <w:tcPr>
            <w:tcW w:w="1507" w:type="dxa"/>
            <w:tcBorders>
              <w:right w:val="single" w:color="000000" w:sz="6" w:space="0"/>
            </w:tcBorders>
            <w:vAlign w:val="top"/>
          </w:tcPr>
          <w:p w14:paraId="5FBE6B42">
            <w:pPr>
              <w:pStyle w:val="23"/>
              <w:spacing w:before="172" w:line="229" w:lineRule="auto"/>
              <w:ind w:left="451"/>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877DC91">
            <w:pPr>
              <w:pStyle w:val="23"/>
              <w:spacing w:before="149" w:line="228" w:lineRule="auto"/>
              <w:ind w:left="133"/>
              <w:rPr>
                <w:color w:val="auto"/>
                <w:highlight w:val="none"/>
              </w:rPr>
            </w:pPr>
            <w:r>
              <w:rPr>
                <w:color w:val="auto"/>
                <w:spacing w:val="7"/>
                <w:highlight w:val="none"/>
              </w:rPr>
              <w:t>折旧及使用费</w:t>
            </w:r>
          </w:p>
          <w:p w14:paraId="2E3C2592">
            <w:pPr>
              <w:pStyle w:val="23"/>
              <w:spacing w:before="153" w:line="213" w:lineRule="auto"/>
              <w:ind w:left="588"/>
              <w:rPr>
                <w:color w:val="auto"/>
                <w:highlight w:val="none"/>
              </w:rPr>
            </w:pPr>
            <w:r>
              <w:rPr>
                <w:color w:val="auto"/>
                <w:spacing w:val="-9"/>
                <w:highlight w:val="none"/>
              </w:rPr>
              <w:t>(元)</w:t>
            </w:r>
          </w:p>
        </w:tc>
      </w:tr>
      <w:tr w14:paraId="0F9E8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70705FA">
            <w:pPr>
              <w:pStyle w:val="23"/>
              <w:spacing w:before="195"/>
              <w:ind w:left="277"/>
              <w:rPr>
                <w:color w:val="auto"/>
                <w:highlight w:val="none"/>
              </w:rPr>
            </w:pPr>
            <w:r>
              <w:rPr>
                <w:color w:val="auto"/>
                <w:highlight w:val="none"/>
              </w:rPr>
              <w:t>1</w:t>
            </w:r>
          </w:p>
        </w:tc>
        <w:tc>
          <w:tcPr>
            <w:tcW w:w="1396" w:type="dxa"/>
            <w:vAlign w:val="top"/>
          </w:tcPr>
          <w:p w14:paraId="761C701F">
            <w:pPr>
              <w:rPr>
                <w:rFonts w:ascii="Arial"/>
                <w:color w:val="auto"/>
                <w:sz w:val="21"/>
                <w:highlight w:val="none"/>
              </w:rPr>
            </w:pPr>
          </w:p>
        </w:tc>
        <w:tc>
          <w:tcPr>
            <w:tcW w:w="753" w:type="dxa"/>
            <w:vAlign w:val="top"/>
          </w:tcPr>
          <w:p w14:paraId="3DCD80AB">
            <w:pPr>
              <w:rPr>
                <w:rFonts w:ascii="Arial"/>
                <w:color w:val="auto"/>
                <w:sz w:val="21"/>
                <w:highlight w:val="none"/>
              </w:rPr>
            </w:pPr>
          </w:p>
        </w:tc>
        <w:tc>
          <w:tcPr>
            <w:tcW w:w="989" w:type="dxa"/>
            <w:vAlign w:val="top"/>
          </w:tcPr>
          <w:p w14:paraId="04A3A518">
            <w:pPr>
              <w:rPr>
                <w:rFonts w:ascii="Arial"/>
                <w:color w:val="auto"/>
                <w:sz w:val="21"/>
                <w:highlight w:val="none"/>
              </w:rPr>
            </w:pPr>
          </w:p>
        </w:tc>
        <w:tc>
          <w:tcPr>
            <w:tcW w:w="966" w:type="dxa"/>
            <w:vAlign w:val="top"/>
          </w:tcPr>
          <w:p w14:paraId="3541FEDD">
            <w:pPr>
              <w:rPr>
                <w:rFonts w:ascii="Arial"/>
                <w:color w:val="auto"/>
                <w:sz w:val="21"/>
                <w:highlight w:val="none"/>
              </w:rPr>
            </w:pPr>
          </w:p>
        </w:tc>
        <w:tc>
          <w:tcPr>
            <w:tcW w:w="1009" w:type="dxa"/>
            <w:vAlign w:val="top"/>
          </w:tcPr>
          <w:p w14:paraId="50203CA6">
            <w:pPr>
              <w:rPr>
                <w:rFonts w:ascii="Arial"/>
                <w:color w:val="auto"/>
                <w:sz w:val="21"/>
                <w:highlight w:val="none"/>
              </w:rPr>
            </w:pPr>
          </w:p>
        </w:tc>
        <w:tc>
          <w:tcPr>
            <w:tcW w:w="1497" w:type="dxa"/>
            <w:vAlign w:val="top"/>
          </w:tcPr>
          <w:p w14:paraId="220EEB65">
            <w:pPr>
              <w:rPr>
                <w:rFonts w:ascii="Arial"/>
                <w:color w:val="auto"/>
                <w:sz w:val="21"/>
                <w:highlight w:val="none"/>
              </w:rPr>
            </w:pPr>
          </w:p>
        </w:tc>
        <w:tc>
          <w:tcPr>
            <w:tcW w:w="1491" w:type="dxa"/>
            <w:vAlign w:val="top"/>
          </w:tcPr>
          <w:p w14:paraId="7581BA1C">
            <w:pPr>
              <w:rPr>
                <w:rFonts w:ascii="Arial"/>
                <w:color w:val="auto"/>
                <w:sz w:val="21"/>
                <w:highlight w:val="none"/>
              </w:rPr>
            </w:pPr>
          </w:p>
        </w:tc>
        <w:tc>
          <w:tcPr>
            <w:tcW w:w="827" w:type="dxa"/>
            <w:vAlign w:val="top"/>
          </w:tcPr>
          <w:p w14:paraId="725C2668">
            <w:pPr>
              <w:rPr>
                <w:rFonts w:ascii="Arial"/>
                <w:color w:val="auto"/>
                <w:sz w:val="21"/>
                <w:highlight w:val="none"/>
              </w:rPr>
            </w:pPr>
          </w:p>
        </w:tc>
        <w:tc>
          <w:tcPr>
            <w:tcW w:w="1071" w:type="dxa"/>
            <w:vAlign w:val="top"/>
          </w:tcPr>
          <w:p w14:paraId="3BACEE34">
            <w:pPr>
              <w:rPr>
                <w:rFonts w:ascii="Arial"/>
                <w:color w:val="auto"/>
                <w:sz w:val="21"/>
                <w:highlight w:val="none"/>
              </w:rPr>
            </w:pPr>
          </w:p>
        </w:tc>
        <w:tc>
          <w:tcPr>
            <w:tcW w:w="1040" w:type="dxa"/>
            <w:vAlign w:val="top"/>
          </w:tcPr>
          <w:p w14:paraId="30864A56">
            <w:pPr>
              <w:rPr>
                <w:rFonts w:ascii="Arial"/>
                <w:color w:val="auto"/>
                <w:sz w:val="21"/>
                <w:highlight w:val="none"/>
              </w:rPr>
            </w:pPr>
          </w:p>
        </w:tc>
        <w:tc>
          <w:tcPr>
            <w:tcW w:w="1040" w:type="dxa"/>
            <w:vAlign w:val="top"/>
          </w:tcPr>
          <w:p w14:paraId="5BC4456A">
            <w:pPr>
              <w:rPr>
                <w:rFonts w:ascii="Arial"/>
                <w:color w:val="auto"/>
                <w:sz w:val="21"/>
                <w:highlight w:val="none"/>
              </w:rPr>
            </w:pPr>
          </w:p>
        </w:tc>
        <w:tc>
          <w:tcPr>
            <w:tcW w:w="1507" w:type="dxa"/>
            <w:tcBorders>
              <w:right w:val="single" w:color="000000" w:sz="6" w:space="0"/>
            </w:tcBorders>
            <w:vAlign w:val="top"/>
          </w:tcPr>
          <w:p w14:paraId="3971BEAC">
            <w:pPr>
              <w:rPr>
                <w:rFonts w:ascii="Arial"/>
                <w:color w:val="auto"/>
                <w:sz w:val="21"/>
                <w:highlight w:val="none"/>
              </w:rPr>
            </w:pPr>
          </w:p>
        </w:tc>
      </w:tr>
      <w:tr w14:paraId="0A6E8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ECF4C59">
            <w:pPr>
              <w:pStyle w:val="23"/>
              <w:spacing w:before="195"/>
              <w:ind w:left="264"/>
              <w:rPr>
                <w:color w:val="auto"/>
                <w:highlight w:val="none"/>
              </w:rPr>
            </w:pPr>
            <w:r>
              <w:rPr>
                <w:color w:val="auto"/>
                <w:highlight w:val="none"/>
              </w:rPr>
              <w:t>2</w:t>
            </w:r>
          </w:p>
        </w:tc>
        <w:tc>
          <w:tcPr>
            <w:tcW w:w="1396" w:type="dxa"/>
            <w:vAlign w:val="top"/>
          </w:tcPr>
          <w:p w14:paraId="086DAD02">
            <w:pPr>
              <w:rPr>
                <w:rFonts w:ascii="Arial"/>
                <w:color w:val="auto"/>
                <w:sz w:val="21"/>
                <w:highlight w:val="none"/>
              </w:rPr>
            </w:pPr>
          </w:p>
        </w:tc>
        <w:tc>
          <w:tcPr>
            <w:tcW w:w="753" w:type="dxa"/>
            <w:vAlign w:val="top"/>
          </w:tcPr>
          <w:p w14:paraId="468FCB9A">
            <w:pPr>
              <w:rPr>
                <w:rFonts w:ascii="Arial"/>
                <w:color w:val="auto"/>
                <w:sz w:val="21"/>
                <w:highlight w:val="none"/>
              </w:rPr>
            </w:pPr>
          </w:p>
        </w:tc>
        <w:tc>
          <w:tcPr>
            <w:tcW w:w="989" w:type="dxa"/>
            <w:vAlign w:val="top"/>
          </w:tcPr>
          <w:p w14:paraId="6962B846">
            <w:pPr>
              <w:rPr>
                <w:rFonts w:ascii="Arial"/>
                <w:color w:val="auto"/>
                <w:sz w:val="21"/>
                <w:highlight w:val="none"/>
              </w:rPr>
            </w:pPr>
          </w:p>
        </w:tc>
        <w:tc>
          <w:tcPr>
            <w:tcW w:w="966" w:type="dxa"/>
            <w:vAlign w:val="top"/>
          </w:tcPr>
          <w:p w14:paraId="5D6B3071">
            <w:pPr>
              <w:rPr>
                <w:rFonts w:ascii="Arial"/>
                <w:color w:val="auto"/>
                <w:sz w:val="21"/>
                <w:highlight w:val="none"/>
              </w:rPr>
            </w:pPr>
          </w:p>
        </w:tc>
        <w:tc>
          <w:tcPr>
            <w:tcW w:w="1009" w:type="dxa"/>
            <w:vAlign w:val="top"/>
          </w:tcPr>
          <w:p w14:paraId="4A923C9A">
            <w:pPr>
              <w:rPr>
                <w:rFonts w:ascii="Arial"/>
                <w:color w:val="auto"/>
                <w:sz w:val="21"/>
                <w:highlight w:val="none"/>
              </w:rPr>
            </w:pPr>
          </w:p>
        </w:tc>
        <w:tc>
          <w:tcPr>
            <w:tcW w:w="1497" w:type="dxa"/>
            <w:vAlign w:val="top"/>
          </w:tcPr>
          <w:p w14:paraId="7CF335CD">
            <w:pPr>
              <w:rPr>
                <w:rFonts w:ascii="Arial"/>
                <w:color w:val="auto"/>
                <w:sz w:val="21"/>
                <w:highlight w:val="none"/>
              </w:rPr>
            </w:pPr>
          </w:p>
        </w:tc>
        <w:tc>
          <w:tcPr>
            <w:tcW w:w="1491" w:type="dxa"/>
            <w:vAlign w:val="top"/>
          </w:tcPr>
          <w:p w14:paraId="1D623F98">
            <w:pPr>
              <w:rPr>
                <w:rFonts w:ascii="Arial"/>
                <w:color w:val="auto"/>
                <w:sz w:val="21"/>
                <w:highlight w:val="none"/>
              </w:rPr>
            </w:pPr>
          </w:p>
        </w:tc>
        <w:tc>
          <w:tcPr>
            <w:tcW w:w="827" w:type="dxa"/>
            <w:vAlign w:val="top"/>
          </w:tcPr>
          <w:p w14:paraId="74719B73">
            <w:pPr>
              <w:rPr>
                <w:rFonts w:ascii="Arial"/>
                <w:color w:val="auto"/>
                <w:sz w:val="21"/>
                <w:highlight w:val="none"/>
              </w:rPr>
            </w:pPr>
          </w:p>
        </w:tc>
        <w:tc>
          <w:tcPr>
            <w:tcW w:w="1071" w:type="dxa"/>
            <w:vAlign w:val="top"/>
          </w:tcPr>
          <w:p w14:paraId="08039A5B">
            <w:pPr>
              <w:rPr>
                <w:rFonts w:ascii="Arial"/>
                <w:color w:val="auto"/>
                <w:sz w:val="21"/>
                <w:highlight w:val="none"/>
              </w:rPr>
            </w:pPr>
          </w:p>
        </w:tc>
        <w:tc>
          <w:tcPr>
            <w:tcW w:w="1040" w:type="dxa"/>
            <w:vAlign w:val="top"/>
          </w:tcPr>
          <w:p w14:paraId="5BADC11C">
            <w:pPr>
              <w:rPr>
                <w:rFonts w:ascii="Arial"/>
                <w:color w:val="auto"/>
                <w:sz w:val="21"/>
                <w:highlight w:val="none"/>
              </w:rPr>
            </w:pPr>
          </w:p>
        </w:tc>
        <w:tc>
          <w:tcPr>
            <w:tcW w:w="1040" w:type="dxa"/>
            <w:vAlign w:val="top"/>
          </w:tcPr>
          <w:p w14:paraId="6E7C9D9E">
            <w:pPr>
              <w:rPr>
                <w:rFonts w:ascii="Arial"/>
                <w:color w:val="auto"/>
                <w:sz w:val="21"/>
                <w:highlight w:val="none"/>
              </w:rPr>
            </w:pPr>
          </w:p>
        </w:tc>
        <w:tc>
          <w:tcPr>
            <w:tcW w:w="1507" w:type="dxa"/>
            <w:tcBorders>
              <w:right w:val="single" w:color="000000" w:sz="6" w:space="0"/>
            </w:tcBorders>
            <w:vAlign w:val="top"/>
          </w:tcPr>
          <w:p w14:paraId="08047468">
            <w:pPr>
              <w:rPr>
                <w:rFonts w:ascii="Arial"/>
                <w:color w:val="auto"/>
                <w:sz w:val="21"/>
                <w:highlight w:val="none"/>
              </w:rPr>
            </w:pPr>
          </w:p>
        </w:tc>
      </w:tr>
      <w:tr w14:paraId="17541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341CA00">
            <w:pPr>
              <w:pStyle w:val="23"/>
              <w:spacing w:before="197" w:line="239" w:lineRule="auto"/>
              <w:ind w:left="266"/>
              <w:rPr>
                <w:color w:val="auto"/>
                <w:highlight w:val="none"/>
              </w:rPr>
            </w:pPr>
            <w:r>
              <w:rPr>
                <w:color w:val="auto"/>
                <w:highlight w:val="none"/>
              </w:rPr>
              <w:t>3</w:t>
            </w:r>
          </w:p>
        </w:tc>
        <w:tc>
          <w:tcPr>
            <w:tcW w:w="1396" w:type="dxa"/>
            <w:vAlign w:val="top"/>
          </w:tcPr>
          <w:p w14:paraId="2142FB43">
            <w:pPr>
              <w:rPr>
                <w:rFonts w:ascii="Arial"/>
                <w:color w:val="auto"/>
                <w:sz w:val="21"/>
                <w:highlight w:val="none"/>
              </w:rPr>
            </w:pPr>
          </w:p>
        </w:tc>
        <w:tc>
          <w:tcPr>
            <w:tcW w:w="753" w:type="dxa"/>
            <w:vAlign w:val="top"/>
          </w:tcPr>
          <w:p w14:paraId="09283303">
            <w:pPr>
              <w:rPr>
                <w:rFonts w:ascii="Arial"/>
                <w:color w:val="auto"/>
                <w:sz w:val="21"/>
                <w:highlight w:val="none"/>
              </w:rPr>
            </w:pPr>
          </w:p>
        </w:tc>
        <w:tc>
          <w:tcPr>
            <w:tcW w:w="989" w:type="dxa"/>
            <w:vAlign w:val="top"/>
          </w:tcPr>
          <w:p w14:paraId="4133C402">
            <w:pPr>
              <w:rPr>
                <w:rFonts w:ascii="Arial"/>
                <w:color w:val="auto"/>
                <w:sz w:val="21"/>
                <w:highlight w:val="none"/>
              </w:rPr>
            </w:pPr>
          </w:p>
        </w:tc>
        <w:tc>
          <w:tcPr>
            <w:tcW w:w="966" w:type="dxa"/>
            <w:vAlign w:val="top"/>
          </w:tcPr>
          <w:p w14:paraId="18AB643D">
            <w:pPr>
              <w:rPr>
                <w:rFonts w:ascii="Arial"/>
                <w:color w:val="auto"/>
                <w:sz w:val="21"/>
                <w:highlight w:val="none"/>
              </w:rPr>
            </w:pPr>
          </w:p>
        </w:tc>
        <w:tc>
          <w:tcPr>
            <w:tcW w:w="1009" w:type="dxa"/>
            <w:vAlign w:val="top"/>
          </w:tcPr>
          <w:p w14:paraId="1F99A86D">
            <w:pPr>
              <w:rPr>
                <w:rFonts w:ascii="Arial"/>
                <w:color w:val="auto"/>
                <w:sz w:val="21"/>
                <w:highlight w:val="none"/>
              </w:rPr>
            </w:pPr>
          </w:p>
        </w:tc>
        <w:tc>
          <w:tcPr>
            <w:tcW w:w="1497" w:type="dxa"/>
            <w:vAlign w:val="top"/>
          </w:tcPr>
          <w:p w14:paraId="1EAAE530">
            <w:pPr>
              <w:rPr>
                <w:rFonts w:ascii="Arial"/>
                <w:color w:val="auto"/>
                <w:sz w:val="21"/>
                <w:highlight w:val="none"/>
              </w:rPr>
            </w:pPr>
          </w:p>
        </w:tc>
        <w:tc>
          <w:tcPr>
            <w:tcW w:w="1491" w:type="dxa"/>
            <w:vAlign w:val="top"/>
          </w:tcPr>
          <w:p w14:paraId="1E47C19B">
            <w:pPr>
              <w:rPr>
                <w:rFonts w:ascii="Arial"/>
                <w:color w:val="auto"/>
                <w:sz w:val="21"/>
                <w:highlight w:val="none"/>
              </w:rPr>
            </w:pPr>
          </w:p>
        </w:tc>
        <w:tc>
          <w:tcPr>
            <w:tcW w:w="827" w:type="dxa"/>
            <w:vAlign w:val="top"/>
          </w:tcPr>
          <w:p w14:paraId="6E79F221">
            <w:pPr>
              <w:rPr>
                <w:rFonts w:ascii="Arial"/>
                <w:color w:val="auto"/>
                <w:sz w:val="21"/>
                <w:highlight w:val="none"/>
              </w:rPr>
            </w:pPr>
          </w:p>
        </w:tc>
        <w:tc>
          <w:tcPr>
            <w:tcW w:w="1071" w:type="dxa"/>
            <w:vAlign w:val="top"/>
          </w:tcPr>
          <w:p w14:paraId="7E02A893">
            <w:pPr>
              <w:rPr>
                <w:rFonts w:ascii="Arial"/>
                <w:color w:val="auto"/>
                <w:sz w:val="21"/>
                <w:highlight w:val="none"/>
              </w:rPr>
            </w:pPr>
          </w:p>
        </w:tc>
        <w:tc>
          <w:tcPr>
            <w:tcW w:w="1040" w:type="dxa"/>
            <w:vAlign w:val="top"/>
          </w:tcPr>
          <w:p w14:paraId="5C5411BD">
            <w:pPr>
              <w:rPr>
                <w:rFonts w:ascii="Arial"/>
                <w:color w:val="auto"/>
                <w:sz w:val="21"/>
                <w:highlight w:val="none"/>
              </w:rPr>
            </w:pPr>
          </w:p>
        </w:tc>
        <w:tc>
          <w:tcPr>
            <w:tcW w:w="1040" w:type="dxa"/>
            <w:vAlign w:val="top"/>
          </w:tcPr>
          <w:p w14:paraId="4BEAD86A">
            <w:pPr>
              <w:rPr>
                <w:rFonts w:ascii="Arial"/>
                <w:color w:val="auto"/>
                <w:sz w:val="21"/>
                <w:highlight w:val="none"/>
              </w:rPr>
            </w:pPr>
          </w:p>
        </w:tc>
        <w:tc>
          <w:tcPr>
            <w:tcW w:w="1507" w:type="dxa"/>
            <w:tcBorders>
              <w:right w:val="single" w:color="000000" w:sz="6" w:space="0"/>
            </w:tcBorders>
            <w:vAlign w:val="top"/>
          </w:tcPr>
          <w:p w14:paraId="25EC3751">
            <w:pPr>
              <w:rPr>
                <w:rFonts w:ascii="Arial"/>
                <w:color w:val="auto"/>
                <w:sz w:val="21"/>
                <w:highlight w:val="none"/>
              </w:rPr>
            </w:pPr>
          </w:p>
        </w:tc>
      </w:tr>
      <w:tr w14:paraId="6EBC9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80A9ABF">
            <w:pPr>
              <w:pStyle w:val="23"/>
              <w:spacing w:before="199" w:line="237" w:lineRule="auto"/>
              <w:ind w:left="261"/>
              <w:rPr>
                <w:color w:val="auto"/>
                <w:highlight w:val="none"/>
              </w:rPr>
            </w:pPr>
            <w:r>
              <w:rPr>
                <w:color w:val="auto"/>
                <w:highlight w:val="none"/>
              </w:rPr>
              <w:t>4</w:t>
            </w:r>
          </w:p>
        </w:tc>
        <w:tc>
          <w:tcPr>
            <w:tcW w:w="1396" w:type="dxa"/>
            <w:vAlign w:val="top"/>
          </w:tcPr>
          <w:p w14:paraId="1DB1E9F3">
            <w:pPr>
              <w:rPr>
                <w:rFonts w:ascii="Arial"/>
                <w:color w:val="auto"/>
                <w:sz w:val="21"/>
                <w:highlight w:val="none"/>
              </w:rPr>
            </w:pPr>
          </w:p>
        </w:tc>
        <w:tc>
          <w:tcPr>
            <w:tcW w:w="753" w:type="dxa"/>
            <w:vAlign w:val="top"/>
          </w:tcPr>
          <w:p w14:paraId="4F4CD4AC">
            <w:pPr>
              <w:rPr>
                <w:rFonts w:ascii="Arial"/>
                <w:color w:val="auto"/>
                <w:sz w:val="21"/>
                <w:highlight w:val="none"/>
              </w:rPr>
            </w:pPr>
          </w:p>
        </w:tc>
        <w:tc>
          <w:tcPr>
            <w:tcW w:w="989" w:type="dxa"/>
            <w:vAlign w:val="top"/>
          </w:tcPr>
          <w:p w14:paraId="6D1A1E43">
            <w:pPr>
              <w:rPr>
                <w:rFonts w:ascii="Arial"/>
                <w:color w:val="auto"/>
                <w:sz w:val="21"/>
                <w:highlight w:val="none"/>
              </w:rPr>
            </w:pPr>
          </w:p>
        </w:tc>
        <w:tc>
          <w:tcPr>
            <w:tcW w:w="966" w:type="dxa"/>
            <w:vAlign w:val="top"/>
          </w:tcPr>
          <w:p w14:paraId="1C87D8A2">
            <w:pPr>
              <w:rPr>
                <w:rFonts w:ascii="Arial"/>
                <w:color w:val="auto"/>
                <w:sz w:val="21"/>
                <w:highlight w:val="none"/>
              </w:rPr>
            </w:pPr>
          </w:p>
        </w:tc>
        <w:tc>
          <w:tcPr>
            <w:tcW w:w="1009" w:type="dxa"/>
            <w:vAlign w:val="top"/>
          </w:tcPr>
          <w:p w14:paraId="6D3BD2D3">
            <w:pPr>
              <w:rPr>
                <w:rFonts w:ascii="Arial"/>
                <w:color w:val="auto"/>
                <w:sz w:val="21"/>
                <w:highlight w:val="none"/>
              </w:rPr>
            </w:pPr>
          </w:p>
        </w:tc>
        <w:tc>
          <w:tcPr>
            <w:tcW w:w="1497" w:type="dxa"/>
            <w:vAlign w:val="top"/>
          </w:tcPr>
          <w:p w14:paraId="4A7F160E">
            <w:pPr>
              <w:rPr>
                <w:rFonts w:ascii="Arial"/>
                <w:color w:val="auto"/>
                <w:sz w:val="21"/>
                <w:highlight w:val="none"/>
              </w:rPr>
            </w:pPr>
          </w:p>
        </w:tc>
        <w:tc>
          <w:tcPr>
            <w:tcW w:w="1491" w:type="dxa"/>
            <w:vAlign w:val="top"/>
          </w:tcPr>
          <w:p w14:paraId="6B5B3BB3">
            <w:pPr>
              <w:rPr>
                <w:rFonts w:ascii="Arial"/>
                <w:color w:val="auto"/>
                <w:sz w:val="21"/>
                <w:highlight w:val="none"/>
              </w:rPr>
            </w:pPr>
          </w:p>
        </w:tc>
        <w:tc>
          <w:tcPr>
            <w:tcW w:w="827" w:type="dxa"/>
            <w:vAlign w:val="top"/>
          </w:tcPr>
          <w:p w14:paraId="2E400E32">
            <w:pPr>
              <w:rPr>
                <w:rFonts w:ascii="Arial"/>
                <w:color w:val="auto"/>
                <w:sz w:val="21"/>
                <w:highlight w:val="none"/>
              </w:rPr>
            </w:pPr>
          </w:p>
        </w:tc>
        <w:tc>
          <w:tcPr>
            <w:tcW w:w="1071" w:type="dxa"/>
            <w:vAlign w:val="top"/>
          </w:tcPr>
          <w:p w14:paraId="2DD1D1AD">
            <w:pPr>
              <w:rPr>
                <w:rFonts w:ascii="Arial"/>
                <w:color w:val="auto"/>
                <w:sz w:val="21"/>
                <w:highlight w:val="none"/>
              </w:rPr>
            </w:pPr>
          </w:p>
        </w:tc>
        <w:tc>
          <w:tcPr>
            <w:tcW w:w="1040" w:type="dxa"/>
            <w:vAlign w:val="top"/>
          </w:tcPr>
          <w:p w14:paraId="1E759C7D">
            <w:pPr>
              <w:rPr>
                <w:rFonts w:ascii="Arial"/>
                <w:color w:val="auto"/>
                <w:sz w:val="21"/>
                <w:highlight w:val="none"/>
              </w:rPr>
            </w:pPr>
          </w:p>
        </w:tc>
        <w:tc>
          <w:tcPr>
            <w:tcW w:w="1040" w:type="dxa"/>
            <w:vAlign w:val="top"/>
          </w:tcPr>
          <w:p w14:paraId="4207F32E">
            <w:pPr>
              <w:rPr>
                <w:rFonts w:ascii="Arial"/>
                <w:color w:val="auto"/>
                <w:sz w:val="21"/>
                <w:highlight w:val="none"/>
              </w:rPr>
            </w:pPr>
          </w:p>
        </w:tc>
        <w:tc>
          <w:tcPr>
            <w:tcW w:w="1507" w:type="dxa"/>
            <w:tcBorders>
              <w:right w:val="single" w:color="000000" w:sz="6" w:space="0"/>
            </w:tcBorders>
            <w:vAlign w:val="top"/>
          </w:tcPr>
          <w:p w14:paraId="78DF46AB">
            <w:pPr>
              <w:rPr>
                <w:rFonts w:ascii="Arial"/>
                <w:color w:val="auto"/>
                <w:sz w:val="21"/>
                <w:highlight w:val="none"/>
              </w:rPr>
            </w:pPr>
          </w:p>
        </w:tc>
      </w:tr>
      <w:tr w14:paraId="6D732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5E07FAA8">
            <w:pPr>
              <w:pStyle w:val="23"/>
              <w:spacing w:before="199" w:line="238" w:lineRule="auto"/>
              <w:ind w:left="266"/>
              <w:rPr>
                <w:color w:val="auto"/>
                <w:highlight w:val="none"/>
              </w:rPr>
            </w:pPr>
            <w:r>
              <w:rPr>
                <w:color w:val="auto"/>
                <w:highlight w:val="none"/>
              </w:rPr>
              <w:t>5</w:t>
            </w:r>
          </w:p>
        </w:tc>
        <w:tc>
          <w:tcPr>
            <w:tcW w:w="1396" w:type="dxa"/>
            <w:vAlign w:val="top"/>
          </w:tcPr>
          <w:p w14:paraId="61AB7EBF">
            <w:pPr>
              <w:rPr>
                <w:rFonts w:ascii="Arial"/>
                <w:color w:val="auto"/>
                <w:sz w:val="21"/>
                <w:highlight w:val="none"/>
              </w:rPr>
            </w:pPr>
          </w:p>
        </w:tc>
        <w:tc>
          <w:tcPr>
            <w:tcW w:w="753" w:type="dxa"/>
            <w:vAlign w:val="top"/>
          </w:tcPr>
          <w:p w14:paraId="1B813FF3">
            <w:pPr>
              <w:rPr>
                <w:rFonts w:ascii="Arial"/>
                <w:color w:val="auto"/>
                <w:sz w:val="21"/>
                <w:highlight w:val="none"/>
              </w:rPr>
            </w:pPr>
          </w:p>
        </w:tc>
        <w:tc>
          <w:tcPr>
            <w:tcW w:w="989" w:type="dxa"/>
            <w:vAlign w:val="top"/>
          </w:tcPr>
          <w:p w14:paraId="6A9F39F1">
            <w:pPr>
              <w:rPr>
                <w:rFonts w:ascii="Arial"/>
                <w:color w:val="auto"/>
                <w:sz w:val="21"/>
                <w:highlight w:val="none"/>
              </w:rPr>
            </w:pPr>
          </w:p>
        </w:tc>
        <w:tc>
          <w:tcPr>
            <w:tcW w:w="966" w:type="dxa"/>
            <w:vAlign w:val="top"/>
          </w:tcPr>
          <w:p w14:paraId="7997D514">
            <w:pPr>
              <w:rPr>
                <w:rFonts w:ascii="Arial"/>
                <w:color w:val="auto"/>
                <w:sz w:val="21"/>
                <w:highlight w:val="none"/>
              </w:rPr>
            </w:pPr>
          </w:p>
        </w:tc>
        <w:tc>
          <w:tcPr>
            <w:tcW w:w="1009" w:type="dxa"/>
            <w:vAlign w:val="top"/>
          </w:tcPr>
          <w:p w14:paraId="10F809E1">
            <w:pPr>
              <w:rPr>
                <w:rFonts w:ascii="Arial"/>
                <w:color w:val="auto"/>
                <w:sz w:val="21"/>
                <w:highlight w:val="none"/>
              </w:rPr>
            </w:pPr>
          </w:p>
        </w:tc>
        <w:tc>
          <w:tcPr>
            <w:tcW w:w="1497" w:type="dxa"/>
            <w:vAlign w:val="top"/>
          </w:tcPr>
          <w:p w14:paraId="351055F4">
            <w:pPr>
              <w:rPr>
                <w:rFonts w:ascii="Arial"/>
                <w:color w:val="auto"/>
                <w:sz w:val="21"/>
                <w:highlight w:val="none"/>
              </w:rPr>
            </w:pPr>
          </w:p>
        </w:tc>
        <w:tc>
          <w:tcPr>
            <w:tcW w:w="1491" w:type="dxa"/>
            <w:vAlign w:val="top"/>
          </w:tcPr>
          <w:p w14:paraId="1A4653BB">
            <w:pPr>
              <w:rPr>
                <w:rFonts w:ascii="Arial"/>
                <w:color w:val="auto"/>
                <w:sz w:val="21"/>
                <w:highlight w:val="none"/>
              </w:rPr>
            </w:pPr>
          </w:p>
        </w:tc>
        <w:tc>
          <w:tcPr>
            <w:tcW w:w="827" w:type="dxa"/>
            <w:vAlign w:val="top"/>
          </w:tcPr>
          <w:p w14:paraId="47FBC955">
            <w:pPr>
              <w:rPr>
                <w:rFonts w:ascii="Arial"/>
                <w:color w:val="auto"/>
                <w:sz w:val="21"/>
                <w:highlight w:val="none"/>
              </w:rPr>
            </w:pPr>
          </w:p>
        </w:tc>
        <w:tc>
          <w:tcPr>
            <w:tcW w:w="1071" w:type="dxa"/>
            <w:vAlign w:val="top"/>
          </w:tcPr>
          <w:p w14:paraId="25CFCDF1">
            <w:pPr>
              <w:rPr>
                <w:rFonts w:ascii="Arial"/>
                <w:color w:val="auto"/>
                <w:sz w:val="21"/>
                <w:highlight w:val="none"/>
              </w:rPr>
            </w:pPr>
          </w:p>
        </w:tc>
        <w:tc>
          <w:tcPr>
            <w:tcW w:w="1040" w:type="dxa"/>
            <w:vAlign w:val="top"/>
          </w:tcPr>
          <w:p w14:paraId="12AF01E3">
            <w:pPr>
              <w:rPr>
                <w:rFonts w:ascii="Arial"/>
                <w:color w:val="auto"/>
                <w:sz w:val="21"/>
                <w:highlight w:val="none"/>
              </w:rPr>
            </w:pPr>
          </w:p>
        </w:tc>
        <w:tc>
          <w:tcPr>
            <w:tcW w:w="1040" w:type="dxa"/>
            <w:vAlign w:val="top"/>
          </w:tcPr>
          <w:p w14:paraId="3478BA92">
            <w:pPr>
              <w:rPr>
                <w:rFonts w:ascii="Arial"/>
                <w:color w:val="auto"/>
                <w:sz w:val="21"/>
                <w:highlight w:val="none"/>
              </w:rPr>
            </w:pPr>
          </w:p>
        </w:tc>
        <w:tc>
          <w:tcPr>
            <w:tcW w:w="1507" w:type="dxa"/>
            <w:tcBorders>
              <w:right w:val="single" w:color="000000" w:sz="6" w:space="0"/>
            </w:tcBorders>
            <w:vAlign w:val="top"/>
          </w:tcPr>
          <w:p w14:paraId="69361379">
            <w:pPr>
              <w:rPr>
                <w:rFonts w:ascii="Arial"/>
                <w:color w:val="auto"/>
                <w:sz w:val="21"/>
                <w:highlight w:val="none"/>
              </w:rPr>
            </w:pPr>
          </w:p>
        </w:tc>
      </w:tr>
      <w:tr w14:paraId="5003C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6B6CAE8">
            <w:pPr>
              <w:pStyle w:val="23"/>
              <w:spacing w:before="199" w:line="237" w:lineRule="auto"/>
              <w:ind w:left="264"/>
              <w:rPr>
                <w:color w:val="auto"/>
                <w:highlight w:val="none"/>
              </w:rPr>
            </w:pPr>
            <w:r>
              <w:rPr>
                <w:color w:val="auto"/>
                <w:highlight w:val="none"/>
              </w:rPr>
              <w:t>6</w:t>
            </w:r>
          </w:p>
        </w:tc>
        <w:tc>
          <w:tcPr>
            <w:tcW w:w="1396" w:type="dxa"/>
            <w:vAlign w:val="top"/>
          </w:tcPr>
          <w:p w14:paraId="0B87EC39">
            <w:pPr>
              <w:rPr>
                <w:rFonts w:ascii="Arial"/>
                <w:color w:val="auto"/>
                <w:sz w:val="21"/>
                <w:highlight w:val="none"/>
              </w:rPr>
            </w:pPr>
          </w:p>
        </w:tc>
        <w:tc>
          <w:tcPr>
            <w:tcW w:w="753" w:type="dxa"/>
            <w:vAlign w:val="top"/>
          </w:tcPr>
          <w:p w14:paraId="50C298F2">
            <w:pPr>
              <w:rPr>
                <w:rFonts w:ascii="Arial"/>
                <w:color w:val="auto"/>
                <w:sz w:val="21"/>
                <w:highlight w:val="none"/>
              </w:rPr>
            </w:pPr>
          </w:p>
        </w:tc>
        <w:tc>
          <w:tcPr>
            <w:tcW w:w="989" w:type="dxa"/>
            <w:vAlign w:val="top"/>
          </w:tcPr>
          <w:p w14:paraId="2E319C97">
            <w:pPr>
              <w:rPr>
                <w:rFonts w:ascii="Arial"/>
                <w:color w:val="auto"/>
                <w:sz w:val="21"/>
                <w:highlight w:val="none"/>
              </w:rPr>
            </w:pPr>
          </w:p>
        </w:tc>
        <w:tc>
          <w:tcPr>
            <w:tcW w:w="966" w:type="dxa"/>
            <w:vAlign w:val="top"/>
          </w:tcPr>
          <w:p w14:paraId="511B3CF8">
            <w:pPr>
              <w:rPr>
                <w:rFonts w:ascii="Arial"/>
                <w:color w:val="auto"/>
                <w:sz w:val="21"/>
                <w:highlight w:val="none"/>
              </w:rPr>
            </w:pPr>
          </w:p>
        </w:tc>
        <w:tc>
          <w:tcPr>
            <w:tcW w:w="1009" w:type="dxa"/>
            <w:vAlign w:val="top"/>
          </w:tcPr>
          <w:p w14:paraId="7C4F850E">
            <w:pPr>
              <w:rPr>
                <w:rFonts w:ascii="Arial"/>
                <w:color w:val="auto"/>
                <w:sz w:val="21"/>
                <w:highlight w:val="none"/>
              </w:rPr>
            </w:pPr>
          </w:p>
        </w:tc>
        <w:tc>
          <w:tcPr>
            <w:tcW w:w="1497" w:type="dxa"/>
            <w:vAlign w:val="top"/>
          </w:tcPr>
          <w:p w14:paraId="5A9170D0">
            <w:pPr>
              <w:rPr>
                <w:rFonts w:ascii="Arial"/>
                <w:color w:val="auto"/>
                <w:sz w:val="21"/>
                <w:highlight w:val="none"/>
              </w:rPr>
            </w:pPr>
          </w:p>
        </w:tc>
        <w:tc>
          <w:tcPr>
            <w:tcW w:w="1491" w:type="dxa"/>
            <w:vAlign w:val="top"/>
          </w:tcPr>
          <w:p w14:paraId="7E62A162">
            <w:pPr>
              <w:rPr>
                <w:rFonts w:ascii="Arial"/>
                <w:color w:val="auto"/>
                <w:sz w:val="21"/>
                <w:highlight w:val="none"/>
              </w:rPr>
            </w:pPr>
          </w:p>
        </w:tc>
        <w:tc>
          <w:tcPr>
            <w:tcW w:w="827" w:type="dxa"/>
            <w:vAlign w:val="top"/>
          </w:tcPr>
          <w:p w14:paraId="126D95EF">
            <w:pPr>
              <w:rPr>
                <w:rFonts w:ascii="Arial"/>
                <w:color w:val="auto"/>
                <w:sz w:val="21"/>
                <w:highlight w:val="none"/>
              </w:rPr>
            </w:pPr>
          </w:p>
        </w:tc>
        <w:tc>
          <w:tcPr>
            <w:tcW w:w="1071" w:type="dxa"/>
            <w:vAlign w:val="top"/>
          </w:tcPr>
          <w:p w14:paraId="63CC8F62">
            <w:pPr>
              <w:rPr>
                <w:rFonts w:ascii="Arial"/>
                <w:color w:val="auto"/>
                <w:sz w:val="21"/>
                <w:highlight w:val="none"/>
              </w:rPr>
            </w:pPr>
          </w:p>
        </w:tc>
        <w:tc>
          <w:tcPr>
            <w:tcW w:w="1040" w:type="dxa"/>
            <w:vAlign w:val="top"/>
          </w:tcPr>
          <w:p w14:paraId="2A108A3D">
            <w:pPr>
              <w:rPr>
                <w:rFonts w:ascii="Arial"/>
                <w:color w:val="auto"/>
                <w:sz w:val="21"/>
                <w:highlight w:val="none"/>
              </w:rPr>
            </w:pPr>
          </w:p>
        </w:tc>
        <w:tc>
          <w:tcPr>
            <w:tcW w:w="1040" w:type="dxa"/>
            <w:vAlign w:val="top"/>
          </w:tcPr>
          <w:p w14:paraId="7FC5B3AA">
            <w:pPr>
              <w:rPr>
                <w:rFonts w:ascii="Arial"/>
                <w:color w:val="auto"/>
                <w:sz w:val="21"/>
                <w:highlight w:val="none"/>
              </w:rPr>
            </w:pPr>
          </w:p>
        </w:tc>
        <w:tc>
          <w:tcPr>
            <w:tcW w:w="1507" w:type="dxa"/>
            <w:tcBorders>
              <w:right w:val="single" w:color="000000" w:sz="6" w:space="0"/>
            </w:tcBorders>
            <w:vAlign w:val="top"/>
          </w:tcPr>
          <w:p w14:paraId="54B98BD1">
            <w:pPr>
              <w:rPr>
                <w:rFonts w:ascii="Arial"/>
                <w:color w:val="auto"/>
                <w:sz w:val="21"/>
                <w:highlight w:val="none"/>
              </w:rPr>
            </w:pPr>
          </w:p>
        </w:tc>
      </w:tr>
      <w:tr w14:paraId="58863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1E11995">
            <w:pPr>
              <w:pStyle w:val="23"/>
              <w:spacing w:before="201" w:line="235" w:lineRule="auto"/>
              <w:ind w:left="267"/>
              <w:rPr>
                <w:color w:val="auto"/>
                <w:highlight w:val="none"/>
              </w:rPr>
            </w:pPr>
            <w:r>
              <w:rPr>
                <w:color w:val="auto"/>
                <w:highlight w:val="none"/>
              </w:rPr>
              <w:t>7</w:t>
            </w:r>
          </w:p>
        </w:tc>
        <w:tc>
          <w:tcPr>
            <w:tcW w:w="1396" w:type="dxa"/>
            <w:vAlign w:val="top"/>
          </w:tcPr>
          <w:p w14:paraId="617F4DDF">
            <w:pPr>
              <w:rPr>
                <w:rFonts w:ascii="Arial"/>
                <w:color w:val="auto"/>
                <w:sz w:val="21"/>
                <w:highlight w:val="none"/>
              </w:rPr>
            </w:pPr>
          </w:p>
        </w:tc>
        <w:tc>
          <w:tcPr>
            <w:tcW w:w="753" w:type="dxa"/>
            <w:vAlign w:val="top"/>
          </w:tcPr>
          <w:p w14:paraId="074C0031">
            <w:pPr>
              <w:rPr>
                <w:rFonts w:ascii="Arial"/>
                <w:color w:val="auto"/>
                <w:sz w:val="21"/>
                <w:highlight w:val="none"/>
              </w:rPr>
            </w:pPr>
          </w:p>
        </w:tc>
        <w:tc>
          <w:tcPr>
            <w:tcW w:w="989" w:type="dxa"/>
            <w:vAlign w:val="top"/>
          </w:tcPr>
          <w:p w14:paraId="6513F3DD">
            <w:pPr>
              <w:rPr>
                <w:rFonts w:ascii="Arial"/>
                <w:color w:val="auto"/>
                <w:sz w:val="21"/>
                <w:highlight w:val="none"/>
              </w:rPr>
            </w:pPr>
          </w:p>
        </w:tc>
        <w:tc>
          <w:tcPr>
            <w:tcW w:w="966" w:type="dxa"/>
            <w:vAlign w:val="top"/>
          </w:tcPr>
          <w:p w14:paraId="6F9CF4C1">
            <w:pPr>
              <w:rPr>
                <w:rFonts w:ascii="Arial"/>
                <w:color w:val="auto"/>
                <w:sz w:val="21"/>
                <w:highlight w:val="none"/>
              </w:rPr>
            </w:pPr>
          </w:p>
        </w:tc>
        <w:tc>
          <w:tcPr>
            <w:tcW w:w="1009" w:type="dxa"/>
            <w:vAlign w:val="top"/>
          </w:tcPr>
          <w:p w14:paraId="6507E43F">
            <w:pPr>
              <w:rPr>
                <w:rFonts w:ascii="Arial"/>
                <w:color w:val="auto"/>
                <w:sz w:val="21"/>
                <w:highlight w:val="none"/>
              </w:rPr>
            </w:pPr>
          </w:p>
        </w:tc>
        <w:tc>
          <w:tcPr>
            <w:tcW w:w="1497" w:type="dxa"/>
            <w:vAlign w:val="top"/>
          </w:tcPr>
          <w:p w14:paraId="01C57D75">
            <w:pPr>
              <w:rPr>
                <w:rFonts w:ascii="Arial"/>
                <w:color w:val="auto"/>
                <w:sz w:val="21"/>
                <w:highlight w:val="none"/>
              </w:rPr>
            </w:pPr>
          </w:p>
        </w:tc>
        <w:tc>
          <w:tcPr>
            <w:tcW w:w="1491" w:type="dxa"/>
            <w:vAlign w:val="top"/>
          </w:tcPr>
          <w:p w14:paraId="462DDB7F">
            <w:pPr>
              <w:rPr>
                <w:rFonts w:ascii="Arial"/>
                <w:color w:val="auto"/>
                <w:sz w:val="21"/>
                <w:highlight w:val="none"/>
              </w:rPr>
            </w:pPr>
          </w:p>
        </w:tc>
        <w:tc>
          <w:tcPr>
            <w:tcW w:w="827" w:type="dxa"/>
            <w:vAlign w:val="top"/>
          </w:tcPr>
          <w:p w14:paraId="7424D147">
            <w:pPr>
              <w:rPr>
                <w:rFonts w:ascii="Arial"/>
                <w:color w:val="auto"/>
                <w:sz w:val="21"/>
                <w:highlight w:val="none"/>
              </w:rPr>
            </w:pPr>
          </w:p>
        </w:tc>
        <w:tc>
          <w:tcPr>
            <w:tcW w:w="1071" w:type="dxa"/>
            <w:vAlign w:val="top"/>
          </w:tcPr>
          <w:p w14:paraId="1F64460C">
            <w:pPr>
              <w:rPr>
                <w:rFonts w:ascii="Arial"/>
                <w:color w:val="auto"/>
                <w:sz w:val="21"/>
                <w:highlight w:val="none"/>
              </w:rPr>
            </w:pPr>
          </w:p>
        </w:tc>
        <w:tc>
          <w:tcPr>
            <w:tcW w:w="1040" w:type="dxa"/>
            <w:vAlign w:val="top"/>
          </w:tcPr>
          <w:p w14:paraId="6EB61595">
            <w:pPr>
              <w:rPr>
                <w:rFonts w:ascii="Arial"/>
                <w:color w:val="auto"/>
                <w:sz w:val="21"/>
                <w:highlight w:val="none"/>
              </w:rPr>
            </w:pPr>
          </w:p>
        </w:tc>
        <w:tc>
          <w:tcPr>
            <w:tcW w:w="1040" w:type="dxa"/>
            <w:vAlign w:val="top"/>
          </w:tcPr>
          <w:p w14:paraId="66599BE7">
            <w:pPr>
              <w:rPr>
                <w:rFonts w:ascii="Arial"/>
                <w:color w:val="auto"/>
                <w:sz w:val="21"/>
                <w:highlight w:val="none"/>
              </w:rPr>
            </w:pPr>
          </w:p>
        </w:tc>
        <w:tc>
          <w:tcPr>
            <w:tcW w:w="1507" w:type="dxa"/>
            <w:tcBorders>
              <w:right w:val="single" w:color="000000" w:sz="6" w:space="0"/>
            </w:tcBorders>
            <w:vAlign w:val="top"/>
          </w:tcPr>
          <w:p w14:paraId="60D90340">
            <w:pPr>
              <w:rPr>
                <w:rFonts w:ascii="Arial"/>
                <w:color w:val="auto"/>
                <w:sz w:val="21"/>
                <w:highlight w:val="none"/>
              </w:rPr>
            </w:pPr>
          </w:p>
        </w:tc>
      </w:tr>
      <w:tr w14:paraId="7A566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7581B3F">
            <w:pPr>
              <w:pStyle w:val="23"/>
              <w:spacing w:before="203" w:line="233" w:lineRule="auto"/>
              <w:ind w:left="263"/>
              <w:rPr>
                <w:color w:val="auto"/>
                <w:highlight w:val="none"/>
              </w:rPr>
            </w:pPr>
            <w:r>
              <w:rPr>
                <w:color w:val="auto"/>
                <w:highlight w:val="none"/>
              </w:rPr>
              <w:t>8</w:t>
            </w:r>
          </w:p>
        </w:tc>
        <w:tc>
          <w:tcPr>
            <w:tcW w:w="1396" w:type="dxa"/>
            <w:vAlign w:val="top"/>
          </w:tcPr>
          <w:p w14:paraId="53645093">
            <w:pPr>
              <w:rPr>
                <w:rFonts w:ascii="Arial"/>
                <w:color w:val="auto"/>
                <w:sz w:val="21"/>
                <w:highlight w:val="none"/>
              </w:rPr>
            </w:pPr>
          </w:p>
        </w:tc>
        <w:tc>
          <w:tcPr>
            <w:tcW w:w="753" w:type="dxa"/>
            <w:vAlign w:val="top"/>
          </w:tcPr>
          <w:p w14:paraId="36C27F00">
            <w:pPr>
              <w:rPr>
                <w:rFonts w:ascii="Arial"/>
                <w:color w:val="auto"/>
                <w:sz w:val="21"/>
                <w:highlight w:val="none"/>
              </w:rPr>
            </w:pPr>
          </w:p>
        </w:tc>
        <w:tc>
          <w:tcPr>
            <w:tcW w:w="989" w:type="dxa"/>
            <w:vAlign w:val="top"/>
          </w:tcPr>
          <w:p w14:paraId="003B6315">
            <w:pPr>
              <w:rPr>
                <w:rFonts w:ascii="Arial"/>
                <w:color w:val="auto"/>
                <w:sz w:val="21"/>
                <w:highlight w:val="none"/>
              </w:rPr>
            </w:pPr>
          </w:p>
        </w:tc>
        <w:tc>
          <w:tcPr>
            <w:tcW w:w="966" w:type="dxa"/>
            <w:vAlign w:val="top"/>
          </w:tcPr>
          <w:p w14:paraId="320DA800">
            <w:pPr>
              <w:rPr>
                <w:rFonts w:ascii="Arial"/>
                <w:color w:val="auto"/>
                <w:sz w:val="21"/>
                <w:highlight w:val="none"/>
              </w:rPr>
            </w:pPr>
          </w:p>
        </w:tc>
        <w:tc>
          <w:tcPr>
            <w:tcW w:w="1009" w:type="dxa"/>
            <w:vAlign w:val="top"/>
          </w:tcPr>
          <w:p w14:paraId="2D548CD3">
            <w:pPr>
              <w:rPr>
                <w:rFonts w:ascii="Arial"/>
                <w:color w:val="auto"/>
                <w:sz w:val="21"/>
                <w:highlight w:val="none"/>
              </w:rPr>
            </w:pPr>
          </w:p>
        </w:tc>
        <w:tc>
          <w:tcPr>
            <w:tcW w:w="1497" w:type="dxa"/>
            <w:vAlign w:val="top"/>
          </w:tcPr>
          <w:p w14:paraId="36C3651D">
            <w:pPr>
              <w:rPr>
                <w:rFonts w:ascii="Arial"/>
                <w:color w:val="auto"/>
                <w:sz w:val="21"/>
                <w:highlight w:val="none"/>
              </w:rPr>
            </w:pPr>
          </w:p>
        </w:tc>
        <w:tc>
          <w:tcPr>
            <w:tcW w:w="1491" w:type="dxa"/>
            <w:vAlign w:val="top"/>
          </w:tcPr>
          <w:p w14:paraId="05052D62">
            <w:pPr>
              <w:rPr>
                <w:rFonts w:ascii="Arial"/>
                <w:color w:val="auto"/>
                <w:sz w:val="21"/>
                <w:highlight w:val="none"/>
              </w:rPr>
            </w:pPr>
          </w:p>
        </w:tc>
        <w:tc>
          <w:tcPr>
            <w:tcW w:w="827" w:type="dxa"/>
            <w:vAlign w:val="top"/>
          </w:tcPr>
          <w:p w14:paraId="79C665D3">
            <w:pPr>
              <w:rPr>
                <w:rFonts w:ascii="Arial"/>
                <w:color w:val="auto"/>
                <w:sz w:val="21"/>
                <w:highlight w:val="none"/>
              </w:rPr>
            </w:pPr>
          </w:p>
        </w:tc>
        <w:tc>
          <w:tcPr>
            <w:tcW w:w="1071" w:type="dxa"/>
            <w:vAlign w:val="top"/>
          </w:tcPr>
          <w:p w14:paraId="71603843">
            <w:pPr>
              <w:rPr>
                <w:rFonts w:ascii="Arial"/>
                <w:color w:val="auto"/>
                <w:sz w:val="21"/>
                <w:highlight w:val="none"/>
              </w:rPr>
            </w:pPr>
          </w:p>
        </w:tc>
        <w:tc>
          <w:tcPr>
            <w:tcW w:w="1040" w:type="dxa"/>
            <w:vAlign w:val="top"/>
          </w:tcPr>
          <w:p w14:paraId="7684EC96">
            <w:pPr>
              <w:rPr>
                <w:rFonts w:ascii="Arial"/>
                <w:color w:val="auto"/>
                <w:sz w:val="21"/>
                <w:highlight w:val="none"/>
              </w:rPr>
            </w:pPr>
          </w:p>
        </w:tc>
        <w:tc>
          <w:tcPr>
            <w:tcW w:w="1040" w:type="dxa"/>
            <w:vAlign w:val="top"/>
          </w:tcPr>
          <w:p w14:paraId="299A9A04">
            <w:pPr>
              <w:rPr>
                <w:rFonts w:ascii="Arial"/>
                <w:color w:val="auto"/>
                <w:sz w:val="21"/>
                <w:highlight w:val="none"/>
              </w:rPr>
            </w:pPr>
          </w:p>
        </w:tc>
        <w:tc>
          <w:tcPr>
            <w:tcW w:w="1507" w:type="dxa"/>
            <w:tcBorders>
              <w:right w:val="single" w:color="000000" w:sz="6" w:space="0"/>
            </w:tcBorders>
            <w:vAlign w:val="top"/>
          </w:tcPr>
          <w:p w14:paraId="6112EAD9">
            <w:pPr>
              <w:rPr>
                <w:rFonts w:ascii="Arial"/>
                <w:color w:val="auto"/>
                <w:sz w:val="21"/>
                <w:highlight w:val="none"/>
              </w:rPr>
            </w:pPr>
          </w:p>
        </w:tc>
      </w:tr>
      <w:tr w14:paraId="4F80F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26680A27">
            <w:pPr>
              <w:pStyle w:val="23"/>
              <w:spacing w:before="202" w:line="234" w:lineRule="auto"/>
              <w:ind w:left="222"/>
              <w:rPr>
                <w:color w:val="auto"/>
                <w:highlight w:val="none"/>
              </w:rPr>
            </w:pPr>
            <w:r>
              <w:rPr>
                <w:color w:val="auto"/>
                <w:highlight w:val="none"/>
              </w:rPr>
              <w:t>…</w:t>
            </w:r>
          </w:p>
        </w:tc>
        <w:tc>
          <w:tcPr>
            <w:tcW w:w="1396" w:type="dxa"/>
            <w:vAlign w:val="top"/>
          </w:tcPr>
          <w:p w14:paraId="1FB05387">
            <w:pPr>
              <w:rPr>
                <w:rFonts w:ascii="Arial"/>
                <w:color w:val="auto"/>
                <w:sz w:val="21"/>
                <w:highlight w:val="none"/>
              </w:rPr>
            </w:pPr>
          </w:p>
        </w:tc>
        <w:tc>
          <w:tcPr>
            <w:tcW w:w="753" w:type="dxa"/>
            <w:vAlign w:val="top"/>
          </w:tcPr>
          <w:p w14:paraId="6E4B7748">
            <w:pPr>
              <w:rPr>
                <w:rFonts w:ascii="Arial"/>
                <w:color w:val="auto"/>
                <w:sz w:val="21"/>
                <w:highlight w:val="none"/>
              </w:rPr>
            </w:pPr>
          </w:p>
        </w:tc>
        <w:tc>
          <w:tcPr>
            <w:tcW w:w="989" w:type="dxa"/>
            <w:vAlign w:val="top"/>
          </w:tcPr>
          <w:p w14:paraId="56FEB0ED">
            <w:pPr>
              <w:rPr>
                <w:rFonts w:ascii="Arial"/>
                <w:color w:val="auto"/>
                <w:sz w:val="21"/>
                <w:highlight w:val="none"/>
              </w:rPr>
            </w:pPr>
          </w:p>
        </w:tc>
        <w:tc>
          <w:tcPr>
            <w:tcW w:w="966" w:type="dxa"/>
            <w:vAlign w:val="top"/>
          </w:tcPr>
          <w:p w14:paraId="7A585115">
            <w:pPr>
              <w:rPr>
                <w:rFonts w:ascii="Arial"/>
                <w:color w:val="auto"/>
                <w:sz w:val="21"/>
                <w:highlight w:val="none"/>
              </w:rPr>
            </w:pPr>
          </w:p>
        </w:tc>
        <w:tc>
          <w:tcPr>
            <w:tcW w:w="1009" w:type="dxa"/>
            <w:vAlign w:val="top"/>
          </w:tcPr>
          <w:p w14:paraId="391FD74F">
            <w:pPr>
              <w:rPr>
                <w:rFonts w:ascii="Arial"/>
                <w:color w:val="auto"/>
                <w:sz w:val="21"/>
                <w:highlight w:val="none"/>
              </w:rPr>
            </w:pPr>
          </w:p>
        </w:tc>
        <w:tc>
          <w:tcPr>
            <w:tcW w:w="1497" w:type="dxa"/>
            <w:vAlign w:val="top"/>
          </w:tcPr>
          <w:p w14:paraId="0BA4BB16">
            <w:pPr>
              <w:rPr>
                <w:rFonts w:ascii="Arial"/>
                <w:color w:val="auto"/>
                <w:sz w:val="21"/>
                <w:highlight w:val="none"/>
              </w:rPr>
            </w:pPr>
          </w:p>
        </w:tc>
        <w:tc>
          <w:tcPr>
            <w:tcW w:w="1491" w:type="dxa"/>
            <w:vAlign w:val="top"/>
          </w:tcPr>
          <w:p w14:paraId="2598D2E5">
            <w:pPr>
              <w:rPr>
                <w:rFonts w:ascii="Arial"/>
                <w:color w:val="auto"/>
                <w:sz w:val="21"/>
                <w:highlight w:val="none"/>
              </w:rPr>
            </w:pPr>
          </w:p>
        </w:tc>
        <w:tc>
          <w:tcPr>
            <w:tcW w:w="827" w:type="dxa"/>
            <w:vAlign w:val="top"/>
          </w:tcPr>
          <w:p w14:paraId="3C5EB74B">
            <w:pPr>
              <w:rPr>
                <w:rFonts w:ascii="Arial"/>
                <w:color w:val="auto"/>
                <w:sz w:val="21"/>
                <w:highlight w:val="none"/>
              </w:rPr>
            </w:pPr>
          </w:p>
        </w:tc>
        <w:tc>
          <w:tcPr>
            <w:tcW w:w="1071" w:type="dxa"/>
            <w:vAlign w:val="top"/>
          </w:tcPr>
          <w:p w14:paraId="5FC94AD7">
            <w:pPr>
              <w:rPr>
                <w:rFonts w:ascii="Arial"/>
                <w:color w:val="auto"/>
                <w:sz w:val="21"/>
                <w:highlight w:val="none"/>
              </w:rPr>
            </w:pPr>
          </w:p>
        </w:tc>
        <w:tc>
          <w:tcPr>
            <w:tcW w:w="1040" w:type="dxa"/>
            <w:vAlign w:val="top"/>
          </w:tcPr>
          <w:p w14:paraId="716CE9C7">
            <w:pPr>
              <w:rPr>
                <w:rFonts w:ascii="Arial"/>
                <w:color w:val="auto"/>
                <w:sz w:val="21"/>
                <w:highlight w:val="none"/>
              </w:rPr>
            </w:pPr>
          </w:p>
        </w:tc>
        <w:tc>
          <w:tcPr>
            <w:tcW w:w="1040" w:type="dxa"/>
            <w:vAlign w:val="top"/>
          </w:tcPr>
          <w:p w14:paraId="43340937">
            <w:pPr>
              <w:rPr>
                <w:rFonts w:ascii="Arial"/>
                <w:color w:val="auto"/>
                <w:sz w:val="21"/>
                <w:highlight w:val="none"/>
              </w:rPr>
            </w:pPr>
          </w:p>
        </w:tc>
        <w:tc>
          <w:tcPr>
            <w:tcW w:w="1507" w:type="dxa"/>
            <w:tcBorders>
              <w:right w:val="single" w:color="000000" w:sz="6" w:space="0"/>
            </w:tcBorders>
            <w:vAlign w:val="top"/>
          </w:tcPr>
          <w:p w14:paraId="37152CDF">
            <w:pPr>
              <w:rPr>
                <w:rFonts w:ascii="Arial"/>
                <w:color w:val="auto"/>
                <w:sz w:val="21"/>
                <w:highlight w:val="none"/>
              </w:rPr>
            </w:pPr>
          </w:p>
        </w:tc>
      </w:tr>
      <w:tr w14:paraId="732F7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117561C9">
            <w:pPr>
              <w:rPr>
                <w:rFonts w:ascii="Arial"/>
                <w:color w:val="auto"/>
                <w:sz w:val="21"/>
                <w:highlight w:val="none"/>
              </w:rPr>
            </w:pPr>
          </w:p>
        </w:tc>
        <w:tc>
          <w:tcPr>
            <w:tcW w:w="3138" w:type="dxa"/>
            <w:gridSpan w:val="3"/>
            <w:tcBorders>
              <w:left w:val="nil"/>
              <w:bottom w:val="single" w:color="000000" w:sz="6" w:space="0"/>
            </w:tcBorders>
            <w:vAlign w:val="top"/>
          </w:tcPr>
          <w:p w14:paraId="49A41676">
            <w:pPr>
              <w:pStyle w:val="23"/>
              <w:spacing w:before="204" w:line="228" w:lineRule="auto"/>
              <w:ind w:left="734"/>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966" w:type="dxa"/>
            <w:tcBorders>
              <w:bottom w:val="single" w:color="000000" w:sz="6" w:space="0"/>
            </w:tcBorders>
            <w:vAlign w:val="top"/>
          </w:tcPr>
          <w:p w14:paraId="7AA472C5">
            <w:pPr>
              <w:rPr>
                <w:rFonts w:ascii="Arial"/>
                <w:color w:val="auto"/>
                <w:sz w:val="21"/>
                <w:highlight w:val="none"/>
              </w:rPr>
            </w:pPr>
          </w:p>
        </w:tc>
        <w:tc>
          <w:tcPr>
            <w:tcW w:w="1009" w:type="dxa"/>
            <w:tcBorders>
              <w:bottom w:val="single" w:color="000000" w:sz="6" w:space="0"/>
            </w:tcBorders>
            <w:vAlign w:val="top"/>
          </w:tcPr>
          <w:p w14:paraId="4DFB4601">
            <w:pPr>
              <w:rPr>
                <w:rFonts w:ascii="Arial"/>
                <w:color w:val="auto"/>
                <w:sz w:val="21"/>
                <w:highlight w:val="none"/>
              </w:rPr>
            </w:pPr>
          </w:p>
        </w:tc>
        <w:tc>
          <w:tcPr>
            <w:tcW w:w="1497" w:type="dxa"/>
            <w:tcBorders>
              <w:bottom w:val="single" w:color="000000" w:sz="6" w:space="0"/>
            </w:tcBorders>
            <w:vAlign w:val="top"/>
          </w:tcPr>
          <w:p w14:paraId="7CCB72F2">
            <w:pPr>
              <w:rPr>
                <w:rFonts w:ascii="Arial"/>
                <w:color w:val="auto"/>
                <w:sz w:val="21"/>
                <w:highlight w:val="none"/>
              </w:rPr>
            </w:pPr>
          </w:p>
        </w:tc>
        <w:tc>
          <w:tcPr>
            <w:tcW w:w="3389" w:type="dxa"/>
            <w:gridSpan w:val="3"/>
            <w:tcBorders>
              <w:bottom w:val="single" w:color="000000" w:sz="6" w:space="0"/>
            </w:tcBorders>
            <w:vAlign w:val="top"/>
          </w:tcPr>
          <w:p w14:paraId="305FD84B">
            <w:pPr>
              <w:pStyle w:val="23"/>
              <w:spacing w:before="204" w:line="228" w:lineRule="auto"/>
              <w:ind w:left="1178"/>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1040" w:type="dxa"/>
            <w:tcBorders>
              <w:bottom w:val="single" w:color="000000" w:sz="6" w:space="0"/>
            </w:tcBorders>
            <w:vAlign w:val="top"/>
          </w:tcPr>
          <w:p w14:paraId="56AD4A02">
            <w:pPr>
              <w:rPr>
                <w:rFonts w:ascii="Arial"/>
                <w:color w:val="auto"/>
                <w:sz w:val="21"/>
                <w:highlight w:val="none"/>
              </w:rPr>
            </w:pPr>
          </w:p>
        </w:tc>
        <w:tc>
          <w:tcPr>
            <w:tcW w:w="1040" w:type="dxa"/>
            <w:tcBorders>
              <w:bottom w:val="single" w:color="000000" w:sz="6" w:space="0"/>
            </w:tcBorders>
            <w:vAlign w:val="top"/>
          </w:tcPr>
          <w:p w14:paraId="3D97381C">
            <w:pPr>
              <w:rPr>
                <w:rFonts w:ascii="Arial"/>
                <w:color w:val="auto"/>
                <w:sz w:val="21"/>
                <w:highlight w:val="none"/>
              </w:rPr>
            </w:pPr>
          </w:p>
        </w:tc>
        <w:tc>
          <w:tcPr>
            <w:tcW w:w="1507" w:type="dxa"/>
            <w:tcBorders>
              <w:bottom w:val="single" w:color="000000" w:sz="6" w:space="0"/>
              <w:right w:val="single" w:color="000000" w:sz="6" w:space="0"/>
            </w:tcBorders>
            <w:vAlign w:val="top"/>
          </w:tcPr>
          <w:p w14:paraId="500E1EB1">
            <w:pPr>
              <w:rPr>
                <w:rFonts w:ascii="Arial"/>
                <w:color w:val="auto"/>
                <w:sz w:val="21"/>
                <w:highlight w:val="none"/>
              </w:rPr>
            </w:pPr>
          </w:p>
        </w:tc>
      </w:tr>
    </w:tbl>
    <w:p w14:paraId="47866661">
      <w:pPr>
        <w:rPr>
          <w:rFonts w:ascii="Arial"/>
          <w:color w:val="auto"/>
          <w:sz w:val="21"/>
          <w:highlight w:val="none"/>
        </w:rPr>
      </w:pPr>
    </w:p>
    <w:p w14:paraId="4052E7F0">
      <w:pPr>
        <w:rPr>
          <w:rFonts w:ascii="Arial" w:hAnsi="Arial" w:eastAsia="Arial" w:cs="Arial"/>
          <w:color w:val="auto"/>
          <w:sz w:val="21"/>
          <w:szCs w:val="21"/>
          <w:highlight w:val="none"/>
        </w:rPr>
        <w:sectPr>
          <w:footerReference r:id="rId68" w:type="default"/>
          <w:pgSz w:w="16839" w:h="11906"/>
          <w:pgMar w:top="1012" w:right="1301" w:bottom="1297" w:left="1300" w:header="0" w:footer="1067" w:gutter="0"/>
          <w:pgBorders>
            <w:top w:val="none" w:sz="0" w:space="0"/>
            <w:left w:val="none" w:sz="0" w:space="0"/>
            <w:bottom w:val="none" w:sz="0" w:space="0"/>
            <w:right w:val="none" w:sz="0" w:space="0"/>
          </w:pgBorders>
          <w:pgNumType w:fmt="decimal"/>
          <w:cols w:space="720" w:num="1"/>
        </w:sectPr>
      </w:pPr>
    </w:p>
    <w:p w14:paraId="770DF7B7">
      <w:pPr>
        <w:spacing w:line="302" w:lineRule="auto"/>
        <w:rPr>
          <w:rFonts w:ascii="Arial"/>
          <w:color w:val="auto"/>
          <w:sz w:val="21"/>
          <w:highlight w:val="none"/>
        </w:rPr>
      </w:pPr>
    </w:p>
    <w:p w14:paraId="551CD161">
      <w:pPr>
        <w:spacing w:line="302" w:lineRule="auto"/>
        <w:rPr>
          <w:rFonts w:ascii="Arial"/>
          <w:color w:val="auto"/>
          <w:sz w:val="21"/>
          <w:highlight w:val="none"/>
        </w:rPr>
      </w:pPr>
    </w:p>
    <w:p w14:paraId="7D84CA8C">
      <w:pPr>
        <w:spacing w:before="91" w:line="225" w:lineRule="auto"/>
        <w:ind w:left="5751"/>
        <w:rPr>
          <w:rFonts w:ascii="宋体" w:hAnsi="宋体" w:eastAsia="宋体" w:cs="宋体"/>
          <w:color w:val="auto"/>
          <w:sz w:val="13"/>
          <w:szCs w:val="13"/>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7</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其他费用报价表</w:t>
      </w:r>
    </w:p>
    <w:tbl>
      <w:tblPr>
        <w:tblStyle w:val="22"/>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3"/>
        <w:gridCol w:w="3452"/>
        <w:gridCol w:w="1351"/>
        <w:gridCol w:w="1198"/>
        <w:gridCol w:w="1649"/>
        <w:gridCol w:w="1649"/>
        <w:gridCol w:w="3766"/>
      </w:tblGrid>
      <w:tr w14:paraId="6A3F0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53" w:type="dxa"/>
            <w:vAlign w:val="top"/>
          </w:tcPr>
          <w:p w14:paraId="5E50320B">
            <w:pPr>
              <w:pStyle w:val="23"/>
              <w:spacing w:before="73" w:line="229" w:lineRule="auto"/>
              <w:ind w:left="370"/>
              <w:rPr>
                <w:color w:val="auto"/>
                <w:highlight w:val="none"/>
              </w:rPr>
            </w:pPr>
            <w:r>
              <w:rPr>
                <w:color w:val="auto"/>
                <w:spacing w:val="5"/>
                <w:highlight w:val="none"/>
              </w:rPr>
              <w:t>序号</w:t>
            </w:r>
          </w:p>
        </w:tc>
        <w:tc>
          <w:tcPr>
            <w:tcW w:w="3452" w:type="dxa"/>
            <w:vAlign w:val="top"/>
          </w:tcPr>
          <w:p w14:paraId="4737554A">
            <w:pPr>
              <w:pStyle w:val="23"/>
              <w:spacing w:before="73" w:line="228" w:lineRule="auto"/>
              <w:ind w:left="1311"/>
              <w:rPr>
                <w:color w:val="auto"/>
                <w:highlight w:val="none"/>
              </w:rPr>
            </w:pPr>
            <w:r>
              <w:rPr>
                <w:color w:val="auto"/>
                <w:spacing w:val="7"/>
                <w:highlight w:val="none"/>
              </w:rPr>
              <w:t>子目名称</w:t>
            </w:r>
          </w:p>
        </w:tc>
        <w:tc>
          <w:tcPr>
            <w:tcW w:w="1351" w:type="dxa"/>
            <w:vAlign w:val="top"/>
          </w:tcPr>
          <w:p w14:paraId="14830AAB">
            <w:pPr>
              <w:pStyle w:val="23"/>
              <w:spacing w:before="73" w:line="228" w:lineRule="auto"/>
              <w:ind w:left="471"/>
              <w:rPr>
                <w:color w:val="auto"/>
                <w:highlight w:val="none"/>
              </w:rPr>
            </w:pPr>
            <w:r>
              <w:rPr>
                <w:color w:val="auto"/>
                <w:spacing w:val="3"/>
                <w:highlight w:val="none"/>
              </w:rPr>
              <w:t>单位</w:t>
            </w:r>
          </w:p>
        </w:tc>
        <w:tc>
          <w:tcPr>
            <w:tcW w:w="1198" w:type="dxa"/>
            <w:vAlign w:val="top"/>
          </w:tcPr>
          <w:p w14:paraId="080633D1">
            <w:pPr>
              <w:pStyle w:val="23"/>
              <w:spacing w:before="72" w:line="228" w:lineRule="auto"/>
              <w:ind w:left="395"/>
              <w:rPr>
                <w:color w:val="auto"/>
                <w:highlight w:val="none"/>
              </w:rPr>
            </w:pPr>
            <w:r>
              <w:rPr>
                <w:color w:val="auto"/>
                <w:spacing w:val="3"/>
                <w:highlight w:val="none"/>
              </w:rPr>
              <w:t>数量</w:t>
            </w:r>
          </w:p>
        </w:tc>
        <w:tc>
          <w:tcPr>
            <w:tcW w:w="1649" w:type="dxa"/>
            <w:vAlign w:val="top"/>
          </w:tcPr>
          <w:p w14:paraId="77AE8AA5">
            <w:pPr>
              <w:pStyle w:val="23"/>
              <w:spacing w:before="73" w:line="226" w:lineRule="auto"/>
              <w:ind w:left="306"/>
              <w:rPr>
                <w:color w:val="auto"/>
                <w:highlight w:val="none"/>
              </w:rPr>
            </w:pPr>
            <w:r>
              <w:rPr>
                <w:color w:val="auto"/>
                <w:spacing w:val="5"/>
                <w:highlight w:val="none"/>
              </w:rPr>
              <w:t>单价（元）</w:t>
            </w:r>
          </w:p>
        </w:tc>
        <w:tc>
          <w:tcPr>
            <w:tcW w:w="1649" w:type="dxa"/>
            <w:vAlign w:val="top"/>
          </w:tcPr>
          <w:p w14:paraId="131C87B9">
            <w:pPr>
              <w:pStyle w:val="23"/>
              <w:spacing w:before="73" w:line="226" w:lineRule="auto"/>
              <w:ind w:left="307"/>
              <w:rPr>
                <w:color w:val="auto"/>
                <w:highlight w:val="none"/>
              </w:rPr>
            </w:pPr>
            <w:r>
              <w:rPr>
                <w:color w:val="auto"/>
                <w:spacing w:val="5"/>
                <w:highlight w:val="none"/>
              </w:rPr>
              <w:t>合价（元）</w:t>
            </w:r>
          </w:p>
        </w:tc>
        <w:tc>
          <w:tcPr>
            <w:tcW w:w="3766" w:type="dxa"/>
            <w:vAlign w:val="top"/>
          </w:tcPr>
          <w:p w14:paraId="06E05644">
            <w:pPr>
              <w:pStyle w:val="23"/>
              <w:spacing w:before="73" w:line="229" w:lineRule="auto"/>
              <w:ind w:left="1679"/>
              <w:rPr>
                <w:color w:val="auto"/>
                <w:highlight w:val="none"/>
              </w:rPr>
            </w:pPr>
            <w:r>
              <w:rPr>
                <w:color w:val="auto"/>
                <w:spacing w:val="3"/>
                <w:highlight w:val="none"/>
              </w:rPr>
              <w:t>备注</w:t>
            </w:r>
          </w:p>
        </w:tc>
      </w:tr>
      <w:tr w14:paraId="1F56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56948B0F">
            <w:pPr>
              <w:pStyle w:val="23"/>
              <w:spacing w:before="71" w:line="270" w:lineRule="exact"/>
              <w:ind w:left="545"/>
              <w:rPr>
                <w:color w:val="auto"/>
                <w:highlight w:val="none"/>
              </w:rPr>
            </w:pPr>
            <w:r>
              <w:rPr>
                <w:color w:val="auto"/>
                <w:position w:val="1"/>
                <w:highlight w:val="none"/>
              </w:rPr>
              <w:t>1</w:t>
            </w:r>
          </w:p>
        </w:tc>
        <w:tc>
          <w:tcPr>
            <w:tcW w:w="3452" w:type="dxa"/>
            <w:vAlign w:val="top"/>
          </w:tcPr>
          <w:p w14:paraId="085FBCCA">
            <w:pPr>
              <w:pStyle w:val="23"/>
              <w:spacing w:before="70" w:line="228" w:lineRule="auto"/>
              <w:ind w:left="894"/>
              <w:rPr>
                <w:color w:val="auto"/>
                <w:highlight w:val="none"/>
              </w:rPr>
            </w:pPr>
            <w:r>
              <w:rPr>
                <w:color w:val="auto"/>
                <w:spacing w:val="8"/>
                <w:highlight w:val="none"/>
              </w:rPr>
              <w:t>项目管理系统软件</w:t>
            </w:r>
          </w:p>
        </w:tc>
        <w:tc>
          <w:tcPr>
            <w:tcW w:w="1351" w:type="dxa"/>
            <w:vAlign w:val="top"/>
          </w:tcPr>
          <w:p w14:paraId="07BFFD9F">
            <w:pPr>
              <w:pStyle w:val="23"/>
              <w:spacing w:before="70" w:line="228" w:lineRule="auto"/>
              <w:ind w:left="475"/>
              <w:rPr>
                <w:color w:val="auto"/>
                <w:highlight w:val="none"/>
              </w:rPr>
            </w:pPr>
            <w:r>
              <w:rPr>
                <w:color w:val="auto"/>
                <w:spacing w:val="2"/>
                <w:highlight w:val="none"/>
              </w:rPr>
              <w:t>总额</w:t>
            </w:r>
          </w:p>
        </w:tc>
        <w:tc>
          <w:tcPr>
            <w:tcW w:w="1198" w:type="dxa"/>
            <w:vAlign w:val="top"/>
          </w:tcPr>
          <w:p w14:paraId="7992F9D1">
            <w:pPr>
              <w:pStyle w:val="23"/>
              <w:spacing w:before="71" w:line="270" w:lineRule="exact"/>
              <w:ind w:left="567"/>
              <w:rPr>
                <w:color w:val="auto"/>
                <w:highlight w:val="none"/>
              </w:rPr>
            </w:pPr>
            <w:r>
              <w:rPr>
                <w:color w:val="auto"/>
                <w:position w:val="1"/>
                <w:highlight w:val="none"/>
              </w:rPr>
              <w:t>1</w:t>
            </w:r>
          </w:p>
        </w:tc>
        <w:tc>
          <w:tcPr>
            <w:tcW w:w="1649" w:type="dxa"/>
            <w:vAlign w:val="top"/>
          </w:tcPr>
          <w:p w14:paraId="1D448BF1">
            <w:pPr>
              <w:rPr>
                <w:rFonts w:ascii="Arial"/>
                <w:color w:val="auto"/>
                <w:sz w:val="21"/>
                <w:highlight w:val="none"/>
              </w:rPr>
            </w:pPr>
          </w:p>
        </w:tc>
        <w:tc>
          <w:tcPr>
            <w:tcW w:w="1649" w:type="dxa"/>
            <w:vAlign w:val="top"/>
          </w:tcPr>
          <w:p w14:paraId="4B02A9EA">
            <w:pPr>
              <w:rPr>
                <w:rFonts w:ascii="Arial"/>
                <w:color w:val="auto"/>
                <w:sz w:val="21"/>
                <w:highlight w:val="none"/>
              </w:rPr>
            </w:pPr>
          </w:p>
        </w:tc>
        <w:tc>
          <w:tcPr>
            <w:tcW w:w="3766" w:type="dxa"/>
            <w:vAlign w:val="top"/>
          </w:tcPr>
          <w:p w14:paraId="19FF7AC1">
            <w:pPr>
              <w:pStyle w:val="23"/>
              <w:spacing w:before="70" w:line="228" w:lineRule="auto"/>
              <w:ind w:left="418"/>
              <w:rPr>
                <w:color w:val="auto"/>
                <w:highlight w:val="none"/>
              </w:rPr>
            </w:pPr>
            <w:r>
              <w:rPr>
                <w:color w:val="auto"/>
                <w:spacing w:val="9"/>
                <w:highlight w:val="none"/>
              </w:rPr>
              <w:t>按招标文件规定的固定金额填报</w:t>
            </w:r>
          </w:p>
        </w:tc>
      </w:tr>
      <w:tr w14:paraId="70EBE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2025D3D0">
            <w:pPr>
              <w:pStyle w:val="23"/>
              <w:spacing w:before="71" w:line="270" w:lineRule="exact"/>
              <w:ind w:left="532"/>
              <w:rPr>
                <w:color w:val="auto"/>
                <w:highlight w:val="none"/>
              </w:rPr>
            </w:pPr>
            <w:r>
              <w:rPr>
                <w:color w:val="auto"/>
                <w:position w:val="1"/>
                <w:highlight w:val="none"/>
              </w:rPr>
              <w:t>2</w:t>
            </w:r>
          </w:p>
        </w:tc>
        <w:tc>
          <w:tcPr>
            <w:tcW w:w="3452" w:type="dxa"/>
            <w:vAlign w:val="top"/>
          </w:tcPr>
          <w:p w14:paraId="5923C459">
            <w:pPr>
              <w:pStyle w:val="23"/>
              <w:spacing w:before="71" w:line="228" w:lineRule="auto"/>
              <w:ind w:left="891"/>
              <w:rPr>
                <w:color w:val="auto"/>
                <w:highlight w:val="none"/>
              </w:rPr>
            </w:pPr>
            <w:r>
              <w:rPr>
                <w:color w:val="auto"/>
                <w:spacing w:val="8"/>
                <w:highlight w:val="none"/>
              </w:rPr>
              <w:t>监理适岗培训费用</w:t>
            </w:r>
          </w:p>
        </w:tc>
        <w:tc>
          <w:tcPr>
            <w:tcW w:w="1351" w:type="dxa"/>
            <w:vAlign w:val="top"/>
          </w:tcPr>
          <w:p w14:paraId="10460DD9">
            <w:pPr>
              <w:pStyle w:val="23"/>
              <w:spacing w:before="71" w:line="228" w:lineRule="auto"/>
              <w:ind w:left="475"/>
              <w:rPr>
                <w:color w:val="auto"/>
                <w:highlight w:val="none"/>
              </w:rPr>
            </w:pPr>
            <w:r>
              <w:rPr>
                <w:color w:val="auto"/>
                <w:spacing w:val="2"/>
                <w:highlight w:val="none"/>
              </w:rPr>
              <w:t>总额</w:t>
            </w:r>
          </w:p>
        </w:tc>
        <w:tc>
          <w:tcPr>
            <w:tcW w:w="1198" w:type="dxa"/>
            <w:vAlign w:val="top"/>
          </w:tcPr>
          <w:p w14:paraId="0239393F">
            <w:pPr>
              <w:pStyle w:val="23"/>
              <w:spacing w:before="71" w:line="270" w:lineRule="exact"/>
              <w:ind w:left="567"/>
              <w:rPr>
                <w:color w:val="auto"/>
                <w:highlight w:val="none"/>
              </w:rPr>
            </w:pPr>
            <w:r>
              <w:rPr>
                <w:color w:val="auto"/>
                <w:position w:val="1"/>
                <w:highlight w:val="none"/>
              </w:rPr>
              <w:t>1</w:t>
            </w:r>
          </w:p>
        </w:tc>
        <w:tc>
          <w:tcPr>
            <w:tcW w:w="1649" w:type="dxa"/>
            <w:vAlign w:val="top"/>
          </w:tcPr>
          <w:p w14:paraId="5EC1852E">
            <w:pPr>
              <w:rPr>
                <w:rFonts w:ascii="Arial"/>
                <w:color w:val="auto"/>
                <w:sz w:val="21"/>
                <w:highlight w:val="none"/>
              </w:rPr>
            </w:pPr>
          </w:p>
        </w:tc>
        <w:tc>
          <w:tcPr>
            <w:tcW w:w="1649" w:type="dxa"/>
            <w:vAlign w:val="top"/>
          </w:tcPr>
          <w:p w14:paraId="68BAA087">
            <w:pPr>
              <w:rPr>
                <w:rFonts w:ascii="Arial"/>
                <w:color w:val="auto"/>
                <w:sz w:val="21"/>
                <w:highlight w:val="none"/>
              </w:rPr>
            </w:pPr>
          </w:p>
        </w:tc>
        <w:tc>
          <w:tcPr>
            <w:tcW w:w="3766" w:type="dxa"/>
            <w:vAlign w:val="top"/>
          </w:tcPr>
          <w:p w14:paraId="70E1D851">
            <w:pPr>
              <w:pStyle w:val="23"/>
              <w:spacing w:before="71" w:line="228" w:lineRule="auto"/>
              <w:ind w:left="418"/>
              <w:rPr>
                <w:color w:val="auto"/>
                <w:highlight w:val="none"/>
              </w:rPr>
            </w:pPr>
            <w:r>
              <w:rPr>
                <w:color w:val="auto"/>
                <w:spacing w:val="9"/>
                <w:highlight w:val="none"/>
              </w:rPr>
              <w:t>按招标文件规定的固定金额填报</w:t>
            </w:r>
          </w:p>
        </w:tc>
      </w:tr>
      <w:tr w14:paraId="653F6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53" w:type="dxa"/>
            <w:vAlign w:val="top"/>
          </w:tcPr>
          <w:p w14:paraId="6B965AE0">
            <w:pPr>
              <w:pStyle w:val="23"/>
              <w:spacing w:before="237" w:line="268" w:lineRule="exact"/>
              <w:ind w:left="533"/>
              <w:rPr>
                <w:color w:val="auto"/>
                <w:highlight w:val="none"/>
              </w:rPr>
            </w:pPr>
            <w:r>
              <w:rPr>
                <w:color w:val="auto"/>
                <w:position w:val="1"/>
                <w:highlight w:val="none"/>
              </w:rPr>
              <w:t>3</w:t>
            </w:r>
          </w:p>
        </w:tc>
        <w:tc>
          <w:tcPr>
            <w:tcW w:w="3452" w:type="dxa"/>
            <w:vAlign w:val="top"/>
          </w:tcPr>
          <w:p w14:paraId="0614CADA">
            <w:pPr>
              <w:pStyle w:val="23"/>
              <w:spacing w:before="33" w:line="227" w:lineRule="auto"/>
              <w:ind w:left="154"/>
              <w:rPr>
                <w:color w:val="auto"/>
                <w:highlight w:val="none"/>
              </w:rPr>
            </w:pPr>
            <w:r>
              <w:rPr>
                <w:color w:val="auto"/>
                <w:spacing w:val="13"/>
                <w:highlight w:val="none"/>
              </w:rPr>
              <w:t>法人单位对“项目现场管理机构</w:t>
            </w:r>
            <w:r>
              <w:rPr>
                <w:color w:val="auto"/>
                <w:spacing w:val="-56"/>
                <w:highlight w:val="none"/>
              </w:rPr>
              <w:t xml:space="preserve"> </w:t>
            </w:r>
            <w:r>
              <w:rPr>
                <w:color w:val="auto"/>
                <w:spacing w:val="13"/>
                <w:highlight w:val="none"/>
              </w:rPr>
              <w:t>”</w:t>
            </w:r>
          </w:p>
          <w:p w14:paraId="5D1BA36A">
            <w:pPr>
              <w:pStyle w:val="23"/>
              <w:spacing w:before="161" w:line="228" w:lineRule="auto"/>
              <w:ind w:left="1011"/>
              <w:rPr>
                <w:color w:val="auto"/>
                <w:highlight w:val="none"/>
              </w:rPr>
            </w:pPr>
            <w:r>
              <w:rPr>
                <w:color w:val="auto"/>
                <w:spacing w:val="6"/>
                <w:highlight w:val="none"/>
              </w:rPr>
              <w:t>的监管和支持费</w:t>
            </w:r>
          </w:p>
        </w:tc>
        <w:tc>
          <w:tcPr>
            <w:tcW w:w="1351" w:type="dxa"/>
            <w:vAlign w:val="top"/>
          </w:tcPr>
          <w:p w14:paraId="3EE1B5E3">
            <w:pPr>
              <w:pStyle w:val="23"/>
              <w:spacing w:before="237" w:line="228" w:lineRule="auto"/>
              <w:ind w:left="475"/>
              <w:rPr>
                <w:color w:val="auto"/>
                <w:highlight w:val="none"/>
              </w:rPr>
            </w:pPr>
            <w:r>
              <w:rPr>
                <w:color w:val="auto"/>
                <w:spacing w:val="2"/>
                <w:highlight w:val="none"/>
              </w:rPr>
              <w:t>总额</w:t>
            </w:r>
          </w:p>
        </w:tc>
        <w:tc>
          <w:tcPr>
            <w:tcW w:w="1198" w:type="dxa"/>
            <w:vAlign w:val="top"/>
          </w:tcPr>
          <w:p w14:paraId="2686AF07">
            <w:pPr>
              <w:pStyle w:val="23"/>
              <w:spacing w:before="237" w:line="270" w:lineRule="exact"/>
              <w:ind w:left="567"/>
              <w:rPr>
                <w:color w:val="auto"/>
                <w:highlight w:val="none"/>
              </w:rPr>
            </w:pPr>
            <w:r>
              <w:rPr>
                <w:color w:val="auto"/>
                <w:position w:val="1"/>
                <w:highlight w:val="none"/>
              </w:rPr>
              <w:t>1</w:t>
            </w:r>
          </w:p>
        </w:tc>
        <w:tc>
          <w:tcPr>
            <w:tcW w:w="1649" w:type="dxa"/>
            <w:vAlign w:val="top"/>
          </w:tcPr>
          <w:p w14:paraId="1DCDD3E1">
            <w:pPr>
              <w:rPr>
                <w:rFonts w:ascii="Arial"/>
                <w:color w:val="auto"/>
                <w:sz w:val="21"/>
                <w:highlight w:val="none"/>
              </w:rPr>
            </w:pPr>
          </w:p>
        </w:tc>
        <w:tc>
          <w:tcPr>
            <w:tcW w:w="1649" w:type="dxa"/>
            <w:vAlign w:val="top"/>
          </w:tcPr>
          <w:p w14:paraId="20EEE5A2">
            <w:pPr>
              <w:rPr>
                <w:rFonts w:ascii="Arial"/>
                <w:color w:val="auto"/>
                <w:sz w:val="21"/>
                <w:highlight w:val="none"/>
              </w:rPr>
            </w:pPr>
          </w:p>
        </w:tc>
        <w:tc>
          <w:tcPr>
            <w:tcW w:w="3766" w:type="dxa"/>
            <w:vAlign w:val="top"/>
          </w:tcPr>
          <w:p w14:paraId="2B200EF5">
            <w:pPr>
              <w:pStyle w:val="23"/>
              <w:spacing w:before="237" w:line="228" w:lineRule="auto"/>
              <w:ind w:left="418"/>
              <w:rPr>
                <w:color w:val="auto"/>
                <w:highlight w:val="none"/>
              </w:rPr>
            </w:pPr>
            <w:r>
              <w:rPr>
                <w:color w:val="auto"/>
                <w:spacing w:val="9"/>
                <w:highlight w:val="none"/>
              </w:rPr>
              <w:t>按招标文件规定的固定金额填报</w:t>
            </w:r>
          </w:p>
        </w:tc>
      </w:tr>
      <w:tr w14:paraId="770CA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2E8403FD">
            <w:pPr>
              <w:pStyle w:val="23"/>
              <w:spacing w:before="72" w:line="270" w:lineRule="exact"/>
              <w:ind w:left="528"/>
              <w:rPr>
                <w:color w:val="auto"/>
                <w:highlight w:val="none"/>
              </w:rPr>
            </w:pPr>
            <w:r>
              <w:rPr>
                <w:color w:val="auto"/>
                <w:position w:val="1"/>
                <w:highlight w:val="none"/>
              </w:rPr>
              <w:t>4</w:t>
            </w:r>
          </w:p>
        </w:tc>
        <w:tc>
          <w:tcPr>
            <w:tcW w:w="3452" w:type="dxa"/>
            <w:vAlign w:val="top"/>
          </w:tcPr>
          <w:p w14:paraId="4F0E1406">
            <w:pPr>
              <w:pStyle w:val="23"/>
              <w:spacing w:before="226" w:line="84" w:lineRule="exact"/>
              <w:ind w:left="1263"/>
              <w:rPr>
                <w:color w:val="auto"/>
                <w:highlight w:val="none"/>
              </w:rPr>
            </w:pPr>
            <w:r>
              <w:rPr>
                <w:color w:val="auto"/>
                <w:spacing w:val="4"/>
                <w:position w:val="1"/>
                <w:highlight w:val="none"/>
              </w:rPr>
              <w:t>.........</w:t>
            </w:r>
          </w:p>
        </w:tc>
        <w:tc>
          <w:tcPr>
            <w:tcW w:w="1351" w:type="dxa"/>
            <w:vAlign w:val="top"/>
          </w:tcPr>
          <w:p w14:paraId="69973D5B">
            <w:pPr>
              <w:rPr>
                <w:rFonts w:ascii="Arial"/>
                <w:color w:val="auto"/>
                <w:sz w:val="21"/>
                <w:highlight w:val="none"/>
              </w:rPr>
            </w:pPr>
          </w:p>
        </w:tc>
        <w:tc>
          <w:tcPr>
            <w:tcW w:w="1198" w:type="dxa"/>
            <w:vAlign w:val="top"/>
          </w:tcPr>
          <w:p w14:paraId="3E564754">
            <w:pPr>
              <w:rPr>
                <w:rFonts w:ascii="Arial"/>
                <w:color w:val="auto"/>
                <w:sz w:val="21"/>
                <w:highlight w:val="none"/>
              </w:rPr>
            </w:pPr>
          </w:p>
        </w:tc>
        <w:tc>
          <w:tcPr>
            <w:tcW w:w="1649" w:type="dxa"/>
            <w:vAlign w:val="top"/>
          </w:tcPr>
          <w:p w14:paraId="1001BA45">
            <w:pPr>
              <w:rPr>
                <w:rFonts w:ascii="Arial"/>
                <w:color w:val="auto"/>
                <w:sz w:val="21"/>
                <w:highlight w:val="none"/>
              </w:rPr>
            </w:pPr>
          </w:p>
        </w:tc>
        <w:tc>
          <w:tcPr>
            <w:tcW w:w="1649" w:type="dxa"/>
            <w:vAlign w:val="top"/>
          </w:tcPr>
          <w:p w14:paraId="394E45E0">
            <w:pPr>
              <w:rPr>
                <w:rFonts w:ascii="Arial"/>
                <w:color w:val="auto"/>
                <w:sz w:val="21"/>
                <w:highlight w:val="none"/>
              </w:rPr>
            </w:pPr>
          </w:p>
        </w:tc>
        <w:tc>
          <w:tcPr>
            <w:tcW w:w="3766" w:type="dxa"/>
            <w:vAlign w:val="top"/>
          </w:tcPr>
          <w:p w14:paraId="7B199E52">
            <w:pPr>
              <w:rPr>
                <w:rFonts w:ascii="Arial"/>
                <w:color w:val="auto"/>
                <w:sz w:val="21"/>
                <w:highlight w:val="none"/>
              </w:rPr>
            </w:pPr>
          </w:p>
        </w:tc>
      </w:tr>
      <w:tr w14:paraId="4137D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53" w:type="dxa"/>
            <w:vAlign w:val="top"/>
          </w:tcPr>
          <w:p w14:paraId="566236F9">
            <w:pPr>
              <w:pStyle w:val="23"/>
              <w:spacing w:before="33" w:line="361" w:lineRule="auto"/>
              <w:ind w:left="278" w:right="277" w:firstLine="93"/>
              <w:rPr>
                <w:color w:val="auto"/>
                <w:highlight w:val="none"/>
              </w:rPr>
            </w:pPr>
            <w:r>
              <w:rPr>
                <w:color w:val="auto"/>
                <w:spacing w:val="4"/>
                <w:highlight w:val="none"/>
              </w:rPr>
              <w:t>合计</w:t>
            </w:r>
            <w:r>
              <w:rPr>
                <w:color w:val="auto"/>
                <w:spacing w:val="-3"/>
                <w:highlight w:val="none"/>
              </w:rPr>
              <w:t>（元）</w:t>
            </w:r>
          </w:p>
        </w:tc>
        <w:tc>
          <w:tcPr>
            <w:tcW w:w="3452" w:type="dxa"/>
            <w:vAlign w:val="top"/>
          </w:tcPr>
          <w:p w14:paraId="65BD89CC">
            <w:pPr>
              <w:rPr>
                <w:rFonts w:ascii="Arial"/>
                <w:color w:val="auto"/>
                <w:sz w:val="21"/>
                <w:highlight w:val="none"/>
              </w:rPr>
            </w:pPr>
          </w:p>
        </w:tc>
        <w:tc>
          <w:tcPr>
            <w:tcW w:w="1351" w:type="dxa"/>
            <w:vAlign w:val="top"/>
          </w:tcPr>
          <w:p w14:paraId="69694D8C">
            <w:pPr>
              <w:rPr>
                <w:rFonts w:ascii="Arial"/>
                <w:color w:val="auto"/>
                <w:sz w:val="21"/>
                <w:highlight w:val="none"/>
              </w:rPr>
            </w:pPr>
          </w:p>
        </w:tc>
        <w:tc>
          <w:tcPr>
            <w:tcW w:w="1198" w:type="dxa"/>
            <w:vAlign w:val="top"/>
          </w:tcPr>
          <w:p w14:paraId="1FF4AB77">
            <w:pPr>
              <w:rPr>
                <w:rFonts w:ascii="Arial"/>
                <w:color w:val="auto"/>
                <w:sz w:val="21"/>
                <w:highlight w:val="none"/>
              </w:rPr>
            </w:pPr>
          </w:p>
        </w:tc>
        <w:tc>
          <w:tcPr>
            <w:tcW w:w="1649" w:type="dxa"/>
            <w:vAlign w:val="top"/>
          </w:tcPr>
          <w:p w14:paraId="614ED535">
            <w:pPr>
              <w:rPr>
                <w:rFonts w:ascii="Arial"/>
                <w:color w:val="auto"/>
                <w:sz w:val="21"/>
                <w:highlight w:val="none"/>
              </w:rPr>
            </w:pPr>
          </w:p>
        </w:tc>
        <w:tc>
          <w:tcPr>
            <w:tcW w:w="1649" w:type="dxa"/>
            <w:vAlign w:val="top"/>
          </w:tcPr>
          <w:p w14:paraId="397314A3">
            <w:pPr>
              <w:rPr>
                <w:rFonts w:ascii="Arial"/>
                <w:color w:val="auto"/>
                <w:sz w:val="21"/>
                <w:highlight w:val="none"/>
              </w:rPr>
            </w:pPr>
          </w:p>
        </w:tc>
        <w:tc>
          <w:tcPr>
            <w:tcW w:w="3766" w:type="dxa"/>
            <w:vAlign w:val="top"/>
          </w:tcPr>
          <w:p w14:paraId="69657DAC">
            <w:pPr>
              <w:rPr>
                <w:rFonts w:ascii="Arial"/>
                <w:color w:val="auto"/>
                <w:sz w:val="21"/>
                <w:highlight w:val="none"/>
              </w:rPr>
            </w:pPr>
          </w:p>
        </w:tc>
      </w:tr>
    </w:tbl>
    <w:p w14:paraId="5E0DEE24">
      <w:pPr>
        <w:rPr>
          <w:rFonts w:ascii="Arial"/>
          <w:color w:val="auto"/>
          <w:sz w:val="21"/>
          <w:highlight w:val="none"/>
        </w:rPr>
      </w:pPr>
    </w:p>
    <w:p w14:paraId="7FE5F738">
      <w:pPr>
        <w:rPr>
          <w:rFonts w:ascii="Arial"/>
          <w:color w:val="auto"/>
          <w:sz w:val="21"/>
          <w:highlight w:val="none"/>
        </w:rPr>
      </w:pPr>
    </w:p>
    <w:p w14:paraId="49ABC311">
      <w:pPr>
        <w:rPr>
          <w:rFonts w:ascii="Arial"/>
          <w:color w:val="auto"/>
          <w:sz w:val="21"/>
          <w:highlight w:val="none"/>
        </w:rPr>
      </w:pPr>
    </w:p>
    <w:p w14:paraId="36568F9C">
      <w:pPr>
        <w:rPr>
          <w:rFonts w:ascii="Arial"/>
          <w:color w:val="auto"/>
          <w:sz w:val="21"/>
          <w:highlight w:val="none"/>
        </w:rPr>
      </w:pPr>
    </w:p>
    <w:p w14:paraId="25DB2775">
      <w:pPr>
        <w:rPr>
          <w:rFonts w:ascii="Arial"/>
          <w:color w:val="auto"/>
          <w:sz w:val="21"/>
          <w:highlight w:val="none"/>
        </w:rPr>
      </w:pPr>
    </w:p>
    <w:p w14:paraId="4E7333CE">
      <w:pPr>
        <w:rPr>
          <w:rFonts w:ascii="Arial"/>
          <w:color w:val="auto"/>
          <w:sz w:val="21"/>
          <w:highlight w:val="none"/>
        </w:rPr>
      </w:pPr>
    </w:p>
    <w:p w14:paraId="580005F9">
      <w:pPr>
        <w:rPr>
          <w:rFonts w:ascii="Arial"/>
          <w:color w:val="auto"/>
          <w:sz w:val="21"/>
          <w:highlight w:val="none"/>
        </w:rPr>
      </w:pPr>
    </w:p>
    <w:p w14:paraId="7FB8E50A">
      <w:pPr>
        <w:rPr>
          <w:rFonts w:ascii="Arial"/>
          <w:color w:val="auto"/>
          <w:sz w:val="21"/>
          <w:highlight w:val="none"/>
        </w:rPr>
      </w:pPr>
    </w:p>
    <w:p w14:paraId="5CD03E05">
      <w:pPr>
        <w:rPr>
          <w:rFonts w:ascii="Arial"/>
          <w:color w:val="auto"/>
          <w:sz w:val="21"/>
          <w:highlight w:val="none"/>
        </w:rPr>
      </w:pPr>
    </w:p>
    <w:p w14:paraId="2014724C">
      <w:pPr>
        <w:rPr>
          <w:rFonts w:ascii="Arial"/>
          <w:color w:val="auto"/>
          <w:sz w:val="21"/>
          <w:highlight w:val="none"/>
        </w:rPr>
      </w:pPr>
    </w:p>
    <w:p w14:paraId="17D6BF0F">
      <w:pPr>
        <w:rPr>
          <w:rFonts w:ascii="Arial"/>
          <w:color w:val="auto"/>
          <w:sz w:val="21"/>
          <w:highlight w:val="none"/>
        </w:rPr>
      </w:pPr>
    </w:p>
    <w:p w14:paraId="52150EF6">
      <w:pPr>
        <w:rPr>
          <w:rFonts w:ascii="Arial"/>
          <w:color w:val="auto"/>
          <w:sz w:val="21"/>
          <w:highlight w:val="none"/>
        </w:rPr>
      </w:pPr>
    </w:p>
    <w:p w14:paraId="52D09767">
      <w:pPr>
        <w:rPr>
          <w:rFonts w:ascii="Arial"/>
          <w:color w:val="auto"/>
          <w:sz w:val="21"/>
          <w:highlight w:val="none"/>
        </w:rPr>
      </w:pPr>
    </w:p>
    <w:p w14:paraId="16D72B32">
      <w:pPr>
        <w:rPr>
          <w:rFonts w:ascii="Arial"/>
          <w:color w:val="auto"/>
          <w:sz w:val="21"/>
          <w:highlight w:val="none"/>
        </w:rPr>
      </w:pPr>
    </w:p>
    <w:p w14:paraId="06777540">
      <w:pPr>
        <w:spacing w:line="373" w:lineRule="auto"/>
        <w:rPr>
          <w:rFonts w:ascii="宋体" w:hAnsi="宋体" w:eastAsia="宋体" w:cs="宋体"/>
          <w:color w:val="auto"/>
          <w:sz w:val="18"/>
          <w:szCs w:val="18"/>
          <w:highlight w:val="none"/>
        </w:rPr>
        <w:sectPr>
          <w:footerReference r:id="rId69" w:type="default"/>
          <w:pgSz w:w="16839" w:h="11906"/>
          <w:pgMar w:top="1012" w:right="1307" w:bottom="1297" w:left="1307" w:header="0" w:footer="1069" w:gutter="0"/>
          <w:pgBorders>
            <w:top w:val="none" w:sz="0" w:space="0"/>
            <w:left w:val="none" w:sz="0" w:space="0"/>
            <w:bottom w:val="none" w:sz="0" w:space="0"/>
            <w:right w:val="none" w:sz="0" w:space="0"/>
          </w:pgBorders>
          <w:pgNumType w:fmt="decimal"/>
          <w:cols w:space="720" w:num="1"/>
        </w:sectPr>
      </w:pPr>
    </w:p>
    <w:p w14:paraId="6B7E6F06">
      <w:pPr>
        <w:spacing w:before="55" w:line="212" w:lineRule="auto"/>
        <w:ind w:left="3076"/>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52"/>
          <w:sz w:val="28"/>
          <w:szCs w:val="28"/>
          <w:highlight w:val="none"/>
        </w:rPr>
        <w:t xml:space="preserve"> </w:t>
      </w:r>
      <w:r>
        <w:rPr>
          <w:rFonts w:ascii="宋体" w:hAnsi="宋体" w:eastAsia="宋体" w:cs="宋体"/>
          <w:b/>
          <w:bCs/>
          <w:color w:val="auto"/>
          <w:spacing w:val="-4"/>
          <w:sz w:val="28"/>
          <w:szCs w:val="28"/>
          <w:highlight w:val="none"/>
        </w:rPr>
        <w:t>8</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监理费用支付估算表</w:t>
      </w:r>
    </w:p>
    <w:tbl>
      <w:tblPr>
        <w:tblStyle w:val="22"/>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3"/>
        <w:gridCol w:w="661"/>
        <w:gridCol w:w="661"/>
        <w:gridCol w:w="661"/>
        <w:gridCol w:w="664"/>
        <w:gridCol w:w="660"/>
        <w:gridCol w:w="661"/>
        <w:gridCol w:w="661"/>
        <w:gridCol w:w="666"/>
        <w:gridCol w:w="1467"/>
        <w:gridCol w:w="923"/>
      </w:tblGrid>
      <w:tr w14:paraId="70A18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603" w:type="dxa"/>
            <w:vMerge w:val="restart"/>
            <w:tcBorders>
              <w:bottom w:val="nil"/>
              <w:tl2br w:val="single" w:color="000000" w:sz="8" w:space="0"/>
            </w:tcBorders>
            <w:vAlign w:val="top"/>
          </w:tcPr>
          <w:p w14:paraId="66E6CA66">
            <w:pPr>
              <w:pStyle w:val="23"/>
              <w:spacing w:before="208" w:line="277" w:lineRule="auto"/>
              <w:ind w:left="51" w:right="55" w:firstLine="1091"/>
              <w:rPr>
                <w:color w:val="auto"/>
                <w:highlight w:val="none"/>
              </w:rPr>
            </w:pPr>
            <w:r>
              <w:rPr>
                <w:color w:val="auto"/>
                <w:spacing w:val="-1"/>
                <w:highlight w:val="none"/>
              </w:rPr>
              <w:t>时间</w:t>
            </w:r>
            <w:r>
              <w:rPr>
                <w:color w:val="auto"/>
                <w:spacing w:val="3"/>
                <w:highlight w:val="none"/>
              </w:rPr>
              <w:t>项目</w:t>
            </w:r>
          </w:p>
        </w:tc>
        <w:tc>
          <w:tcPr>
            <w:tcW w:w="2647" w:type="dxa"/>
            <w:gridSpan w:val="4"/>
            <w:vAlign w:val="top"/>
          </w:tcPr>
          <w:p w14:paraId="768BBBC1">
            <w:pPr>
              <w:pStyle w:val="23"/>
              <w:tabs>
                <w:tab w:val="left" w:pos="1020"/>
              </w:tabs>
              <w:spacing w:before="165" w:line="216" w:lineRule="auto"/>
              <w:ind w:left="706"/>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99"/>
                <w:highlight w:val="none"/>
              </w:rPr>
              <w:t xml:space="preserve"> </w:t>
            </w:r>
            <w:r>
              <w:rPr>
                <w:color w:val="auto"/>
                <w:spacing w:val="5"/>
                <w:highlight w:val="none"/>
                <w:u w:val="single" w:color="auto"/>
              </w:rPr>
              <w:t xml:space="preserve">   </w:t>
            </w:r>
            <w:r>
              <w:rPr>
                <w:color w:val="auto"/>
                <w:spacing w:val="-91"/>
                <w:highlight w:val="none"/>
              </w:rPr>
              <w:t xml:space="preserve"> </w:t>
            </w:r>
            <w:r>
              <w:rPr>
                <w:color w:val="auto"/>
                <w:spacing w:val="2"/>
                <w:highlight w:val="none"/>
              </w:rPr>
              <w:t>季度</w:t>
            </w:r>
          </w:p>
        </w:tc>
        <w:tc>
          <w:tcPr>
            <w:tcW w:w="2648" w:type="dxa"/>
            <w:gridSpan w:val="4"/>
            <w:vAlign w:val="top"/>
          </w:tcPr>
          <w:p w14:paraId="04219E43">
            <w:pPr>
              <w:pStyle w:val="23"/>
              <w:tabs>
                <w:tab w:val="left" w:pos="1005"/>
              </w:tabs>
              <w:spacing w:before="165" w:line="216" w:lineRule="auto"/>
              <w:ind w:left="692"/>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5"/>
                <w:highlight w:val="none"/>
                <w:u w:val="single" w:color="auto"/>
              </w:rPr>
              <w:t xml:space="preserve">   </w:t>
            </w:r>
            <w:r>
              <w:rPr>
                <w:color w:val="auto"/>
                <w:spacing w:val="-90"/>
                <w:highlight w:val="none"/>
              </w:rPr>
              <w:t xml:space="preserve"> </w:t>
            </w:r>
            <w:r>
              <w:rPr>
                <w:color w:val="auto"/>
                <w:spacing w:val="2"/>
                <w:highlight w:val="none"/>
              </w:rPr>
              <w:t>季度</w:t>
            </w:r>
          </w:p>
        </w:tc>
        <w:tc>
          <w:tcPr>
            <w:tcW w:w="1467" w:type="dxa"/>
            <w:vMerge w:val="restart"/>
            <w:tcBorders>
              <w:bottom w:val="nil"/>
            </w:tcBorders>
            <w:vAlign w:val="top"/>
          </w:tcPr>
          <w:p w14:paraId="7EE96A30">
            <w:pPr>
              <w:spacing w:line="302" w:lineRule="auto"/>
              <w:rPr>
                <w:rFonts w:ascii="Arial"/>
                <w:color w:val="auto"/>
                <w:sz w:val="21"/>
                <w:highlight w:val="none"/>
              </w:rPr>
            </w:pPr>
          </w:p>
          <w:p w14:paraId="4A3C7A62">
            <w:pPr>
              <w:pStyle w:val="23"/>
              <w:spacing w:before="65" w:line="228" w:lineRule="auto"/>
              <w:ind w:left="215"/>
              <w:rPr>
                <w:color w:val="auto"/>
                <w:highlight w:val="none"/>
              </w:rPr>
            </w:pPr>
            <w:r>
              <w:rPr>
                <w:color w:val="auto"/>
                <w:spacing w:val="8"/>
                <w:highlight w:val="none"/>
              </w:rPr>
              <w:t>缺陷责任期</w:t>
            </w:r>
          </w:p>
        </w:tc>
        <w:tc>
          <w:tcPr>
            <w:tcW w:w="923" w:type="dxa"/>
            <w:vMerge w:val="restart"/>
            <w:tcBorders>
              <w:bottom w:val="nil"/>
            </w:tcBorders>
            <w:vAlign w:val="top"/>
          </w:tcPr>
          <w:p w14:paraId="30FCAE4D">
            <w:pPr>
              <w:spacing w:line="302" w:lineRule="auto"/>
              <w:rPr>
                <w:rFonts w:ascii="Arial"/>
                <w:color w:val="auto"/>
                <w:sz w:val="21"/>
                <w:highlight w:val="none"/>
              </w:rPr>
            </w:pPr>
          </w:p>
          <w:p w14:paraId="3251F726">
            <w:pPr>
              <w:pStyle w:val="23"/>
              <w:spacing w:before="65" w:line="229" w:lineRule="auto"/>
              <w:ind w:left="258"/>
              <w:rPr>
                <w:color w:val="auto"/>
                <w:highlight w:val="none"/>
              </w:rPr>
            </w:pPr>
            <w:r>
              <w:rPr>
                <w:color w:val="auto"/>
                <w:spacing w:val="4"/>
                <w:highlight w:val="none"/>
              </w:rPr>
              <w:t>合计</w:t>
            </w:r>
          </w:p>
        </w:tc>
      </w:tr>
      <w:tr w14:paraId="27B4C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603" w:type="dxa"/>
            <w:vMerge w:val="continue"/>
            <w:tcBorders>
              <w:top w:val="nil"/>
              <w:tl2br w:val="single" w:color="000000" w:sz="8" w:space="0"/>
            </w:tcBorders>
            <w:vAlign w:val="top"/>
          </w:tcPr>
          <w:p w14:paraId="2004D9FA">
            <w:pPr>
              <w:rPr>
                <w:rFonts w:ascii="Arial"/>
                <w:color w:val="auto"/>
                <w:sz w:val="21"/>
                <w:highlight w:val="none"/>
              </w:rPr>
            </w:pPr>
          </w:p>
        </w:tc>
        <w:tc>
          <w:tcPr>
            <w:tcW w:w="661" w:type="dxa"/>
            <w:vAlign w:val="top"/>
          </w:tcPr>
          <w:p w14:paraId="1030A1F9">
            <w:pPr>
              <w:pStyle w:val="23"/>
              <w:spacing w:before="158" w:line="218" w:lineRule="auto"/>
              <w:ind w:left="296"/>
              <w:rPr>
                <w:color w:val="auto"/>
                <w:highlight w:val="none"/>
              </w:rPr>
            </w:pPr>
            <w:r>
              <w:rPr>
                <w:color w:val="auto"/>
                <w:highlight w:val="none"/>
              </w:rPr>
              <w:t>1</w:t>
            </w:r>
          </w:p>
        </w:tc>
        <w:tc>
          <w:tcPr>
            <w:tcW w:w="661" w:type="dxa"/>
            <w:vAlign w:val="top"/>
          </w:tcPr>
          <w:p w14:paraId="4F9C4EAF">
            <w:pPr>
              <w:pStyle w:val="23"/>
              <w:spacing w:before="158" w:line="218" w:lineRule="auto"/>
              <w:ind w:left="284"/>
              <w:rPr>
                <w:color w:val="auto"/>
                <w:highlight w:val="none"/>
              </w:rPr>
            </w:pPr>
            <w:r>
              <w:rPr>
                <w:color w:val="auto"/>
                <w:highlight w:val="none"/>
              </w:rPr>
              <w:t>2</w:t>
            </w:r>
          </w:p>
        </w:tc>
        <w:tc>
          <w:tcPr>
            <w:tcW w:w="661" w:type="dxa"/>
            <w:vAlign w:val="top"/>
          </w:tcPr>
          <w:p w14:paraId="5EE7FECC">
            <w:pPr>
              <w:pStyle w:val="23"/>
              <w:spacing w:before="158" w:line="218" w:lineRule="auto"/>
              <w:ind w:left="285"/>
              <w:rPr>
                <w:color w:val="auto"/>
                <w:highlight w:val="none"/>
              </w:rPr>
            </w:pPr>
            <w:r>
              <w:rPr>
                <w:color w:val="auto"/>
                <w:highlight w:val="none"/>
              </w:rPr>
              <w:t>3</w:t>
            </w:r>
          </w:p>
        </w:tc>
        <w:tc>
          <w:tcPr>
            <w:tcW w:w="664" w:type="dxa"/>
            <w:vAlign w:val="top"/>
          </w:tcPr>
          <w:p w14:paraId="58EA530B">
            <w:pPr>
              <w:pStyle w:val="23"/>
              <w:spacing w:before="158" w:line="218" w:lineRule="auto"/>
              <w:ind w:left="284"/>
              <w:rPr>
                <w:color w:val="auto"/>
                <w:highlight w:val="none"/>
              </w:rPr>
            </w:pPr>
            <w:r>
              <w:rPr>
                <w:color w:val="auto"/>
                <w:highlight w:val="none"/>
              </w:rPr>
              <w:t>4</w:t>
            </w:r>
          </w:p>
        </w:tc>
        <w:tc>
          <w:tcPr>
            <w:tcW w:w="660" w:type="dxa"/>
            <w:vAlign w:val="top"/>
          </w:tcPr>
          <w:p w14:paraId="607238F9">
            <w:pPr>
              <w:pStyle w:val="23"/>
              <w:spacing w:before="158" w:line="218" w:lineRule="auto"/>
              <w:ind w:left="298"/>
              <w:rPr>
                <w:color w:val="auto"/>
                <w:highlight w:val="none"/>
              </w:rPr>
            </w:pPr>
            <w:r>
              <w:rPr>
                <w:color w:val="auto"/>
                <w:highlight w:val="none"/>
              </w:rPr>
              <w:t>1</w:t>
            </w:r>
          </w:p>
        </w:tc>
        <w:tc>
          <w:tcPr>
            <w:tcW w:w="661" w:type="dxa"/>
            <w:vAlign w:val="top"/>
          </w:tcPr>
          <w:p w14:paraId="37C81E0A">
            <w:pPr>
              <w:pStyle w:val="23"/>
              <w:spacing w:before="158" w:line="218" w:lineRule="auto"/>
              <w:ind w:left="285"/>
              <w:rPr>
                <w:color w:val="auto"/>
                <w:highlight w:val="none"/>
              </w:rPr>
            </w:pPr>
            <w:r>
              <w:rPr>
                <w:color w:val="auto"/>
                <w:highlight w:val="none"/>
              </w:rPr>
              <w:t>2</w:t>
            </w:r>
          </w:p>
        </w:tc>
        <w:tc>
          <w:tcPr>
            <w:tcW w:w="661" w:type="dxa"/>
            <w:vAlign w:val="top"/>
          </w:tcPr>
          <w:p w14:paraId="6BCE4654">
            <w:pPr>
              <w:pStyle w:val="23"/>
              <w:spacing w:before="158" w:line="218" w:lineRule="auto"/>
              <w:ind w:left="288"/>
              <w:rPr>
                <w:color w:val="auto"/>
                <w:highlight w:val="none"/>
              </w:rPr>
            </w:pPr>
            <w:r>
              <w:rPr>
                <w:color w:val="auto"/>
                <w:highlight w:val="none"/>
              </w:rPr>
              <w:t>3</w:t>
            </w:r>
          </w:p>
        </w:tc>
        <w:tc>
          <w:tcPr>
            <w:tcW w:w="666" w:type="dxa"/>
            <w:vAlign w:val="top"/>
          </w:tcPr>
          <w:p w14:paraId="44F687F3">
            <w:pPr>
              <w:pStyle w:val="23"/>
              <w:spacing w:before="158" w:line="218" w:lineRule="auto"/>
              <w:ind w:left="285"/>
              <w:rPr>
                <w:color w:val="auto"/>
                <w:highlight w:val="none"/>
              </w:rPr>
            </w:pPr>
            <w:r>
              <w:rPr>
                <w:color w:val="auto"/>
                <w:highlight w:val="none"/>
              </w:rPr>
              <w:t>4</w:t>
            </w:r>
          </w:p>
        </w:tc>
        <w:tc>
          <w:tcPr>
            <w:tcW w:w="1467" w:type="dxa"/>
            <w:vMerge w:val="continue"/>
            <w:tcBorders>
              <w:top w:val="nil"/>
            </w:tcBorders>
            <w:vAlign w:val="top"/>
          </w:tcPr>
          <w:p w14:paraId="4788CAF3">
            <w:pPr>
              <w:rPr>
                <w:rFonts w:ascii="Arial"/>
                <w:color w:val="auto"/>
                <w:sz w:val="21"/>
                <w:highlight w:val="none"/>
              </w:rPr>
            </w:pPr>
          </w:p>
        </w:tc>
        <w:tc>
          <w:tcPr>
            <w:tcW w:w="923" w:type="dxa"/>
            <w:vMerge w:val="continue"/>
            <w:tcBorders>
              <w:top w:val="nil"/>
            </w:tcBorders>
            <w:vAlign w:val="top"/>
          </w:tcPr>
          <w:p w14:paraId="7B87D185">
            <w:pPr>
              <w:rPr>
                <w:rFonts w:ascii="Arial"/>
                <w:color w:val="auto"/>
                <w:sz w:val="21"/>
                <w:highlight w:val="none"/>
              </w:rPr>
            </w:pPr>
          </w:p>
        </w:tc>
      </w:tr>
      <w:tr w14:paraId="134D2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4A637A63">
            <w:pPr>
              <w:pStyle w:val="23"/>
              <w:spacing w:before="260" w:line="216" w:lineRule="auto"/>
              <w:ind w:left="46"/>
              <w:rPr>
                <w:color w:val="auto"/>
                <w:highlight w:val="none"/>
              </w:rPr>
            </w:pPr>
            <w:r>
              <w:rPr>
                <w:color w:val="auto"/>
                <w:spacing w:val="8"/>
                <w:highlight w:val="none"/>
              </w:rPr>
              <w:t>监理人员服务费</w:t>
            </w:r>
          </w:p>
        </w:tc>
        <w:tc>
          <w:tcPr>
            <w:tcW w:w="661" w:type="dxa"/>
            <w:vAlign w:val="top"/>
          </w:tcPr>
          <w:p w14:paraId="0E041733">
            <w:pPr>
              <w:rPr>
                <w:rFonts w:ascii="Arial"/>
                <w:color w:val="auto"/>
                <w:sz w:val="21"/>
                <w:highlight w:val="none"/>
              </w:rPr>
            </w:pPr>
          </w:p>
        </w:tc>
        <w:tc>
          <w:tcPr>
            <w:tcW w:w="661" w:type="dxa"/>
            <w:vAlign w:val="top"/>
          </w:tcPr>
          <w:p w14:paraId="16FC2CCC">
            <w:pPr>
              <w:rPr>
                <w:rFonts w:ascii="Arial"/>
                <w:color w:val="auto"/>
                <w:sz w:val="21"/>
                <w:highlight w:val="none"/>
              </w:rPr>
            </w:pPr>
          </w:p>
        </w:tc>
        <w:tc>
          <w:tcPr>
            <w:tcW w:w="661" w:type="dxa"/>
            <w:vAlign w:val="top"/>
          </w:tcPr>
          <w:p w14:paraId="494CD12F">
            <w:pPr>
              <w:rPr>
                <w:rFonts w:ascii="Arial"/>
                <w:color w:val="auto"/>
                <w:sz w:val="21"/>
                <w:highlight w:val="none"/>
              </w:rPr>
            </w:pPr>
          </w:p>
        </w:tc>
        <w:tc>
          <w:tcPr>
            <w:tcW w:w="664" w:type="dxa"/>
            <w:vAlign w:val="top"/>
          </w:tcPr>
          <w:p w14:paraId="38EB6918">
            <w:pPr>
              <w:rPr>
                <w:rFonts w:ascii="Arial"/>
                <w:color w:val="auto"/>
                <w:sz w:val="21"/>
                <w:highlight w:val="none"/>
              </w:rPr>
            </w:pPr>
          </w:p>
        </w:tc>
        <w:tc>
          <w:tcPr>
            <w:tcW w:w="660" w:type="dxa"/>
            <w:vAlign w:val="top"/>
          </w:tcPr>
          <w:p w14:paraId="329D9483">
            <w:pPr>
              <w:rPr>
                <w:rFonts w:ascii="Arial"/>
                <w:color w:val="auto"/>
                <w:sz w:val="21"/>
                <w:highlight w:val="none"/>
              </w:rPr>
            </w:pPr>
          </w:p>
        </w:tc>
        <w:tc>
          <w:tcPr>
            <w:tcW w:w="661" w:type="dxa"/>
            <w:vAlign w:val="top"/>
          </w:tcPr>
          <w:p w14:paraId="5A89BAF1">
            <w:pPr>
              <w:rPr>
                <w:rFonts w:ascii="Arial"/>
                <w:color w:val="auto"/>
                <w:sz w:val="21"/>
                <w:highlight w:val="none"/>
              </w:rPr>
            </w:pPr>
          </w:p>
        </w:tc>
        <w:tc>
          <w:tcPr>
            <w:tcW w:w="661" w:type="dxa"/>
            <w:vAlign w:val="top"/>
          </w:tcPr>
          <w:p w14:paraId="5AF1C0A7">
            <w:pPr>
              <w:rPr>
                <w:rFonts w:ascii="Arial"/>
                <w:color w:val="auto"/>
                <w:sz w:val="21"/>
                <w:highlight w:val="none"/>
              </w:rPr>
            </w:pPr>
          </w:p>
        </w:tc>
        <w:tc>
          <w:tcPr>
            <w:tcW w:w="666" w:type="dxa"/>
            <w:vAlign w:val="top"/>
          </w:tcPr>
          <w:p w14:paraId="30E605B8">
            <w:pPr>
              <w:rPr>
                <w:rFonts w:ascii="Arial"/>
                <w:color w:val="auto"/>
                <w:sz w:val="21"/>
                <w:highlight w:val="none"/>
              </w:rPr>
            </w:pPr>
          </w:p>
        </w:tc>
        <w:tc>
          <w:tcPr>
            <w:tcW w:w="1467" w:type="dxa"/>
            <w:vAlign w:val="top"/>
          </w:tcPr>
          <w:p w14:paraId="4898E716">
            <w:pPr>
              <w:rPr>
                <w:rFonts w:ascii="Arial"/>
                <w:color w:val="auto"/>
                <w:sz w:val="21"/>
                <w:highlight w:val="none"/>
              </w:rPr>
            </w:pPr>
          </w:p>
        </w:tc>
        <w:tc>
          <w:tcPr>
            <w:tcW w:w="923" w:type="dxa"/>
            <w:vAlign w:val="top"/>
          </w:tcPr>
          <w:p w14:paraId="6CC3AE81">
            <w:pPr>
              <w:rPr>
                <w:rFonts w:ascii="Arial"/>
                <w:color w:val="auto"/>
                <w:sz w:val="21"/>
                <w:highlight w:val="none"/>
              </w:rPr>
            </w:pPr>
          </w:p>
        </w:tc>
      </w:tr>
      <w:tr w14:paraId="7C48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6F05BA3C">
            <w:pPr>
              <w:pStyle w:val="23"/>
              <w:spacing w:before="260" w:line="216" w:lineRule="auto"/>
              <w:ind w:left="46"/>
              <w:rPr>
                <w:color w:val="auto"/>
                <w:highlight w:val="none"/>
              </w:rPr>
            </w:pPr>
            <w:r>
              <w:rPr>
                <w:color w:val="auto"/>
                <w:spacing w:val="8"/>
                <w:highlight w:val="none"/>
              </w:rPr>
              <w:t>监理办公设施费</w:t>
            </w:r>
          </w:p>
        </w:tc>
        <w:tc>
          <w:tcPr>
            <w:tcW w:w="661" w:type="dxa"/>
            <w:vAlign w:val="top"/>
          </w:tcPr>
          <w:p w14:paraId="592EA87A">
            <w:pPr>
              <w:rPr>
                <w:rFonts w:ascii="Arial"/>
                <w:color w:val="auto"/>
                <w:sz w:val="21"/>
                <w:highlight w:val="none"/>
              </w:rPr>
            </w:pPr>
          </w:p>
        </w:tc>
        <w:tc>
          <w:tcPr>
            <w:tcW w:w="661" w:type="dxa"/>
            <w:vAlign w:val="top"/>
          </w:tcPr>
          <w:p w14:paraId="62BD17CA">
            <w:pPr>
              <w:rPr>
                <w:rFonts w:ascii="Arial"/>
                <w:color w:val="auto"/>
                <w:sz w:val="21"/>
                <w:highlight w:val="none"/>
              </w:rPr>
            </w:pPr>
          </w:p>
        </w:tc>
        <w:tc>
          <w:tcPr>
            <w:tcW w:w="661" w:type="dxa"/>
            <w:vAlign w:val="top"/>
          </w:tcPr>
          <w:p w14:paraId="6C29B690">
            <w:pPr>
              <w:rPr>
                <w:rFonts w:ascii="Arial"/>
                <w:color w:val="auto"/>
                <w:sz w:val="21"/>
                <w:highlight w:val="none"/>
              </w:rPr>
            </w:pPr>
          </w:p>
        </w:tc>
        <w:tc>
          <w:tcPr>
            <w:tcW w:w="664" w:type="dxa"/>
            <w:vAlign w:val="top"/>
          </w:tcPr>
          <w:p w14:paraId="4A23B731">
            <w:pPr>
              <w:rPr>
                <w:rFonts w:ascii="Arial"/>
                <w:color w:val="auto"/>
                <w:sz w:val="21"/>
                <w:highlight w:val="none"/>
              </w:rPr>
            </w:pPr>
          </w:p>
        </w:tc>
        <w:tc>
          <w:tcPr>
            <w:tcW w:w="660" w:type="dxa"/>
            <w:vAlign w:val="top"/>
          </w:tcPr>
          <w:p w14:paraId="78815E29">
            <w:pPr>
              <w:rPr>
                <w:rFonts w:ascii="Arial"/>
                <w:color w:val="auto"/>
                <w:sz w:val="21"/>
                <w:highlight w:val="none"/>
              </w:rPr>
            </w:pPr>
          </w:p>
        </w:tc>
        <w:tc>
          <w:tcPr>
            <w:tcW w:w="661" w:type="dxa"/>
            <w:vAlign w:val="top"/>
          </w:tcPr>
          <w:p w14:paraId="2D7A397B">
            <w:pPr>
              <w:rPr>
                <w:rFonts w:ascii="Arial"/>
                <w:color w:val="auto"/>
                <w:sz w:val="21"/>
                <w:highlight w:val="none"/>
              </w:rPr>
            </w:pPr>
          </w:p>
        </w:tc>
        <w:tc>
          <w:tcPr>
            <w:tcW w:w="661" w:type="dxa"/>
            <w:vAlign w:val="top"/>
          </w:tcPr>
          <w:p w14:paraId="3ABD2B14">
            <w:pPr>
              <w:rPr>
                <w:rFonts w:ascii="Arial"/>
                <w:color w:val="auto"/>
                <w:sz w:val="21"/>
                <w:highlight w:val="none"/>
              </w:rPr>
            </w:pPr>
          </w:p>
        </w:tc>
        <w:tc>
          <w:tcPr>
            <w:tcW w:w="666" w:type="dxa"/>
            <w:vAlign w:val="top"/>
          </w:tcPr>
          <w:p w14:paraId="19AEF088">
            <w:pPr>
              <w:rPr>
                <w:rFonts w:ascii="Arial"/>
                <w:color w:val="auto"/>
                <w:sz w:val="21"/>
                <w:highlight w:val="none"/>
              </w:rPr>
            </w:pPr>
          </w:p>
        </w:tc>
        <w:tc>
          <w:tcPr>
            <w:tcW w:w="1467" w:type="dxa"/>
            <w:vAlign w:val="top"/>
          </w:tcPr>
          <w:p w14:paraId="1BBC4A30">
            <w:pPr>
              <w:rPr>
                <w:rFonts w:ascii="Arial"/>
                <w:color w:val="auto"/>
                <w:sz w:val="21"/>
                <w:highlight w:val="none"/>
              </w:rPr>
            </w:pPr>
          </w:p>
        </w:tc>
        <w:tc>
          <w:tcPr>
            <w:tcW w:w="923" w:type="dxa"/>
            <w:vAlign w:val="top"/>
          </w:tcPr>
          <w:p w14:paraId="53CFD535">
            <w:pPr>
              <w:rPr>
                <w:rFonts w:ascii="Arial"/>
                <w:color w:val="auto"/>
                <w:sz w:val="21"/>
                <w:highlight w:val="none"/>
              </w:rPr>
            </w:pPr>
          </w:p>
        </w:tc>
      </w:tr>
      <w:tr w14:paraId="4C508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7F7A8586">
            <w:pPr>
              <w:pStyle w:val="23"/>
              <w:spacing w:before="262" w:line="214" w:lineRule="auto"/>
              <w:ind w:left="46"/>
              <w:rPr>
                <w:color w:val="auto"/>
                <w:highlight w:val="none"/>
              </w:rPr>
            </w:pPr>
            <w:r>
              <w:rPr>
                <w:color w:val="auto"/>
                <w:spacing w:val="8"/>
                <w:highlight w:val="none"/>
              </w:rPr>
              <w:t>监理交通设施费</w:t>
            </w:r>
          </w:p>
        </w:tc>
        <w:tc>
          <w:tcPr>
            <w:tcW w:w="661" w:type="dxa"/>
            <w:vAlign w:val="top"/>
          </w:tcPr>
          <w:p w14:paraId="4C098145">
            <w:pPr>
              <w:rPr>
                <w:rFonts w:ascii="Arial"/>
                <w:color w:val="auto"/>
                <w:sz w:val="21"/>
                <w:highlight w:val="none"/>
              </w:rPr>
            </w:pPr>
          </w:p>
        </w:tc>
        <w:tc>
          <w:tcPr>
            <w:tcW w:w="661" w:type="dxa"/>
            <w:vAlign w:val="top"/>
          </w:tcPr>
          <w:p w14:paraId="242D391B">
            <w:pPr>
              <w:rPr>
                <w:rFonts w:ascii="Arial"/>
                <w:color w:val="auto"/>
                <w:sz w:val="21"/>
                <w:highlight w:val="none"/>
              </w:rPr>
            </w:pPr>
          </w:p>
        </w:tc>
        <w:tc>
          <w:tcPr>
            <w:tcW w:w="661" w:type="dxa"/>
            <w:vAlign w:val="top"/>
          </w:tcPr>
          <w:p w14:paraId="1637CCB9">
            <w:pPr>
              <w:rPr>
                <w:rFonts w:ascii="Arial"/>
                <w:color w:val="auto"/>
                <w:sz w:val="21"/>
                <w:highlight w:val="none"/>
              </w:rPr>
            </w:pPr>
          </w:p>
        </w:tc>
        <w:tc>
          <w:tcPr>
            <w:tcW w:w="664" w:type="dxa"/>
            <w:vAlign w:val="top"/>
          </w:tcPr>
          <w:p w14:paraId="3E7E6127">
            <w:pPr>
              <w:rPr>
                <w:rFonts w:ascii="Arial"/>
                <w:color w:val="auto"/>
                <w:sz w:val="21"/>
                <w:highlight w:val="none"/>
              </w:rPr>
            </w:pPr>
          </w:p>
        </w:tc>
        <w:tc>
          <w:tcPr>
            <w:tcW w:w="660" w:type="dxa"/>
            <w:vAlign w:val="top"/>
          </w:tcPr>
          <w:p w14:paraId="2477F6B8">
            <w:pPr>
              <w:rPr>
                <w:rFonts w:ascii="Arial"/>
                <w:color w:val="auto"/>
                <w:sz w:val="21"/>
                <w:highlight w:val="none"/>
              </w:rPr>
            </w:pPr>
          </w:p>
        </w:tc>
        <w:tc>
          <w:tcPr>
            <w:tcW w:w="661" w:type="dxa"/>
            <w:vAlign w:val="top"/>
          </w:tcPr>
          <w:p w14:paraId="1A3740E6">
            <w:pPr>
              <w:rPr>
                <w:rFonts w:ascii="Arial"/>
                <w:color w:val="auto"/>
                <w:sz w:val="21"/>
                <w:highlight w:val="none"/>
              </w:rPr>
            </w:pPr>
          </w:p>
        </w:tc>
        <w:tc>
          <w:tcPr>
            <w:tcW w:w="661" w:type="dxa"/>
            <w:vAlign w:val="top"/>
          </w:tcPr>
          <w:p w14:paraId="79F692AE">
            <w:pPr>
              <w:rPr>
                <w:rFonts w:ascii="Arial"/>
                <w:color w:val="auto"/>
                <w:sz w:val="21"/>
                <w:highlight w:val="none"/>
              </w:rPr>
            </w:pPr>
          </w:p>
        </w:tc>
        <w:tc>
          <w:tcPr>
            <w:tcW w:w="666" w:type="dxa"/>
            <w:vAlign w:val="top"/>
          </w:tcPr>
          <w:p w14:paraId="723926A2">
            <w:pPr>
              <w:rPr>
                <w:rFonts w:ascii="Arial"/>
                <w:color w:val="auto"/>
                <w:sz w:val="21"/>
                <w:highlight w:val="none"/>
              </w:rPr>
            </w:pPr>
          </w:p>
        </w:tc>
        <w:tc>
          <w:tcPr>
            <w:tcW w:w="1467" w:type="dxa"/>
            <w:vAlign w:val="top"/>
          </w:tcPr>
          <w:p w14:paraId="60958F52">
            <w:pPr>
              <w:rPr>
                <w:rFonts w:ascii="Arial"/>
                <w:color w:val="auto"/>
                <w:sz w:val="21"/>
                <w:highlight w:val="none"/>
              </w:rPr>
            </w:pPr>
          </w:p>
        </w:tc>
        <w:tc>
          <w:tcPr>
            <w:tcW w:w="923" w:type="dxa"/>
            <w:vAlign w:val="top"/>
          </w:tcPr>
          <w:p w14:paraId="308A1B67">
            <w:pPr>
              <w:rPr>
                <w:rFonts w:ascii="Arial"/>
                <w:color w:val="auto"/>
                <w:sz w:val="21"/>
                <w:highlight w:val="none"/>
              </w:rPr>
            </w:pPr>
          </w:p>
        </w:tc>
      </w:tr>
      <w:tr w14:paraId="1ABAC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3420A704">
            <w:pPr>
              <w:pStyle w:val="23"/>
              <w:spacing w:before="262" w:line="214" w:lineRule="auto"/>
              <w:ind w:left="46"/>
              <w:rPr>
                <w:color w:val="auto"/>
                <w:highlight w:val="none"/>
              </w:rPr>
            </w:pPr>
            <w:r>
              <w:rPr>
                <w:color w:val="auto"/>
                <w:spacing w:val="8"/>
                <w:highlight w:val="none"/>
              </w:rPr>
              <w:t>监理试验设施费</w:t>
            </w:r>
          </w:p>
        </w:tc>
        <w:tc>
          <w:tcPr>
            <w:tcW w:w="661" w:type="dxa"/>
            <w:vAlign w:val="top"/>
          </w:tcPr>
          <w:p w14:paraId="3992230E">
            <w:pPr>
              <w:rPr>
                <w:rFonts w:ascii="Arial"/>
                <w:color w:val="auto"/>
                <w:sz w:val="21"/>
                <w:highlight w:val="none"/>
              </w:rPr>
            </w:pPr>
          </w:p>
        </w:tc>
        <w:tc>
          <w:tcPr>
            <w:tcW w:w="661" w:type="dxa"/>
            <w:vAlign w:val="top"/>
          </w:tcPr>
          <w:p w14:paraId="5F36056B">
            <w:pPr>
              <w:rPr>
                <w:rFonts w:ascii="Arial"/>
                <w:color w:val="auto"/>
                <w:sz w:val="21"/>
                <w:highlight w:val="none"/>
              </w:rPr>
            </w:pPr>
          </w:p>
        </w:tc>
        <w:tc>
          <w:tcPr>
            <w:tcW w:w="661" w:type="dxa"/>
            <w:vAlign w:val="top"/>
          </w:tcPr>
          <w:p w14:paraId="700D41B8">
            <w:pPr>
              <w:rPr>
                <w:rFonts w:ascii="Arial"/>
                <w:color w:val="auto"/>
                <w:sz w:val="21"/>
                <w:highlight w:val="none"/>
              </w:rPr>
            </w:pPr>
          </w:p>
        </w:tc>
        <w:tc>
          <w:tcPr>
            <w:tcW w:w="664" w:type="dxa"/>
            <w:vAlign w:val="top"/>
          </w:tcPr>
          <w:p w14:paraId="78E054C5">
            <w:pPr>
              <w:rPr>
                <w:rFonts w:ascii="Arial"/>
                <w:color w:val="auto"/>
                <w:sz w:val="21"/>
                <w:highlight w:val="none"/>
              </w:rPr>
            </w:pPr>
          </w:p>
        </w:tc>
        <w:tc>
          <w:tcPr>
            <w:tcW w:w="660" w:type="dxa"/>
            <w:vAlign w:val="top"/>
          </w:tcPr>
          <w:p w14:paraId="4B651A45">
            <w:pPr>
              <w:rPr>
                <w:rFonts w:ascii="Arial"/>
                <w:color w:val="auto"/>
                <w:sz w:val="21"/>
                <w:highlight w:val="none"/>
              </w:rPr>
            </w:pPr>
          </w:p>
        </w:tc>
        <w:tc>
          <w:tcPr>
            <w:tcW w:w="661" w:type="dxa"/>
            <w:vAlign w:val="top"/>
          </w:tcPr>
          <w:p w14:paraId="5E03AE96">
            <w:pPr>
              <w:rPr>
                <w:rFonts w:ascii="Arial"/>
                <w:color w:val="auto"/>
                <w:sz w:val="21"/>
                <w:highlight w:val="none"/>
              </w:rPr>
            </w:pPr>
          </w:p>
        </w:tc>
        <w:tc>
          <w:tcPr>
            <w:tcW w:w="661" w:type="dxa"/>
            <w:vAlign w:val="top"/>
          </w:tcPr>
          <w:p w14:paraId="2DD421F1">
            <w:pPr>
              <w:rPr>
                <w:rFonts w:ascii="Arial"/>
                <w:color w:val="auto"/>
                <w:sz w:val="21"/>
                <w:highlight w:val="none"/>
              </w:rPr>
            </w:pPr>
          </w:p>
        </w:tc>
        <w:tc>
          <w:tcPr>
            <w:tcW w:w="666" w:type="dxa"/>
            <w:vAlign w:val="top"/>
          </w:tcPr>
          <w:p w14:paraId="33BE4928">
            <w:pPr>
              <w:rPr>
                <w:rFonts w:ascii="Arial"/>
                <w:color w:val="auto"/>
                <w:sz w:val="21"/>
                <w:highlight w:val="none"/>
              </w:rPr>
            </w:pPr>
          </w:p>
        </w:tc>
        <w:tc>
          <w:tcPr>
            <w:tcW w:w="1467" w:type="dxa"/>
            <w:vAlign w:val="top"/>
          </w:tcPr>
          <w:p w14:paraId="03CC16AC">
            <w:pPr>
              <w:rPr>
                <w:rFonts w:ascii="Arial"/>
                <w:color w:val="auto"/>
                <w:sz w:val="21"/>
                <w:highlight w:val="none"/>
              </w:rPr>
            </w:pPr>
          </w:p>
        </w:tc>
        <w:tc>
          <w:tcPr>
            <w:tcW w:w="923" w:type="dxa"/>
            <w:vAlign w:val="top"/>
          </w:tcPr>
          <w:p w14:paraId="095939E0">
            <w:pPr>
              <w:rPr>
                <w:rFonts w:ascii="Arial"/>
                <w:color w:val="auto"/>
                <w:sz w:val="21"/>
                <w:highlight w:val="none"/>
              </w:rPr>
            </w:pPr>
          </w:p>
        </w:tc>
      </w:tr>
      <w:tr w14:paraId="22086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1C0F008D">
            <w:pPr>
              <w:pStyle w:val="23"/>
              <w:spacing w:before="264" w:line="213" w:lineRule="auto"/>
              <w:ind w:left="46"/>
              <w:rPr>
                <w:color w:val="auto"/>
                <w:highlight w:val="none"/>
              </w:rPr>
            </w:pPr>
            <w:r>
              <w:rPr>
                <w:color w:val="auto"/>
                <w:spacing w:val="8"/>
                <w:highlight w:val="none"/>
              </w:rPr>
              <w:t>监理生活设施费</w:t>
            </w:r>
          </w:p>
        </w:tc>
        <w:tc>
          <w:tcPr>
            <w:tcW w:w="661" w:type="dxa"/>
            <w:vAlign w:val="top"/>
          </w:tcPr>
          <w:p w14:paraId="07BBA806">
            <w:pPr>
              <w:rPr>
                <w:rFonts w:ascii="Arial"/>
                <w:color w:val="auto"/>
                <w:sz w:val="21"/>
                <w:highlight w:val="none"/>
              </w:rPr>
            </w:pPr>
          </w:p>
        </w:tc>
        <w:tc>
          <w:tcPr>
            <w:tcW w:w="661" w:type="dxa"/>
            <w:vAlign w:val="top"/>
          </w:tcPr>
          <w:p w14:paraId="73760416">
            <w:pPr>
              <w:rPr>
                <w:rFonts w:ascii="Arial"/>
                <w:color w:val="auto"/>
                <w:sz w:val="21"/>
                <w:highlight w:val="none"/>
              </w:rPr>
            </w:pPr>
          </w:p>
        </w:tc>
        <w:tc>
          <w:tcPr>
            <w:tcW w:w="661" w:type="dxa"/>
            <w:vAlign w:val="top"/>
          </w:tcPr>
          <w:p w14:paraId="65CC5DBF">
            <w:pPr>
              <w:rPr>
                <w:rFonts w:ascii="Arial"/>
                <w:color w:val="auto"/>
                <w:sz w:val="21"/>
                <w:highlight w:val="none"/>
              </w:rPr>
            </w:pPr>
          </w:p>
        </w:tc>
        <w:tc>
          <w:tcPr>
            <w:tcW w:w="664" w:type="dxa"/>
            <w:vAlign w:val="top"/>
          </w:tcPr>
          <w:p w14:paraId="4606C3E9">
            <w:pPr>
              <w:rPr>
                <w:rFonts w:ascii="Arial"/>
                <w:color w:val="auto"/>
                <w:sz w:val="21"/>
                <w:highlight w:val="none"/>
              </w:rPr>
            </w:pPr>
          </w:p>
        </w:tc>
        <w:tc>
          <w:tcPr>
            <w:tcW w:w="660" w:type="dxa"/>
            <w:vAlign w:val="top"/>
          </w:tcPr>
          <w:p w14:paraId="118FC35A">
            <w:pPr>
              <w:rPr>
                <w:rFonts w:ascii="Arial"/>
                <w:color w:val="auto"/>
                <w:sz w:val="21"/>
                <w:highlight w:val="none"/>
              </w:rPr>
            </w:pPr>
          </w:p>
        </w:tc>
        <w:tc>
          <w:tcPr>
            <w:tcW w:w="661" w:type="dxa"/>
            <w:vAlign w:val="top"/>
          </w:tcPr>
          <w:p w14:paraId="31E4B3E7">
            <w:pPr>
              <w:rPr>
                <w:rFonts w:ascii="Arial"/>
                <w:color w:val="auto"/>
                <w:sz w:val="21"/>
                <w:highlight w:val="none"/>
              </w:rPr>
            </w:pPr>
          </w:p>
        </w:tc>
        <w:tc>
          <w:tcPr>
            <w:tcW w:w="661" w:type="dxa"/>
            <w:vAlign w:val="top"/>
          </w:tcPr>
          <w:p w14:paraId="65EA642B">
            <w:pPr>
              <w:rPr>
                <w:rFonts w:ascii="Arial"/>
                <w:color w:val="auto"/>
                <w:sz w:val="21"/>
                <w:highlight w:val="none"/>
              </w:rPr>
            </w:pPr>
          </w:p>
        </w:tc>
        <w:tc>
          <w:tcPr>
            <w:tcW w:w="666" w:type="dxa"/>
            <w:vAlign w:val="top"/>
          </w:tcPr>
          <w:p w14:paraId="6DF75C96">
            <w:pPr>
              <w:rPr>
                <w:rFonts w:ascii="Arial"/>
                <w:color w:val="auto"/>
                <w:sz w:val="21"/>
                <w:highlight w:val="none"/>
              </w:rPr>
            </w:pPr>
          </w:p>
        </w:tc>
        <w:tc>
          <w:tcPr>
            <w:tcW w:w="1467" w:type="dxa"/>
            <w:vAlign w:val="top"/>
          </w:tcPr>
          <w:p w14:paraId="13512F99">
            <w:pPr>
              <w:rPr>
                <w:rFonts w:ascii="Arial"/>
                <w:color w:val="auto"/>
                <w:sz w:val="21"/>
                <w:highlight w:val="none"/>
              </w:rPr>
            </w:pPr>
          </w:p>
        </w:tc>
        <w:tc>
          <w:tcPr>
            <w:tcW w:w="923" w:type="dxa"/>
            <w:vAlign w:val="top"/>
          </w:tcPr>
          <w:p w14:paraId="3C2725CC">
            <w:pPr>
              <w:rPr>
                <w:rFonts w:ascii="Arial"/>
                <w:color w:val="auto"/>
                <w:sz w:val="21"/>
                <w:highlight w:val="none"/>
              </w:rPr>
            </w:pPr>
          </w:p>
        </w:tc>
      </w:tr>
      <w:tr w14:paraId="1F938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24DA1691">
            <w:pPr>
              <w:pStyle w:val="23"/>
              <w:spacing w:before="263" w:line="214" w:lineRule="auto"/>
              <w:ind w:left="46"/>
              <w:rPr>
                <w:color w:val="auto"/>
                <w:highlight w:val="none"/>
              </w:rPr>
            </w:pPr>
            <w:r>
              <w:rPr>
                <w:color w:val="auto"/>
                <w:spacing w:val="7"/>
                <w:highlight w:val="none"/>
              </w:rPr>
              <w:t>其他费用</w:t>
            </w:r>
          </w:p>
        </w:tc>
        <w:tc>
          <w:tcPr>
            <w:tcW w:w="661" w:type="dxa"/>
            <w:vAlign w:val="top"/>
          </w:tcPr>
          <w:p w14:paraId="049C6FE2">
            <w:pPr>
              <w:rPr>
                <w:rFonts w:ascii="Arial"/>
                <w:color w:val="auto"/>
                <w:sz w:val="21"/>
                <w:highlight w:val="none"/>
              </w:rPr>
            </w:pPr>
          </w:p>
        </w:tc>
        <w:tc>
          <w:tcPr>
            <w:tcW w:w="661" w:type="dxa"/>
            <w:vAlign w:val="top"/>
          </w:tcPr>
          <w:p w14:paraId="3C52C08B">
            <w:pPr>
              <w:rPr>
                <w:rFonts w:ascii="Arial"/>
                <w:color w:val="auto"/>
                <w:sz w:val="21"/>
                <w:highlight w:val="none"/>
              </w:rPr>
            </w:pPr>
          </w:p>
        </w:tc>
        <w:tc>
          <w:tcPr>
            <w:tcW w:w="661" w:type="dxa"/>
            <w:vAlign w:val="top"/>
          </w:tcPr>
          <w:p w14:paraId="1F328ED9">
            <w:pPr>
              <w:rPr>
                <w:rFonts w:ascii="Arial"/>
                <w:color w:val="auto"/>
                <w:sz w:val="21"/>
                <w:highlight w:val="none"/>
              </w:rPr>
            </w:pPr>
          </w:p>
        </w:tc>
        <w:tc>
          <w:tcPr>
            <w:tcW w:w="664" w:type="dxa"/>
            <w:vAlign w:val="top"/>
          </w:tcPr>
          <w:p w14:paraId="553A45A9">
            <w:pPr>
              <w:rPr>
                <w:rFonts w:ascii="Arial"/>
                <w:color w:val="auto"/>
                <w:sz w:val="21"/>
                <w:highlight w:val="none"/>
              </w:rPr>
            </w:pPr>
          </w:p>
        </w:tc>
        <w:tc>
          <w:tcPr>
            <w:tcW w:w="660" w:type="dxa"/>
            <w:vAlign w:val="top"/>
          </w:tcPr>
          <w:p w14:paraId="0B2A75A2">
            <w:pPr>
              <w:rPr>
                <w:rFonts w:ascii="Arial"/>
                <w:color w:val="auto"/>
                <w:sz w:val="21"/>
                <w:highlight w:val="none"/>
              </w:rPr>
            </w:pPr>
          </w:p>
        </w:tc>
        <w:tc>
          <w:tcPr>
            <w:tcW w:w="661" w:type="dxa"/>
            <w:vAlign w:val="top"/>
          </w:tcPr>
          <w:p w14:paraId="78D1628B">
            <w:pPr>
              <w:rPr>
                <w:rFonts w:ascii="Arial"/>
                <w:color w:val="auto"/>
                <w:sz w:val="21"/>
                <w:highlight w:val="none"/>
              </w:rPr>
            </w:pPr>
          </w:p>
        </w:tc>
        <w:tc>
          <w:tcPr>
            <w:tcW w:w="661" w:type="dxa"/>
            <w:vAlign w:val="top"/>
          </w:tcPr>
          <w:p w14:paraId="1729B183">
            <w:pPr>
              <w:rPr>
                <w:rFonts w:ascii="Arial"/>
                <w:color w:val="auto"/>
                <w:sz w:val="21"/>
                <w:highlight w:val="none"/>
              </w:rPr>
            </w:pPr>
          </w:p>
        </w:tc>
        <w:tc>
          <w:tcPr>
            <w:tcW w:w="666" w:type="dxa"/>
            <w:vAlign w:val="top"/>
          </w:tcPr>
          <w:p w14:paraId="07EBB999">
            <w:pPr>
              <w:rPr>
                <w:rFonts w:ascii="Arial"/>
                <w:color w:val="auto"/>
                <w:sz w:val="21"/>
                <w:highlight w:val="none"/>
              </w:rPr>
            </w:pPr>
          </w:p>
        </w:tc>
        <w:tc>
          <w:tcPr>
            <w:tcW w:w="1467" w:type="dxa"/>
            <w:vAlign w:val="top"/>
          </w:tcPr>
          <w:p w14:paraId="7D0C2181">
            <w:pPr>
              <w:rPr>
                <w:rFonts w:ascii="Arial"/>
                <w:color w:val="auto"/>
                <w:sz w:val="21"/>
                <w:highlight w:val="none"/>
              </w:rPr>
            </w:pPr>
          </w:p>
        </w:tc>
        <w:tc>
          <w:tcPr>
            <w:tcW w:w="923" w:type="dxa"/>
            <w:vAlign w:val="top"/>
          </w:tcPr>
          <w:p w14:paraId="7A6BC60F">
            <w:pPr>
              <w:rPr>
                <w:rFonts w:ascii="Arial"/>
                <w:color w:val="auto"/>
                <w:sz w:val="21"/>
                <w:highlight w:val="none"/>
              </w:rPr>
            </w:pPr>
          </w:p>
        </w:tc>
      </w:tr>
      <w:tr w14:paraId="28515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vAlign w:val="top"/>
          </w:tcPr>
          <w:p w14:paraId="0073F51B">
            <w:pPr>
              <w:pStyle w:val="23"/>
              <w:spacing w:before="265" w:line="216" w:lineRule="auto"/>
              <w:ind w:left="46"/>
              <w:rPr>
                <w:color w:val="auto"/>
                <w:highlight w:val="none"/>
              </w:rPr>
            </w:pPr>
            <w:r>
              <w:rPr>
                <w:color w:val="auto"/>
                <w:spacing w:val="4"/>
                <w:highlight w:val="none"/>
              </w:rPr>
              <w:t>合计</w:t>
            </w:r>
          </w:p>
        </w:tc>
        <w:tc>
          <w:tcPr>
            <w:tcW w:w="661" w:type="dxa"/>
            <w:vAlign w:val="top"/>
          </w:tcPr>
          <w:p w14:paraId="541003ED">
            <w:pPr>
              <w:rPr>
                <w:rFonts w:ascii="Arial"/>
                <w:color w:val="auto"/>
                <w:sz w:val="21"/>
                <w:highlight w:val="none"/>
              </w:rPr>
            </w:pPr>
          </w:p>
        </w:tc>
        <w:tc>
          <w:tcPr>
            <w:tcW w:w="661" w:type="dxa"/>
            <w:vAlign w:val="top"/>
          </w:tcPr>
          <w:p w14:paraId="0F68BD98">
            <w:pPr>
              <w:rPr>
                <w:rFonts w:ascii="Arial"/>
                <w:color w:val="auto"/>
                <w:sz w:val="21"/>
                <w:highlight w:val="none"/>
              </w:rPr>
            </w:pPr>
          </w:p>
        </w:tc>
        <w:tc>
          <w:tcPr>
            <w:tcW w:w="661" w:type="dxa"/>
            <w:vAlign w:val="top"/>
          </w:tcPr>
          <w:p w14:paraId="692811A3">
            <w:pPr>
              <w:rPr>
                <w:rFonts w:ascii="Arial"/>
                <w:color w:val="auto"/>
                <w:sz w:val="21"/>
                <w:highlight w:val="none"/>
              </w:rPr>
            </w:pPr>
          </w:p>
        </w:tc>
        <w:tc>
          <w:tcPr>
            <w:tcW w:w="664" w:type="dxa"/>
            <w:vAlign w:val="top"/>
          </w:tcPr>
          <w:p w14:paraId="39ADD4B1">
            <w:pPr>
              <w:rPr>
                <w:rFonts w:ascii="Arial"/>
                <w:color w:val="auto"/>
                <w:sz w:val="21"/>
                <w:highlight w:val="none"/>
              </w:rPr>
            </w:pPr>
          </w:p>
        </w:tc>
        <w:tc>
          <w:tcPr>
            <w:tcW w:w="660" w:type="dxa"/>
            <w:vAlign w:val="top"/>
          </w:tcPr>
          <w:p w14:paraId="3578DDDD">
            <w:pPr>
              <w:rPr>
                <w:rFonts w:ascii="Arial"/>
                <w:color w:val="auto"/>
                <w:sz w:val="21"/>
                <w:highlight w:val="none"/>
              </w:rPr>
            </w:pPr>
          </w:p>
        </w:tc>
        <w:tc>
          <w:tcPr>
            <w:tcW w:w="661" w:type="dxa"/>
            <w:vAlign w:val="top"/>
          </w:tcPr>
          <w:p w14:paraId="43599A79">
            <w:pPr>
              <w:rPr>
                <w:rFonts w:ascii="Arial"/>
                <w:color w:val="auto"/>
                <w:sz w:val="21"/>
                <w:highlight w:val="none"/>
              </w:rPr>
            </w:pPr>
          </w:p>
        </w:tc>
        <w:tc>
          <w:tcPr>
            <w:tcW w:w="661" w:type="dxa"/>
            <w:vAlign w:val="top"/>
          </w:tcPr>
          <w:p w14:paraId="32E70543">
            <w:pPr>
              <w:rPr>
                <w:rFonts w:ascii="Arial"/>
                <w:color w:val="auto"/>
                <w:sz w:val="21"/>
                <w:highlight w:val="none"/>
              </w:rPr>
            </w:pPr>
          </w:p>
        </w:tc>
        <w:tc>
          <w:tcPr>
            <w:tcW w:w="666" w:type="dxa"/>
            <w:vAlign w:val="top"/>
          </w:tcPr>
          <w:p w14:paraId="5F3A5F90">
            <w:pPr>
              <w:rPr>
                <w:rFonts w:ascii="Arial"/>
                <w:color w:val="auto"/>
                <w:sz w:val="21"/>
                <w:highlight w:val="none"/>
              </w:rPr>
            </w:pPr>
          </w:p>
        </w:tc>
        <w:tc>
          <w:tcPr>
            <w:tcW w:w="1467" w:type="dxa"/>
            <w:vAlign w:val="top"/>
          </w:tcPr>
          <w:p w14:paraId="7DEEF2F5">
            <w:pPr>
              <w:rPr>
                <w:rFonts w:ascii="Arial"/>
                <w:color w:val="auto"/>
                <w:sz w:val="21"/>
                <w:highlight w:val="none"/>
              </w:rPr>
            </w:pPr>
          </w:p>
        </w:tc>
        <w:tc>
          <w:tcPr>
            <w:tcW w:w="923" w:type="dxa"/>
            <w:vAlign w:val="top"/>
          </w:tcPr>
          <w:p w14:paraId="04319DEC">
            <w:pPr>
              <w:rPr>
                <w:rFonts w:ascii="Arial"/>
                <w:color w:val="auto"/>
                <w:sz w:val="21"/>
                <w:highlight w:val="none"/>
              </w:rPr>
            </w:pPr>
          </w:p>
        </w:tc>
      </w:tr>
    </w:tbl>
    <w:p w14:paraId="07569706">
      <w:pPr>
        <w:spacing w:line="254" w:lineRule="auto"/>
        <w:rPr>
          <w:rFonts w:ascii="Arial"/>
          <w:color w:val="auto"/>
          <w:sz w:val="21"/>
          <w:highlight w:val="none"/>
        </w:rPr>
      </w:pPr>
    </w:p>
    <w:p w14:paraId="3CC0853D">
      <w:pPr>
        <w:spacing w:line="254" w:lineRule="auto"/>
        <w:rPr>
          <w:rFonts w:ascii="Arial"/>
          <w:color w:val="auto"/>
          <w:sz w:val="21"/>
          <w:highlight w:val="none"/>
        </w:rPr>
      </w:pPr>
    </w:p>
    <w:p w14:paraId="0C728AD0">
      <w:pPr>
        <w:spacing w:line="254" w:lineRule="auto"/>
        <w:rPr>
          <w:rFonts w:ascii="Arial"/>
          <w:color w:val="auto"/>
          <w:sz w:val="21"/>
          <w:highlight w:val="none"/>
        </w:rPr>
      </w:pPr>
    </w:p>
    <w:p w14:paraId="48F09654">
      <w:pPr>
        <w:spacing w:line="254" w:lineRule="auto"/>
        <w:rPr>
          <w:rFonts w:ascii="Arial"/>
          <w:color w:val="auto"/>
          <w:sz w:val="21"/>
          <w:highlight w:val="none"/>
        </w:rPr>
      </w:pPr>
    </w:p>
    <w:p w14:paraId="20D06F6F">
      <w:pPr>
        <w:spacing w:line="254" w:lineRule="auto"/>
        <w:rPr>
          <w:rFonts w:ascii="Arial"/>
          <w:color w:val="auto"/>
          <w:sz w:val="21"/>
          <w:highlight w:val="none"/>
        </w:rPr>
      </w:pPr>
    </w:p>
    <w:p w14:paraId="6026EAC3">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 本表应按附件</w:t>
      </w:r>
      <w:r>
        <w:rPr>
          <w:rFonts w:ascii="宋体" w:hAnsi="宋体" w:eastAsia="宋体" w:cs="宋体"/>
          <w:color w:val="auto"/>
          <w:spacing w:val="-23"/>
          <w:sz w:val="20"/>
          <w:szCs w:val="20"/>
          <w:highlight w:val="none"/>
        </w:rPr>
        <w:t xml:space="preserve"> </w:t>
      </w:r>
      <w:r>
        <w:rPr>
          <w:rFonts w:ascii="宋体" w:hAnsi="宋体" w:eastAsia="宋体" w:cs="宋体"/>
          <w:color w:val="auto"/>
          <w:spacing w:val="8"/>
          <w:sz w:val="20"/>
          <w:szCs w:val="20"/>
          <w:highlight w:val="none"/>
        </w:rPr>
        <w:t>1</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和附件</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监理人员和监理设施</w:t>
      </w:r>
      <w:r>
        <w:rPr>
          <w:rFonts w:ascii="宋体" w:hAnsi="宋体" w:eastAsia="宋体" w:cs="宋体"/>
          <w:color w:val="auto"/>
          <w:spacing w:val="7"/>
          <w:sz w:val="20"/>
          <w:szCs w:val="20"/>
          <w:highlight w:val="none"/>
        </w:rPr>
        <w:t>进场时间及数量安排计算相应的费用。</w:t>
      </w:r>
    </w:p>
    <w:p w14:paraId="5B0B76CC">
      <w:pPr>
        <w:spacing w:before="155"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 本表各项合计费用应与监理服务费用报价汇总表相一致。</w:t>
      </w:r>
    </w:p>
    <w:p w14:paraId="2CAC4602">
      <w:pPr>
        <w:spacing w:before="153" w:line="227" w:lineRule="auto"/>
        <w:ind w:left="54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 本表将作为监理合同履行过程中委托人支付监理费</w:t>
      </w:r>
      <w:r>
        <w:rPr>
          <w:rFonts w:ascii="宋体" w:hAnsi="宋体" w:eastAsia="宋体" w:cs="宋体"/>
          <w:color w:val="auto"/>
          <w:spacing w:val="8"/>
          <w:sz w:val="20"/>
          <w:szCs w:val="20"/>
          <w:highlight w:val="none"/>
        </w:rPr>
        <w:t>用的参考依据。</w:t>
      </w:r>
    </w:p>
    <w:p w14:paraId="5DE78931">
      <w:pPr>
        <w:spacing w:line="227" w:lineRule="auto"/>
        <w:rPr>
          <w:rFonts w:ascii="宋体" w:hAnsi="宋体" w:eastAsia="宋体" w:cs="宋体"/>
          <w:color w:val="auto"/>
          <w:sz w:val="20"/>
          <w:szCs w:val="20"/>
          <w:highlight w:val="none"/>
        </w:rPr>
        <w:sectPr>
          <w:footerReference r:id="rId70" w:type="default"/>
          <w:pgSz w:w="11906" w:h="16839"/>
          <w:pgMar w:top="1402" w:right="1308" w:bottom="1297" w:left="1304" w:header="0" w:footer="1067" w:gutter="0"/>
          <w:pgBorders>
            <w:top w:val="none" w:sz="0" w:space="0"/>
            <w:left w:val="none" w:sz="0" w:space="0"/>
            <w:bottom w:val="none" w:sz="0" w:space="0"/>
            <w:right w:val="none" w:sz="0" w:space="0"/>
          </w:pgBorders>
          <w:pgNumType w:fmt="decimal"/>
          <w:cols w:space="720" w:num="1"/>
        </w:sectPr>
      </w:pPr>
    </w:p>
    <w:p w14:paraId="7B2499B7">
      <w:pPr>
        <w:spacing w:before="56" w:line="219" w:lineRule="auto"/>
        <w:ind w:left="2534"/>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附件</w:t>
      </w:r>
      <w:r>
        <w:rPr>
          <w:rFonts w:ascii="宋体" w:hAnsi="宋体" w:eastAsia="宋体" w:cs="宋体"/>
          <w:color w:val="auto"/>
          <w:spacing w:val="-27"/>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监理人员工作计划安排表</w:t>
      </w:r>
    </w:p>
    <w:p w14:paraId="4B657D0A">
      <w:pPr>
        <w:spacing w:before="20" w:line="228" w:lineRule="auto"/>
        <w:ind w:left="1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p>
    <w:p w14:paraId="32F843C8">
      <w:pPr>
        <w:spacing w:line="113" w:lineRule="exact"/>
        <w:rPr>
          <w:color w:val="auto"/>
          <w:highlight w:val="none"/>
        </w:rPr>
      </w:pPr>
    </w:p>
    <w:tbl>
      <w:tblPr>
        <w:tblStyle w:val="22"/>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1628"/>
        <w:gridCol w:w="805"/>
        <w:gridCol w:w="635"/>
        <w:gridCol w:w="348"/>
        <w:gridCol w:w="348"/>
        <w:gridCol w:w="350"/>
        <w:gridCol w:w="348"/>
        <w:gridCol w:w="349"/>
        <w:gridCol w:w="351"/>
        <w:gridCol w:w="349"/>
        <w:gridCol w:w="349"/>
        <w:gridCol w:w="426"/>
        <w:gridCol w:w="426"/>
        <w:gridCol w:w="426"/>
        <w:gridCol w:w="429"/>
        <w:gridCol w:w="526"/>
        <w:gridCol w:w="735"/>
      </w:tblGrid>
      <w:tr w14:paraId="1D053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Merge w:val="restart"/>
            <w:tcBorders>
              <w:bottom w:val="nil"/>
            </w:tcBorders>
            <w:textDirection w:val="tbRlV"/>
            <w:vAlign w:val="top"/>
          </w:tcPr>
          <w:p w14:paraId="199F597A">
            <w:pPr>
              <w:pStyle w:val="23"/>
              <w:spacing w:before="123" w:line="218" w:lineRule="auto"/>
              <w:ind w:left="308"/>
              <w:rPr>
                <w:color w:val="auto"/>
                <w:highlight w:val="none"/>
              </w:rPr>
            </w:pPr>
            <w:r>
              <w:rPr>
                <w:color w:val="auto"/>
                <w:spacing w:val="8"/>
                <w:highlight w:val="none"/>
              </w:rPr>
              <w:t>序</w:t>
            </w:r>
            <w:r>
              <w:rPr>
                <w:color w:val="auto"/>
                <w:spacing w:val="-38"/>
                <w:highlight w:val="none"/>
              </w:rPr>
              <w:t xml:space="preserve"> </w:t>
            </w:r>
            <w:r>
              <w:rPr>
                <w:color w:val="auto"/>
                <w:spacing w:val="8"/>
                <w:highlight w:val="none"/>
              </w:rPr>
              <w:t>号</w:t>
            </w:r>
          </w:p>
        </w:tc>
        <w:tc>
          <w:tcPr>
            <w:tcW w:w="1628" w:type="dxa"/>
            <w:vMerge w:val="restart"/>
            <w:tcBorders>
              <w:bottom w:val="nil"/>
            </w:tcBorders>
            <w:vAlign w:val="top"/>
          </w:tcPr>
          <w:p w14:paraId="72797249">
            <w:pPr>
              <w:spacing w:line="378" w:lineRule="auto"/>
              <w:rPr>
                <w:rFonts w:ascii="Arial"/>
                <w:color w:val="auto"/>
                <w:sz w:val="21"/>
                <w:highlight w:val="none"/>
              </w:rPr>
            </w:pPr>
          </w:p>
          <w:p w14:paraId="2E4DB90B">
            <w:pPr>
              <w:pStyle w:val="23"/>
              <w:spacing w:before="65" w:line="229" w:lineRule="auto"/>
              <w:ind w:left="608"/>
              <w:rPr>
                <w:color w:val="auto"/>
                <w:highlight w:val="none"/>
              </w:rPr>
            </w:pPr>
            <w:r>
              <w:rPr>
                <w:color w:val="auto"/>
                <w:spacing w:val="3"/>
                <w:highlight w:val="none"/>
              </w:rPr>
              <w:t>人员</w:t>
            </w:r>
          </w:p>
        </w:tc>
        <w:tc>
          <w:tcPr>
            <w:tcW w:w="805" w:type="dxa"/>
            <w:vMerge w:val="restart"/>
            <w:tcBorders>
              <w:bottom w:val="nil"/>
            </w:tcBorders>
            <w:vAlign w:val="top"/>
          </w:tcPr>
          <w:p w14:paraId="6F56960A">
            <w:pPr>
              <w:pStyle w:val="23"/>
              <w:spacing w:before="172" w:line="228" w:lineRule="auto"/>
              <w:ind w:left="198"/>
              <w:rPr>
                <w:color w:val="auto"/>
                <w:highlight w:val="none"/>
              </w:rPr>
            </w:pPr>
            <w:r>
              <w:rPr>
                <w:color w:val="auto"/>
                <w:spacing w:val="4"/>
                <w:highlight w:val="none"/>
              </w:rPr>
              <w:t>驻场</w:t>
            </w:r>
          </w:p>
          <w:p w14:paraId="2AED848D">
            <w:pPr>
              <w:pStyle w:val="23"/>
              <w:spacing w:before="23" w:line="254" w:lineRule="auto"/>
              <w:ind w:left="104" w:right="102" w:firstLine="102"/>
              <w:rPr>
                <w:color w:val="auto"/>
                <w:highlight w:val="none"/>
              </w:rPr>
            </w:pPr>
            <w:r>
              <w:rPr>
                <w:color w:val="auto"/>
                <w:spacing w:val="-1"/>
                <w:highlight w:val="none"/>
              </w:rPr>
              <w:t>时间</w:t>
            </w:r>
            <w:r>
              <w:rPr>
                <w:color w:val="auto"/>
                <w:spacing w:val="-3"/>
                <w:highlight w:val="none"/>
              </w:rPr>
              <w:t>（月）</w:t>
            </w:r>
          </w:p>
        </w:tc>
        <w:tc>
          <w:tcPr>
            <w:tcW w:w="5134" w:type="dxa"/>
            <w:gridSpan w:val="13"/>
            <w:vAlign w:val="top"/>
          </w:tcPr>
          <w:p w14:paraId="1EC2F5AC">
            <w:pPr>
              <w:pStyle w:val="23"/>
              <w:spacing w:before="168" w:line="228" w:lineRule="auto"/>
              <w:ind w:left="1052"/>
              <w:rPr>
                <w:color w:val="auto"/>
                <w:highlight w:val="none"/>
              </w:rPr>
            </w:pPr>
            <w:r>
              <w:rPr>
                <w:color w:val="auto"/>
                <w:spacing w:val="7"/>
                <w:highlight w:val="none"/>
              </w:rPr>
              <w:t>监理人员投入安排（共   个月）</w:t>
            </w:r>
          </w:p>
        </w:tc>
        <w:tc>
          <w:tcPr>
            <w:tcW w:w="526" w:type="dxa"/>
            <w:vMerge w:val="restart"/>
            <w:tcBorders>
              <w:bottom w:val="nil"/>
            </w:tcBorders>
            <w:textDirection w:val="tbRlV"/>
            <w:vAlign w:val="top"/>
          </w:tcPr>
          <w:p w14:paraId="1E7AA246">
            <w:pPr>
              <w:pStyle w:val="23"/>
              <w:spacing w:before="154" w:line="217" w:lineRule="auto"/>
              <w:ind w:left="308"/>
              <w:rPr>
                <w:color w:val="auto"/>
                <w:highlight w:val="none"/>
              </w:rPr>
            </w:pPr>
            <w:r>
              <w:rPr>
                <w:color w:val="auto"/>
                <w:spacing w:val="8"/>
                <w:highlight w:val="none"/>
              </w:rPr>
              <w:t>合</w:t>
            </w:r>
            <w:r>
              <w:rPr>
                <w:color w:val="auto"/>
                <w:spacing w:val="-38"/>
                <w:highlight w:val="none"/>
              </w:rPr>
              <w:t xml:space="preserve"> </w:t>
            </w:r>
            <w:r>
              <w:rPr>
                <w:color w:val="auto"/>
                <w:spacing w:val="8"/>
                <w:highlight w:val="none"/>
              </w:rPr>
              <w:t>计</w:t>
            </w:r>
          </w:p>
        </w:tc>
        <w:tc>
          <w:tcPr>
            <w:tcW w:w="735" w:type="dxa"/>
            <w:vMerge w:val="restart"/>
            <w:tcBorders>
              <w:bottom w:val="nil"/>
            </w:tcBorders>
            <w:vAlign w:val="top"/>
          </w:tcPr>
          <w:p w14:paraId="1E0548DF">
            <w:pPr>
              <w:spacing w:line="378" w:lineRule="auto"/>
              <w:rPr>
                <w:rFonts w:ascii="Arial"/>
                <w:color w:val="auto"/>
                <w:sz w:val="21"/>
                <w:highlight w:val="none"/>
              </w:rPr>
            </w:pPr>
          </w:p>
          <w:p w14:paraId="20E9D0EC">
            <w:pPr>
              <w:pStyle w:val="23"/>
              <w:spacing w:before="65" w:line="229" w:lineRule="auto"/>
              <w:ind w:left="165"/>
              <w:rPr>
                <w:color w:val="auto"/>
                <w:highlight w:val="none"/>
              </w:rPr>
            </w:pPr>
            <w:r>
              <w:rPr>
                <w:color w:val="auto"/>
                <w:spacing w:val="3"/>
                <w:highlight w:val="none"/>
              </w:rPr>
              <w:t>备注</w:t>
            </w:r>
          </w:p>
        </w:tc>
      </w:tr>
      <w:tr w14:paraId="181C1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458" w:type="dxa"/>
            <w:vMerge w:val="continue"/>
            <w:tcBorders>
              <w:top w:val="nil"/>
            </w:tcBorders>
            <w:textDirection w:val="tbRlV"/>
            <w:vAlign w:val="top"/>
          </w:tcPr>
          <w:p w14:paraId="794E9C57">
            <w:pPr>
              <w:rPr>
                <w:rFonts w:ascii="Arial"/>
                <w:color w:val="auto"/>
                <w:sz w:val="21"/>
                <w:highlight w:val="none"/>
              </w:rPr>
            </w:pPr>
          </w:p>
        </w:tc>
        <w:tc>
          <w:tcPr>
            <w:tcW w:w="1628" w:type="dxa"/>
            <w:vMerge w:val="continue"/>
            <w:tcBorders>
              <w:top w:val="nil"/>
            </w:tcBorders>
            <w:vAlign w:val="top"/>
          </w:tcPr>
          <w:p w14:paraId="689CD448">
            <w:pPr>
              <w:rPr>
                <w:rFonts w:ascii="Arial"/>
                <w:color w:val="auto"/>
                <w:sz w:val="21"/>
                <w:highlight w:val="none"/>
              </w:rPr>
            </w:pPr>
          </w:p>
        </w:tc>
        <w:tc>
          <w:tcPr>
            <w:tcW w:w="805" w:type="dxa"/>
            <w:vMerge w:val="continue"/>
            <w:tcBorders>
              <w:top w:val="nil"/>
            </w:tcBorders>
            <w:vAlign w:val="top"/>
          </w:tcPr>
          <w:p w14:paraId="5D7B537E">
            <w:pPr>
              <w:rPr>
                <w:rFonts w:ascii="Arial"/>
                <w:color w:val="auto"/>
                <w:sz w:val="21"/>
                <w:highlight w:val="none"/>
              </w:rPr>
            </w:pPr>
          </w:p>
        </w:tc>
        <w:tc>
          <w:tcPr>
            <w:tcW w:w="635" w:type="dxa"/>
            <w:vAlign w:val="top"/>
          </w:tcPr>
          <w:p w14:paraId="10ABEA7D">
            <w:pPr>
              <w:pStyle w:val="23"/>
              <w:spacing w:before="163" w:line="270" w:lineRule="exact"/>
              <w:ind w:left="286"/>
              <w:rPr>
                <w:color w:val="auto"/>
                <w:highlight w:val="none"/>
              </w:rPr>
            </w:pPr>
            <w:r>
              <w:rPr>
                <w:color w:val="auto"/>
                <w:position w:val="1"/>
                <w:highlight w:val="none"/>
              </w:rPr>
              <w:t>1</w:t>
            </w:r>
          </w:p>
        </w:tc>
        <w:tc>
          <w:tcPr>
            <w:tcW w:w="348" w:type="dxa"/>
            <w:vAlign w:val="top"/>
          </w:tcPr>
          <w:p w14:paraId="0ED61F6F">
            <w:pPr>
              <w:pStyle w:val="23"/>
              <w:spacing w:before="163" w:line="270" w:lineRule="exact"/>
              <w:ind w:left="130"/>
              <w:rPr>
                <w:color w:val="auto"/>
                <w:highlight w:val="none"/>
              </w:rPr>
            </w:pPr>
            <w:r>
              <w:rPr>
                <w:color w:val="auto"/>
                <w:position w:val="1"/>
                <w:highlight w:val="none"/>
              </w:rPr>
              <w:t>2</w:t>
            </w:r>
          </w:p>
        </w:tc>
        <w:tc>
          <w:tcPr>
            <w:tcW w:w="348" w:type="dxa"/>
            <w:vAlign w:val="top"/>
          </w:tcPr>
          <w:p w14:paraId="76B0891F">
            <w:pPr>
              <w:pStyle w:val="23"/>
              <w:spacing w:before="163" w:line="269" w:lineRule="exact"/>
              <w:ind w:left="132"/>
              <w:rPr>
                <w:color w:val="auto"/>
                <w:highlight w:val="none"/>
              </w:rPr>
            </w:pPr>
            <w:r>
              <w:rPr>
                <w:color w:val="auto"/>
                <w:position w:val="1"/>
                <w:highlight w:val="none"/>
              </w:rPr>
              <w:t>3</w:t>
            </w:r>
          </w:p>
        </w:tc>
        <w:tc>
          <w:tcPr>
            <w:tcW w:w="350" w:type="dxa"/>
            <w:vAlign w:val="top"/>
          </w:tcPr>
          <w:p w14:paraId="7238CC37">
            <w:pPr>
              <w:pStyle w:val="23"/>
              <w:spacing w:before="163" w:line="270" w:lineRule="exact"/>
              <w:ind w:left="127"/>
              <w:rPr>
                <w:color w:val="auto"/>
                <w:highlight w:val="none"/>
              </w:rPr>
            </w:pPr>
            <w:r>
              <w:rPr>
                <w:color w:val="auto"/>
                <w:position w:val="1"/>
                <w:highlight w:val="none"/>
              </w:rPr>
              <w:t>4</w:t>
            </w:r>
          </w:p>
        </w:tc>
        <w:tc>
          <w:tcPr>
            <w:tcW w:w="348" w:type="dxa"/>
            <w:vAlign w:val="top"/>
          </w:tcPr>
          <w:p w14:paraId="6190C9BA">
            <w:pPr>
              <w:pStyle w:val="23"/>
              <w:spacing w:before="163" w:line="269" w:lineRule="exact"/>
              <w:ind w:left="132"/>
              <w:rPr>
                <w:color w:val="auto"/>
                <w:highlight w:val="none"/>
              </w:rPr>
            </w:pPr>
            <w:r>
              <w:rPr>
                <w:color w:val="auto"/>
                <w:position w:val="1"/>
                <w:highlight w:val="none"/>
              </w:rPr>
              <w:t>5</w:t>
            </w:r>
          </w:p>
        </w:tc>
        <w:tc>
          <w:tcPr>
            <w:tcW w:w="349" w:type="dxa"/>
            <w:vAlign w:val="top"/>
          </w:tcPr>
          <w:p w14:paraId="3EC35186">
            <w:pPr>
              <w:pStyle w:val="23"/>
              <w:spacing w:before="163" w:line="269" w:lineRule="exact"/>
              <w:ind w:left="130"/>
              <w:rPr>
                <w:color w:val="auto"/>
                <w:highlight w:val="none"/>
              </w:rPr>
            </w:pPr>
            <w:r>
              <w:rPr>
                <w:color w:val="auto"/>
                <w:position w:val="1"/>
                <w:highlight w:val="none"/>
              </w:rPr>
              <w:t>6</w:t>
            </w:r>
          </w:p>
        </w:tc>
        <w:tc>
          <w:tcPr>
            <w:tcW w:w="351" w:type="dxa"/>
            <w:vAlign w:val="top"/>
          </w:tcPr>
          <w:p w14:paraId="3F83F4AF">
            <w:pPr>
              <w:pStyle w:val="23"/>
              <w:spacing w:before="163" w:line="269" w:lineRule="exact"/>
              <w:ind w:left="135"/>
              <w:rPr>
                <w:color w:val="auto"/>
                <w:highlight w:val="none"/>
              </w:rPr>
            </w:pPr>
            <w:r>
              <w:rPr>
                <w:color w:val="auto"/>
                <w:position w:val="1"/>
                <w:highlight w:val="none"/>
              </w:rPr>
              <w:t>7</w:t>
            </w:r>
          </w:p>
        </w:tc>
        <w:tc>
          <w:tcPr>
            <w:tcW w:w="349" w:type="dxa"/>
            <w:vAlign w:val="top"/>
          </w:tcPr>
          <w:p w14:paraId="7758C9C8">
            <w:pPr>
              <w:pStyle w:val="23"/>
              <w:spacing w:before="163" w:line="269" w:lineRule="exact"/>
              <w:ind w:left="130"/>
              <w:rPr>
                <w:color w:val="auto"/>
                <w:highlight w:val="none"/>
              </w:rPr>
            </w:pPr>
            <w:r>
              <w:rPr>
                <w:color w:val="auto"/>
                <w:position w:val="1"/>
                <w:highlight w:val="none"/>
              </w:rPr>
              <w:t>8</w:t>
            </w:r>
          </w:p>
        </w:tc>
        <w:tc>
          <w:tcPr>
            <w:tcW w:w="349" w:type="dxa"/>
            <w:vAlign w:val="top"/>
          </w:tcPr>
          <w:p w14:paraId="188BDBCD">
            <w:pPr>
              <w:pStyle w:val="23"/>
              <w:spacing w:before="163" w:line="269" w:lineRule="exact"/>
              <w:ind w:left="129"/>
              <w:rPr>
                <w:color w:val="auto"/>
                <w:highlight w:val="none"/>
              </w:rPr>
            </w:pPr>
            <w:r>
              <w:rPr>
                <w:color w:val="auto"/>
                <w:position w:val="1"/>
                <w:highlight w:val="none"/>
              </w:rPr>
              <w:t>9</w:t>
            </w:r>
          </w:p>
        </w:tc>
        <w:tc>
          <w:tcPr>
            <w:tcW w:w="426" w:type="dxa"/>
            <w:vAlign w:val="top"/>
          </w:tcPr>
          <w:p w14:paraId="0DEC6AA4">
            <w:pPr>
              <w:pStyle w:val="23"/>
              <w:spacing w:before="163" w:line="269" w:lineRule="exact"/>
              <w:ind w:left="131"/>
              <w:rPr>
                <w:color w:val="auto"/>
                <w:highlight w:val="none"/>
              </w:rPr>
            </w:pPr>
            <w:r>
              <w:rPr>
                <w:color w:val="auto"/>
                <w:spacing w:val="-7"/>
                <w:position w:val="1"/>
                <w:highlight w:val="none"/>
              </w:rPr>
              <w:t>10</w:t>
            </w:r>
          </w:p>
        </w:tc>
        <w:tc>
          <w:tcPr>
            <w:tcW w:w="426" w:type="dxa"/>
            <w:vAlign w:val="top"/>
          </w:tcPr>
          <w:p w14:paraId="69BAF657">
            <w:pPr>
              <w:pStyle w:val="23"/>
              <w:spacing w:before="163" w:line="270" w:lineRule="exact"/>
              <w:ind w:left="129"/>
              <w:rPr>
                <w:color w:val="auto"/>
                <w:highlight w:val="none"/>
              </w:rPr>
            </w:pPr>
            <w:r>
              <w:rPr>
                <w:color w:val="auto"/>
                <w:spacing w:val="-7"/>
                <w:position w:val="1"/>
                <w:highlight w:val="none"/>
              </w:rPr>
              <w:t>11</w:t>
            </w:r>
          </w:p>
        </w:tc>
        <w:tc>
          <w:tcPr>
            <w:tcW w:w="426" w:type="dxa"/>
            <w:vAlign w:val="top"/>
          </w:tcPr>
          <w:p w14:paraId="520AF69E">
            <w:pPr>
              <w:pStyle w:val="23"/>
              <w:spacing w:before="163" w:line="270" w:lineRule="exact"/>
              <w:ind w:left="131"/>
              <w:rPr>
                <w:color w:val="auto"/>
                <w:highlight w:val="none"/>
              </w:rPr>
            </w:pPr>
            <w:r>
              <w:rPr>
                <w:color w:val="auto"/>
                <w:spacing w:val="-7"/>
                <w:position w:val="1"/>
                <w:highlight w:val="none"/>
              </w:rPr>
              <w:t>12</w:t>
            </w:r>
          </w:p>
        </w:tc>
        <w:tc>
          <w:tcPr>
            <w:tcW w:w="429" w:type="dxa"/>
            <w:vAlign w:val="top"/>
          </w:tcPr>
          <w:p w14:paraId="4738BB05">
            <w:pPr>
              <w:pStyle w:val="23"/>
              <w:spacing w:before="163" w:line="324" w:lineRule="exact"/>
              <w:ind w:left="129"/>
              <w:rPr>
                <w:color w:val="auto"/>
                <w:highlight w:val="none"/>
              </w:rPr>
            </w:pPr>
            <w:r>
              <w:rPr>
                <w:color w:val="auto"/>
                <w:position w:val="2"/>
                <w:highlight w:val="none"/>
              </w:rPr>
              <w:t>…</w:t>
            </w:r>
          </w:p>
        </w:tc>
        <w:tc>
          <w:tcPr>
            <w:tcW w:w="526" w:type="dxa"/>
            <w:vMerge w:val="continue"/>
            <w:tcBorders>
              <w:top w:val="nil"/>
            </w:tcBorders>
            <w:textDirection w:val="tbRlV"/>
            <w:vAlign w:val="top"/>
          </w:tcPr>
          <w:p w14:paraId="3C1EDBC6">
            <w:pPr>
              <w:rPr>
                <w:rFonts w:ascii="Arial"/>
                <w:color w:val="auto"/>
                <w:sz w:val="21"/>
                <w:highlight w:val="none"/>
              </w:rPr>
            </w:pPr>
          </w:p>
        </w:tc>
        <w:tc>
          <w:tcPr>
            <w:tcW w:w="735" w:type="dxa"/>
            <w:vMerge w:val="continue"/>
            <w:tcBorders>
              <w:top w:val="nil"/>
            </w:tcBorders>
            <w:vAlign w:val="top"/>
          </w:tcPr>
          <w:p w14:paraId="2B444EBA">
            <w:pPr>
              <w:rPr>
                <w:rFonts w:ascii="Arial"/>
                <w:color w:val="auto"/>
                <w:sz w:val="21"/>
                <w:highlight w:val="none"/>
              </w:rPr>
            </w:pPr>
          </w:p>
        </w:tc>
      </w:tr>
      <w:tr w14:paraId="46777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608A8AC3">
            <w:pPr>
              <w:pStyle w:val="23"/>
              <w:spacing w:before="165" w:line="270" w:lineRule="exact"/>
              <w:ind w:left="197"/>
              <w:rPr>
                <w:color w:val="auto"/>
                <w:highlight w:val="none"/>
              </w:rPr>
            </w:pPr>
            <w:r>
              <w:rPr>
                <w:color w:val="auto"/>
                <w:position w:val="1"/>
                <w:highlight w:val="none"/>
              </w:rPr>
              <w:t>1</w:t>
            </w:r>
          </w:p>
        </w:tc>
        <w:tc>
          <w:tcPr>
            <w:tcW w:w="1628" w:type="dxa"/>
            <w:vAlign w:val="top"/>
          </w:tcPr>
          <w:p w14:paraId="4C2B172E">
            <w:pPr>
              <w:pStyle w:val="23"/>
              <w:spacing w:before="165" w:line="228" w:lineRule="auto"/>
              <w:ind w:left="192"/>
              <w:rPr>
                <w:color w:val="auto"/>
                <w:highlight w:val="none"/>
              </w:rPr>
            </w:pPr>
            <w:r>
              <w:rPr>
                <w:color w:val="auto"/>
                <w:spacing w:val="7"/>
                <w:highlight w:val="none"/>
              </w:rPr>
              <w:t>总监理工程师</w:t>
            </w:r>
          </w:p>
        </w:tc>
        <w:tc>
          <w:tcPr>
            <w:tcW w:w="805" w:type="dxa"/>
            <w:vAlign w:val="top"/>
          </w:tcPr>
          <w:p w14:paraId="69346944">
            <w:pPr>
              <w:rPr>
                <w:rFonts w:ascii="Arial"/>
                <w:color w:val="auto"/>
                <w:sz w:val="21"/>
                <w:highlight w:val="none"/>
              </w:rPr>
            </w:pPr>
          </w:p>
        </w:tc>
        <w:tc>
          <w:tcPr>
            <w:tcW w:w="635" w:type="dxa"/>
            <w:vAlign w:val="top"/>
          </w:tcPr>
          <w:p w14:paraId="26EBD424">
            <w:pPr>
              <w:rPr>
                <w:rFonts w:ascii="Arial"/>
                <w:color w:val="auto"/>
                <w:sz w:val="21"/>
                <w:highlight w:val="none"/>
              </w:rPr>
            </w:pPr>
          </w:p>
        </w:tc>
        <w:tc>
          <w:tcPr>
            <w:tcW w:w="348" w:type="dxa"/>
            <w:vAlign w:val="top"/>
          </w:tcPr>
          <w:p w14:paraId="59211203">
            <w:pPr>
              <w:rPr>
                <w:rFonts w:ascii="Arial"/>
                <w:color w:val="auto"/>
                <w:sz w:val="21"/>
                <w:highlight w:val="none"/>
              </w:rPr>
            </w:pPr>
          </w:p>
        </w:tc>
        <w:tc>
          <w:tcPr>
            <w:tcW w:w="348" w:type="dxa"/>
            <w:vAlign w:val="top"/>
          </w:tcPr>
          <w:p w14:paraId="2C4C0E4C">
            <w:pPr>
              <w:rPr>
                <w:rFonts w:ascii="Arial"/>
                <w:color w:val="auto"/>
                <w:sz w:val="21"/>
                <w:highlight w:val="none"/>
              </w:rPr>
            </w:pPr>
          </w:p>
        </w:tc>
        <w:tc>
          <w:tcPr>
            <w:tcW w:w="350" w:type="dxa"/>
            <w:vAlign w:val="top"/>
          </w:tcPr>
          <w:p w14:paraId="3ABB98D3">
            <w:pPr>
              <w:rPr>
                <w:rFonts w:ascii="Arial"/>
                <w:color w:val="auto"/>
                <w:sz w:val="21"/>
                <w:highlight w:val="none"/>
              </w:rPr>
            </w:pPr>
          </w:p>
        </w:tc>
        <w:tc>
          <w:tcPr>
            <w:tcW w:w="348" w:type="dxa"/>
            <w:vAlign w:val="top"/>
          </w:tcPr>
          <w:p w14:paraId="5AA79437">
            <w:pPr>
              <w:rPr>
                <w:rFonts w:ascii="Arial"/>
                <w:color w:val="auto"/>
                <w:sz w:val="21"/>
                <w:highlight w:val="none"/>
              </w:rPr>
            </w:pPr>
          </w:p>
        </w:tc>
        <w:tc>
          <w:tcPr>
            <w:tcW w:w="349" w:type="dxa"/>
            <w:vAlign w:val="top"/>
          </w:tcPr>
          <w:p w14:paraId="6FB5D5D2">
            <w:pPr>
              <w:rPr>
                <w:rFonts w:ascii="Arial"/>
                <w:color w:val="auto"/>
                <w:sz w:val="21"/>
                <w:highlight w:val="none"/>
              </w:rPr>
            </w:pPr>
          </w:p>
        </w:tc>
        <w:tc>
          <w:tcPr>
            <w:tcW w:w="351" w:type="dxa"/>
            <w:vAlign w:val="top"/>
          </w:tcPr>
          <w:p w14:paraId="12690FE5">
            <w:pPr>
              <w:rPr>
                <w:rFonts w:ascii="Arial"/>
                <w:color w:val="auto"/>
                <w:sz w:val="21"/>
                <w:highlight w:val="none"/>
              </w:rPr>
            </w:pPr>
          </w:p>
        </w:tc>
        <w:tc>
          <w:tcPr>
            <w:tcW w:w="349" w:type="dxa"/>
            <w:vAlign w:val="top"/>
          </w:tcPr>
          <w:p w14:paraId="6E1F16E8">
            <w:pPr>
              <w:rPr>
                <w:rFonts w:ascii="Arial"/>
                <w:color w:val="auto"/>
                <w:sz w:val="21"/>
                <w:highlight w:val="none"/>
              </w:rPr>
            </w:pPr>
          </w:p>
        </w:tc>
        <w:tc>
          <w:tcPr>
            <w:tcW w:w="349" w:type="dxa"/>
            <w:vAlign w:val="top"/>
          </w:tcPr>
          <w:p w14:paraId="2FBC14CC">
            <w:pPr>
              <w:rPr>
                <w:rFonts w:ascii="Arial"/>
                <w:color w:val="auto"/>
                <w:sz w:val="21"/>
                <w:highlight w:val="none"/>
              </w:rPr>
            </w:pPr>
          </w:p>
        </w:tc>
        <w:tc>
          <w:tcPr>
            <w:tcW w:w="426" w:type="dxa"/>
            <w:vAlign w:val="top"/>
          </w:tcPr>
          <w:p w14:paraId="4581270A">
            <w:pPr>
              <w:rPr>
                <w:rFonts w:ascii="Arial"/>
                <w:color w:val="auto"/>
                <w:sz w:val="21"/>
                <w:highlight w:val="none"/>
              </w:rPr>
            </w:pPr>
          </w:p>
        </w:tc>
        <w:tc>
          <w:tcPr>
            <w:tcW w:w="426" w:type="dxa"/>
            <w:vAlign w:val="top"/>
          </w:tcPr>
          <w:p w14:paraId="751ACD3B">
            <w:pPr>
              <w:rPr>
                <w:rFonts w:ascii="Arial"/>
                <w:color w:val="auto"/>
                <w:sz w:val="21"/>
                <w:highlight w:val="none"/>
              </w:rPr>
            </w:pPr>
          </w:p>
        </w:tc>
        <w:tc>
          <w:tcPr>
            <w:tcW w:w="426" w:type="dxa"/>
            <w:vAlign w:val="top"/>
          </w:tcPr>
          <w:p w14:paraId="0BD0D968">
            <w:pPr>
              <w:rPr>
                <w:rFonts w:ascii="Arial"/>
                <w:color w:val="auto"/>
                <w:sz w:val="21"/>
                <w:highlight w:val="none"/>
              </w:rPr>
            </w:pPr>
          </w:p>
        </w:tc>
        <w:tc>
          <w:tcPr>
            <w:tcW w:w="429" w:type="dxa"/>
            <w:vAlign w:val="top"/>
          </w:tcPr>
          <w:p w14:paraId="1DF0DF8F">
            <w:pPr>
              <w:rPr>
                <w:rFonts w:ascii="Arial"/>
                <w:color w:val="auto"/>
                <w:sz w:val="21"/>
                <w:highlight w:val="none"/>
              </w:rPr>
            </w:pPr>
          </w:p>
        </w:tc>
        <w:tc>
          <w:tcPr>
            <w:tcW w:w="526" w:type="dxa"/>
            <w:vAlign w:val="top"/>
          </w:tcPr>
          <w:p w14:paraId="5DCB2CB9">
            <w:pPr>
              <w:rPr>
                <w:rFonts w:ascii="Arial"/>
                <w:color w:val="auto"/>
                <w:sz w:val="21"/>
                <w:highlight w:val="none"/>
              </w:rPr>
            </w:pPr>
          </w:p>
        </w:tc>
        <w:tc>
          <w:tcPr>
            <w:tcW w:w="735" w:type="dxa"/>
            <w:vAlign w:val="top"/>
          </w:tcPr>
          <w:p w14:paraId="36B57442">
            <w:pPr>
              <w:rPr>
                <w:rFonts w:ascii="Arial"/>
                <w:color w:val="auto"/>
                <w:sz w:val="21"/>
                <w:highlight w:val="none"/>
              </w:rPr>
            </w:pPr>
          </w:p>
        </w:tc>
      </w:tr>
      <w:tr w14:paraId="6DCF1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0601ED08">
            <w:pPr>
              <w:pStyle w:val="23"/>
              <w:spacing w:before="167" w:line="270" w:lineRule="exact"/>
              <w:ind w:left="184"/>
              <w:rPr>
                <w:color w:val="auto"/>
                <w:highlight w:val="none"/>
              </w:rPr>
            </w:pPr>
            <w:r>
              <w:rPr>
                <w:color w:val="auto"/>
                <w:position w:val="1"/>
                <w:highlight w:val="none"/>
              </w:rPr>
              <w:t>2</w:t>
            </w:r>
          </w:p>
        </w:tc>
        <w:tc>
          <w:tcPr>
            <w:tcW w:w="1628" w:type="dxa"/>
            <w:vAlign w:val="top"/>
          </w:tcPr>
          <w:p w14:paraId="0F0B21A1">
            <w:pPr>
              <w:pStyle w:val="23"/>
              <w:spacing w:before="32" w:line="234"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3CF320F3">
            <w:pPr>
              <w:rPr>
                <w:rFonts w:ascii="Arial"/>
                <w:color w:val="auto"/>
                <w:sz w:val="21"/>
                <w:highlight w:val="none"/>
              </w:rPr>
            </w:pPr>
          </w:p>
        </w:tc>
        <w:tc>
          <w:tcPr>
            <w:tcW w:w="635" w:type="dxa"/>
            <w:vAlign w:val="top"/>
          </w:tcPr>
          <w:p w14:paraId="112784C8">
            <w:pPr>
              <w:rPr>
                <w:rFonts w:ascii="Arial"/>
                <w:color w:val="auto"/>
                <w:sz w:val="21"/>
                <w:highlight w:val="none"/>
              </w:rPr>
            </w:pPr>
          </w:p>
        </w:tc>
        <w:tc>
          <w:tcPr>
            <w:tcW w:w="348" w:type="dxa"/>
            <w:vAlign w:val="top"/>
          </w:tcPr>
          <w:p w14:paraId="599AA4B8">
            <w:pPr>
              <w:rPr>
                <w:rFonts w:ascii="Arial"/>
                <w:color w:val="auto"/>
                <w:sz w:val="21"/>
                <w:highlight w:val="none"/>
              </w:rPr>
            </w:pPr>
          </w:p>
        </w:tc>
        <w:tc>
          <w:tcPr>
            <w:tcW w:w="348" w:type="dxa"/>
            <w:vAlign w:val="top"/>
          </w:tcPr>
          <w:p w14:paraId="79A6A134">
            <w:pPr>
              <w:rPr>
                <w:rFonts w:ascii="Arial"/>
                <w:color w:val="auto"/>
                <w:sz w:val="21"/>
                <w:highlight w:val="none"/>
              </w:rPr>
            </w:pPr>
          </w:p>
        </w:tc>
        <w:tc>
          <w:tcPr>
            <w:tcW w:w="350" w:type="dxa"/>
            <w:vAlign w:val="top"/>
          </w:tcPr>
          <w:p w14:paraId="76E40D1B">
            <w:pPr>
              <w:rPr>
                <w:rFonts w:ascii="Arial"/>
                <w:color w:val="auto"/>
                <w:sz w:val="21"/>
                <w:highlight w:val="none"/>
              </w:rPr>
            </w:pPr>
          </w:p>
        </w:tc>
        <w:tc>
          <w:tcPr>
            <w:tcW w:w="348" w:type="dxa"/>
            <w:vAlign w:val="top"/>
          </w:tcPr>
          <w:p w14:paraId="44C548D2">
            <w:pPr>
              <w:rPr>
                <w:rFonts w:ascii="Arial"/>
                <w:color w:val="auto"/>
                <w:sz w:val="21"/>
                <w:highlight w:val="none"/>
              </w:rPr>
            </w:pPr>
          </w:p>
        </w:tc>
        <w:tc>
          <w:tcPr>
            <w:tcW w:w="349" w:type="dxa"/>
            <w:vAlign w:val="top"/>
          </w:tcPr>
          <w:p w14:paraId="3DBD8D08">
            <w:pPr>
              <w:rPr>
                <w:rFonts w:ascii="Arial"/>
                <w:color w:val="auto"/>
                <w:sz w:val="21"/>
                <w:highlight w:val="none"/>
              </w:rPr>
            </w:pPr>
          </w:p>
        </w:tc>
        <w:tc>
          <w:tcPr>
            <w:tcW w:w="351" w:type="dxa"/>
            <w:vAlign w:val="top"/>
          </w:tcPr>
          <w:p w14:paraId="55197BB8">
            <w:pPr>
              <w:rPr>
                <w:rFonts w:ascii="Arial"/>
                <w:color w:val="auto"/>
                <w:sz w:val="21"/>
                <w:highlight w:val="none"/>
              </w:rPr>
            </w:pPr>
          </w:p>
        </w:tc>
        <w:tc>
          <w:tcPr>
            <w:tcW w:w="349" w:type="dxa"/>
            <w:vAlign w:val="top"/>
          </w:tcPr>
          <w:p w14:paraId="38F624C9">
            <w:pPr>
              <w:rPr>
                <w:rFonts w:ascii="Arial"/>
                <w:color w:val="auto"/>
                <w:sz w:val="21"/>
                <w:highlight w:val="none"/>
              </w:rPr>
            </w:pPr>
          </w:p>
        </w:tc>
        <w:tc>
          <w:tcPr>
            <w:tcW w:w="349" w:type="dxa"/>
            <w:vAlign w:val="top"/>
          </w:tcPr>
          <w:p w14:paraId="5C747B19">
            <w:pPr>
              <w:rPr>
                <w:rFonts w:ascii="Arial"/>
                <w:color w:val="auto"/>
                <w:sz w:val="21"/>
                <w:highlight w:val="none"/>
              </w:rPr>
            </w:pPr>
          </w:p>
        </w:tc>
        <w:tc>
          <w:tcPr>
            <w:tcW w:w="426" w:type="dxa"/>
            <w:vAlign w:val="top"/>
          </w:tcPr>
          <w:p w14:paraId="49CA455B">
            <w:pPr>
              <w:rPr>
                <w:rFonts w:ascii="Arial"/>
                <w:color w:val="auto"/>
                <w:sz w:val="21"/>
                <w:highlight w:val="none"/>
              </w:rPr>
            </w:pPr>
          </w:p>
        </w:tc>
        <w:tc>
          <w:tcPr>
            <w:tcW w:w="426" w:type="dxa"/>
            <w:vAlign w:val="top"/>
          </w:tcPr>
          <w:p w14:paraId="02C1BF48">
            <w:pPr>
              <w:rPr>
                <w:rFonts w:ascii="Arial"/>
                <w:color w:val="auto"/>
                <w:sz w:val="21"/>
                <w:highlight w:val="none"/>
              </w:rPr>
            </w:pPr>
          </w:p>
        </w:tc>
        <w:tc>
          <w:tcPr>
            <w:tcW w:w="426" w:type="dxa"/>
            <w:vAlign w:val="top"/>
          </w:tcPr>
          <w:p w14:paraId="03988CCF">
            <w:pPr>
              <w:rPr>
                <w:rFonts w:ascii="Arial"/>
                <w:color w:val="auto"/>
                <w:sz w:val="21"/>
                <w:highlight w:val="none"/>
              </w:rPr>
            </w:pPr>
          </w:p>
        </w:tc>
        <w:tc>
          <w:tcPr>
            <w:tcW w:w="429" w:type="dxa"/>
            <w:vAlign w:val="top"/>
          </w:tcPr>
          <w:p w14:paraId="4F667698">
            <w:pPr>
              <w:rPr>
                <w:rFonts w:ascii="Arial"/>
                <w:color w:val="auto"/>
                <w:sz w:val="21"/>
                <w:highlight w:val="none"/>
              </w:rPr>
            </w:pPr>
          </w:p>
        </w:tc>
        <w:tc>
          <w:tcPr>
            <w:tcW w:w="526" w:type="dxa"/>
            <w:vAlign w:val="top"/>
          </w:tcPr>
          <w:p w14:paraId="017EA718">
            <w:pPr>
              <w:rPr>
                <w:rFonts w:ascii="Arial"/>
                <w:color w:val="auto"/>
                <w:sz w:val="21"/>
                <w:highlight w:val="none"/>
              </w:rPr>
            </w:pPr>
          </w:p>
        </w:tc>
        <w:tc>
          <w:tcPr>
            <w:tcW w:w="735" w:type="dxa"/>
            <w:vAlign w:val="top"/>
          </w:tcPr>
          <w:p w14:paraId="1144A2D8">
            <w:pPr>
              <w:rPr>
                <w:rFonts w:ascii="Arial"/>
                <w:color w:val="auto"/>
                <w:sz w:val="21"/>
                <w:highlight w:val="none"/>
              </w:rPr>
            </w:pPr>
          </w:p>
        </w:tc>
      </w:tr>
      <w:tr w14:paraId="534C4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10DE7A45">
            <w:pPr>
              <w:pStyle w:val="23"/>
              <w:spacing w:before="167" w:line="269" w:lineRule="exact"/>
              <w:ind w:left="185"/>
              <w:rPr>
                <w:color w:val="auto"/>
                <w:highlight w:val="none"/>
              </w:rPr>
            </w:pPr>
            <w:r>
              <w:rPr>
                <w:color w:val="auto"/>
                <w:position w:val="1"/>
                <w:highlight w:val="none"/>
              </w:rPr>
              <w:t>3</w:t>
            </w:r>
          </w:p>
        </w:tc>
        <w:tc>
          <w:tcPr>
            <w:tcW w:w="1628" w:type="dxa"/>
            <w:vAlign w:val="top"/>
          </w:tcPr>
          <w:p w14:paraId="0A1200E1">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4CF2B10A">
            <w:pPr>
              <w:rPr>
                <w:rFonts w:ascii="Arial"/>
                <w:color w:val="auto"/>
                <w:sz w:val="21"/>
                <w:highlight w:val="none"/>
              </w:rPr>
            </w:pPr>
          </w:p>
        </w:tc>
        <w:tc>
          <w:tcPr>
            <w:tcW w:w="635" w:type="dxa"/>
            <w:vAlign w:val="top"/>
          </w:tcPr>
          <w:p w14:paraId="4F4F8A45">
            <w:pPr>
              <w:rPr>
                <w:rFonts w:ascii="Arial"/>
                <w:color w:val="auto"/>
                <w:sz w:val="21"/>
                <w:highlight w:val="none"/>
              </w:rPr>
            </w:pPr>
          </w:p>
        </w:tc>
        <w:tc>
          <w:tcPr>
            <w:tcW w:w="348" w:type="dxa"/>
            <w:vAlign w:val="top"/>
          </w:tcPr>
          <w:p w14:paraId="6D2D57BC">
            <w:pPr>
              <w:rPr>
                <w:rFonts w:ascii="Arial"/>
                <w:color w:val="auto"/>
                <w:sz w:val="21"/>
                <w:highlight w:val="none"/>
              </w:rPr>
            </w:pPr>
          </w:p>
        </w:tc>
        <w:tc>
          <w:tcPr>
            <w:tcW w:w="348" w:type="dxa"/>
            <w:vAlign w:val="top"/>
          </w:tcPr>
          <w:p w14:paraId="0B2DE505">
            <w:pPr>
              <w:rPr>
                <w:rFonts w:ascii="Arial"/>
                <w:color w:val="auto"/>
                <w:sz w:val="21"/>
                <w:highlight w:val="none"/>
              </w:rPr>
            </w:pPr>
          </w:p>
        </w:tc>
        <w:tc>
          <w:tcPr>
            <w:tcW w:w="350" w:type="dxa"/>
            <w:vAlign w:val="top"/>
          </w:tcPr>
          <w:p w14:paraId="48941FAE">
            <w:pPr>
              <w:rPr>
                <w:rFonts w:ascii="Arial"/>
                <w:color w:val="auto"/>
                <w:sz w:val="21"/>
                <w:highlight w:val="none"/>
              </w:rPr>
            </w:pPr>
          </w:p>
        </w:tc>
        <w:tc>
          <w:tcPr>
            <w:tcW w:w="348" w:type="dxa"/>
            <w:vAlign w:val="top"/>
          </w:tcPr>
          <w:p w14:paraId="0F3029FD">
            <w:pPr>
              <w:rPr>
                <w:rFonts w:ascii="Arial"/>
                <w:color w:val="auto"/>
                <w:sz w:val="21"/>
                <w:highlight w:val="none"/>
              </w:rPr>
            </w:pPr>
          </w:p>
        </w:tc>
        <w:tc>
          <w:tcPr>
            <w:tcW w:w="349" w:type="dxa"/>
            <w:vAlign w:val="top"/>
          </w:tcPr>
          <w:p w14:paraId="12C97CA0">
            <w:pPr>
              <w:rPr>
                <w:rFonts w:ascii="Arial"/>
                <w:color w:val="auto"/>
                <w:sz w:val="21"/>
                <w:highlight w:val="none"/>
              </w:rPr>
            </w:pPr>
          </w:p>
        </w:tc>
        <w:tc>
          <w:tcPr>
            <w:tcW w:w="351" w:type="dxa"/>
            <w:vAlign w:val="top"/>
          </w:tcPr>
          <w:p w14:paraId="72063E10">
            <w:pPr>
              <w:rPr>
                <w:rFonts w:ascii="Arial"/>
                <w:color w:val="auto"/>
                <w:sz w:val="21"/>
                <w:highlight w:val="none"/>
              </w:rPr>
            </w:pPr>
          </w:p>
        </w:tc>
        <w:tc>
          <w:tcPr>
            <w:tcW w:w="349" w:type="dxa"/>
            <w:vAlign w:val="top"/>
          </w:tcPr>
          <w:p w14:paraId="0CD5D437">
            <w:pPr>
              <w:rPr>
                <w:rFonts w:ascii="Arial"/>
                <w:color w:val="auto"/>
                <w:sz w:val="21"/>
                <w:highlight w:val="none"/>
              </w:rPr>
            </w:pPr>
          </w:p>
        </w:tc>
        <w:tc>
          <w:tcPr>
            <w:tcW w:w="349" w:type="dxa"/>
            <w:vAlign w:val="top"/>
          </w:tcPr>
          <w:p w14:paraId="4F064238">
            <w:pPr>
              <w:rPr>
                <w:rFonts w:ascii="Arial"/>
                <w:color w:val="auto"/>
                <w:sz w:val="21"/>
                <w:highlight w:val="none"/>
              </w:rPr>
            </w:pPr>
          </w:p>
        </w:tc>
        <w:tc>
          <w:tcPr>
            <w:tcW w:w="426" w:type="dxa"/>
            <w:vAlign w:val="top"/>
          </w:tcPr>
          <w:p w14:paraId="28637C68">
            <w:pPr>
              <w:rPr>
                <w:rFonts w:ascii="Arial"/>
                <w:color w:val="auto"/>
                <w:sz w:val="21"/>
                <w:highlight w:val="none"/>
              </w:rPr>
            </w:pPr>
          </w:p>
        </w:tc>
        <w:tc>
          <w:tcPr>
            <w:tcW w:w="426" w:type="dxa"/>
            <w:vAlign w:val="top"/>
          </w:tcPr>
          <w:p w14:paraId="1A41038E">
            <w:pPr>
              <w:rPr>
                <w:rFonts w:ascii="Arial"/>
                <w:color w:val="auto"/>
                <w:sz w:val="21"/>
                <w:highlight w:val="none"/>
              </w:rPr>
            </w:pPr>
          </w:p>
        </w:tc>
        <w:tc>
          <w:tcPr>
            <w:tcW w:w="426" w:type="dxa"/>
            <w:vAlign w:val="top"/>
          </w:tcPr>
          <w:p w14:paraId="73106177">
            <w:pPr>
              <w:rPr>
                <w:rFonts w:ascii="Arial"/>
                <w:color w:val="auto"/>
                <w:sz w:val="21"/>
                <w:highlight w:val="none"/>
              </w:rPr>
            </w:pPr>
          </w:p>
        </w:tc>
        <w:tc>
          <w:tcPr>
            <w:tcW w:w="429" w:type="dxa"/>
            <w:vAlign w:val="top"/>
          </w:tcPr>
          <w:p w14:paraId="7526881B">
            <w:pPr>
              <w:rPr>
                <w:rFonts w:ascii="Arial"/>
                <w:color w:val="auto"/>
                <w:sz w:val="21"/>
                <w:highlight w:val="none"/>
              </w:rPr>
            </w:pPr>
          </w:p>
        </w:tc>
        <w:tc>
          <w:tcPr>
            <w:tcW w:w="526" w:type="dxa"/>
            <w:vAlign w:val="top"/>
          </w:tcPr>
          <w:p w14:paraId="79F2DCCE">
            <w:pPr>
              <w:rPr>
                <w:rFonts w:ascii="Arial"/>
                <w:color w:val="auto"/>
                <w:sz w:val="21"/>
                <w:highlight w:val="none"/>
              </w:rPr>
            </w:pPr>
          </w:p>
        </w:tc>
        <w:tc>
          <w:tcPr>
            <w:tcW w:w="735" w:type="dxa"/>
            <w:vAlign w:val="top"/>
          </w:tcPr>
          <w:p w14:paraId="7ABD9B5B">
            <w:pPr>
              <w:rPr>
                <w:rFonts w:ascii="Arial"/>
                <w:color w:val="auto"/>
                <w:sz w:val="21"/>
                <w:highlight w:val="none"/>
              </w:rPr>
            </w:pPr>
          </w:p>
        </w:tc>
      </w:tr>
      <w:tr w14:paraId="4E066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5AA5A74F">
            <w:pPr>
              <w:pStyle w:val="23"/>
              <w:spacing w:before="168" w:line="270" w:lineRule="exact"/>
              <w:ind w:left="180"/>
              <w:rPr>
                <w:color w:val="auto"/>
                <w:highlight w:val="none"/>
              </w:rPr>
            </w:pPr>
            <w:r>
              <w:rPr>
                <w:color w:val="auto"/>
                <w:position w:val="1"/>
                <w:highlight w:val="none"/>
              </w:rPr>
              <w:t>4</w:t>
            </w:r>
          </w:p>
        </w:tc>
        <w:tc>
          <w:tcPr>
            <w:tcW w:w="1628" w:type="dxa"/>
            <w:vAlign w:val="top"/>
          </w:tcPr>
          <w:p w14:paraId="52FD9844">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6F16781D">
            <w:pPr>
              <w:rPr>
                <w:rFonts w:ascii="Arial"/>
                <w:color w:val="auto"/>
                <w:sz w:val="21"/>
                <w:highlight w:val="none"/>
              </w:rPr>
            </w:pPr>
          </w:p>
        </w:tc>
        <w:tc>
          <w:tcPr>
            <w:tcW w:w="635" w:type="dxa"/>
            <w:vAlign w:val="top"/>
          </w:tcPr>
          <w:p w14:paraId="7F75B9BA">
            <w:pPr>
              <w:rPr>
                <w:rFonts w:ascii="Arial"/>
                <w:color w:val="auto"/>
                <w:sz w:val="21"/>
                <w:highlight w:val="none"/>
              </w:rPr>
            </w:pPr>
          </w:p>
        </w:tc>
        <w:tc>
          <w:tcPr>
            <w:tcW w:w="348" w:type="dxa"/>
            <w:vAlign w:val="top"/>
          </w:tcPr>
          <w:p w14:paraId="0075F0AF">
            <w:pPr>
              <w:rPr>
                <w:rFonts w:ascii="Arial"/>
                <w:color w:val="auto"/>
                <w:sz w:val="21"/>
                <w:highlight w:val="none"/>
              </w:rPr>
            </w:pPr>
          </w:p>
        </w:tc>
        <w:tc>
          <w:tcPr>
            <w:tcW w:w="348" w:type="dxa"/>
            <w:vAlign w:val="top"/>
          </w:tcPr>
          <w:p w14:paraId="0AEB7509">
            <w:pPr>
              <w:rPr>
                <w:rFonts w:ascii="Arial"/>
                <w:color w:val="auto"/>
                <w:sz w:val="21"/>
                <w:highlight w:val="none"/>
              </w:rPr>
            </w:pPr>
          </w:p>
        </w:tc>
        <w:tc>
          <w:tcPr>
            <w:tcW w:w="350" w:type="dxa"/>
            <w:vAlign w:val="top"/>
          </w:tcPr>
          <w:p w14:paraId="78B64D1F">
            <w:pPr>
              <w:rPr>
                <w:rFonts w:ascii="Arial"/>
                <w:color w:val="auto"/>
                <w:sz w:val="21"/>
                <w:highlight w:val="none"/>
              </w:rPr>
            </w:pPr>
          </w:p>
        </w:tc>
        <w:tc>
          <w:tcPr>
            <w:tcW w:w="348" w:type="dxa"/>
            <w:vAlign w:val="top"/>
          </w:tcPr>
          <w:p w14:paraId="1B0EBBCC">
            <w:pPr>
              <w:rPr>
                <w:rFonts w:ascii="Arial"/>
                <w:color w:val="auto"/>
                <w:sz w:val="21"/>
                <w:highlight w:val="none"/>
              </w:rPr>
            </w:pPr>
          </w:p>
        </w:tc>
        <w:tc>
          <w:tcPr>
            <w:tcW w:w="349" w:type="dxa"/>
            <w:vAlign w:val="top"/>
          </w:tcPr>
          <w:p w14:paraId="730D7F7A">
            <w:pPr>
              <w:rPr>
                <w:rFonts w:ascii="Arial"/>
                <w:color w:val="auto"/>
                <w:sz w:val="21"/>
                <w:highlight w:val="none"/>
              </w:rPr>
            </w:pPr>
          </w:p>
        </w:tc>
        <w:tc>
          <w:tcPr>
            <w:tcW w:w="351" w:type="dxa"/>
            <w:vAlign w:val="top"/>
          </w:tcPr>
          <w:p w14:paraId="3FEE1726">
            <w:pPr>
              <w:rPr>
                <w:rFonts w:ascii="Arial"/>
                <w:color w:val="auto"/>
                <w:sz w:val="21"/>
                <w:highlight w:val="none"/>
              </w:rPr>
            </w:pPr>
          </w:p>
        </w:tc>
        <w:tc>
          <w:tcPr>
            <w:tcW w:w="349" w:type="dxa"/>
            <w:vAlign w:val="top"/>
          </w:tcPr>
          <w:p w14:paraId="6C6389ED">
            <w:pPr>
              <w:rPr>
                <w:rFonts w:ascii="Arial"/>
                <w:color w:val="auto"/>
                <w:sz w:val="21"/>
                <w:highlight w:val="none"/>
              </w:rPr>
            </w:pPr>
          </w:p>
        </w:tc>
        <w:tc>
          <w:tcPr>
            <w:tcW w:w="349" w:type="dxa"/>
            <w:vAlign w:val="top"/>
          </w:tcPr>
          <w:p w14:paraId="5DBE1475">
            <w:pPr>
              <w:rPr>
                <w:rFonts w:ascii="Arial"/>
                <w:color w:val="auto"/>
                <w:sz w:val="21"/>
                <w:highlight w:val="none"/>
              </w:rPr>
            </w:pPr>
          </w:p>
        </w:tc>
        <w:tc>
          <w:tcPr>
            <w:tcW w:w="426" w:type="dxa"/>
            <w:vAlign w:val="top"/>
          </w:tcPr>
          <w:p w14:paraId="295C7E3B">
            <w:pPr>
              <w:rPr>
                <w:rFonts w:ascii="Arial"/>
                <w:color w:val="auto"/>
                <w:sz w:val="21"/>
                <w:highlight w:val="none"/>
              </w:rPr>
            </w:pPr>
          </w:p>
        </w:tc>
        <w:tc>
          <w:tcPr>
            <w:tcW w:w="426" w:type="dxa"/>
            <w:vAlign w:val="top"/>
          </w:tcPr>
          <w:p w14:paraId="363ACE33">
            <w:pPr>
              <w:rPr>
                <w:rFonts w:ascii="Arial"/>
                <w:color w:val="auto"/>
                <w:sz w:val="21"/>
                <w:highlight w:val="none"/>
              </w:rPr>
            </w:pPr>
          </w:p>
        </w:tc>
        <w:tc>
          <w:tcPr>
            <w:tcW w:w="426" w:type="dxa"/>
            <w:vAlign w:val="top"/>
          </w:tcPr>
          <w:p w14:paraId="594508B8">
            <w:pPr>
              <w:rPr>
                <w:rFonts w:ascii="Arial"/>
                <w:color w:val="auto"/>
                <w:sz w:val="21"/>
                <w:highlight w:val="none"/>
              </w:rPr>
            </w:pPr>
          </w:p>
        </w:tc>
        <w:tc>
          <w:tcPr>
            <w:tcW w:w="429" w:type="dxa"/>
            <w:vAlign w:val="top"/>
          </w:tcPr>
          <w:p w14:paraId="22761D51">
            <w:pPr>
              <w:rPr>
                <w:rFonts w:ascii="Arial"/>
                <w:color w:val="auto"/>
                <w:sz w:val="21"/>
                <w:highlight w:val="none"/>
              </w:rPr>
            </w:pPr>
          </w:p>
        </w:tc>
        <w:tc>
          <w:tcPr>
            <w:tcW w:w="526" w:type="dxa"/>
            <w:vAlign w:val="top"/>
          </w:tcPr>
          <w:p w14:paraId="278282D2">
            <w:pPr>
              <w:rPr>
                <w:rFonts w:ascii="Arial"/>
                <w:color w:val="auto"/>
                <w:sz w:val="21"/>
                <w:highlight w:val="none"/>
              </w:rPr>
            </w:pPr>
          </w:p>
        </w:tc>
        <w:tc>
          <w:tcPr>
            <w:tcW w:w="735" w:type="dxa"/>
            <w:vAlign w:val="top"/>
          </w:tcPr>
          <w:p w14:paraId="4BB9F8AA">
            <w:pPr>
              <w:rPr>
                <w:rFonts w:ascii="Arial"/>
                <w:color w:val="auto"/>
                <w:sz w:val="21"/>
                <w:highlight w:val="none"/>
              </w:rPr>
            </w:pPr>
          </w:p>
        </w:tc>
      </w:tr>
      <w:tr w14:paraId="3D38F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8" w:type="dxa"/>
            <w:vAlign w:val="top"/>
          </w:tcPr>
          <w:p w14:paraId="7528C1EA">
            <w:pPr>
              <w:pStyle w:val="23"/>
              <w:spacing w:before="168" w:line="269" w:lineRule="exact"/>
              <w:ind w:left="185"/>
              <w:rPr>
                <w:color w:val="auto"/>
                <w:highlight w:val="none"/>
              </w:rPr>
            </w:pPr>
            <w:r>
              <w:rPr>
                <w:color w:val="auto"/>
                <w:position w:val="1"/>
                <w:highlight w:val="none"/>
              </w:rPr>
              <w:t>5</w:t>
            </w:r>
          </w:p>
        </w:tc>
        <w:tc>
          <w:tcPr>
            <w:tcW w:w="1628" w:type="dxa"/>
            <w:vAlign w:val="top"/>
          </w:tcPr>
          <w:p w14:paraId="2319F0FD">
            <w:pPr>
              <w:pStyle w:val="23"/>
              <w:spacing w:before="35"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1F3F784A">
            <w:pPr>
              <w:rPr>
                <w:rFonts w:ascii="Arial"/>
                <w:color w:val="auto"/>
                <w:sz w:val="21"/>
                <w:highlight w:val="none"/>
              </w:rPr>
            </w:pPr>
          </w:p>
        </w:tc>
        <w:tc>
          <w:tcPr>
            <w:tcW w:w="635" w:type="dxa"/>
            <w:vAlign w:val="top"/>
          </w:tcPr>
          <w:p w14:paraId="5BF00CE5">
            <w:pPr>
              <w:rPr>
                <w:rFonts w:ascii="Arial"/>
                <w:color w:val="auto"/>
                <w:sz w:val="21"/>
                <w:highlight w:val="none"/>
              </w:rPr>
            </w:pPr>
          </w:p>
        </w:tc>
        <w:tc>
          <w:tcPr>
            <w:tcW w:w="348" w:type="dxa"/>
            <w:vAlign w:val="top"/>
          </w:tcPr>
          <w:p w14:paraId="1C7E7090">
            <w:pPr>
              <w:rPr>
                <w:rFonts w:ascii="Arial"/>
                <w:color w:val="auto"/>
                <w:sz w:val="21"/>
                <w:highlight w:val="none"/>
              </w:rPr>
            </w:pPr>
          </w:p>
        </w:tc>
        <w:tc>
          <w:tcPr>
            <w:tcW w:w="348" w:type="dxa"/>
            <w:vAlign w:val="top"/>
          </w:tcPr>
          <w:p w14:paraId="0211E718">
            <w:pPr>
              <w:rPr>
                <w:rFonts w:ascii="Arial"/>
                <w:color w:val="auto"/>
                <w:sz w:val="21"/>
                <w:highlight w:val="none"/>
              </w:rPr>
            </w:pPr>
          </w:p>
        </w:tc>
        <w:tc>
          <w:tcPr>
            <w:tcW w:w="350" w:type="dxa"/>
            <w:vAlign w:val="top"/>
          </w:tcPr>
          <w:p w14:paraId="7F4ABF35">
            <w:pPr>
              <w:rPr>
                <w:rFonts w:ascii="Arial"/>
                <w:color w:val="auto"/>
                <w:sz w:val="21"/>
                <w:highlight w:val="none"/>
              </w:rPr>
            </w:pPr>
          </w:p>
        </w:tc>
        <w:tc>
          <w:tcPr>
            <w:tcW w:w="348" w:type="dxa"/>
            <w:vAlign w:val="top"/>
          </w:tcPr>
          <w:p w14:paraId="7D45E375">
            <w:pPr>
              <w:rPr>
                <w:rFonts w:ascii="Arial"/>
                <w:color w:val="auto"/>
                <w:sz w:val="21"/>
                <w:highlight w:val="none"/>
              </w:rPr>
            </w:pPr>
          </w:p>
        </w:tc>
        <w:tc>
          <w:tcPr>
            <w:tcW w:w="349" w:type="dxa"/>
            <w:vAlign w:val="top"/>
          </w:tcPr>
          <w:p w14:paraId="51D400BA">
            <w:pPr>
              <w:rPr>
                <w:rFonts w:ascii="Arial"/>
                <w:color w:val="auto"/>
                <w:sz w:val="21"/>
                <w:highlight w:val="none"/>
              </w:rPr>
            </w:pPr>
          </w:p>
        </w:tc>
        <w:tc>
          <w:tcPr>
            <w:tcW w:w="351" w:type="dxa"/>
            <w:vAlign w:val="top"/>
          </w:tcPr>
          <w:p w14:paraId="3EEC9FC3">
            <w:pPr>
              <w:rPr>
                <w:rFonts w:ascii="Arial"/>
                <w:color w:val="auto"/>
                <w:sz w:val="21"/>
                <w:highlight w:val="none"/>
              </w:rPr>
            </w:pPr>
          </w:p>
        </w:tc>
        <w:tc>
          <w:tcPr>
            <w:tcW w:w="349" w:type="dxa"/>
            <w:vAlign w:val="top"/>
          </w:tcPr>
          <w:p w14:paraId="3EAD0DAE">
            <w:pPr>
              <w:rPr>
                <w:rFonts w:ascii="Arial"/>
                <w:color w:val="auto"/>
                <w:sz w:val="21"/>
                <w:highlight w:val="none"/>
              </w:rPr>
            </w:pPr>
          </w:p>
        </w:tc>
        <w:tc>
          <w:tcPr>
            <w:tcW w:w="349" w:type="dxa"/>
            <w:vAlign w:val="top"/>
          </w:tcPr>
          <w:p w14:paraId="797B5774">
            <w:pPr>
              <w:rPr>
                <w:rFonts w:ascii="Arial"/>
                <w:color w:val="auto"/>
                <w:sz w:val="21"/>
                <w:highlight w:val="none"/>
              </w:rPr>
            </w:pPr>
          </w:p>
        </w:tc>
        <w:tc>
          <w:tcPr>
            <w:tcW w:w="426" w:type="dxa"/>
            <w:vAlign w:val="top"/>
          </w:tcPr>
          <w:p w14:paraId="1E740A37">
            <w:pPr>
              <w:rPr>
                <w:rFonts w:ascii="Arial"/>
                <w:color w:val="auto"/>
                <w:sz w:val="21"/>
                <w:highlight w:val="none"/>
              </w:rPr>
            </w:pPr>
          </w:p>
        </w:tc>
        <w:tc>
          <w:tcPr>
            <w:tcW w:w="426" w:type="dxa"/>
            <w:vAlign w:val="top"/>
          </w:tcPr>
          <w:p w14:paraId="5A514066">
            <w:pPr>
              <w:rPr>
                <w:rFonts w:ascii="Arial"/>
                <w:color w:val="auto"/>
                <w:sz w:val="21"/>
                <w:highlight w:val="none"/>
              </w:rPr>
            </w:pPr>
          </w:p>
        </w:tc>
        <w:tc>
          <w:tcPr>
            <w:tcW w:w="426" w:type="dxa"/>
            <w:vAlign w:val="top"/>
          </w:tcPr>
          <w:p w14:paraId="77B1D383">
            <w:pPr>
              <w:rPr>
                <w:rFonts w:ascii="Arial"/>
                <w:color w:val="auto"/>
                <w:sz w:val="21"/>
                <w:highlight w:val="none"/>
              </w:rPr>
            </w:pPr>
          </w:p>
        </w:tc>
        <w:tc>
          <w:tcPr>
            <w:tcW w:w="429" w:type="dxa"/>
            <w:vAlign w:val="top"/>
          </w:tcPr>
          <w:p w14:paraId="11637D1C">
            <w:pPr>
              <w:rPr>
                <w:rFonts w:ascii="Arial"/>
                <w:color w:val="auto"/>
                <w:sz w:val="21"/>
                <w:highlight w:val="none"/>
              </w:rPr>
            </w:pPr>
          </w:p>
        </w:tc>
        <w:tc>
          <w:tcPr>
            <w:tcW w:w="526" w:type="dxa"/>
            <w:vAlign w:val="top"/>
          </w:tcPr>
          <w:p w14:paraId="72D6C673">
            <w:pPr>
              <w:rPr>
                <w:rFonts w:ascii="Arial"/>
                <w:color w:val="auto"/>
                <w:sz w:val="21"/>
                <w:highlight w:val="none"/>
              </w:rPr>
            </w:pPr>
          </w:p>
        </w:tc>
        <w:tc>
          <w:tcPr>
            <w:tcW w:w="735" w:type="dxa"/>
            <w:vAlign w:val="top"/>
          </w:tcPr>
          <w:p w14:paraId="223BD8A4">
            <w:pPr>
              <w:rPr>
                <w:rFonts w:ascii="Arial"/>
                <w:color w:val="auto"/>
                <w:sz w:val="21"/>
                <w:highlight w:val="none"/>
              </w:rPr>
            </w:pPr>
          </w:p>
        </w:tc>
      </w:tr>
      <w:tr w14:paraId="7C45F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04B6FFDE">
            <w:pPr>
              <w:pStyle w:val="23"/>
              <w:spacing w:before="172" w:line="268" w:lineRule="exact"/>
              <w:ind w:left="183"/>
              <w:rPr>
                <w:color w:val="auto"/>
                <w:highlight w:val="none"/>
              </w:rPr>
            </w:pPr>
            <w:r>
              <w:rPr>
                <w:color w:val="auto"/>
                <w:position w:val="1"/>
                <w:highlight w:val="none"/>
              </w:rPr>
              <w:t>6</w:t>
            </w:r>
          </w:p>
        </w:tc>
        <w:tc>
          <w:tcPr>
            <w:tcW w:w="1628" w:type="dxa"/>
            <w:vAlign w:val="top"/>
          </w:tcPr>
          <w:p w14:paraId="1D5ADBF0">
            <w:pPr>
              <w:pStyle w:val="23"/>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28748032">
            <w:pPr>
              <w:rPr>
                <w:rFonts w:ascii="Arial"/>
                <w:color w:val="auto"/>
                <w:sz w:val="21"/>
                <w:highlight w:val="none"/>
              </w:rPr>
            </w:pPr>
          </w:p>
        </w:tc>
        <w:tc>
          <w:tcPr>
            <w:tcW w:w="635" w:type="dxa"/>
            <w:vAlign w:val="top"/>
          </w:tcPr>
          <w:p w14:paraId="649F8277">
            <w:pPr>
              <w:rPr>
                <w:rFonts w:ascii="Arial"/>
                <w:color w:val="auto"/>
                <w:sz w:val="21"/>
                <w:highlight w:val="none"/>
              </w:rPr>
            </w:pPr>
          </w:p>
        </w:tc>
        <w:tc>
          <w:tcPr>
            <w:tcW w:w="348" w:type="dxa"/>
            <w:vAlign w:val="top"/>
          </w:tcPr>
          <w:p w14:paraId="211DFD79">
            <w:pPr>
              <w:rPr>
                <w:rFonts w:ascii="Arial"/>
                <w:color w:val="auto"/>
                <w:sz w:val="21"/>
                <w:highlight w:val="none"/>
              </w:rPr>
            </w:pPr>
          </w:p>
        </w:tc>
        <w:tc>
          <w:tcPr>
            <w:tcW w:w="348" w:type="dxa"/>
            <w:vAlign w:val="top"/>
          </w:tcPr>
          <w:p w14:paraId="3C33EE61">
            <w:pPr>
              <w:rPr>
                <w:rFonts w:ascii="Arial"/>
                <w:color w:val="auto"/>
                <w:sz w:val="21"/>
                <w:highlight w:val="none"/>
              </w:rPr>
            </w:pPr>
          </w:p>
        </w:tc>
        <w:tc>
          <w:tcPr>
            <w:tcW w:w="350" w:type="dxa"/>
            <w:vAlign w:val="top"/>
          </w:tcPr>
          <w:p w14:paraId="0DDC7262">
            <w:pPr>
              <w:rPr>
                <w:rFonts w:ascii="Arial"/>
                <w:color w:val="auto"/>
                <w:sz w:val="21"/>
                <w:highlight w:val="none"/>
              </w:rPr>
            </w:pPr>
          </w:p>
        </w:tc>
        <w:tc>
          <w:tcPr>
            <w:tcW w:w="348" w:type="dxa"/>
            <w:vAlign w:val="top"/>
          </w:tcPr>
          <w:p w14:paraId="14856295">
            <w:pPr>
              <w:rPr>
                <w:rFonts w:ascii="Arial"/>
                <w:color w:val="auto"/>
                <w:sz w:val="21"/>
                <w:highlight w:val="none"/>
              </w:rPr>
            </w:pPr>
          </w:p>
        </w:tc>
        <w:tc>
          <w:tcPr>
            <w:tcW w:w="349" w:type="dxa"/>
            <w:vAlign w:val="top"/>
          </w:tcPr>
          <w:p w14:paraId="21AD169B">
            <w:pPr>
              <w:rPr>
                <w:rFonts w:ascii="Arial"/>
                <w:color w:val="auto"/>
                <w:sz w:val="21"/>
                <w:highlight w:val="none"/>
              </w:rPr>
            </w:pPr>
          </w:p>
        </w:tc>
        <w:tc>
          <w:tcPr>
            <w:tcW w:w="351" w:type="dxa"/>
            <w:vAlign w:val="top"/>
          </w:tcPr>
          <w:p w14:paraId="3E4BB1A7">
            <w:pPr>
              <w:rPr>
                <w:rFonts w:ascii="Arial"/>
                <w:color w:val="auto"/>
                <w:sz w:val="21"/>
                <w:highlight w:val="none"/>
              </w:rPr>
            </w:pPr>
          </w:p>
        </w:tc>
        <w:tc>
          <w:tcPr>
            <w:tcW w:w="349" w:type="dxa"/>
            <w:vAlign w:val="top"/>
          </w:tcPr>
          <w:p w14:paraId="034FF64E">
            <w:pPr>
              <w:rPr>
                <w:rFonts w:ascii="Arial"/>
                <w:color w:val="auto"/>
                <w:sz w:val="21"/>
                <w:highlight w:val="none"/>
              </w:rPr>
            </w:pPr>
          </w:p>
        </w:tc>
        <w:tc>
          <w:tcPr>
            <w:tcW w:w="349" w:type="dxa"/>
            <w:vAlign w:val="top"/>
          </w:tcPr>
          <w:p w14:paraId="7A75401A">
            <w:pPr>
              <w:rPr>
                <w:rFonts w:ascii="Arial"/>
                <w:color w:val="auto"/>
                <w:sz w:val="21"/>
                <w:highlight w:val="none"/>
              </w:rPr>
            </w:pPr>
          </w:p>
        </w:tc>
        <w:tc>
          <w:tcPr>
            <w:tcW w:w="426" w:type="dxa"/>
            <w:vAlign w:val="top"/>
          </w:tcPr>
          <w:p w14:paraId="228A6A80">
            <w:pPr>
              <w:rPr>
                <w:rFonts w:ascii="Arial"/>
                <w:color w:val="auto"/>
                <w:sz w:val="21"/>
                <w:highlight w:val="none"/>
              </w:rPr>
            </w:pPr>
          </w:p>
        </w:tc>
        <w:tc>
          <w:tcPr>
            <w:tcW w:w="426" w:type="dxa"/>
            <w:vAlign w:val="top"/>
          </w:tcPr>
          <w:p w14:paraId="2344605E">
            <w:pPr>
              <w:rPr>
                <w:rFonts w:ascii="Arial"/>
                <w:color w:val="auto"/>
                <w:sz w:val="21"/>
                <w:highlight w:val="none"/>
              </w:rPr>
            </w:pPr>
          </w:p>
        </w:tc>
        <w:tc>
          <w:tcPr>
            <w:tcW w:w="426" w:type="dxa"/>
            <w:vAlign w:val="top"/>
          </w:tcPr>
          <w:p w14:paraId="6B6AC099">
            <w:pPr>
              <w:rPr>
                <w:rFonts w:ascii="Arial"/>
                <w:color w:val="auto"/>
                <w:sz w:val="21"/>
                <w:highlight w:val="none"/>
              </w:rPr>
            </w:pPr>
          </w:p>
        </w:tc>
        <w:tc>
          <w:tcPr>
            <w:tcW w:w="429" w:type="dxa"/>
            <w:vAlign w:val="top"/>
          </w:tcPr>
          <w:p w14:paraId="46013440">
            <w:pPr>
              <w:rPr>
                <w:rFonts w:ascii="Arial"/>
                <w:color w:val="auto"/>
                <w:sz w:val="21"/>
                <w:highlight w:val="none"/>
              </w:rPr>
            </w:pPr>
          </w:p>
        </w:tc>
        <w:tc>
          <w:tcPr>
            <w:tcW w:w="526" w:type="dxa"/>
            <w:vAlign w:val="top"/>
          </w:tcPr>
          <w:p w14:paraId="457259EE">
            <w:pPr>
              <w:rPr>
                <w:rFonts w:ascii="Arial"/>
                <w:color w:val="auto"/>
                <w:sz w:val="21"/>
                <w:highlight w:val="none"/>
              </w:rPr>
            </w:pPr>
          </w:p>
        </w:tc>
        <w:tc>
          <w:tcPr>
            <w:tcW w:w="735" w:type="dxa"/>
            <w:vAlign w:val="top"/>
          </w:tcPr>
          <w:p w14:paraId="3679380C">
            <w:pPr>
              <w:rPr>
                <w:rFonts w:ascii="Arial"/>
                <w:color w:val="auto"/>
                <w:sz w:val="21"/>
                <w:highlight w:val="none"/>
              </w:rPr>
            </w:pPr>
          </w:p>
        </w:tc>
      </w:tr>
      <w:tr w14:paraId="7F57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5464C659">
            <w:pPr>
              <w:pStyle w:val="23"/>
              <w:spacing w:before="169" w:line="268" w:lineRule="exact"/>
              <w:ind w:left="186"/>
              <w:rPr>
                <w:color w:val="auto"/>
                <w:highlight w:val="none"/>
              </w:rPr>
            </w:pPr>
            <w:r>
              <w:rPr>
                <w:color w:val="auto"/>
                <w:position w:val="1"/>
                <w:highlight w:val="none"/>
              </w:rPr>
              <w:t>7</w:t>
            </w:r>
          </w:p>
        </w:tc>
        <w:tc>
          <w:tcPr>
            <w:tcW w:w="1628" w:type="dxa"/>
            <w:vAlign w:val="top"/>
          </w:tcPr>
          <w:p w14:paraId="1CBCF394">
            <w:pPr>
              <w:pStyle w:val="23"/>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0C8AF113">
            <w:pPr>
              <w:rPr>
                <w:rFonts w:ascii="Arial"/>
                <w:color w:val="auto"/>
                <w:sz w:val="21"/>
                <w:highlight w:val="none"/>
              </w:rPr>
            </w:pPr>
          </w:p>
        </w:tc>
        <w:tc>
          <w:tcPr>
            <w:tcW w:w="635" w:type="dxa"/>
            <w:vAlign w:val="top"/>
          </w:tcPr>
          <w:p w14:paraId="1D645DCC">
            <w:pPr>
              <w:rPr>
                <w:rFonts w:ascii="Arial"/>
                <w:color w:val="auto"/>
                <w:sz w:val="21"/>
                <w:highlight w:val="none"/>
              </w:rPr>
            </w:pPr>
          </w:p>
        </w:tc>
        <w:tc>
          <w:tcPr>
            <w:tcW w:w="348" w:type="dxa"/>
            <w:vAlign w:val="top"/>
          </w:tcPr>
          <w:p w14:paraId="1DB7E847">
            <w:pPr>
              <w:rPr>
                <w:rFonts w:ascii="Arial"/>
                <w:color w:val="auto"/>
                <w:sz w:val="21"/>
                <w:highlight w:val="none"/>
              </w:rPr>
            </w:pPr>
          </w:p>
        </w:tc>
        <w:tc>
          <w:tcPr>
            <w:tcW w:w="348" w:type="dxa"/>
            <w:vAlign w:val="top"/>
          </w:tcPr>
          <w:p w14:paraId="1A707083">
            <w:pPr>
              <w:rPr>
                <w:rFonts w:ascii="Arial"/>
                <w:color w:val="auto"/>
                <w:sz w:val="21"/>
                <w:highlight w:val="none"/>
              </w:rPr>
            </w:pPr>
          </w:p>
        </w:tc>
        <w:tc>
          <w:tcPr>
            <w:tcW w:w="350" w:type="dxa"/>
            <w:vAlign w:val="top"/>
          </w:tcPr>
          <w:p w14:paraId="77AE5C9F">
            <w:pPr>
              <w:rPr>
                <w:rFonts w:ascii="Arial"/>
                <w:color w:val="auto"/>
                <w:sz w:val="21"/>
                <w:highlight w:val="none"/>
              </w:rPr>
            </w:pPr>
          </w:p>
        </w:tc>
        <w:tc>
          <w:tcPr>
            <w:tcW w:w="348" w:type="dxa"/>
            <w:vAlign w:val="top"/>
          </w:tcPr>
          <w:p w14:paraId="0A7E345F">
            <w:pPr>
              <w:rPr>
                <w:rFonts w:ascii="Arial"/>
                <w:color w:val="auto"/>
                <w:sz w:val="21"/>
                <w:highlight w:val="none"/>
              </w:rPr>
            </w:pPr>
          </w:p>
        </w:tc>
        <w:tc>
          <w:tcPr>
            <w:tcW w:w="349" w:type="dxa"/>
            <w:vAlign w:val="top"/>
          </w:tcPr>
          <w:p w14:paraId="451353A6">
            <w:pPr>
              <w:rPr>
                <w:rFonts w:ascii="Arial"/>
                <w:color w:val="auto"/>
                <w:sz w:val="21"/>
                <w:highlight w:val="none"/>
              </w:rPr>
            </w:pPr>
          </w:p>
        </w:tc>
        <w:tc>
          <w:tcPr>
            <w:tcW w:w="351" w:type="dxa"/>
            <w:vAlign w:val="top"/>
          </w:tcPr>
          <w:p w14:paraId="5EBC4729">
            <w:pPr>
              <w:rPr>
                <w:rFonts w:ascii="Arial"/>
                <w:color w:val="auto"/>
                <w:sz w:val="21"/>
                <w:highlight w:val="none"/>
              </w:rPr>
            </w:pPr>
          </w:p>
        </w:tc>
        <w:tc>
          <w:tcPr>
            <w:tcW w:w="349" w:type="dxa"/>
            <w:vAlign w:val="top"/>
          </w:tcPr>
          <w:p w14:paraId="5770067B">
            <w:pPr>
              <w:rPr>
                <w:rFonts w:ascii="Arial"/>
                <w:color w:val="auto"/>
                <w:sz w:val="21"/>
                <w:highlight w:val="none"/>
              </w:rPr>
            </w:pPr>
          </w:p>
        </w:tc>
        <w:tc>
          <w:tcPr>
            <w:tcW w:w="349" w:type="dxa"/>
            <w:vAlign w:val="top"/>
          </w:tcPr>
          <w:p w14:paraId="6232AFE1">
            <w:pPr>
              <w:rPr>
                <w:rFonts w:ascii="Arial"/>
                <w:color w:val="auto"/>
                <w:sz w:val="21"/>
                <w:highlight w:val="none"/>
              </w:rPr>
            </w:pPr>
          </w:p>
        </w:tc>
        <w:tc>
          <w:tcPr>
            <w:tcW w:w="426" w:type="dxa"/>
            <w:vAlign w:val="top"/>
          </w:tcPr>
          <w:p w14:paraId="38053823">
            <w:pPr>
              <w:rPr>
                <w:rFonts w:ascii="Arial"/>
                <w:color w:val="auto"/>
                <w:sz w:val="21"/>
                <w:highlight w:val="none"/>
              </w:rPr>
            </w:pPr>
          </w:p>
        </w:tc>
        <w:tc>
          <w:tcPr>
            <w:tcW w:w="426" w:type="dxa"/>
            <w:vAlign w:val="top"/>
          </w:tcPr>
          <w:p w14:paraId="49D46B2F">
            <w:pPr>
              <w:rPr>
                <w:rFonts w:ascii="Arial"/>
                <w:color w:val="auto"/>
                <w:sz w:val="21"/>
                <w:highlight w:val="none"/>
              </w:rPr>
            </w:pPr>
          </w:p>
        </w:tc>
        <w:tc>
          <w:tcPr>
            <w:tcW w:w="426" w:type="dxa"/>
            <w:vAlign w:val="top"/>
          </w:tcPr>
          <w:p w14:paraId="687DE19C">
            <w:pPr>
              <w:rPr>
                <w:rFonts w:ascii="Arial"/>
                <w:color w:val="auto"/>
                <w:sz w:val="21"/>
                <w:highlight w:val="none"/>
              </w:rPr>
            </w:pPr>
          </w:p>
        </w:tc>
        <w:tc>
          <w:tcPr>
            <w:tcW w:w="429" w:type="dxa"/>
            <w:vAlign w:val="top"/>
          </w:tcPr>
          <w:p w14:paraId="2F31E7FE">
            <w:pPr>
              <w:rPr>
                <w:rFonts w:ascii="Arial"/>
                <w:color w:val="auto"/>
                <w:sz w:val="21"/>
                <w:highlight w:val="none"/>
              </w:rPr>
            </w:pPr>
          </w:p>
        </w:tc>
        <w:tc>
          <w:tcPr>
            <w:tcW w:w="526" w:type="dxa"/>
            <w:vAlign w:val="top"/>
          </w:tcPr>
          <w:p w14:paraId="449E361F">
            <w:pPr>
              <w:rPr>
                <w:rFonts w:ascii="Arial"/>
                <w:color w:val="auto"/>
                <w:sz w:val="21"/>
                <w:highlight w:val="none"/>
              </w:rPr>
            </w:pPr>
          </w:p>
        </w:tc>
        <w:tc>
          <w:tcPr>
            <w:tcW w:w="735" w:type="dxa"/>
            <w:vAlign w:val="top"/>
          </w:tcPr>
          <w:p w14:paraId="2F69FB60">
            <w:pPr>
              <w:rPr>
                <w:rFonts w:ascii="Arial"/>
                <w:color w:val="auto"/>
                <w:sz w:val="21"/>
                <w:highlight w:val="none"/>
              </w:rPr>
            </w:pPr>
          </w:p>
        </w:tc>
      </w:tr>
      <w:tr w14:paraId="0121D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6A90E575">
            <w:pPr>
              <w:pStyle w:val="23"/>
              <w:spacing w:before="171" w:line="268" w:lineRule="exact"/>
              <w:ind w:left="182"/>
              <w:rPr>
                <w:color w:val="auto"/>
                <w:highlight w:val="none"/>
              </w:rPr>
            </w:pPr>
            <w:r>
              <w:rPr>
                <w:color w:val="auto"/>
                <w:position w:val="1"/>
                <w:highlight w:val="none"/>
              </w:rPr>
              <w:t>8</w:t>
            </w:r>
          </w:p>
        </w:tc>
        <w:tc>
          <w:tcPr>
            <w:tcW w:w="1628" w:type="dxa"/>
            <w:vAlign w:val="top"/>
          </w:tcPr>
          <w:p w14:paraId="1A0ADA7B">
            <w:pPr>
              <w:pStyle w:val="23"/>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5D03C39D">
            <w:pPr>
              <w:rPr>
                <w:rFonts w:ascii="Arial"/>
                <w:color w:val="auto"/>
                <w:sz w:val="21"/>
                <w:highlight w:val="none"/>
              </w:rPr>
            </w:pPr>
          </w:p>
        </w:tc>
        <w:tc>
          <w:tcPr>
            <w:tcW w:w="635" w:type="dxa"/>
            <w:vAlign w:val="top"/>
          </w:tcPr>
          <w:p w14:paraId="67CEAF79">
            <w:pPr>
              <w:rPr>
                <w:rFonts w:ascii="Arial"/>
                <w:color w:val="auto"/>
                <w:sz w:val="21"/>
                <w:highlight w:val="none"/>
              </w:rPr>
            </w:pPr>
          </w:p>
        </w:tc>
        <w:tc>
          <w:tcPr>
            <w:tcW w:w="348" w:type="dxa"/>
            <w:vAlign w:val="top"/>
          </w:tcPr>
          <w:p w14:paraId="0D6282D7">
            <w:pPr>
              <w:rPr>
                <w:rFonts w:ascii="Arial"/>
                <w:color w:val="auto"/>
                <w:sz w:val="21"/>
                <w:highlight w:val="none"/>
              </w:rPr>
            </w:pPr>
          </w:p>
        </w:tc>
        <w:tc>
          <w:tcPr>
            <w:tcW w:w="348" w:type="dxa"/>
            <w:vAlign w:val="top"/>
          </w:tcPr>
          <w:p w14:paraId="45A62E0C">
            <w:pPr>
              <w:rPr>
                <w:rFonts w:ascii="Arial"/>
                <w:color w:val="auto"/>
                <w:sz w:val="21"/>
                <w:highlight w:val="none"/>
              </w:rPr>
            </w:pPr>
          </w:p>
        </w:tc>
        <w:tc>
          <w:tcPr>
            <w:tcW w:w="350" w:type="dxa"/>
            <w:vAlign w:val="top"/>
          </w:tcPr>
          <w:p w14:paraId="031F6486">
            <w:pPr>
              <w:rPr>
                <w:rFonts w:ascii="Arial"/>
                <w:color w:val="auto"/>
                <w:sz w:val="21"/>
                <w:highlight w:val="none"/>
              </w:rPr>
            </w:pPr>
          </w:p>
        </w:tc>
        <w:tc>
          <w:tcPr>
            <w:tcW w:w="348" w:type="dxa"/>
            <w:vAlign w:val="top"/>
          </w:tcPr>
          <w:p w14:paraId="22FC5565">
            <w:pPr>
              <w:rPr>
                <w:rFonts w:ascii="Arial"/>
                <w:color w:val="auto"/>
                <w:sz w:val="21"/>
                <w:highlight w:val="none"/>
              </w:rPr>
            </w:pPr>
          </w:p>
        </w:tc>
        <w:tc>
          <w:tcPr>
            <w:tcW w:w="349" w:type="dxa"/>
            <w:vAlign w:val="top"/>
          </w:tcPr>
          <w:p w14:paraId="2D38B28C">
            <w:pPr>
              <w:rPr>
                <w:rFonts w:ascii="Arial"/>
                <w:color w:val="auto"/>
                <w:sz w:val="21"/>
                <w:highlight w:val="none"/>
              </w:rPr>
            </w:pPr>
          </w:p>
        </w:tc>
        <w:tc>
          <w:tcPr>
            <w:tcW w:w="351" w:type="dxa"/>
            <w:vAlign w:val="top"/>
          </w:tcPr>
          <w:p w14:paraId="2CF301BC">
            <w:pPr>
              <w:rPr>
                <w:rFonts w:ascii="Arial"/>
                <w:color w:val="auto"/>
                <w:sz w:val="21"/>
                <w:highlight w:val="none"/>
              </w:rPr>
            </w:pPr>
          </w:p>
        </w:tc>
        <w:tc>
          <w:tcPr>
            <w:tcW w:w="349" w:type="dxa"/>
            <w:vAlign w:val="top"/>
          </w:tcPr>
          <w:p w14:paraId="6B09CCA0">
            <w:pPr>
              <w:rPr>
                <w:rFonts w:ascii="Arial"/>
                <w:color w:val="auto"/>
                <w:sz w:val="21"/>
                <w:highlight w:val="none"/>
              </w:rPr>
            </w:pPr>
          </w:p>
        </w:tc>
        <w:tc>
          <w:tcPr>
            <w:tcW w:w="349" w:type="dxa"/>
            <w:vAlign w:val="top"/>
          </w:tcPr>
          <w:p w14:paraId="17E72239">
            <w:pPr>
              <w:rPr>
                <w:rFonts w:ascii="Arial"/>
                <w:color w:val="auto"/>
                <w:sz w:val="21"/>
                <w:highlight w:val="none"/>
              </w:rPr>
            </w:pPr>
          </w:p>
        </w:tc>
        <w:tc>
          <w:tcPr>
            <w:tcW w:w="426" w:type="dxa"/>
            <w:vAlign w:val="top"/>
          </w:tcPr>
          <w:p w14:paraId="44F8839A">
            <w:pPr>
              <w:rPr>
                <w:rFonts w:ascii="Arial"/>
                <w:color w:val="auto"/>
                <w:sz w:val="21"/>
                <w:highlight w:val="none"/>
              </w:rPr>
            </w:pPr>
          </w:p>
        </w:tc>
        <w:tc>
          <w:tcPr>
            <w:tcW w:w="426" w:type="dxa"/>
            <w:vAlign w:val="top"/>
          </w:tcPr>
          <w:p w14:paraId="6902D0B6">
            <w:pPr>
              <w:rPr>
                <w:rFonts w:ascii="Arial"/>
                <w:color w:val="auto"/>
                <w:sz w:val="21"/>
                <w:highlight w:val="none"/>
              </w:rPr>
            </w:pPr>
          </w:p>
        </w:tc>
        <w:tc>
          <w:tcPr>
            <w:tcW w:w="426" w:type="dxa"/>
            <w:vAlign w:val="top"/>
          </w:tcPr>
          <w:p w14:paraId="62572EB2">
            <w:pPr>
              <w:rPr>
                <w:rFonts w:ascii="Arial"/>
                <w:color w:val="auto"/>
                <w:sz w:val="21"/>
                <w:highlight w:val="none"/>
              </w:rPr>
            </w:pPr>
          </w:p>
        </w:tc>
        <w:tc>
          <w:tcPr>
            <w:tcW w:w="429" w:type="dxa"/>
            <w:vAlign w:val="top"/>
          </w:tcPr>
          <w:p w14:paraId="39E0E643">
            <w:pPr>
              <w:rPr>
                <w:rFonts w:ascii="Arial"/>
                <w:color w:val="auto"/>
                <w:sz w:val="21"/>
                <w:highlight w:val="none"/>
              </w:rPr>
            </w:pPr>
          </w:p>
        </w:tc>
        <w:tc>
          <w:tcPr>
            <w:tcW w:w="526" w:type="dxa"/>
            <w:vAlign w:val="top"/>
          </w:tcPr>
          <w:p w14:paraId="2C081B59">
            <w:pPr>
              <w:rPr>
                <w:rFonts w:ascii="Arial"/>
                <w:color w:val="auto"/>
                <w:sz w:val="21"/>
                <w:highlight w:val="none"/>
              </w:rPr>
            </w:pPr>
          </w:p>
        </w:tc>
        <w:tc>
          <w:tcPr>
            <w:tcW w:w="735" w:type="dxa"/>
            <w:vAlign w:val="top"/>
          </w:tcPr>
          <w:p w14:paraId="7F8B73A4">
            <w:pPr>
              <w:rPr>
                <w:rFonts w:ascii="Arial"/>
                <w:color w:val="auto"/>
                <w:sz w:val="21"/>
                <w:highlight w:val="none"/>
              </w:rPr>
            </w:pPr>
          </w:p>
        </w:tc>
      </w:tr>
      <w:tr w14:paraId="536C7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60328B6E">
            <w:pPr>
              <w:pStyle w:val="23"/>
              <w:spacing w:before="171" w:line="269" w:lineRule="exact"/>
              <w:ind w:left="182"/>
              <w:rPr>
                <w:color w:val="auto"/>
                <w:highlight w:val="none"/>
              </w:rPr>
            </w:pPr>
            <w:r>
              <w:rPr>
                <w:color w:val="auto"/>
                <w:position w:val="1"/>
                <w:highlight w:val="none"/>
              </w:rPr>
              <w:t>9</w:t>
            </w:r>
          </w:p>
        </w:tc>
        <w:tc>
          <w:tcPr>
            <w:tcW w:w="1628" w:type="dxa"/>
            <w:vAlign w:val="top"/>
          </w:tcPr>
          <w:p w14:paraId="3C3926D2">
            <w:pPr>
              <w:pStyle w:val="23"/>
              <w:spacing w:before="37"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112281BE">
            <w:pPr>
              <w:rPr>
                <w:rFonts w:ascii="Arial"/>
                <w:color w:val="auto"/>
                <w:sz w:val="21"/>
                <w:highlight w:val="none"/>
              </w:rPr>
            </w:pPr>
          </w:p>
        </w:tc>
        <w:tc>
          <w:tcPr>
            <w:tcW w:w="635" w:type="dxa"/>
            <w:vAlign w:val="top"/>
          </w:tcPr>
          <w:p w14:paraId="555118E2">
            <w:pPr>
              <w:rPr>
                <w:rFonts w:ascii="Arial"/>
                <w:color w:val="auto"/>
                <w:sz w:val="21"/>
                <w:highlight w:val="none"/>
              </w:rPr>
            </w:pPr>
          </w:p>
        </w:tc>
        <w:tc>
          <w:tcPr>
            <w:tcW w:w="348" w:type="dxa"/>
            <w:vAlign w:val="top"/>
          </w:tcPr>
          <w:p w14:paraId="104A2F93">
            <w:pPr>
              <w:rPr>
                <w:rFonts w:ascii="Arial"/>
                <w:color w:val="auto"/>
                <w:sz w:val="21"/>
                <w:highlight w:val="none"/>
              </w:rPr>
            </w:pPr>
          </w:p>
        </w:tc>
        <w:tc>
          <w:tcPr>
            <w:tcW w:w="348" w:type="dxa"/>
            <w:vAlign w:val="top"/>
          </w:tcPr>
          <w:p w14:paraId="73CAAB59">
            <w:pPr>
              <w:rPr>
                <w:rFonts w:ascii="Arial"/>
                <w:color w:val="auto"/>
                <w:sz w:val="21"/>
                <w:highlight w:val="none"/>
              </w:rPr>
            </w:pPr>
          </w:p>
        </w:tc>
        <w:tc>
          <w:tcPr>
            <w:tcW w:w="350" w:type="dxa"/>
            <w:vAlign w:val="top"/>
          </w:tcPr>
          <w:p w14:paraId="34BA0BBF">
            <w:pPr>
              <w:rPr>
                <w:rFonts w:ascii="Arial"/>
                <w:color w:val="auto"/>
                <w:sz w:val="21"/>
                <w:highlight w:val="none"/>
              </w:rPr>
            </w:pPr>
          </w:p>
        </w:tc>
        <w:tc>
          <w:tcPr>
            <w:tcW w:w="348" w:type="dxa"/>
            <w:vAlign w:val="top"/>
          </w:tcPr>
          <w:p w14:paraId="6C440B13">
            <w:pPr>
              <w:rPr>
                <w:rFonts w:ascii="Arial"/>
                <w:color w:val="auto"/>
                <w:sz w:val="21"/>
                <w:highlight w:val="none"/>
              </w:rPr>
            </w:pPr>
          </w:p>
        </w:tc>
        <w:tc>
          <w:tcPr>
            <w:tcW w:w="349" w:type="dxa"/>
            <w:vAlign w:val="top"/>
          </w:tcPr>
          <w:p w14:paraId="3271E0D7">
            <w:pPr>
              <w:rPr>
                <w:rFonts w:ascii="Arial"/>
                <w:color w:val="auto"/>
                <w:sz w:val="21"/>
                <w:highlight w:val="none"/>
              </w:rPr>
            </w:pPr>
          </w:p>
        </w:tc>
        <w:tc>
          <w:tcPr>
            <w:tcW w:w="351" w:type="dxa"/>
            <w:vAlign w:val="top"/>
          </w:tcPr>
          <w:p w14:paraId="48DB8FB6">
            <w:pPr>
              <w:rPr>
                <w:rFonts w:ascii="Arial"/>
                <w:color w:val="auto"/>
                <w:sz w:val="21"/>
                <w:highlight w:val="none"/>
              </w:rPr>
            </w:pPr>
          </w:p>
        </w:tc>
        <w:tc>
          <w:tcPr>
            <w:tcW w:w="349" w:type="dxa"/>
            <w:vAlign w:val="top"/>
          </w:tcPr>
          <w:p w14:paraId="523D3CD8">
            <w:pPr>
              <w:rPr>
                <w:rFonts w:ascii="Arial"/>
                <w:color w:val="auto"/>
                <w:sz w:val="21"/>
                <w:highlight w:val="none"/>
              </w:rPr>
            </w:pPr>
          </w:p>
        </w:tc>
        <w:tc>
          <w:tcPr>
            <w:tcW w:w="349" w:type="dxa"/>
            <w:vAlign w:val="top"/>
          </w:tcPr>
          <w:p w14:paraId="7EEF0C69">
            <w:pPr>
              <w:rPr>
                <w:rFonts w:ascii="Arial"/>
                <w:color w:val="auto"/>
                <w:sz w:val="21"/>
                <w:highlight w:val="none"/>
              </w:rPr>
            </w:pPr>
          </w:p>
        </w:tc>
        <w:tc>
          <w:tcPr>
            <w:tcW w:w="426" w:type="dxa"/>
            <w:vAlign w:val="top"/>
          </w:tcPr>
          <w:p w14:paraId="4FD1341A">
            <w:pPr>
              <w:rPr>
                <w:rFonts w:ascii="Arial"/>
                <w:color w:val="auto"/>
                <w:sz w:val="21"/>
                <w:highlight w:val="none"/>
              </w:rPr>
            </w:pPr>
          </w:p>
        </w:tc>
        <w:tc>
          <w:tcPr>
            <w:tcW w:w="426" w:type="dxa"/>
            <w:vAlign w:val="top"/>
          </w:tcPr>
          <w:p w14:paraId="76FCAF96">
            <w:pPr>
              <w:rPr>
                <w:rFonts w:ascii="Arial"/>
                <w:color w:val="auto"/>
                <w:sz w:val="21"/>
                <w:highlight w:val="none"/>
              </w:rPr>
            </w:pPr>
          </w:p>
        </w:tc>
        <w:tc>
          <w:tcPr>
            <w:tcW w:w="426" w:type="dxa"/>
            <w:vAlign w:val="top"/>
          </w:tcPr>
          <w:p w14:paraId="09110099">
            <w:pPr>
              <w:rPr>
                <w:rFonts w:ascii="Arial"/>
                <w:color w:val="auto"/>
                <w:sz w:val="21"/>
                <w:highlight w:val="none"/>
              </w:rPr>
            </w:pPr>
          </w:p>
        </w:tc>
        <w:tc>
          <w:tcPr>
            <w:tcW w:w="429" w:type="dxa"/>
            <w:vAlign w:val="top"/>
          </w:tcPr>
          <w:p w14:paraId="1A536FB7">
            <w:pPr>
              <w:rPr>
                <w:rFonts w:ascii="Arial"/>
                <w:color w:val="auto"/>
                <w:sz w:val="21"/>
                <w:highlight w:val="none"/>
              </w:rPr>
            </w:pPr>
          </w:p>
        </w:tc>
        <w:tc>
          <w:tcPr>
            <w:tcW w:w="526" w:type="dxa"/>
            <w:vAlign w:val="top"/>
          </w:tcPr>
          <w:p w14:paraId="7961C747">
            <w:pPr>
              <w:rPr>
                <w:rFonts w:ascii="Arial"/>
                <w:color w:val="auto"/>
                <w:sz w:val="21"/>
                <w:highlight w:val="none"/>
              </w:rPr>
            </w:pPr>
          </w:p>
        </w:tc>
        <w:tc>
          <w:tcPr>
            <w:tcW w:w="735" w:type="dxa"/>
            <w:vAlign w:val="top"/>
          </w:tcPr>
          <w:p w14:paraId="5E8C42D9">
            <w:pPr>
              <w:rPr>
                <w:rFonts w:ascii="Arial"/>
                <w:color w:val="auto"/>
                <w:sz w:val="21"/>
                <w:highlight w:val="none"/>
              </w:rPr>
            </w:pPr>
          </w:p>
        </w:tc>
      </w:tr>
      <w:tr w14:paraId="70BF1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70BDA8F">
            <w:pPr>
              <w:pStyle w:val="23"/>
              <w:spacing w:before="168" w:line="269" w:lineRule="exact"/>
              <w:ind w:left="144"/>
              <w:rPr>
                <w:color w:val="auto"/>
                <w:highlight w:val="none"/>
              </w:rPr>
            </w:pPr>
            <w:r>
              <w:rPr>
                <w:color w:val="auto"/>
                <w:spacing w:val="-7"/>
                <w:position w:val="1"/>
                <w:highlight w:val="none"/>
              </w:rPr>
              <w:t>10</w:t>
            </w:r>
          </w:p>
        </w:tc>
        <w:tc>
          <w:tcPr>
            <w:tcW w:w="1628" w:type="dxa"/>
            <w:vAlign w:val="top"/>
          </w:tcPr>
          <w:p w14:paraId="6EF843D8">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4201E7E1">
            <w:pPr>
              <w:rPr>
                <w:rFonts w:ascii="Arial"/>
                <w:color w:val="auto"/>
                <w:sz w:val="21"/>
                <w:highlight w:val="none"/>
              </w:rPr>
            </w:pPr>
          </w:p>
        </w:tc>
        <w:tc>
          <w:tcPr>
            <w:tcW w:w="635" w:type="dxa"/>
            <w:vAlign w:val="top"/>
          </w:tcPr>
          <w:p w14:paraId="1AC67E5A">
            <w:pPr>
              <w:rPr>
                <w:rFonts w:ascii="Arial"/>
                <w:color w:val="auto"/>
                <w:sz w:val="21"/>
                <w:highlight w:val="none"/>
              </w:rPr>
            </w:pPr>
          </w:p>
        </w:tc>
        <w:tc>
          <w:tcPr>
            <w:tcW w:w="348" w:type="dxa"/>
            <w:vAlign w:val="top"/>
          </w:tcPr>
          <w:p w14:paraId="3627995D">
            <w:pPr>
              <w:rPr>
                <w:rFonts w:ascii="Arial"/>
                <w:color w:val="auto"/>
                <w:sz w:val="21"/>
                <w:highlight w:val="none"/>
              </w:rPr>
            </w:pPr>
          </w:p>
        </w:tc>
        <w:tc>
          <w:tcPr>
            <w:tcW w:w="348" w:type="dxa"/>
            <w:vAlign w:val="top"/>
          </w:tcPr>
          <w:p w14:paraId="3D064990">
            <w:pPr>
              <w:rPr>
                <w:rFonts w:ascii="Arial"/>
                <w:color w:val="auto"/>
                <w:sz w:val="21"/>
                <w:highlight w:val="none"/>
              </w:rPr>
            </w:pPr>
          </w:p>
        </w:tc>
        <w:tc>
          <w:tcPr>
            <w:tcW w:w="350" w:type="dxa"/>
            <w:vAlign w:val="top"/>
          </w:tcPr>
          <w:p w14:paraId="0B9245ED">
            <w:pPr>
              <w:rPr>
                <w:rFonts w:ascii="Arial"/>
                <w:color w:val="auto"/>
                <w:sz w:val="21"/>
                <w:highlight w:val="none"/>
              </w:rPr>
            </w:pPr>
          </w:p>
        </w:tc>
        <w:tc>
          <w:tcPr>
            <w:tcW w:w="348" w:type="dxa"/>
            <w:vAlign w:val="top"/>
          </w:tcPr>
          <w:p w14:paraId="69C2E4BE">
            <w:pPr>
              <w:rPr>
                <w:rFonts w:ascii="Arial"/>
                <w:color w:val="auto"/>
                <w:sz w:val="21"/>
                <w:highlight w:val="none"/>
              </w:rPr>
            </w:pPr>
          </w:p>
        </w:tc>
        <w:tc>
          <w:tcPr>
            <w:tcW w:w="349" w:type="dxa"/>
            <w:vAlign w:val="top"/>
          </w:tcPr>
          <w:p w14:paraId="694837A2">
            <w:pPr>
              <w:rPr>
                <w:rFonts w:ascii="Arial"/>
                <w:color w:val="auto"/>
                <w:sz w:val="21"/>
                <w:highlight w:val="none"/>
              </w:rPr>
            </w:pPr>
          </w:p>
        </w:tc>
        <w:tc>
          <w:tcPr>
            <w:tcW w:w="351" w:type="dxa"/>
            <w:vAlign w:val="top"/>
          </w:tcPr>
          <w:p w14:paraId="244BAACB">
            <w:pPr>
              <w:rPr>
                <w:rFonts w:ascii="Arial"/>
                <w:color w:val="auto"/>
                <w:sz w:val="21"/>
                <w:highlight w:val="none"/>
              </w:rPr>
            </w:pPr>
          </w:p>
        </w:tc>
        <w:tc>
          <w:tcPr>
            <w:tcW w:w="349" w:type="dxa"/>
            <w:vAlign w:val="top"/>
          </w:tcPr>
          <w:p w14:paraId="631327EC">
            <w:pPr>
              <w:rPr>
                <w:rFonts w:ascii="Arial"/>
                <w:color w:val="auto"/>
                <w:sz w:val="21"/>
                <w:highlight w:val="none"/>
              </w:rPr>
            </w:pPr>
          </w:p>
        </w:tc>
        <w:tc>
          <w:tcPr>
            <w:tcW w:w="349" w:type="dxa"/>
            <w:vAlign w:val="top"/>
          </w:tcPr>
          <w:p w14:paraId="61950770">
            <w:pPr>
              <w:rPr>
                <w:rFonts w:ascii="Arial"/>
                <w:color w:val="auto"/>
                <w:sz w:val="21"/>
                <w:highlight w:val="none"/>
              </w:rPr>
            </w:pPr>
          </w:p>
        </w:tc>
        <w:tc>
          <w:tcPr>
            <w:tcW w:w="426" w:type="dxa"/>
            <w:vAlign w:val="top"/>
          </w:tcPr>
          <w:p w14:paraId="086A390B">
            <w:pPr>
              <w:rPr>
                <w:rFonts w:ascii="Arial"/>
                <w:color w:val="auto"/>
                <w:sz w:val="21"/>
                <w:highlight w:val="none"/>
              </w:rPr>
            </w:pPr>
          </w:p>
        </w:tc>
        <w:tc>
          <w:tcPr>
            <w:tcW w:w="426" w:type="dxa"/>
            <w:vAlign w:val="top"/>
          </w:tcPr>
          <w:p w14:paraId="16F3C725">
            <w:pPr>
              <w:rPr>
                <w:rFonts w:ascii="Arial"/>
                <w:color w:val="auto"/>
                <w:sz w:val="21"/>
                <w:highlight w:val="none"/>
              </w:rPr>
            </w:pPr>
          </w:p>
        </w:tc>
        <w:tc>
          <w:tcPr>
            <w:tcW w:w="426" w:type="dxa"/>
            <w:vAlign w:val="top"/>
          </w:tcPr>
          <w:p w14:paraId="7523931F">
            <w:pPr>
              <w:rPr>
                <w:rFonts w:ascii="Arial"/>
                <w:color w:val="auto"/>
                <w:sz w:val="21"/>
                <w:highlight w:val="none"/>
              </w:rPr>
            </w:pPr>
          </w:p>
        </w:tc>
        <w:tc>
          <w:tcPr>
            <w:tcW w:w="429" w:type="dxa"/>
            <w:vAlign w:val="top"/>
          </w:tcPr>
          <w:p w14:paraId="1DD995E7">
            <w:pPr>
              <w:rPr>
                <w:rFonts w:ascii="Arial"/>
                <w:color w:val="auto"/>
                <w:sz w:val="21"/>
                <w:highlight w:val="none"/>
              </w:rPr>
            </w:pPr>
          </w:p>
        </w:tc>
        <w:tc>
          <w:tcPr>
            <w:tcW w:w="526" w:type="dxa"/>
            <w:vAlign w:val="top"/>
          </w:tcPr>
          <w:p w14:paraId="25861797">
            <w:pPr>
              <w:rPr>
                <w:rFonts w:ascii="Arial"/>
                <w:color w:val="auto"/>
                <w:sz w:val="21"/>
                <w:highlight w:val="none"/>
              </w:rPr>
            </w:pPr>
          </w:p>
        </w:tc>
        <w:tc>
          <w:tcPr>
            <w:tcW w:w="735" w:type="dxa"/>
            <w:vAlign w:val="top"/>
          </w:tcPr>
          <w:p w14:paraId="04FF5A32">
            <w:pPr>
              <w:rPr>
                <w:rFonts w:ascii="Arial"/>
                <w:color w:val="auto"/>
                <w:sz w:val="21"/>
                <w:highlight w:val="none"/>
              </w:rPr>
            </w:pPr>
          </w:p>
        </w:tc>
      </w:tr>
      <w:tr w14:paraId="589EE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6B3C775F">
            <w:pPr>
              <w:pStyle w:val="23"/>
              <w:spacing w:before="168" w:line="270" w:lineRule="exact"/>
              <w:ind w:left="144"/>
              <w:rPr>
                <w:color w:val="auto"/>
                <w:highlight w:val="none"/>
              </w:rPr>
            </w:pPr>
            <w:r>
              <w:rPr>
                <w:color w:val="auto"/>
                <w:spacing w:val="-7"/>
                <w:position w:val="1"/>
                <w:highlight w:val="none"/>
              </w:rPr>
              <w:t>11</w:t>
            </w:r>
          </w:p>
        </w:tc>
        <w:tc>
          <w:tcPr>
            <w:tcW w:w="1628" w:type="dxa"/>
            <w:vAlign w:val="top"/>
          </w:tcPr>
          <w:p w14:paraId="4ACF8427">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67F9A03C">
            <w:pPr>
              <w:rPr>
                <w:rFonts w:ascii="Arial"/>
                <w:color w:val="auto"/>
                <w:sz w:val="21"/>
                <w:highlight w:val="none"/>
              </w:rPr>
            </w:pPr>
          </w:p>
        </w:tc>
        <w:tc>
          <w:tcPr>
            <w:tcW w:w="635" w:type="dxa"/>
            <w:vAlign w:val="top"/>
          </w:tcPr>
          <w:p w14:paraId="49EAA293">
            <w:pPr>
              <w:rPr>
                <w:rFonts w:ascii="Arial"/>
                <w:color w:val="auto"/>
                <w:sz w:val="21"/>
                <w:highlight w:val="none"/>
              </w:rPr>
            </w:pPr>
          </w:p>
        </w:tc>
        <w:tc>
          <w:tcPr>
            <w:tcW w:w="348" w:type="dxa"/>
            <w:vAlign w:val="top"/>
          </w:tcPr>
          <w:p w14:paraId="4803D98E">
            <w:pPr>
              <w:rPr>
                <w:rFonts w:ascii="Arial"/>
                <w:color w:val="auto"/>
                <w:sz w:val="21"/>
                <w:highlight w:val="none"/>
              </w:rPr>
            </w:pPr>
          </w:p>
        </w:tc>
        <w:tc>
          <w:tcPr>
            <w:tcW w:w="348" w:type="dxa"/>
            <w:vAlign w:val="top"/>
          </w:tcPr>
          <w:p w14:paraId="2322317E">
            <w:pPr>
              <w:rPr>
                <w:rFonts w:ascii="Arial"/>
                <w:color w:val="auto"/>
                <w:sz w:val="21"/>
                <w:highlight w:val="none"/>
              </w:rPr>
            </w:pPr>
          </w:p>
        </w:tc>
        <w:tc>
          <w:tcPr>
            <w:tcW w:w="350" w:type="dxa"/>
            <w:vAlign w:val="top"/>
          </w:tcPr>
          <w:p w14:paraId="68F4A9BC">
            <w:pPr>
              <w:rPr>
                <w:rFonts w:ascii="Arial"/>
                <w:color w:val="auto"/>
                <w:sz w:val="21"/>
                <w:highlight w:val="none"/>
              </w:rPr>
            </w:pPr>
          </w:p>
        </w:tc>
        <w:tc>
          <w:tcPr>
            <w:tcW w:w="348" w:type="dxa"/>
            <w:vAlign w:val="top"/>
          </w:tcPr>
          <w:p w14:paraId="2E783E38">
            <w:pPr>
              <w:rPr>
                <w:rFonts w:ascii="Arial"/>
                <w:color w:val="auto"/>
                <w:sz w:val="21"/>
                <w:highlight w:val="none"/>
              </w:rPr>
            </w:pPr>
          </w:p>
        </w:tc>
        <w:tc>
          <w:tcPr>
            <w:tcW w:w="349" w:type="dxa"/>
            <w:vAlign w:val="top"/>
          </w:tcPr>
          <w:p w14:paraId="0BB15224">
            <w:pPr>
              <w:rPr>
                <w:rFonts w:ascii="Arial"/>
                <w:color w:val="auto"/>
                <w:sz w:val="21"/>
                <w:highlight w:val="none"/>
              </w:rPr>
            </w:pPr>
          </w:p>
        </w:tc>
        <w:tc>
          <w:tcPr>
            <w:tcW w:w="351" w:type="dxa"/>
            <w:vAlign w:val="top"/>
          </w:tcPr>
          <w:p w14:paraId="4A8CCFA0">
            <w:pPr>
              <w:rPr>
                <w:rFonts w:ascii="Arial"/>
                <w:color w:val="auto"/>
                <w:sz w:val="21"/>
                <w:highlight w:val="none"/>
              </w:rPr>
            </w:pPr>
          </w:p>
        </w:tc>
        <w:tc>
          <w:tcPr>
            <w:tcW w:w="349" w:type="dxa"/>
            <w:vAlign w:val="top"/>
          </w:tcPr>
          <w:p w14:paraId="58E092B1">
            <w:pPr>
              <w:rPr>
                <w:rFonts w:ascii="Arial"/>
                <w:color w:val="auto"/>
                <w:sz w:val="21"/>
                <w:highlight w:val="none"/>
              </w:rPr>
            </w:pPr>
          </w:p>
        </w:tc>
        <w:tc>
          <w:tcPr>
            <w:tcW w:w="349" w:type="dxa"/>
            <w:vAlign w:val="top"/>
          </w:tcPr>
          <w:p w14:paraId="39602CD2">
            <w:pPr>
              <w:rPr>
                <w:rFonts w:ascii="Arial"/>
                <w:color w:val="auto"/>
                <w:sz w:val="21"/>
                <w:highlight w:val="none"/>
              </w:rPr>
            </w:pPr>
          </w:p>
        </w:tc>
        <w:tc>
          <w:tcPr>
            <w:tcW w:w="426" w:type="dxa"/>
            <w:vAlign w:val="top"/>
          </w:tcPr>
          <w:p w14:paraId="0E221094">
            <w:pPr>
              <w:rPr>
                <w:rFonts w:ascii="Arial"/>
                <w:color w:val="auto"/>
                <w:sz w:val="21"/>
                <w:highlight w:val="none"/>
              </w:rPr>
            </w:pPr>
          </w:p>
        </w:tc>
        <w:tc>
          <w:tcPr>
            <w:tcW w:w="426" w:type="dxa"/>
            <w:vAlign w:val="top"/>
          </w:tcPr>
          <w:p w14:paraId="6F20C595">
            <w:pPr>
              <w:rPr>
                <w:rFonts w:ascii="Arial"/>
                <w:color w:val="auto"/>
                <w:sz w:val="21"/>
                <w:highlight w:val="none"/>
              </w:rPr>
            </w:pPr>
          </w:p>
        </w:tc>
        <w:tc>
          <w:tcPr>
            <w:tcW w:w="426" w:type="dxa"/>
            <w:vAlign w:val="top"/>
          </w:tcPr>
          <w:p w14:paraId="56B551D4">
            <w:pPr>
              <w:rPr>
                <w:rFonts w:ascii="Arial"/>
                <w:color w:val="auto"/>
                <w:sz w:val="21"/>
                <w:highlight w:val="none"/>
              </w:rPr>
            </w:pPr>
          </w:p>
        </w:tc>
        <w:tc>
          <w:tcPr>
            <w:tcW w:w="429" w:type="dxa"/>
            <w:vAlign w:val="top"/>
          </w:tcPr>
          <w:p w14:paraId="6C9671C4">
            <w:pPr>
              <w:rPr>
                <w:rFonts w:ascii="Arial"/>
                <w:color w:val="auto"/>
                <w:sz w:val="21"/>
                <w:highlight w:val="none"/>
              </w:rPr>
            </w:pPr>
          </w:p>
        </w:tc>
        <w:tc>
          <w:tcPr>
            <w:tcW w:w="526" w:type="dxa"/>
            <w:vAlign w:val="top"/>
          </w:tcPr>
          <w:p w14:paraId="65F28A24">
            <w:pPr>
              <w:rPr>
                <w:rFonts w:ascii="Arial"/>
                <w:color w:val="auto"/>
                <w:sz w:val="21"/>
                <w:highlight w:val="none"/>
              </w:rPr>
            </w:pPr>
          </w:p>
        </w:tc>
        <w:tc>
          <w:tcPr>
            <w:tcW w:w="735" w:type="dxa"/>
            <w:vAlign w:val="top"/>
          </w:tcPr>
          <w:p w14:paraId="35D23E64">
            <w:pPr>
              <w:rPr>
                <w:rFonts w:ascii="Arial"/>
                <w:color w:val="auto"/>
                <w:sz w:val="21"/>
                <w:highlight w:val="none"/>
              </w:rPr>
            </w:pPr>
          </w:p>
        </w:tc>
      </w:tr>
      <w:tr w14:paraId="1271D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5" w:hRule="atLeast"/>
        </w:trPr>
        <w:tc>
          <w:tcPr>
            <w:tcW w:w="458" w:type="dxa"/>
            <w:vAlign w:val="top"/>
          </w:tcPr>
          <w:p w14:paraId="05BA3280">
            <w:pPr>
              <w:pStyle w:val="23"/>
              <w:spacing w:before="167" w:line="270" w:lineRule="exact"/>
              <w:ind w:left="144"/>
              <w:rPr>
                <w:color w:val="auto"/>
                <w:highlight w:val="none"/>
              </w:rPr>
            </w:pPr>
            <w:r>
              <w:rPr>
                <w:color w:val="auto"/>
                <w:spacing w:val="-7"/>
                <w:position w:val="1"/>
                <w:highlight w:val="none"/>
              </w:rPr>
              <w:t>12</w:t>
            </w:r>
          </w:p>
        </w:tc>
        <w:tc>
          <w:tcPr>
            <w:tcW w:w="1628" w:type="dxa"/>
            <w:vAlign w:val="top"/>
          </w:tcPr>
          <w:p w14:paraId="59DB1D8F">
            <w:pPr>
              <w:pStyle w:val="23"/>
              <w:spacing w:before="167" w:line="324" w:lineRule="exact"/>
              <w:ind w:left="619"/>
              <w:rPr>
                <w:color w:val="auto"/>
                <w:highlight w:val="none"/>
              </w:rPr>
            </w:pPr>
            <w:r>
              <w:rPr>
                <w:color w:val="auto"/>
                <w:spacing w:val="-2"/>
                <w:position w:val="2"/>
                <w:highlight w:val="none"/>
              </w:rPr>
              <w:t>……</w:t>
            </w:r>
          </w:p>
        </w:tc>
        <w:tc>
          <w:tcPr>
            <w:tcW w:w="805" w:type="dxa"/>
            <w:vAlign w:val="top"/>
          </w:tcPr>
          <w:p w14:paraId="6C9D7A89">
            <w:pPr>
              <w:rPr>
                <w:rFonts w:ascii="Arial"/>
                <w:color w:val="auto"/>
                <w:sz w:val="21"/>
                <w:highlight w:val="none"/>
              </w:rPr>
            </w:pPr>
          </w:p>
        </w:tc>
        <w:tc>
          <w:tcPr>
            <w:tcW w:w="635" w:type="dxa"/>
            <w:vAlign w:val="top"/>
          </w:tcPr>
          <w:p w14:paraId="1716D23D">
            <w:pPr>
              <w:rPr>
                <w:rFonts w:ascii="Arial"/>
                <w:color w:val="auto"/>
                <w:sz w:val="21"/>
                <w:highlight w:val="none"/>
              </w:rPr>
            </w:pPr>
          </w:p>
        </w:tc>
        <w:tc>
          <w:tcPr>
            <w:tcW w:w="348" w:type="dxa"/>
            <w:vAlign w:val="top"/>
          </w:tcPr>
          <w:p w14:paraId="04E01C70">
            <w:pPr>
              <w:rPr>
                <w:rFonts w:ascii="Arial"/>
                <w:color w:val="auto"/>
                <w:sz w:val="21"/>
                <w:highlight w:val="none"/>
              </w:rPr>
            </w:pPr>
          </w:p>
        </w:tc>
        <w:tc>
          <w:tcPr>
            <w:tcW w:w="348" w:type="dxa"/>
            <w:vAlign w:val="top"/>
          </w:tcPr>
          <w:p w14:paraId="72390D84">
            <w:pPr>
              <w:rPr>
                <w:rFonts w:ascii="Arial"/>
                <w:color w:val="auto"/>
                <w:sz w:val="21"/>
                <w:highlight w:val="none"/>
              </w:rPr>
            </w:pPr>
          </w:p>
        </w:tc>
        <w:tc>
          <w:tcPr>
            <w:tcW w:w="350" w:type="dxa"/>
            <w:vAlign w:val="top"/>
          </w:tcPr>
          <w:p w14:paraId="60AD4888">
            <w:pPr>
              <w:rPr>
                <w:rFonts w:ascii="Arial"/>
                <w:color w:val="auto"/>
                <w:sz w:val="21"/>
                <w:highlight w:val="none"/>
              </w:rPr>
            </w:pPr>
          </w:p>
        </w:tc>
        <w:tc>
          <w:tcPr>
            <w:tcW w:w="348" w:type="dxa"/>
            <w:vAlign w:val="top"/>
          </w:tcPr>
          <w:p w14:paraId="1491B5A3">
            <w:pPr>
              <w:rPr>
                <w:rFonts w:ascii="Arial"/>
                <w:color w:val="auto"/>
                <w:sz w:val="21"/>
                <w:highlight w:val="none"/>
              </w:rPr>
            </w:pPr>
          </w:p>
        </w:tc>
        <w:tc>
          <w:tcPr>
            <w:tcW w:w="349" w:type="dxa"/>
            <w:vAlign w:val="top"/>
          </w:tcPr>
          <w:p w14:paraId="582AB8BD">
            <w:pPr>
              <w:rPr>
                <w:rFonts w:ascii="Arial"/>
                <w:color w:val="auto"/>
                <w:sz w:val="21"/>
                <w:highlight w:val="none"/>
              </w:rPr>
            </w:pPr>
          </w:p>
        </w:tc>
        <w:tc>
          <w:tcPr>
            <w:tcW w:w="351" w:type="dxa"/>
            <w:vAlign w:val="top"/>
          </w:tcPr>
          <w:p w14:paraId="4B3B64D5">
            <w:pPr>
              <w:rPr>
                <w:rFonts w:ascii="Arial"/>
                <w:color w:val="auto"/>
                <w:sz w:val="21"/>
                <w:highlight w:val="none"/>
              </w:rPr>
            </w:pPr>
          </w:p>
        </w:tc>
        <w:tc>
          <w:tcPr>
            <w:tcW w:w="349" w:type="dxa"/>
            <w:vAlign w:val="top"/>
          </w:tcPr>
          <w:p w14:paraId="3BB0CBB2">
            <w:pPr>
              <w:rPr>
                <w:rFonts w:ascii="Arial"/>
                <w:color w:val="auto"/>
                <w:sz w:val="21"/>
                <w:highlight w:val="none"/>
              </w:rPr>
            </w:pPr>
          </w:p>
        </w:tc>
        <w:tc>
          <w:tcPr>
            <w:tcW w:w="349" w:type="dxa"/>
            <w:vAlign w:val="top"/>
          </w:tcPr>
          <w:p w14:paraId="131EFE0A">
            <w:pPr>
              <w:rPr>
                <w:rFonts w:ascii="Arial"/>
                <w:color w:val="auto"/>
                <w:sz w:val="21"/>
                <w:highlight w:val="none"/>
              </w:rPr>
            </w:pPr>
          </w:p>
        </w:tc>
        <w:tc>
          <w:tcPr>
            <w:tcW w:w="426" w:type="dxa"/>
            <w:vAlign w:val="top"/>
          </w:tcPr>
          <w:p w14:paraId="70577E13">
            <w:pPr>
              <w:rPr>
                <w:rFonts w:ascii="Arial"/>
                <w:color w:val="auto"/>
                <w:sz w:val="21"/>
                <w:highlight w:val="none"/>
              </w:rPr>
            </w:pPr>
          </w:p>
        </w:tc>
        <w:tc>
          <w:tcPr>
            <w:tcW w:w="426" w:type="dxa"/>
            <w:vAlign w:val="top"/>
          </w:tcPr>
          <w:p w14:paraId="13BDBE9C">
            <w:pPr>
              <w:rPr>
                <w:rFonts w:ascii="Arial"/>
                <w:color w:val="auto"/>
                <w:sz w:val="21"/>
                <w:highlight w:val="none"/>
              </w:rPr>
            </w:pPr>
          </w:p>
        </w:tc>
        <w:tc>
          <w:tcPr>
            <w:tcW w:w="426" w:type="dxa"/>
            <w:vAlign w:val="top"/>
          </w:tcPr>
          <w:p w14:paraId="389E39F2">
            <w:pPr>
              <w:rPr>
                <w:rFonts w:ascii="Arial"/>
                <w:color w:val="auto"/>
                <w:sz w:val="21"/>
                <w:highlight w:val="none"/>
              </w:rPr>
            </w:pPr>
          </w:p>
        </w:tc>
        <w:tc>
          <w:tcPr>
            <w:tcW w:w="429" w:type="dxa"/>
            <w:vAlign w:val="top"/>
          </w:tcPr>
          <w:p w14:paraId="39BDE7A4">
            <w:pPr>
              <w:rPr>
                <w:rFonts w:ascii="Arial"/>
                <w:color w:val="auto"/>
                <w:sz w:val="21"/>
                <w:highlight w:val="none"/>
              </w:rPr>
            </w:pPr>
          </w:p>
        </w:tc>
        <w:tc>
          <w:tcPr>
            <w:tcW w:w="526" w:type="dxa"/>
            <w:vAlign w:val="top"/>
          </w:tcPr>
          <w:p w14:paraId="3D07C5BD">
            <w:pPr>
              <w:rPr>
                <w:rFonts w:ascii="Arial"/>
                <w:color w:val="auto"/>
                <w:sz w:val="21"/>
                <w:highlight w:val="none"/>
              </w:rPr>
            </w:pPr>
          </w:p>
        </w:tc>
        <w:tc>
          <w:tcPr>
            <w:tcW w:w="735" w:type="dxa"/>
            <w:vAlign w:val="top"/>
          </w:tcPr>
          <w:p w14:paraId="05DAD2E9">
            <w:pPr>
              <w:rPr>
                <w:rFonts w:ascii="Arial"/>
                <w:color w:val="auto"/>
                <w:sz w:val="21"/>
                <w:highlight w:val="none"/>
              </w:rPr>
            </w:pPr>
          </w:p>
        </w:tc>
      </w:tr>
      <w:tr w14:paraId="76FE1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51C4CCB">
            <w:pPr>
              <w:pStyle w:val="23"/>
              <w:spacing w:before="167" w:line="268" w:lineRule="exact"/>
              <w:ind w:left="144"/>
              <w:rPr>
                <w:color w:val="auto"/>
                <w:highlight w:val="none"/>
              </w:rPr>
            </w:pPr>
            <w:r>
              <w:rPr>
                <w:color w:val="auto"/>
                <w:spacing w:val="-7"/>
                <w:position w:val="1"/>
                <w:highlight w:val="none"/>
              </w:rPr>
              <w:t>13</w:t>
            </w:r>
          </w:p>
        </w:tc>
        <w:tc>
          <w:tcPr>
            <w:tcW w:w="1628" w:type="dxa"/>
            <w:vAlign w:val="top"/>
          </w:tcPr>
          <w:p w14:paraId="0F06C91A">
            <w:pPr>
              <w:pStyle w:val="23"/>
              <w:spacing w:before="167" w:line="324" w:lineRule="exact"/>
              <w:ind w:left="619"/>
              <w:rPr>
                <w:color w:val="auto"/>
                <w:highlight w:val="none"/>
              </w:rPr>
            </w:pPr>
            <w:r>
              <w:rPr>
                <w:color w:val="auto"/>
                <w:spacing w:val="-2"/>
                <w:position w:val="2"/>
                <w:highlight w:val="none"/>
              </w:rPr>
              <w:t>……</w:t>
            </w:r>
          </w:p>
        </w:tc>
        <w:tc>
          <w:tcPr>
            <w:tcW w:w="805" w:type="dxa"/>
            <w:vAlign w:val="top"/>
          </w:tcPr>
          <w:p w14:paraId="41595797">
            <w:pPr>
              <w:rPr>
                <w:rFonts w:ascii="Arial"/>
                <w:color w:val="auto"/>
                <w:sz w:val="21"/>
                <w:highlight w:val="none"/>
              </w:rPr>
            </w:pPr>
          </w:p>
        </w:tc>
        <w:tc>
          <w:tcPr>
            <w:tcW w:w="635" w:type="dxa"/>
            <w:vAlign w:val="top"/>
          </w:tcPr>
          <w:p w14:paraId="600C7228">
            <w:pPr>
              <w:rPr>
                <w:rFonts w:ascii="Arial"/>
                <w:color w:val="auto"/>
                <w:sz w:val="21"/>
                <w:highlight w:val="none"/>
              </w:rPr>
            </w:pPr>
          </w:p>
        </w:tc>
        <w:tc>
          <w:tcPr>
            <w:tcW w:w="348" w:type="dxa"/>
            <w:vAlign w:val="top"/>
          </w:tcPr>
          <w:p w14:paraId="7FF24607">
            <w:pPr>
              <w:rPr>
                <w:rFonts w:ascii="Arial"/>
                <w:color w:val="auto"/>
                <w:sz w:val="21"/>
                <w:highlight w:val="none"/>
              </w:rPr>
            </w:pPr>
          </w:p>
        </w:tc>
        <w:tc>
          <w:tcPr>
            <w:tcW w:w="348" w:type="dxa"/>
            <w:vAlign w:val="top"/>
          </w:tcPr>
          <w:p w14:paraId="04FD1FF6">
            <w:pPr>
              <w:rPr>
                <w:rFonts w:ascii="Arial"/>
                <w:color w:val="auto"/>
                <w:sz w:val="21"/>
                <w:highlight w:val="none"/>
              </w:rPr>
            </w:pPr>
          </w:p>
        </w:tc>
        <w:tc>
          <w:tcPr>
            <w:tcW w:w="350" w:type="dxa"/>
            <w:vAlign w:val="top"/>
          </w:tcPr>
          <w:p w14:paraId="772399DB">
            <w:pPr>
              <w:rPr>
                <w:rFonts w:ascii="Arial"/>
                <w:color w:val="auto"/>
                <w:sz w:val="21"/>
                <w:highlight w:val="none"/>
              </w:rPr>
            </w:pPr>
          </w:p>
        </w:tc>
        <w:tc>
          <w:tcPr>
            <w:tcW w:w="348" w:type="dxa"/>
            <w:vAlign w:val="top"/>
          </w:tcPr>
          <w:p w14:paraId="1F0EB9BD">
            <w:pPr>
              <w:rPr>
                <w:rFonts w:ascii="Arial"/>
                <w:color w:val="auto"/>
                <w:sz w:val="21"/>
                <w:highlight w:val="none"/>
              </w:rPr>
            </w:pPr>
          </w:p>
        </w:tc>
        <w:tc>
          <w:tcPr>
            <w:tcW w:w="349" w:type="dxa"/>
            <w:vAlign w:val="top"/>
          </w:tcPr>
          <w:p w14:paraId="42124C8F">
            <w:pPr>
              <w:rPr>
                <w:rFonts w:ascii="Arial"/>
                <w:color w:val="auto"/>
                <w:sz w:val="21"/>
                <w:highlight w:val="none"/>
              </w:rPr>
            </w:pPr>
          </w:p>
        </w:tc>
        <w:tc>
          <w:tcPr>
            <w:tcW w:w="351" w:type="dxa"/>
            <w:vAlign w:val="top"/>
          </w:tcPr>
          <w:p w14:paraId="0EE172E7">
            <w:pPr>
              <w:rPr>
                <w:rFonts w:ascii="Arial"/>
                <w:color w:val="auto"/>
                <w:sz w:val="21"/>
                <w:highlight w:val="none"/>
              </w:rPr>
            </w:pPr>
          </w:p>
        </w:tc>
        <w:tc>
          <w:tcPr>
            <w:tcW w:w="349" w:type="dxa"/>
            <w:vAlign w:val="top"/>
          </w:tcPr>
          <w:p w14:paraId="095679A2">
            <w:pPr>
              <w:rPr>
                <w:rFonts w:ascii="Arial"/>
                <w:color w:val="auto"/>
                <w:sz w:val="21"/>
                <w:highlight w:val="none"/>
              </w:rPr>
            </w:pPr>
          </w:p>
        </w:tc>
        <w:tc>
          <w:tcPr>
            <w:tcW w:w="349" w:type="dxa"/>
            <w:vAlign w:val="top"/>
          </w:tcPr>
          <w:p w14:paraId="7E99EEE3">
            <w:pPr>
              <w:rPr>
                <w:rFonts w:ascii="Arial"/>
                <w:color w:val="auto"/>
                <w:sz w:val="21"/>
                <w:highlight w:val="none"/>
              </w:rPr>
            </w:pPr>
          </w:p>
        </w:tc>
        <w:tc>
          <w:tcPr>
            <w:tcW w:w="426" w:type="dxa"/>
            <w:vAlign w:val="top"/>
          </w:tcPr>
          <w:p w14:paraId="4315C15A">
            <w:pPr>
              <w:rPr>
                <w:rFonts w:ascii="Arial"/>
                <w:color w:val="auto"/>
                <w:sz w:val="21"/>
                <w:highlight w:val="none"/>
              </w:rPr>
            </w:pPr>
          </w:p>
        </w:tc>
        <w:tc>
          <w:tcPr>
            <w:tcW w:w="426" w:type="dxa"/>
            <w:vAlign w:val="top"/>
          </w:tcPr>
          <w:p w14:paraId="5E4D8B9C">
            <w:pPr>
              <w:rPr>
                <w:rFonts w:ascii="Arial"/>
                <w:color w:val="auto"/>
                <w:sz w:val="21"/>
                <w:highlight w:val="none"/>
              </w:rPr>
            </w:pPr>
          </w:p>
        </w:tc>
        <w:tc>
          <w:tcPr>
            <w:tcW w:w="426" w:type="dxa"/>
            <w:vAlign w:val="top"/>
          </w:tcPr>
          <w:p w14:paraId="2928B363">
            <w:pPr>
              <w:rPr>
                <w:rFonts w:ascii="Arial"/>
                <w:color w:val="auto"/>
                <w:sz w:val="21"/>
                <w:highlight w:val="none"/>
              </w:rPr>
            </w:pPr>
          </w:p>
        </w:tc>
        <w:tc>
          <w:tcPr>
            <w:tcW w:w="429" w:type="dxa"/>
            <w:vAlign w:val="top"/>
          </w:tcPr>
          <w:p w14:paraId="4C1A2223">
            <w:pPr>
              <w:rPr>
                <w:rFonts w:ascii="Arial"/>
                <w:color w:val="auto"/>
                <w:sz w:val="21"/>
                <w:highlight w:val="none"/>
              </w:rPr>
            </w:pPr>
          </w:p>
        </w:tc>
        <w:tc>
          <w:tcPr>
            <w:tcW w:w="526" w:type="dxa"/>
            <w:vAlign w:val="top"/>
          </w:tcPr>
          <w:p w14:paraId="0507FBCE">
            <w:pPr>
              <w:rPr>
                <w:rFonts w:ascii="Arial"/>
                <w:color w:val="auto"/>
                <w:sz w:val="21"/>
                <w:highlight w:val="none"/>
              </w:rPr>
            </w:pPr>
          </w:p>
        </w:tc>
        <w:tc>
          <w:tcPr>
            <w:tcW w:w="735" w:type="dxa"/>
            <w:vAlign w:val="top"/>
          </w:tcPr>
          <w:p w14:paraId="06C64B76">
            <w:pPr>
              <w:rPr>
                <w:rFonts w:ascii="Arial"/>
                <w:color w:val="auto"/>
                <w:sz w:val="21"/>
                <w:highlight w:val="none"/>
              </w:rPr>
            </w:pPr>
          </w:p>
        </w:tc>
      </w:tr>
      <w:tr w14:paraId="5E49E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3FF6943B">
            <w:pPr>
              <w:pStyle w:val="23"/>
              <w:spacing w:before="169" w:line="270" w:lineRule="exact"/>
              <w:ind w:left="144"/>
              <w:rPr>
                <w:color w:val="auto"/>
                <w:highlight w:val="none"/>
              </w:rPr>
            </w:pPr>
            <w:r>
              <w:rPr>
                <w:color w:val="auto"/>
                <w:spacing w:val="-7"/>
                <w:position w:val="1"/>
                <w:highlight w:val="none"/>
              </w:rPr>
              <w:t>14</w:t>
            </w:r>
          </w:p>
        </w:tc>
        <w:tc>
          <w:tcPr>
            <w:tcW w:w="1628" w:type="dxa"/>
            <w:vAlign w:val="top"/>
          </w:tcPr>
          <w:p w14:paraId="2E47E4B5">
            <w:pPr>
              <w:pStyle w:val="23"/>
              <w:spacing w:before="169" w:line="324" w:lineRule="exact"/>
              <w:ind w:left="619"/>
              <w:rPr>
                <w:color w:val="auto"/>
                <w:highlight w:val="none"/>
              </w:rPr>
            </w:pPr>
            <w:r>
              <w:rPr>
                <w:color w:val="auto"/>
                <w:spacing w:val="-2"/>
                <w:position w:val="2"/>
                <w:highlight w:val="none"/>
              </w:rPr>
              <w:t>……</w:t>
            </w:r>
          </w:p>
        </w:tc>
        <w:tc>
          <w:tcPr>
            <w:tcW w:w="805" w:type="dxa"/>
            <w:vAlign w:val="top"/>
          </w:tcPr>
          <w:p w14:paraId="7838C287">
            <w:pPr>
              <w:rPr>
                <w:rFonts w:ascii="Arial"/>
                <w:color w:val="auto"/>
                <w:sz w:val="21"/>
                <w:highlight w:val="none"/>
              </w:rPr>
            </w:pPr>
          </w:p>
        </w:tc>
        <w:tc>
          <w:tcPr>
            <w:tcW w:w="635" w:type="dxa"/>
            <w:vAlign w:val="top"/>
          </w:tcPr>
          <w:p w14:paraId="001076EA">
            <w:pPr>
              <w:rPr>
                <w:rFonts w:ascii="Arial"/>
                <w:color w:val="auto"/>
                <w:sz w:val="21"/>
                <w:highlight w:val="none"/>
              </w:rPr>
            </w:pPr>
          </w:p>
        </w:tc>
        <w:tc>
          <w:tcPr>
            <w:tcW w:w="348" w:type="dxa"/>
            <w:vAlign w:val="top"/>
          </w:tcPr>
          <w:p w14:paraId="1C680F9B">
            <w:pPr>
              <w:rPr>
                <w:rFonts w:ascii="Arial"/>
                <w:color w:val="auto"/>
                <w:sz w:val="21"/>
                <w:highlight w:val="none"/>
              </w:rPr>
            </w:pPr>
          </w:p>
        </w:tc>
        <w:tc>
          <w:tcPr>
            <w:tcW w:w="348" w:type="dxa"/>
            <w:vAlign w:val="top"/>
          </w:tcPr>
          <w:p w14:paraId="126239B4">
            <w:pPr>
              <w:rPr>
                <w:rFonts w:ascii="Arial"/>
                <w:color w:val="auto"/>
                <w:sz w:val="21"/>
                <w:highlight w:val="none"/>
              </w:rPr>
            </w:pPr>
          </w:p>
        </w:tc>
        <w:tc>
          <w:tcPr>
            <w:tcW w:w="350" w:type="dxa"/>
            <w:vAlign w:val="top"/>
          </w:tcPr>
          <w:p w14:paraId="26482471">
            <w:pPr>
              <w:rPr>
                <w:rFonts w:ascii="Arial"/>
                <w:color w:val="auto"/>
                <w:sz w:val="21"/>
                <w:highlight w:val="none"/>
              </w:rPr>
            </w:pPr>
          </w:p>
        </w:tc>
        <w:tc>
          <w:tcPr>
            <w:tcW w:w="348" w:type="dxa"/>
            <w:vAlign w:val="top"/>
          </w:tcPr>
          <w:p w14:paraId="19568D28">
            <w:pPr>
              <w:rPr>
                <w:rFonts w:ascii="Arial"/>
                <w:color w:val="auto"/>
                <w:sz w:val="21"/>
                <w:highlight w:val="none"/>
              </w:rPr>
            </w:pPr>
          </w:p>
        </w:tc>
        <w:tc>
          <w:tcPr>
            <w:tcW w:w="349" w:type="dxa"/>
            <w:vAlign w:val="top"/>
          </w:tcPr>
          <w:p w14:paraId="228E2472">
            <w:pPr>
              <w:rPr>
                <w:rFonts w:ascii="Arial"/>
                <w:color w:val="auto"/>
                <w:sz w:val="21"/>
                <w:highlight w:val="none"/>
              </w:rPr>
            </w:pPr>
          </w:p>
        </w:tc>
        <w:tc>
          <w:tcPr>
            <w:tcW w:w="351" w:type="dxa"/>
            <w:vAlign w:val="top"/>
          </w:tcPr>
          <w:p w14:paraId="3514F367">
            <w:pPr>
              <w:rPr>
                <w:rFonts w:ascii="Arial"/>
                <w:color w:val="auto"/>
                <w:sz w:val="21"/>
                <w:highlight w:val="none"/>
              </w:rPr>
            </w:pPr>
          </w:p>
        </w:tc>
        <w:tc>
          <w:tcPr>
            <w:tcW w:w="349" w:type="dxa"/>
            <w:vAlign w:val="top"/>
          </w:tcPr>
          <w:p w14:paraId="30096C95">
            <w:pPr>
              <w:rPr>
                <w:rFonts w:ascii="Arial"/>
                <w:color w:val="auto"/>
                <w:sz w:val="21"/>
                <w:highlight w:val="none"/>
              </w:rPr>
            </w:pPr>
          </w:p>
        </w:tc>
        <w:tc>
          <w:tcPr>
            <w:tcW w:w="349" w:type="dxa"/>
            <w:vAlign w:val="top"/>
          </w:tcPr>
          <w:p w14:paraId="2A2CE64E">
            <w:pPr>
              <w:rPr>
                <w:rFonts w:ascii="Arial"/>
                <w:color w:val="auto"/>
                <w:sz w:val="21"/>
                <w:highlight w:val="none"/>
              </w:rPr>
            </w:pPr>
          </w:p>
        </w:tc>
        <w:tc>
          <w:tcPr>
            <w:tcW w:w="426" w:type="dxa"/>
            <w:vAlign w:val="top"/>
          </w:tcPr>
          <w:p w14:paraId="5CA2F4CA">
            <w:pPr>
              <w:rPr>
                <w:rFonts w:ascii="Arial"/>
                <w:color w:val="auto"/>
                <w:sz w:val="21"/>
                <w:highlight w:val="none"/>
              </w:rPr>
            </w:pPr>
          </w:p>
        </w:tc>
        <w:tc>
          <w:tcPr>
            <w:tcW w:w="426" w:type="dxa"/>
            <w:vAlign w:val="top"/>
          </w:tcPr>
          <w:p w14:paraId="46009BFB">
            <w:pPr>
              <w:rPr>
                <w:rFonts w:ascii="Arial"/>
                <w:color w:val="auto"/>
                <w:sz w:val="21"/>
                <w:highlight w:val="none"/>
              </w:rPr>
            </w:pPr>
          </w:p>
        </w:tc>
        <w:tc>
          <w:tcPr>
            <w:tcW w:w="426" w:type="dxa"/>
            <w:vAlign w:val="top"/>
          </w:tcPr>
          <w:p w14:paraId="3CBFD8D7">
            <w:pPr>
              <w:rPr>
                <w:rFonts w:ascii="Arial"/>
                <w:color w:val="auto"/>
                <w:sz w:val="21"/>
                <w:highlight w:val="none"/>
              </w:rPr>
            </w:pPr>
          </w:p>
        </w:tc>
        <w:tc>
          <w:tcPr>
            <w:tcW w:w="429" w:type="dxa"/>
            <w:vAlign w:val="top"/>
          </w:tcPr>
          <w:p w14:paraId="56122C17">
            <w:pPr>
              <w:rPr>
                <w:rFonts w:ascii="Arial"/>
                <w:color w:val="auto"/>
                <w:sz w:val="21"/>
                <w:highlight w:val="none"/>
              </w:rPr>
            </w:pPr>
          </w:p>
        </w:tc>
        <w:tc>
          <w:tcPr>
            <w:tcW w:w="526" w:type="dxa"/>
            <w:vAlign w:val="top"/>
          </w:tcPr>
          <w:p w14:paraId="53AD17AD">
            <w:pPr>
              <w:rPr>
                <w:rFonts w:ascii="Arial"/>
                <w:color w:val="auto"/>
                <w:sz w:val="21"/>
                <w:highlight w:val="none"/>
              </w:rPr>
            </w:pPr>
          </w:p>
        </w:tc>
        <w:tc>
          <w:tcPr>
            <w:tcW w:w="735" w:type="dxa"/>
            <w:vAlign w:val="top"/>
          </w:tcPr>
          <w:p w14:paraId="4FD407FB">
            <w:pPr>
              <w:rPr>
                <w:rFonts w:ascii="Arial"/>
                <w:color w:val="auto"/>
                <w:sz w:val="21"/>
                <w:highlight w:val="none"/>
              </w:rPr>
            </w:pPr>
          </w:p>
        </w:tc>
      </w:tr>
      <w:tr w14:paraId="2215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10B18A7D">
            <w:pPr>
              <w:pStyle w:val="23"/>
              <w:spacing w:before="169" w:line="268" w:lineRule="exact"/>
              <w:ind w:left="144"/>
              <w:rPr>
                <w:color w:val="auto"/>
                <w:highlight w:val="none"/>
              </w:rPr>
            </w:pPr>
            <w:r>
              <w:rPr>
                <w:color w:val="auto"/>
                <w:spacing w:val="-7"/>
                <w:position w:val="1"/>
                <w:highlight w:val="none"/>
              </w:rPr>
              <w:t>15</w:t>
            </w:r>
          </w:p>
        </w:tc>
        <w:tc>
          <w:tcPr>
            <w:tcW w:w="1628" w:type="dxa"/>
            <w:vAlign w:val="top"/>
          </w:tcPr>
          <w:p w14:paraId="3A6017E8">
            <w:pPr>
              <w:pStyle w:val="23"/>
              <w:spacing w:before="169" w:line="324" w:lineRule="exact"/>
              <w:ind w:left="619"/>
              <w:rPr>
                <w:color w:val="auto"/>
                <w:highlight w:val="none"/>
              </w:rPr>
            </w:pPr>
            <w:r>
              <w:rPr>
                <w:color w:val="auto"/>
                <w:spacing w:val="-2"/>
                <w:position w:val="2"/>
                <w:highlight w:val="none"/>
              </w:rPr>
              <w:t>……</w:t>
            </w:r>
          </w:p>
        </w:tc>
        <w:tc>
          <w:tcPr>
            <w:tcW w:w="805" w:type="dxa"/>
            <w:vAlign w:val="top"/>
          </w:tcPr>
          <w:p w14:paraId="44A55AA9">
            <w:pPr>
              <w:rPr>
                <w:rFonts w:ascii="Arial"/>
                <w:color w:val="auto"/>
                <w:sz w:val="21"/>
                <w:highlight w:val="none"/>
              </w:rPr>
            </w:pPr>
          </w:p>
        </w:tc>
        <w:tc>
          <w:tcPr>
            <w:tcW w:w="635" w:type="dxa"/>
            <w:vAlign w:val="top"/>
          </w:tcPr>
          <w:p w14:paraId="64243C3E">
            <w:pPr>
              <w:rPr>
                <w:rFonts w:ascii="Arial"/>
                <w:color w:val="auto"/>
                <w:sz w:val="21"/>
                <w:highlight w:val="none"/>
              </w:rPr>
            </w:pPr>
          </w:p>
        </w:tc>
        <w:tc>
          <w:tcPr>
            <w:tcW w:w="348" w:type="dxa"/>
            <w:vAlign w:val="top"/>
          </w:tcPr>
          <w:p w14:paraId="319CE9C0">
            <w:pPr>
              <w:rPr>
                <w:rFonts w:ascii="Arial"/>
                <w:color w:val="auto"/>
                <w:sz w:val="21"/>
                <w:highlight w:val="none"/>
              </w:rPr>
            </w:pPr>
          </w:p>
        </w:tc>
        <w:tc>
          <w:tcPr>
            <w:tcW w:w="348" w:type="dxa"/>
            <w:vAlign w:val="top"/>
          </w:tcPr>
          <w:p w14:paraId="7DC4BFBA">
            <w:pPr>
              <w:rPr>
                <w:rFonts w:ascii="Arial"/>
                <w:color w:val="auto"/>
                <w:sz w:val="21"/>
                <w:highlight w:val="none"/>
              </w:rPr>
            </w:pPr>
          </w:p>
        </w:tc>
        <w:tc>
          <w:tcPr>
            <w:tcW w:w="350" w:type="dxa"/>
            <w:vAlign w:val="top"/>
          </w:tcPr>
          <w:p w14:paraId="04291B10">
            <w:pPr>
              <w:rPr>
                <w:rFonts w:ascii="Arial"/>
                <w:color w:val="auto"/>
                <w:sz w:val="21"/>
                <w:highlight w:val="none"/>
              </w:rPr>
            </w:pPr>
          </w:p>
        </w:tc>
        <w:tc>
          <w:tcPr>
            <w:tcW w:w="348" w:type="dxa"/>
            <w:vAlign w:val="top"/>
          </w:tcPr>
          <w:p w14:paraId="2A5AFAC1">
            <w:pPr>
              <w:rPr>
                <w:rFonts w:ascii="Arial"/>
                <w:color w:val="auto"/>
                <w:sz w:val="21"/>
                <w:highlight w:val="none"/>
              </w:rPr>
            </w:pPr>
          </w:p>
        </w:tc>
        <w:tc>
          <w:tcPr>
            <w:tcW w:w="349" w:type="dxa"/>
            <w:vAlign w:val="top"/>
          </w:tcPr>
          <w:p w14:paraId="3BD498AC">
            <w:pPr>
              <w:rPr>
                <w:rFonts w:ascii="Arial"/>
                <w:color w:val="auto"/>
                <w:sz w:val="21"/>
                <w:highlight w:val="none"/>
              </w:rPr>
            </w:pPr>
          </w:p>
        </w:tc>
        <w:tc>
          <w:tcPr>
            <w:tcW w:w="351" w:type="dxa"/>
            <w:vAlign w:val="top"/>
          </w:tcPr>
          <w:p w14:paraId="3AEA2A66">
            <w:pPr>
              <w:rPr>
                <w:rFonts w:ascii="Arial"/>
                <w:color w:val="auto"/>
                <w:sz w:val="21"/>
                <w:highlight w:val="none"/>
              </w:rPr>
            </w:pPr>
          </w:p>
        </w:tc>
        <w:tc>
          <w:tcPr>
            <w:tcW w:w="349" w:type="dxa"/>
            <w:vAlign w:val="top"/>
          </w:tcPr>
          <w:p w14:paraId="7F749D77">
            <w:pPr>
              <w:rPr>
                <w:rFonts w:ascii="Arial"/>
                <w:color w:val="auto"/>
                <w:sz w:val="21"/>
                <w:highlight w:val="none"/>
              </w:rPr>
            </w:pPr>
          </w:p>
        </w:tc>
        <w:tc>
          <w:tcPr>
            <w:tcW w:w="349" w:type="dxa"/>
            <w:vAlign w:val="top"/>
          </w:tcPr>
          <w:p w14:paraId="076098DF">
            <w:pPr>
              <w:rPr>
                <w:rFonts w:ascii="Arial"/>
                <w:color w:val="auto"/>
                <w:sz w:val="21"/>
                <w:highlight w:val="none"/>
              </w:rPr>
            </w:pPr>
          </w:p>
        </w:tc>
        <w:tc>
          <w:tcPr>
            <w:tcW w:w="426" w:type="dxa"/>
            <w:vAlign w:val="top"/>
          </w:tcPr>
          <w:p w14:paraId="615A3F33">
            <w:pPr>
              <w:rPr>
                <w:rFonts w:ascii="Arial"/>
                <w:color w:val="auto"/>
                <w:sz w:val="21"/>
                <w:highlight w:val="none"/>
              </w:rPr>
            </w:pPr>
          </w:p>
        </w:tc>
        <w:tc>
          <w:tcPr>
            <w:tcW w:w="426" w:type="dxa"/>
            <w:vAlign w:val="top"/>
          </w:tcPr>
          <w:p w14:paraId="4D4DC346">
            <w:pPr>
              <w:rPr>
                <w:rFonts w:ascii="Arial"/>
                <w:color w:val="auto"/>
                <w:sz w:val="21"/>
                <w:highlight w:val="none"/>
              </w:rPr>
            </w:pPr>
          </w:p>
        </w:tc>
        <w:tc>
          <w:tcPr>
            <w:tcW w:w="426" w:type="dxa"/>
            <w:vAlign w:val="top"/>
          </w:tcPr>
          <w:p w14:paraId="6CC98264">
            <w:pPr>
              <w:rPr>
                <w:rFonts w:ascii="Arial"/>
                <w:color w:val="auto"/>
                <w:sz w:val="21"/>
                <w:highlight w:val="none"/>
              </w:rPr>
            </w:pPr>
          </w:p>
        </w:tc>
        <w:tc>
          <w:tcPr>
            <w:tcW w:w="429" w:type="dxa"/>
            <w:vAlign w:val="top"/>
          </w:tcPr>
          <w:p w14:paraId="3AD2BB0E">
            <w:pPr>
              <w:rPr>
                <w:rFonts w:ascii="Arial"/>
                <w:color w:val="auto"/>
                <w:sz w:val="21"/>
                <w:highlight w:val="none"/>
              </w:rPr>
            </w:pPr>
          </w:p>
        </w:tc>
        <w:tc>
          <w:tcPr>
            <w:tcW w:w="526" w:type="dxa"/>
            <w:vAlign w:val="top"/>
          </w:tcPr>
          <w:p w14:paraId="65DF9DA3">
            <w:pPr>
              <w:rPr>
                <w:rFonts w:ascii="Arial"/>
                <w:color w:val="auto"/>
                <w:sz w:val="21"/>
                <w:highlight w:val="none"/>
              </w:rPr>
            </w:pPr>
          </w:p>
        </w:tc>
        <w:tc>
          <w:tcPr>
            <w:tcW w:w="735" w:type="dxa"/>
            <w:vAlign w:val="top"/>
          </w:tcPr>
          <w:p w14:paraId="2330EBEA">
            <w:pPr>
              <w:rPr>
                <w:rFonts w:ascii="Arial"/>
                <w:color w:val="auto"/>
                <w:sz w:val="21"/>
                <w:highlight w:val="none"/>
              </w:rPr>
            </w:pPr>
          </w:p>
        </w:tc>
      </w:tr>
      <w:tr w14:paraId="45D6F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36091F4D">
            <w:pPr>
              <w:pStyle w:val="23"/>
              <w:spacing w:before="168" w:line="324" w:lineRule="exact"/>
              <w:ind w:left="141"/>
              <w:rPr>
                <w:color w:val="auto"/>
                <w:highlight w:val="none"/>
              </w:rPr>
            </w:pPr>
            <w:r>
              <w:rPr>
                <w:color w:val="auto"/>
                <w:position w:val="2"/>
                <w:highlight w:val="none"/>
              </w:rPr>
              <w:t>…</w:t>
            </w:r>
          </w:p>
        </w:tc>
        <w:tc>
          <w:tcPr>
            <w:tcW w:w="1628" w:type="dxa"/>
            <w:vAlign w:val="top"/>
          </w:tcPr>
          <w:p w14:paraId="52988275">
            <w:pPr>
              <w:pStyle w:val="23"/>
              <w:spacing w:before="168" w:line="324" w:lineRule="exact"/>
              <w:ind w:left="619"/>
              <w:rPr>
                <w:color w:val="auto"/>
                <w:highlight w:val="none"/>
              </w:rPr>
            </w:pPr>
            <w:r>
              <w:rPr>
                <w:color w:val="auto"/>
                <w:spacing w:val="-2"/>
                <w:position w:val="2"/>
                <w:highlight w:val="none"/>
              </w:rPr>
              <w:t>……</w:t>
            </w:r>
          </w:p>
        </w:tc>
        <w:tc>
          <w:tcPr>
            <w:tcW w:w="805" w:type="dxa"/>
            <w:vAlign w:val="top"/>
          </w:tcPr>
          <w:p w14:paraId="066D8A28">
            <w:pPr>
              <w:rPr>
                <w:rFonts w:ascii="Arial"/>
                <w:color w:val="auto"/>
                <w:sz w:val="21"/>
                <w:highlight w:val="none"/>
              </w:rPr>
            </w:pPr>
          </w:p>
        </w:tc>
        <w:tc>
          <w:tcPr>
            <w:tcW w:w="635" w:type="dxa"/>
            <w:vAlign w:val="top"/>
          </w:tcPr>
          <w:p w14:paraId="7DE02A07">
            <w:pPr>
              <w:rPr>
                <w:rFonts w:ascii="Arial"/>
                <w:color w:val="auto"/>
                <w:sz w:val="21"/>
                <w:highlight w:val="none"/>
              </w:rPr>
            </w:pPr>
          </w:p>
        </w:tc>
        <w:tc>
          <w:tcPr>
            <w:tcW w:w="348" w:type="dxa"/>
            <w:vAlign w:val="top"/>
          </w:tcPr>
          <w:p w14:paraId="79CC0148">
            <w:pPr>
              <w:rPr>
                <w:rFonts w:ascii="Arial"/>
                <w:color w:val="auto"/>
                <w:sz w:val="21"/>
                <w:highlight w:val="none"/>
              </w:rPr>
            </w:pPr>
          </w:p>
        </w:tc>
        <w:tc>
          <w:tcPr>
            <w:tcW w:w="348" w:type="dxa"/>
            <w:vAlign w:val="top"/>
          </w:tcPr>
          <w:p w14:paraId="74E8E129">
            <w:pPr>
              <w:rPr>
                <w:rFonts w:ascii="Arial"/>
                <w:color w:val="auto"/>
                <w:sz w:val="21"/>
                <w:highlight w:val="none"/>
              </w:rPr>
            </w:pPr>
          </w:p>
        </w:tc>
        <w:tc>
          <w:tcPr>
            <w:tcW w:w="350" w:type="dxa"/>
            <w:vAlign w:val="top"/>
          </w:tcPr>
          <w:p w14:paraId="393F8780">
            <w:pPr>
              <w:rPr>
                <w:rFonts w:ascii="Arial"/>
                <w:color w:val="auto"/>
                <w:sz w:val="21"/>
                <w:highlight w:val="none"/>
              </w:rPr>
            </w:pPr>
          </w:p>
        </w:tc>
        <w:tc>
          <w:tcPr>
            <w:tcW w:w="348" w:type="dxa"/>
            <w:vAlign w:val="top"/>
          </w:tcPr>
          <w:p w14:paraId="1C67218B">
            <w:pPr>
              <w:rPr>
                <w:rFonts w:ascii="Arial"/>
                <w:color w:val="auto"/>
                <w:sz w:val="21"/>
                <w:highlight w:val="none"/>
              </w:rPr>
            </w:pPr>
          </w:p>
        </w:tc>
        <w:tc>
          <w:tcPr>
            <w:tcW w:w="349" w:type="dxa"/>
            <w:vAlign w:val="top"/>
          </w:tcPr>
          <w:p w14:paraId="4F8464E4">
            <w:pPr>
              <w:rPr>
                <w:rFonts w:ascii="Arial"/>
                <w:color w:val="auto"/>
                <w:sz w:val="21"/>
                <w:highlight w:val="none"/>
              </w:rPr>
            </w:pPr>
          </w:p>
        </w:tc>
        <w:tc>
          <w:tcPr>
            <w:tcW w:w="351" w:type="dxa"/>
            <w:vAlign w:val="top"/>
          </w:tcPr>
          <w:p w14:paraId="3858F4A1">
            <w:pPr>
              <w:rPr>
                <w:rFonts w:ascii="Arial"/>
                <w:color w:val="auto"/>
                <w:sz w:val="21"/>
                <w:highlight w:val="none"/>
              </w:rPr>
            </w:pPr>
          </w:p>
        </w:tc>
        <w:tc>
          <w:tcPr>
            <w:tcW w:w="349" w:type="dxa"/>
            <w:vAlign w:val="top"/>
          </w:tcPr>
          <w:p w14:paraId="1E49FB60">
            <w:pPr>
              <w:rPr>
                <w:rFonts w:ascii="Arial"/>
                <w:color w:val="auto"/>
                <w:sz w:val="21"/>
                <w:highlight w:val="none"/>
              </w:rPr>
            </w:pPr>
          </w:p>
        </w:tc>
        <w:tc>
          <w:tcPr>
            <w:tcW w:w="349" w:type="dxa"/>
            <w:vAlign w:val="top"/>
          </w:tcPr>
          <w:p w14:paraId="0B65665E">
            <w:pPr>
              <w:rPr>
                <w:rFonts w:ascii="Arial"/>
                <w:color w:val="auto"/>
                <w:sz w:val="21"/>
                <w:highlight w:val="none"/>
              </w:rPr>
            </w:pPr>
          </w:p>
        </w:tc>
        <w:tc>
          <w:tcPr>
            <w:tcW w:w="426" w:type="dxa"/>
            <w:vAlign w:val="top"/>
          </w:tcPr>
          <w:p w14:paraId="124DECA2">
            <w:pPr>
              <w:rPr>
                <w:rFonts w:ascii="Arial"/>
                <w:color w:val="auto"/>
                <w:sz w:val="21"/>
                <w:highlight w:val="none"/>
              </w:rPr>
            </w:pPr>
          </w:p>
        </w:tc>
        <w:tc>
          <w:tcPr>
            <w:tcW w:w="426" w:type="dxa"/>
            <w:vAlign w:val="top"/>
          </w:tcPr>
          <w:p w14:paraId="6675A2BB">
            <w:pPr>
              <w:rPr>
                <w:rFonts w:ascii="Arial"/>
                <w:color w:val="auto"/>
                <w:sz w:val="21"/>
                <w:highlight w:val="none"/>
              </w:rPr>
            </w:pPr>
          </w:p>
        </w:tc>
        <w:tc>
          <w:tcPr>
            <w:tcW w:w="426" w:type="dxa"/>
            <w:vAlign w:val="top"/>
          </w:tcPr>
          <w:p w14:paraId="3BDC97EE">
            <w:pPr>
              <w:rPr>
                <w:rFonts w:ascii="Arial"/>
                <w:color w:val="auto"/>
                <w:sz w:val="21"/>
                <w:highlight w:val="none"/>
              </w:rPr>
            </w:pPr>
          </w:p>
        </w:tc>
        <w:tc>
          <w:tcPr>
            <w:tcW w:w="429" w:type="dxa"/>
            <w:vAlign w:val="top"/>
          </w:tcPr>
          <w:p w14:paraId="238EC9DD">
            <w:pPr>
              <w:rPr>
                <w:rFonts w:ascii="Arial"/>
                <w:color w:val="auto"/>
                <w:sz w:val="21"/>
                <w:highlight w:val="none"/>
              </w:rPr>
            </w:pPr>
          </w:p>
        </w:tc>
        <w:tc>
          <w:tcPr>
            <w:tcW w:w="526" w:type="dxa"/>
            <w:vAlign w:val="top"/>
          </w:tcPr>
          <w:p w14:paraId="7DBEEAEC">
            <w:pPr>
              <w:rPr>
                <w:rFonts w:ascii="Arial"/>
                <w:color w:val="auto"/>
                <w:sz w:val="21"/>
                <w:highlight w:val="none"/>
              </w:rPr>
            </w:pPr>
          </w:p>
        </w:tc>
        <w:tc>
          <w:tcPr>
            <w:tcW w:w="735" w:type="dxa"/>
            <w:vAlign w:val="top"/>
          </w:tcPr>
          <w:p w14:paraId="7CEFA572">
            <w:pPr>
              <w:rPr>
                <w:rFonts w:ascii="Arial"/>
                <w:color w:val="auto"/>
                <w:sz w:val="21"/>
                <w:highlight w:val="none"/>
              </w:rPr>
            </w:pPr>
          </w:p>
        </w:tc>
      </w:tr>
      <w:tr w14:paraId="2C2A1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891" w:type="dxa"/>
            <w:gridSpan w:val="3"/>
            <w:vAlign w:val="top"/>
          </w:tcPr>
          <w:p w14:paraId="3AD8CF8E">
            <w:pPr>
              <w:pStyle w:val="23"/>
              <w:spacing w:before="95" w:line="228" w:lineRule="auto"/>
              <w:ind w:left="716"/>
              <w:rPr>
                <w:color w:val="auto"/>
                <w:highlight w:val="none"/>
              </w:rPr>
            </w:pPr>
            <w:r>
              <w:rPr>
                <w:color w:val="auto"/>
                <w:spacing w:val="8"/>
                <w:highlight w:val="none"/>
              </w:rPr>
              <w:t>每月应在工地的</w:t>
            </w:r>
          </w:p>
          <w:p w14:paraId="3D1D43CE">
            <w:pPr>
              <w:pStyle w:val="23"/>
              <w:spacing w:before="24" w:line="228" w:lineRule="auto"/>
              <w:ind w:left="403"/>
              <w:rPr>
                <w:color w:val="auto"/>
                <w:highlight w:val="none"/>
              </w:rPr>
            </w:pPr>
            <w:r>
              <w:rPr>
                <w:color w:val="auto"/>
                <w:spacing w:val="7"/>
                <w:highlight w:val="none"/>
              </w:rPr>
              <w:t>监理人员合计（人数）</w:t>
            </w:r>
          </w:p>
        </w:tc>
        <w:tc>
          <w:tcPr>
            <w:tcW w:w="635" w:type="dxa"/>
            <w:vAlign w:val="top"/>
          </w:tcPr>
          <w:p w14:paraId="3EAA514E">
            <w:pPr>
              <w:pStyle w:val="23"/>
              <w:spacing w:before="36" w:line="324" w:lineRule="exact"/>
              <w:ind w:left="126"/>
              <w:rPr>
                <w:color w:val="auto"/>
                <w:highlight w:val="none"/>
              </w:rPr>
            </w:pPr>
            <w:r>
              <w:rPr>
                <w:color w:val="auto"/>
                <w:spacing w:val="-2"/>
                <w:position w:val="2"/>
                <w:highlight w:val="none"/>
              </w:rPr>
              <w:t>……</w:t>
            </w:r>
          </w:p>
        </w:tc>
        <w:tc>
          <w:tcPr>
            <w:tcW w:w="348" w:type="dxa"/>
            <w:vAlign w:val="top"/>
          </w:tcPr>
          <w:p w14:paraId="109D133B">
            <w:pPr>
              <w:rPr>
                <w:rFonts w:ascii="Arial"/>
                <w:color w:val="auto"/>
                <w:sz w:val="21"/>
                <w:highlight w:val="none"/>
              </w:rPr>
            </w:pPr>
          </w:p>
        </w:tc>
        <w:tc>
          <w:tcPr>
            <w:tcW w:w="348" w:type="dxa"/>
            <w:vAlign w:val="top"/>
          </w:tcPr>
          <w:p w14:paraId="773D7473">
            <w:pPr>
              <w:rPr>
                <w:rFonts w:ascii="Arial"/>
                <w:color w:val="auto"/>
                <w:sz w:val="21"/>
                <w:highlight w:val="none"/>
              </w:rPr>
            </w:pPr>
          </w:p>
        </w:tc>
        <w:tc>
          <w:tcPr>
            <w:tcW w:w="350" w:type="dxa"/>
            <w:vAlign w:val="top"/>
          </w:tcPr>
          <w:p w14:paraId="296FCBC6">
            <w:pPr>
              <w:rPr>
                <w:rFonts w:ascii="Arial"/>
                <w:color w:val="auto"/>
                <w:sz w:val="21"/>
                <w:highlight w:val="none"/>
              </w:rPr>
            </w:pPr>
          </w:p>
        </w:tc>
        <w:tc>
          <w:tcPr>
            <w:tcW w:w="348" w:type="dxa"/>
            <w:vAlign w:val="top"/>
          </w:tcPr>
          <w:p w14:paraId="32D55D80">
            <w:pPr>
              <w:rPr>
                <w:rFonts w:ascii="Arial"/>
                <w:color w:val="auto"/>
                <w:sz w:val="21"/>
                <w:highlight w:val="none"/>
              </w:rPr>
            </w:pPr>
          </w:p>
        </w:tc>
        <w:tc>
          <w:tcPr>
            <w:tcW w:w="349" w:type="dxa"/>
            <w:vAlign w:val="top"/>
          </w:tcPr>
          <w:p w14:paraId="7DD899DE">
            <w:pPr>
              <w:rPr>
                <w:rFonts w:ascii="Arial"/>
                <w:color w:val="auto"/>
                <w:sz w:val="21"/>
                <w:highlight w:val="none"/>
              </w:rPr>
            </w:pPr>
          </w:p>
        </w:tc>
        <w:tc>
          <w:tcPr>
            <w:tcW w:w="351" w:type="dxa"/>
            <w:vAlign w:val="top"/>
          </w:tcPr>
          <w:p w14:paraId="18369478">
            <w:pPr>
              <w:rPr>
                <w:rFonts w:ascii="Arial"/>
                <w:color w:val="auto"/>
                <w:sz w:val="21"/>
                <w:highlight w:val="none"/>
              </w:rPr>
            </w:pPr>
          </w:p>
        </w:tc>
        <w:tc>
          <w:tcPr>
            <w:tcW w:w="349" w:type="dxa"/>
            <w:vAlign w:val="top"/>
          </w:tcPr>
          <w:p w14:paraId="79FDF860">
            <w:pPr>
              <w:rPr>
                <w:rFonts w:ascii="Arial"/>
                <w:color w:val="auto"/>
                <w:sz w:val="21"/>
                <w:highlight w:val="none"/>
              </w:rPr>
            </w:pPr>
          </w:p>
        </w:tc>
        <w:tc>
          <w:tcPr>
            <w:tcW w:w="349" w:type="dxa"/>
            <w:vAlign w:val="top"/>
          </w:tcPr>
          <w:p w14:paraId="5ED859DE">
            <w:pPr>
              <w:rPr>
                <w:rFonts w:ascii="Arial"/>
                <w:color w:val="auto"/>
                <w:sz w:val="21"/>
                <w:highlight w:val="none"/>
              </w:rPr>
            </w:pPr>
          </w:p>
        </w:tc>
        <w:tc>
          <w:tcPr>
            <w:tcW w:w="426" w:type="dxa"/>
            <w:vAlign w:val="top"/>
          </w:tcPr>
          <w:p w14:paraId="14981FAD">
            <w:pPr>
              <w:rPr>
                <w:rFonts w:ascii="Arial"/>
                <w:color w:val="auto"/>
                <w:sz w:val="21"/>
                <w:highlight w:val="none"/>
              </w:rPr>
            </w:pPr>
          </w:p>
        </w:tc>
        <w:tc>
          <w:tcPr>
            <w:tcW w:w="426" w:type="dxa"/>
            <w:vAlign w:val="top"/>
          </w:tcPr>
          <w:p w14:paraId="5CE97907">
            <w:pPr>
              <w:rPr>
                <w:rFonts w:ascii="Arial"/>
                <w:color w:val="auto"/>
                <w:sz w:val="21"/>
                <w:highlight w:val="none"/>
              </w:rPr>
            </w:pPr>
          </w:p>
        </w:tc>
        <w:tc>
          <w:tcPr>
            <w:tcW w:w="426" w:type="dxa"/>
            <w:vAlign w:val="top"/>
          </w:tcPr>
          <w:p w14:paraId="1E4F0DA5">
            <w:pPr>
              <w:rPr>
                <w:rFonts w:ascii="Arial"/>
                <w:color w:val="auto"/>
                <w:sz w:val="21"/>
                <w:highlight w:val="none"/>
              </w:rPr>
            </w:pPr>
          </w:p>
        </w:tc>
        <w:tc>
          <w:tcPr>
            <w:tcW w:w="429" w:type="dxa"/>
            <w:vAlign w:val="top"/>
          </w:tcPr>
          <w:p w14:paraId="72703275">
            <w:pPr>
              <w:rPr>
                <w:rFonts w:ascii="Arial"/>
                <w:color w:val="auto"/>
                <w:sz w:val="21"/>
                <w:highlight w:val="none"/>
              </w:rPr>
            </w:pPr>
          </w:p>
        </w:tc>
        <w:tc>
          <w:tcPr>
            <w:tcW w:w="526" w:type="dxa"/>
            <w:vAlign w:val="top"/>
          </w:tcPr>
          <w:p w14:paraId="7B164E82">
            <w:pPr>
              <w:rPr>
                <w:rFonts w:ascii="Arial"/>
                <w:color w:val="auto"/>
                <w:sz w:val="21"/>
                <w:highlight w:val="none"/>
              </w:rPr>
            </w:pPr>
          </w:p>
        </w:tc>
        <w:tc>
          <w:tcPr>
            <w:tcW w:w="735" w:type="dxa"/>
            <w:vAlign w:val="top"/>
          </w:tcPr>
          <w:p w14:paraId="54E05CB1">
            <w:pPr>
              <w:rPr>
                <w:rFonts w:ascii="Arial"/>
                <w:color w:val="auto"/>
                <w:sz w:val="21"/>
                <w:highlight w:val="none"/>
              </w:rPr>
            </w:pPr>
          </w:p>
        </w:tc>
      </w:tr>
    </w:tbl>
    <w:p w14:paraId="3BE61B51">
      <w:pPr>
        <w:spacing w:before="304" w:line="378" w:lineRule="auto"/>
        <w:ind w:left="11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注:按照拟投入本工程现场监理人员的计划在岗安排据实填报。在岗时间为:进场时间为当月第一日；</w:t>
      </w:r>
      <w:r>
        <w:rPr>
          <w:rFonts w:ascii="宋体" w:hAnsi="宋体" w:eastAsia="宋体" w:cs="宋体"/>
          <w:color w:val="auto"/>
          <w:spacing w:val="7"/>
          <w:sz w:val="20"/>
          <w:szCs w:val="20"/>
          <w:highlight w:val="none"/>
        </w:rPr>
        <w:t>在岗表示为“-</w:t>
      </w:r>
      <w:r>
        <w:rPr>
          <w:rFonts w:ascii="宋体" w:hAnsi="宋体" w:eastAsia="宋体" w:cs="宋体"/>
          <w:color w:val="auto"/>
          <w:spacing w:val="-66"/>
          <w:sz w:val="20"/>
          <w:szCs w:val="20"/>
          <w:highlight w:val="none"/>
        </w:rPr>
        <w:t xml:space="preserve"> </w:t>
      </w:r>
      <w:r>
        <w:rPr>
          <w:rFonts w:ascii="宋体" w:hAnsi="宋体" w:eastAsia="宋体" w:cs="宋体"/>
          <w:color w:val="auto"/>
          <w:spacing w:val="7"/>
          <w:sz w:val="20"/>
          <w:szCs w:val="20"/>
          <w:highlight w:val="none"/>
        </w:rPr>
        <w:t>”。</w:t>
      </w:r>
    </w:p>
    <w:p w14:paraId="0B512399">
      <w:pPr>
        <w:spacing w:line="378" w:lineRule="auto"/>
        <w:rPr>
          <w:rFonts w:ascii="宋体" w:hAnsi="宋体" w:eastAsia="宋体" w:cs="宋体"/>
          <w:color w:val="auto"/>
          <w:sz w:val="20"/>
          <w:szCs w:val="20"/>
          <w:highlight w:val="none"/>
        </w:rPr>
        <w:sectPr>
          <w:footerReference r:id="rId71" w:type="default"/>
          <w:pgSz w:w="11906" w:h="16839"/>
          <w:pgMar w:top="1402" w:right="1303" w:bottom="1297" w:left="1307" w:header="0" w:footer="1067" w:gutter="0"/>
          <w:pgBorders>
            <w:top w:val="none" w:sz="0" w:space="0"/>
            <w:left w:val="none" w:sz="0" w:space="0"/>
            <w:bottom w:val="none" w:sz="0" w:space="0"/>
            <w:right w:val="none" w:sz="0" w:space="0"/>
          </w:pgBorders>
          <w:pgNumType w:fmt="decimal"/>
          <w:cols w:space="720" w:num="1"/>
        </w:sectPr>
      </w:pPr>
    </w:p>
    <w:p w14:paraId="43AC141A">
      <w:pPr>
        <w:spacing w:before="56" w:line="219" w:lineRule="auto"/>
        <w:ind w:left="2679"/>
        <w:rPr>
          <w:rFonts w:ascii="宋体" w:hAnsi="宋体" w:eastAsia="宋体" w:cs="宋体"/>
          <w:color w:val="auto"/>
          <w:sz w:val="28"/>
          <w:szCs w:val="28"/>
          <w:highlight w:val="none"/>
        </w:rPr>
      </w:pPr>
      <w:r>
        <w:rPr>
          <w:rFonts w:ascii="宋体" w:hAnsi="宋体" w:eastAsia="宋体" w:cs="宋体"/>
          <w:b/>
          <w:bCs/>
          <w:color w:val="auto"/>
          <w:sz w:val="28"/>
          <w:szCs w:val="28"/>
          <w:highlight w:val="none"/>
        </w:rPr>
        <w:t>附件2</w:t>
      </w:r>
      <w:r>
        <w:rPr>
          <w:rFonts w:ascii="宋体" w:hAnsi="宋体" w:eastAsia="宋体" w:cs="宋体"/>
          <w:color w:val="auto"/>
          <w:sz w:val="28"/>
          <w:szCs w:val="28"/>
          <w:highlight w:val="none"/>
        </w:rPr>
        <w:t xml:space="preserve">   </w:t>
      </w:r>
      <w:r>
        <w:rPr>
          <w:rFonts w:ascii="宋体" w:hAnsi="宋体" w:eastAsia="宋体" w:cs="宋体"/>
          <w:b/>
          <w:bCs/>
          <w:color w:val="auto"/>
          <w:sz w:val="28"/>
          <w:szCs w:val="28"/>
          <w:highlight w:val="none"/>
        </w:rPr>
        <w:t>监理设施进出场时间表</w:t>
      </w:r>
    </w:p>
    <w:p w14:paraId="3C9E482E">
      <w:pPr>
        <w:spacing w:before="147"/>
        <w:rPr>
          <w:color w:val="auto"/>
          <w:highlight w:val="none"/>
        </w:rPr>
      </w:pPr>
    </w:p>
    <w:tbl>
      <w:tblPr>
        <w:tblStyle w:val="22"/>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1396"/>
        <w:gridCol w:w="1381"/>
        <w:gridCol w:w="1394"/>
        <w:gridCol w:w="2061"/>
        <w:gridCol w:w="1042"/>
      </w:tblGrid>
      <w:tr w14:paraId="11033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Merge w:val="restart"/>
            <w:tcBorders>
              <w:bottom w:val="nil"/>
            </w:tcBorders>
            <w:vAlign w:val="top"/>
          </w:tcPr>
          <w:p w14:paraId="45C4EFE9">
            <w:pPr>
              <w:spacing w:line="303" w:lineRule="auto"/>
              <w:rPr>
                <w:rFonts w:ascii="Arial"/>
                <w:color w:val="auto"/>
                <w:sz w:val="21"/>
                <w:highlight w:val="none"/>
              </w:rPr>
            </w:pPr>
          </w:p>
          <w:p w14:paraId="5389D65E">
            <w:pPr>
              <w:pStyle w:val="23"/>
              <w:spacing w:before="65" w:line="229" w:lineRule="auto"/>
              <w:ind w:left="813"/>
              <w:rPr>
                <w:color w:val="auto"/>
                <w:highlight w:val="none"/>
              </w:rPr>
            </w:pPr>
            <w:r>
              <w:rPr>
                <w:color w:val="auto"/>
                <w:spacing w:val="-1"/>
                <w:highlight w:val="none"/>
              </w:rPr>
              <w:t>时段</w:t>
            </w:r>
          </w:p>
        </w:tc>
        <w:tc>
          <w:tcPr>
            <w:tcW w:w="7274" w:type="dxa"/>
            <w:gridSpan w:val="5"/>
            <w:vAlign w:val="top"/>
          </w:tcPr>
          <w:p w14:paraId="1A4EE7FE">
            <w:pPr>
              <w:pStyle w:val="23"/>
              <w:spacing w:before="163" w:line="217" w:lineRule="auto"/>
              <w:ind w:left="3221"/>
              <w:rPr>
                <w:color w:val="auto"/>
                <w:highlight w:val="none"/>
              </w:rPr>
            </w:pPr>
            <w:r>
              <w:rPr>
                <w:color w:val="auto"/>
                <w:spacing w:val="7"/>
                <w:highlight w:val="none"/>
              </w:rPr>
              <w:t>监理设施</w:t>
            </w:r>
          </w:p>
        </w:tc>
      </w:tr>
      <w:tr w14:paraId="0FD76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Merge w:val="continue"/>
            <w:tcBorders>
              <w:top w:val="nil"/>
            </w:tcBorders>
            <w:vAlign w:val="top"/>
          </w:tcPr>
          <w:p w14:paraId="6489E91F">
            <w:pPr>
              <w:rPr>
                <w:rFonts w:ascii="Arial"/>
                <w:color w:val="auto"/>
                <w:sz w:val="21"/>
                <w:highlight w:val="none"/>
              </w:rPr>
            </w:pPr>
          </w:p>
        </w:tc>
        <w:tc>
          <w:tcPr>
            <w:tcW w:w="1396" w:type="dxa"/>
            <w:vAlign w:val="top"/>
          </w:tcPr>
          <w:p w14:paraId="0C8DB080">
            <w:pPr>
              <w:pStyle w:val="23"/>
              <w:spacing w:before="160" w:line="216" w:lineRule="auto"/>
              <w:ind w:left="287"/>
              <w:rPr>
                <w:color w:val="auto"/>
                <w:highlight w:val="none"/>
              </w:rPr>
            </w:pPr>
            <w:r>
              <w:rPr>
                <w:color w:val="auto"/>
                <w:spacing w:val="6"/>
                <w:highlight w:val="none"/>
              </w:rPr>
              <w:t>交通设施</w:t>
            </w:r>
          </w:p>
        </w:tc>
        <w:tc>
          <w:tcPr>
            <w:tcW w:w="1381" w:type="dxa"/>
            <w:vAlign w:val="top"/>
          </w:tcPr>
          <w:p w14:paraId="4305DE04">
            <w:pPr>
              <w:pStyle w:val="23"/>
              <w:spacing w:before="160" w:line="216" w:lineRule="auto"/>
              <w:ind w:left="280"/>
              <w:rPr>
                <w:color w:val="auto"/>
                <w:highlight w:val="none"/>
              </w:rPr>
            </w:pPr>
            <w:r>
              <w:rPr>
                <w:color w:val="auto"/>
                <w:spacing w:val="6"/>
                <w:highlight w:val="none"/>
              </w:rPr>
              <w:t>办公设施</w:t>
            </w:r>
          </w:p>
        </w:tc>
        <w:tc>
          <w:tcPr>
            <w:tcW w:w="1394" w:type="dxa"/>
            <w:vAlign w:val="top"/>
          </w:tcPr>
          <w:p w14:paraId="243B8DB8">
            <w:pPr>
              <w:pStyle w:val="23"/>
              <w:spacing w:before="160" w:line="216" w:lineRule="auto"/>
              <w:ind w:left="284"/>
              <w:rPr>
                <w:color w:val="auto"/>
                <w:highlight w:val="none"/>
              </w:rPr>
            </w:pPr>
            <w:r>
              <w:rPr>
                <w:color w:val="auto"/>
                <w:spacing w:val="6"/>
                <w:highlight w:val="none"/>
              </w:rPr>
              <w:t>生活设施</w:t>
            </w:r>
          </w:p>
        </w:tc>
        <w:tc>
          <w:tcPr>
            <w:tcW w:w="2061" w:type="dxa"/>
            <w:vAlign w:val="top"/>
          </w:tcPr>
          <w:p w14:paraId="50A836CC">
            <w:pPr>
              <w:pStyle w:val="23"/>
              <w:spacing w:before="160" w:line="216" w:lineRule="auto"/>
              <w:ind w:left="302"/>
              <w:rPr>
                <w:color w:val="auto"/>
                <w:highlight w:val="none"/>
              </w:rPr>
            </w:pPr>
            <w:r>
              <w:rPr>
                <w:color w:val="auto"/>
                <w:spacing w:val="8"/>
                <w:highlight w:val="none"/>
              </w:rPr>
              <w:t>试验、检测仪器</w:t>
            </w:r>
          </w:p>
        </w:tc>
        <w:tc>
          <w:tcPr>
            <w:tcW w:w="1042" w:type="dxa"/>
            <w:vAlign w:val="top"/>
          </w:tcPr>
          <w:p w14:paraId="0D5DE5D8">
            <w:pPr>
              <w:pStyle w:val="23"/>
              <w:spacing w:before="160" w:line="216" w:lineRule="auto"/>
              <w:ind w:left="318"/>
              <w:rPr>
                <w:color w:val="auto"/>
                <w:highlight w:val="none"/>
              </w:rPr>
            </w:pPr>
            <w:r>
              <w:rPr>
                <w:color w:val="auto"/>
                <w:spacing w:val="4"/>
                <w:highlight w:val="none"/>
              </w:rPr>
              <w:t>其他</w:t>
            </w:r>
          </w:p>
        </w:tc>
      </w:tr>
      <w:tr w14:paraId="7D892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4343D9DF">
            <w:pPr>
              <w:pStyle w:val="23"/>
              <w:spacing w:before="161" w:line="215"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73967857">
            <w:pPr>
              <w:rPr>
                <w:rFonts w:ascii="Arial"/>
                <w:color w:val="auto"/>
                <w:sz w:val="21"/>
                <w:highlight w:val="none"/>
              </w:rPr>
            </w:pPr>
          </w:p>
        </w:tc>
        <w:tc>
          <w:tcPr>
            <w:tcW w:w="1381" w:type="dxa"/>
            <w:vAlign w:val="top"/>
          </w:tcPr>
          <w:p w14:paraId="6CD32DB8">
            <w:pPr>
              <w:rPr>
                <w:rFonts w:ascii="Arial"/>
                <w:color w:val="auto"/>
                <w:sz w:val="21"/>
                <w:highlight w:val="none"/>
              </w:rPr>
            </w:pPr>
          </w:p>
        </w:tc>
        <w:tc>
          <w:tcPr>
            <w:tcW w:w="1394" w:type="dxa"/>
            <w:vAlign w:val="top"/>
          </w:tcPr>
          <w:p w14:paraId="374E97BE">
            <w:pPr>
              <w:rPr>
                <w:rFonts w:ascii="Arial"/>
                <w:color w:val="auto"/>
                <w:sz w:val="21"/>
                <w:highlight w:val="none"/>
              </w:rPr>
            </w:pPr>
          </w:p>
        </w:tc>
        <w:tc>
          <w:tcPr>
            <w:tcW w:w="2061" w:type="dxa"/>
            <w:vAlign w:val="top"/>
          </w:tcPr>
          <w:p w14:paraId="22DB0A4D">
            <w:pPr>
              <w:rPr>
                <w:rFonts w:ascii="Arial"/>
                <w:color w:val="auto"/>
                <w:sz w:val="21"/>
                <w:highlight w:val="none"/>
              </w:rPr>
            </w:pPr>
          </w:p>
        </w:tc>
        <w:tc>
          <w:tcPr>
            <w:tcW w:w="1042" w:type="dxa"/>
            <w:vAlign w:val="top"/>
          </w:tcPr>
          <w:p w14:paraId="509FA3FF">
            <w:pPr>
              <w:rPr>
                <w:rFonts w:ascii="Arial"/>
                <w:color w:val="auto"/>
                <w:sz w:val="21"/>
                <w:highlight w:val="none"/>
              </w:rPr>
            </w:pPr>
          </w:p>
        </w:tc>
      </w:tr>
      <w:tr w14:paraId="0B26D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50F1D8C9">
            <w:pPr>
              <w:pStyle w:val="23"/>
              <w:spacing w:before="163"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82E43B5">
            <w:pPr>
              <w:rPr>
                <w:rFonts w:ascii="Arial"/>
                <w:color w:val="auto"/>
                <w:sz w:val="21"/>
                <w:highlight w:val="none"/>
              </w:rPr>
            </w:pPr>
          </w:p>
        </w:tc>
        <w:tc>
          <w:tcPr>
            <w:tcW w:w="1381" w:type="dxa"/>
            <w:vAlign w:val="top"/>
          </w:tcPr>
          <w:p w14:paraId="107D6D24">
            <w:pPr>
              <w:rPr>
                <w:rFonts w:ascii="Arial"/>
                <w:color w:val="auto"/>
                <w:sz w:val="21"/>
                <w:highlight w:val="none"/>
              </w:rPr>
            </w:pPr>
          </w:p>
        </w:tc>
        <w:tc>
          <w:tcPr>
            <w:tcW w:w="1394" w:type="dxa"/>
            <w:vAlign w:val="top"/>
          </w:tcPr>
          <w:p w14:paraId="0679B073">
            <w:pPr>
              <w:rPr>
                <w:rFonts w:ascii="Arial"/>
                <w:color w:val="auto"/>
                <w:sz w:val="21"/>
                <w:highlight w:val="none"/>
              </w:rPr>
            </w:pPr>
          </w:p>
        </w:tc>
        <w:tc>
          <w:tcPr>
            <w:tcW w:w="2061" w:type="dxa"/>
            <w:vAlign w:val="top"/>
          </w:tcPr>
          <w:p w14:paraId="379EFDD6">
            <w:pPr>
              <w:rPr>
                <w:rFonts w:ascii="Arial"/>
                <w:color w:val="auto"/>
                <w:sz w:val="21"/>
                <w:highlight w:val="none"/>
              </w:rPr>
            </w:pPr>
          </w:p>
        </w:tc>
        <w:tc>
          <w:tcPr>
            <w:tcW w:w="1042" w:type="dxa"/>
            <w:vAlign w:val="top"/>
          </w:tcPr>
          <w:p w14:paraId="09E62C00">
            <w:pPr>
              <w:rPr>
                <w:rFonts w:ascii="Arial"/>
                <w:color w:val="auto"/>
                <w:sz w:val="21"/>
                <w:highlight w:val="none"/>
              </w:rPr>
            </w:pPr>
          </w:p>
        </w:tc>
      </w:tr>
      <w:tr w14:paraId="75DB8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1E5760EA">
            <w:pPr>
              <w:pStyle w:val="23"/>
              <w:spacing w:before="164"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02BB21D">
            <w:pPr>
              <w:rPr>
                <w:rFonts w:ascii="Arial"/>
                <w:color w:val="auto"/>
                <w:sz w:val="21"/>
                <w:highlight w:val="none"/>
              </w:rPr>
            </w:pPr>
          </w:p>
        </w:tc>
        <w:tc>
          <w:tcPr>
            <w:tcW w:w="1381" w:type="dxa"/>
            <w:vAlign w:val="top"/>
          </w:tcPr>
          <w:p w14:paraId="1112450C">
            <w:pPr>
              <w:rPr>
                <w:rFonts w:ascii="Arial"/>
                <w:color w:val="auto"/>
                <w:sz w:val="21"/>
                <w:highlight w:val="none"/>
              </w:rPr>
            </w:pPr>
          </w:p>
        </w:tc>
        <w:tc>
          <w:tcPr>
            <w:tcW w:w="1394" w:type="dxa"/>
            <w:vAlign w:val="top"/>
          </w:tcPr>
          <w:p w14:paraId="7C3AB83F">
            <w:pPr>
              <w:rPr>
                <w:rFonts w:ascii="Arial"/>
                <w:color w:val="auto"/>
                <w:sz w:val="21"/>
                <w:highlight w:val="none"/>
              </w:rPr>
            </w:pPr>
          </w:p>
        </w:tc>
        <w:tc>
          <w:tcPr>
            <w:tcW w:w="2061" w:type="dxa"/>
            <w:vAlign w:val="top"/>
          </w:tcPr>
          <w:p w14:paraId="71C87FD6">
            <w:pPr>
              <w:rPr>
                <w:rFonts w:ascii="Arial"/>
                <w:color w:val="auto"/>
                <w:sz w:val="21"/>
                <w:highlight w:val="none"/>
              </w:rPr>
            </w:pPr>
          </w:p>
        </w:tc>
        <w:tc>
          <w:tcPr>
            <w:tcW w:w="1042" w:type="dxa"/>
            <w:vAlign w:val="top"/>
          </w:tcPr>
          <w:p w14:paraId="36910AA2">
            <w:pPr>
              <w:rPr>
                <w:rFonts w:ascii="Arial"/>
                <w:color w:val="auto"/>
                <w:sz w:val="21"/>
                <w:highlight w:val="none"/>
              </w:rPr>
            </w:pPr>
          </w:p>
        </w:tc>
      </w:tr>
      <w:tr w14:paraId="76B71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4221058E">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A7D32FD">
            <w:pPr>
              <w:rPr>
                <w:rFonts w:ascii="Arial"/>
                <w:color w:val="auto"/>
                <w:sz w:val="21"/>
                <w:highlight w:val="none"/>
              </w:rPr>
            </w:pPr>
          </w:p>
        </w:tc>
        <w:tc>
          <w:tcPr>
            <w:tcW w:w="1381" w:type="dxa"/>
            <w:vAlign w:val="top"/>
          </w:tcPr>
          <w:p w14:paraId="67591DA4">
            <w:pPr>
              <w:rPr>
                <w:rFonts w:ascii="Arial"/>
                <w:color w:val="auto"/>
                <w:sz w:val="21"/>
                <w:highlight w:val="none"/>
              </w:rPr>
            </w:pPr>
          </w:p>
        </w:tc>
        <w:tc>
          <w:tcPr>
            <w:tcW w:w="1394" w:type="dxa"/>
            <w:vAlign w:val="top"/>
          </w:tcPr>
          <w:p w14:paraId="42E6F223">
            <w:pPr>
              <w:rPr>
                <w:rFonts w:ascii="Arial"/>
                <w:color w:val="auto"/>
                <w:sz w:val="21"/>
                <w:highlight w:val="none"/>
              </w:rPr>
            </w:pPr>
          </w:p>
        </w:tc>
        <w:tc>
          <w:tcPr>
            <w:tcW w:w="2061" w:type="dxa"/>
            <w:vAlign w:val="top"/>
          </w:tcPr>
          <w:p w14:paraId="1C73C0AF">
            <w:pPr>
              <w:rPr>
                <w:rFonts w:ascii="Arial"/>
                <w:color w:val="auto"/>
                <w:sz w:val="21"/>
                <w:highlight w:val="none"/>
              </w:rPr>
            </w:pPr>
          </w:p>
        </w:tc>
        <w:tc>
          <w:tcPr>
            <w:tcW w:w="1042" w:type="dxa"/>
            <w:vAlign w:val="top"/>
          </w:tcPr>
          <w:p w14:paraId="6C63234E">
            <w:pPr>
              <w:rPr>
                <w:rFonts w:ascii="Arial"/>
                <w:color w:val="auto"/>
                <w:sz w:val="21"/>
                <w:highlight w:val="none"/>
              </w:rPr>
            </w:pPr>
          </w:p>
        </w:tc>
      </w:tr>
      <w:tr w14:paraId="5F293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0E050940">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72C2792F">
            <w:pPr>
              <w:rPr>
                <w:rFonts w:ascii="Arial"/>
                <w:color w:val="auto"/>
                <w:sz w:val="21"/>
                <w:highlight w:val="none"/>
              </w:rPr>
            </w:pPr>
          </w:p>
        </w:tc>
        <w:tc>
          <w:tcPr>
            <w:tcW w:w="1381" w:type="dxa"/>
            <w:vAlign w:val="top"/>
          </w:tcPr>
          <w:p w14:paraId="604EBE52">
            <w:pPr>
              <w:rPr>
                <w:rFonts w:ascii="Arial"/>
                <w:color w:val="auto"/>
                <w:sz w:val="21"/>
                <w:highlight w:val="none"/>
              </w:rPr>
            </w:pPr>
          </w:p>
        </w:tc>
        <w:tc>
          <w:tcPr>
            <w:tcW w:w="1394" w:type="dxa"/>
            <w:vAlign w:val="top"/>
          </w:tcPr>
          <w:p w14:paraId="7A0B087F">
            <w:pPr>
              <w:rPr>
                <w:rFonts w:ascii="Arial"/>
                <w:color w:val="auto"/>
                <w:sz w:val="21"/>
                <w:highlight w:val="none"/>
              </w:rPr>
            </w:pPr>
          </w:p>
        </w:tc>
        <w:tc>
          <w:tcPr>
            <w:tcW w:w="2061" w:type="dxa"/>
            <w:vAlign w:val="top"/>
          </w:tcPr>
          <w:p w14:paraId="6F81F168">
            <w:pPr>
              <w:rPr>
                <w:rFonts w:ascii="Arial"/>
                <w:color w:val="auto"/>
                <w:sz w:val="21"/>
                <w:highlight w:val="none"/>
              </w:rPr>
            </w:pPr>
          </w:p>
        </w:tc>
        <w:tc>
          <w:tcPr>
            <w:tcW w:w="1042" w:type="dxa"/>
            <w:vAlign w:val="top"/>
          </w:tcPr>
          <w:p w14:paraId="1A56A71C">
            <w:pPr>
              <w:rPr>
                <w:rFonts w:ascii="Arial"/>
                <w:color w:val="auto"/>
                <w:sz w:val="21"/>
                <w:highlight w:val="none"/>
              </w:rPr>
            </w:pPr>
          </w:p>
        </w:tc>
      </w:tr>
      <w:tr w14:paraId="6C9DF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7271C0A">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52A5FA86">
            <w:pPr>
              <w:rPr>
                <w:rFonts w:ascii="Arial"/>
                <w:color w:val="auto"/>
                <w:sz w:val="21"/>
                <w:highlight w:val="none"/>
              </w:rPr>
            </w:pPr>
          </w:p>
        </w:tc>
        <w:tc>
          <w:tcPr>
            <w:tcW w:w="1381" w:type="dxa"/>
            <w:vAlign w:val="top"/>
          </w:tcPr>
          <w:p w14:paraId="7B9B7710">
            <w:pPr>
              <w:rPr>
                <w:rFonts w:ascii="Arial"/>
                <w:color w:val="auto"/>
                <w:sz w:val="21"/>
                <w:highlight w:val="none"/>
              </w:rPr>
            </w:pPr>
          </w:p>
        </w:tc>
        <w:tc>
          <w:tcPr>
            <w:tcW w:w="1394" w:type="dxa"/>
            <w:vAlign w:val="top"/>
          </w:tcPr>
          <w:p w14:paraId="27CF1998">
            <w:pPr>
              <w:rPr>
                <w:rFonts w:ascii="Arial"/>
                <w:color w:val="auto"/>
                <w:sz w:val="21"/>
                <w:highlight w:val="none"/>
              </w:rPr>
            </w:pPr>
          </w:p>
        </w:tc>
        <w:tc>
          <w:tcPr>
            <w:tcW w:w="2061" w:type="dxa"/>
            <w:vAlign w:val="top"/>
          </w:tcPr>
          <w:p w14:paraId="628FB4A5">
            <w:pPr>
              <w:rPr>
                <w:rFonts w:ascii="Arial"/>
                <w:color w:val="auto"/>
                <w:sz w:val="21"/>
                <w:highlight w:val="none"/>
              </w:rPr>
            </w:pPr>
          </w:p>
        </w:tc>
        <w:tc>
          <w:tcPr>
            <w:tcW w:w="1042" w:type="dxa"/>
            <w:vAlign w:val="top"/>
          </w:tcPr>
          <w:p w14:paraId="2C6BAAA5">
            <w:pPr>
              <w:rPr>
                <w:rFonts w:ascii="Arial"/>
                <w:color w:val="auto"/>
                <w:sz w:val="21"/>
                <w:highlight w:val="none"/>
              </w:rPr>
            </w:pPr>
          </w:p>
        </w:tc>
      </w:tr>
      <w:tr w14:paraId="4186A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518F8E7C">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07CF8A8">
            <w:pPr>
              <w:rPr>
                <w:rFonts w:ascii="Arial"/>
                <w:color w:val="auto"/>
                <w:sz w:val="21"/>
                <w:highlight w:val="none"/>
              </w:rPr>
            </w:pPr>
          </w:p>
        </w:tc>
        <w:tc>
          <w:tcPr>
            <w:tcW w:w="1381" w:type="dxa"/>
            <w:vAlign w:val="top"/>
          </w:tcPr>
          <w:p w14:paraId="2EBD1E79">
            <w:pPr>
              <w:rPr>
                <w:rFonts w:ascii="Arial"/>
                <w:color w:val="auto"/>
                <w:sz w:val="21"/>
                <w:highlight w:val="none"/>
              </w:rPr>
            </w:pPr>
          </w:p>
        </w:tc>
        <w:tc>
          <w:tcPr>
            <w:tcW w:w="1394" w:type="dxa"/>
            <w:vAlign w:val="top"/>
          </w:tcPr>
          <w:p w14:paraId="73F94B8C">
            <w:pPr>
              <w:rPr>
                <w:rFonts w:ascii="Arial"/>
                <w:color w:val="auto"/>
                <w:sz w:val="21"/>
                <w:highlight w:val="none"/>
              </w:rPr>
            </w:pPr>
          </w:p>
        </w:tc>
        <w:tc>
          <w:tcPr>
            <w:tcW w:w="2061" w:type="dxa"/>
            <w:vAlign w:val="top"/>
          </w:tcPr>
          <w:p w14:paraId="0595CCBE">
            <w:pPr>
              <w:rPr>
                <w:rFonts w:ascii="Arial"/>
                <w:color w:val="auto"/>
                <w:sz w:val="21"/>
                <w:highlight w:val="none"/>
              </w:rPr>
            </w:pPr>
          </w:p>
        </w:tc>
        <w:tc>
          <w:tcPr>
            <w:tcW w:w="1042" w:type="dxa"/>
            <w:vAlign w:val="top"/>
          </w:tcPr>
          <w:p w14:paraId="4B2B7038">
            <w:pPr>
              <w:rPr>
                <w:rFonts w:ascii="Arial"/>
                <w:color w:val="auto"/>
                <w:sz w:val="21"/>
                <w:highlight w:val="none"/>
              </w:rPr>
            </w:pPr>
          </w:p>
        </w:tc>
      </w:tr>
      <w:tr w14:paraId="17CEA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09A04D0A">
            <w:pPr>
              <w:pStyle w:val="23"/>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5F32F877">
            <w:pPr>
              <w:rPr>
                <w:rFonts w:ascii="Arial"/>
                <w:color w:val="auto"/>
                <w:sz w:val="21"/>
                <w:highlight w:val="none"/>
              </w:rPr>
            </w:pPr>
          </w:p>
        </w:tc>
        <w:tc>
          <w:tcPr>
            <w:tcW w:w="1381" w:type="dxa"/>
            <w:vAlign w:val="top"/>
          </w:tcPr>
          <w:p w14:paraId="6127E2A1">
            <w:pPr>
              <w:rPr>
                <w:rFonts w:ascii="Arial"/>
                <w:color w:val="auto"/>
                <w:sz w:val="21"/>
                <w:highlight w:val="none"/>
              </w:rPr>
            </w:pPr>
          </w:p>
        </w:tc>
        <w:tc>
          <w:tcPr>
            <w:tcW w:w="1394" w:type="dxa"/>
            <w:vAlign w:val="top"/>
          </w:tcPr>
          <w:p w14:paraId="13406DA9">
            <w:pPr>
              <w:rPr>
                <w:rFonts w:ascii="Arial"/>
                <w:color w:val="auto"/>
                <w:sz w:val="21"/>
                <w:highlight w:val="none"/>
              </w:rPr>
            </w:pPr>
          </w:p>
        </w:tc>
        <w:tc>
          <w:tcPr>
            <w:tcW w:w="2061" w:type="dxa"/>
            <w:vAlign w:val="top"/>
          </w:tcPr>
          <w:p w14:paraId="4BE64F64">
            <w:pPr>
              <w:rPr>
                <w:rFonts w:ascii="Arial"/>
                <w:color w:val="auto"/>
                <w:sz w:val="21"/>
                <w:highlight w:val="none"/>
              </w:rPr>
            </w:pPr>
          </w:p>
        </w:tc>
        <w:tc>
          <w:tcPr>
            <w:tcW w:w="1042" w:type="dxa"/>
            <w:vAlign w:val="top"/>
          </w:tcPr>
          <w:p w14:paraId="15168D51">
            <w:pPr>
              <w:rPr>
                <w:rFonts w:ascii="Arial"/>
                <w:color w:val="auto"/>
                <w:sz w:val="21"/>
                <w:highlight w:val="none"/>
              </w:rPr>
            </w:pPr>
          </w:p>
        </w:tc>
      </w:tr>
      <w:tr w14:paraId="47C22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40DF96F2">
            <w:pPr>
              <w:pStyle w:val="23"/>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245EBD98">
            <w:pPr>
              <w:rPr>
                <w:rFonts w:ascii="Arial"/>
                <w:color w:val="auto"/>
                <w:sz w:val="21"/>
                <w:highlight w:val="none"/>
              </w:rPr>
            </w:pPr>
          </w:p>
        </w:tc>
        <w:tc>
          <w:tcPr>
            <w:tcW w:w="1381" w:type="dxa"/>
            <w:vAlign w:val="top"/>
          </w:tcPr>
          <w:p w14:paraId="0D7A8132">
            <w:pPr>
              <w:rPr>
                <w:rFonts w:ascii="Arial"/>
                <w:color w:val="auto"/>
                <w:sz w:val="21"/>
                <w:highlight w:val="none"/>
              </w:rPr>
            </w:pPr>
          </w:p>
        </w:tc>
        <w:tc>
          <w:tcPr>
            <w:tcW w:w="1394" w:type="dxa"/>
            <w:vAlign w:val="top"/>
          </w:tcPr>
          <w:p w14:paraId="7F332E76">
            <w:pPr>
              <w:rPr>
                <w:rFonts w:ascii="Arial"/>
                <w:color w:val="auto"/>
                <w:sz w:val="21"/>
                <w:highlight w:val="none"/>
              </w:rPr>
            </w:pPr>
          </w:p>
        </w:tc>
        <w:tc>
          <w:tcPr>
            <w:tcW w:w="2061" w:type="dxa"/>
            <w:vAlign w:val="top"/>
          </w:tcPr>
          <w:p w14:paraId="7D5B527E">
            <w:pPr>
              <w:rPr>
                <w:rFonts w:ascii="Arial"/>
                <w:color w:val="auto"/>
                <w:sz w:val="21"/>
                <w:highlight w:val="none"/>
              </w:rPr>
            </w:pPr>
          </w:p>
        </w:tc>
        <w:tc>
          <w:tcPr>
            <w:tcW w:w="1042" w:type="dxa"/>
            <w:vAlign w:val="top"/>
          </w:tcPr>
          <w:p w14:paraId="2980AA7D">
            <w:pPr>
              <w:rPr>
                <w:rFonts w:ascii="Arial"/>
                <w:color w:val="auto"/>
                <w:sz w:val="21"/>
                <w:highlight w:val="none"/>
              </w:rPr>
            </w:pPr>
          </w:p>
        </w:tc>
      </w:tr>
      <w:tr w14:paraId="3C37C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3E08300">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06431E3C">
            <w:pPr>
              <w:rPr>
                <w:rFonts w:ascii="Arial"/>
                <w:color w:val="auto"/>
                <w:sz w:val="21"/>
                <w:highlight w:val="none"/>
              </w:rPr>
            </w:pPr>
          </w:p>
        </w:tc>
        <w:tc>
          <w:tcPr>
            <w:tcW w:w="1381" w:type="dxa"/>
            <w:vAlign w:val="top"/>
          </w:tcPr>
          <w:p w14:paraId="4DF3695F">
            <w:pPr>
              <w:rPr>
                <w:rFonts w:ascii="Arial"/>
                <w:color w:val="auto"/>
                <w:sz w:val="21"/>
                <w:highlight w:val="none"/>
              </w:rPr>
            </w:pPr>
          </w:p>
        </w:tc>
        <w:tc>
          <w:tcPr>
            <w:tcW w:w="1394" w:type="dxa"/>
            <w:vAlign w:val="top"/>
          </w:tcPr>
          <w:p w14:paraId="7B988DDD">
            <w:pPr>
              <w:rPr>
                <w:rFonts w:ascii="Arial"/>
                <w:color w:val="auto"/>
                <w:sz w:val="21"/>
                <w:highlight w:val="none"/>
              </w:rPr>
            </w:pPr>
          </w:p>
        </w:tc>
        <w:tc>
          <w:tcPr>
            <w:tcW w:w="2061" w:type="dxa"/>
            <w:vAlign w:val="top"/>
          </w:tcPr>
          <w:p w14:paraId="4E16795F">
            <w:pPr>
              <w:rPr>
                <w:rFonts w:ascii="Arial"/>
                <w:color w:val="auto"/>
                <w:sz w:val="21"/>
                <w:highlight w:val="none"/>
              </w:rPr>
            </w:pPr>
          </w:p>
        </w:tc>
        <w:tc>
          <w:tcPr>
            <w:tcW w:w="1042" w:type="dxa"/>
            <w:vAlign w:val="top"/>
          </w:tcPr>
          <w:p w14:paraId="1AB1B9DC">
            <w:pPr>
              <w:rPr>
                <w:rFonts w:ascii="Arial"/>
                <w:color w:val="auto"/>
                <w:sz w:val="21"/>
                <w:highlight w:val="none"/>
              </w:rPr>
            </w:pPr>
          </w:p>
        </w:tc>
      </w:tr>
      <w:tr w14:paraId="3A734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318939D8">
            <w:pPr>
              <w:pStyle w:val="23"/>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7BFA8DD">
            <w:pPr>
              <w:rPr>
                <w:rFonts w:ascii="Arial"/>
                <w:color w:val="auto"/>
                <w:sz w:val="21"/>
                <w:highlight w:val="none"/>
              </w:rPr>
            </w:pPr>
          </w:p>
        </w:tc>
        <w:tc>
          <w:tcPr>
            <w:tcW w:w="1381" w:type="dxa"/>
            <w:vAlign w:val="top"/>
          </w:tcPr>
          <w:p w14:paraId="15C7951D">
            <w:pPr>
              <w:rPr>
                <w:rFonts w:ascii="Arial"/>
                <w:color w:val="auto"/>
                <w:sz w:val="21"/>
                <w:highlight w:val="none"/>
              </w:rPr>
            </w:pPr>
          </w:p>
        </w:tc>
        <w:tc>
          <w:tcPr>
            <w:tcW w:w="1394" w:type="dxa"/>
            <w:vAlign w:val="top"/>
          </w:tcPr>
          <w:p w14:paraId="0834DEBE">
            <w:pPr>
              <w:rPr>
                <w:rFonts w:ascii="Arial"/>
                <w:color w:val="auto"/>
                <w:sz w:val="21"/>
                <w:highlight w:val="none"/>
              </w:rPr>
            </w:pPr>
          </w:p>
        </w:tc>
        <w:tc>
          <w:tcPr>
            <w:tcW w:w="2061" w:type="dxa"/>
            <w:vAlign w:val="top"/>
          </w:tcPr>
          <w:p w14:paraId="4863C9AB">
            <w:pPr>
              <w:rPr>
                <w:rFonts w:ascii="Arial"/>
                <w:color w:val="auto"/>
                <w:sz w:val="21"/>
                <w:highlight w:val="none"/>
              </w:rPr>
            </w:pPr>
          </w:p>
        </w:tc>
        <w:tc>
          <w:tcPr>
            <w:tcW w:w="1042" w:type="dxa"/>
            <w:vAlign w:val="top"/>
          </w:tcPr>
          <w:p w14:paraId="3B1342DC">
            <w:pPr>
              <w:rPr>
                <w:rFonts w:ascii="Arial"/>
                <w:color w:val="auto"/>
                <w:sz w:val="21"/>
                <w:highlight w:val="none"/>
              </w:rPr>
            </w:pPr>
          </w:p>
        </w:tc>
      </w:tr>
      <w:tr w14:paraId="0D796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375DD7B">
            <w:pPr>
              <w:pStyle w:val="23"/>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8A63C17">
            <w:pPr>
              <w:rPr>
                <w:rFonts w:ascii="Arial"/>
                <w:color w:val="auto"/>
                <w:sz w:val="21"/>
                <w:highlight w:val="none"/>
              </w:rPr>
            </w:pPr>
          </w:p>
        </w:tc>
        <w:tc>
          <w:tcPr>
            <w:tcW w:w="1381" w:type="dxa"/>
            <w:vAlign w:val="top"/>
          </w:tcPr>
          <w:p w14:paraId="09158AD0">
            <w:pPr>
              <w:rPr>
                <w:rFonts w:ascii="Arial"/>
                <w:color w:val="auto"/>
                <w:sz w:val="21"/>
                <w:highlight w:val="none"/>
              </w:rPr>
            </w:pPr>
          </w:p>
        </w:tc>
        <w:tc>
          <w:tcPr>
            <w:tcW w:w="1394" w:type="dxa"/>
            <w:vAlign w:val="top"/>
          </w:tcPr>
          <w:p w14:paraId="6C0DD828">
            <w:pPr>
              <w:rPr>
                <w:rFonts w:ascii="Arial"/>
                <w:color w:val="auto"/>
                <w:sz w:val="21"/>
                <w:highlight w:val="none"/>
              </w:rPr>
            </w:pPr>
          </w:p>
        </w:tc>
        <w:tc>
          <w:tcPr>
            <w:tcW w:w="2061" w:type="dxa"/>
            <w:vAlign w:val="top"/>
          </w:tcPr>
          <w:p w14:paraId="10C38B8B">
            <w:pPr>
              <w:rPr>
                <w:rFonts w:ascii="Arial"/>
                <w:color w:val="auto"/>
                <w:sz w:val="21"/>
                <w:highlight w:val="none"/>
              </w:rPr>
            </w:pPr>
          </w:p>
        </w:tc>
        <w:tc>
          <w:tcPr>
            <w:tcW w:w="1042" w:type="dxa"/>
            <w:vAlign w:val="top"/>
          </w:tcPr>
          <w:p w14:paraId="66BD8D35">
            <w:pPr>
              <w:rPr>
                <w:rFonts w:ascii="Arial"/>
                <w:color w:val="auto"/>
                <w:sz w:val="21"/>
                <w:highlight w:val="none"/>
              </w:rPr>
            </w:pPr>
          </w:p>
        </w:tc>
      </w:tr>
      <w:tr w14:paraId="47F12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Align w:val="top"/>
          </w:tcPr>
          <w:p w14:paraId="15F0B98E">
            <w:pPr>
              <w:pStyle w:val="23"/>
              <w:spacing w:before="165" w:line="216" w:lineRule="auto"/>
              <w:ind w:left="489"/>
              <w:rPr>
                <w:color w:val="auto"/>
                <w:highlight w:val="none"/>
              </w:rPr>
            </w:pPr>
            <w:r>
              <w:rPr>
                <w:color w:val="auto"/>
                <w:spacing w:val="8"/>
                <w:highlight w:val="none"/>
              </w:rPr>
              <w:t>缺陷责任期</w:t>
            </w:r>
          </w:p>
        </w:tc>
        <w:tc>
          <w:tcPr>
            <w:tcW w:w="1396" w:type="dxa"/>
            <w:vAlign w:val="top"/>
          </w:tcPr>
          <w:p w14:paraId="6E111AB3">
            <w:pPr>
              <w:rPr>
                <w:rFonts w:ascii="Arial"/>
                <w:color w:val="auto"/>
                <w:sz w:val="21"/>
                <w:highlight w:val="none"/>
              </w:rPr>
            </w:pPr>
          </w:p>
        </w:tc>
        <w:tc>
          <w:tcPr>
            <w:tcW w:w="1381" w:type="dxa"/>
            <w:vAlign w:val="top"/>
          </w:tcPr>
          <w:p w14:paraId="0668092F">
            <w:pPr>
              <w:rPr>
                <w:rFonts w:ascii="Arial"/>
                <w:color w:val="auto"/>
                <w:sz w:val="21"/>
                <w:highlight w:val="none"/>
              </w:rPr>
            </w:pPr>
          </w:p>
        </w:tc>
        <w:tc>
          <w:tcPr>
            <w:tcW w:w="1394" w:type="dxa"/>
            <w:vAlign w:val="top"/>
          </w:tcPr>
          <w:p w14:paraId="6EBAC3BD">
            <w:pPr>
              <w:rPr>
                <w:rFonts w:ascii="Arial"/>
                <w:color w:val="auto"/>
                <w:sz w:val="21"/>
                <w:highlight w:val="none"/>
              </w:rPr>
            </w:pPr>
          </w:p>
        </w:tc>
        <w:tc>
          <w:tcPr>
            <w:tcW w:w="2061" w:type="dxa"/>
            <w:vAlign w:val="top"/>
          </w:tcPr>
          <w:p w14:paraId="6F7D769D">
            <w:pPr>
              <w:rPr>
                <w:rFonts w:ascii="Arial"/>
                <w:color w:val="auto"/>
                <w:sz w:val="21"/>
                <w:highlight w:val="none"/>
              </w:rPr>
            </w:pPr>
          </w:p>
        </w:tc>
        <w:tc>
          <w:tcPr>
            <w:tcW w:w="1042" w:type="dxa"/>
            <w:vAlign w:val="top"/>
          </w:tcPr>
          <w:p w14:paraId="48853250">
            <w:pPr>
              <w:rPr>
                <w:rFonts w:ascii="Arial"/>
                <w:color w:val="auto"/>
                <w:sz w:val="21"/>
                <w:highlight w:val="none"/>
              </w:rPr>
            </w:pPr>
          </w:p>
        </w:tc>
      </w:tr>
    </w:tbl>
    <w:p w14:paraId="17DE4500">
      <w:pPr>
        <w:spacing w:line="316" w:lineRule="auto"/>
        <w:rPr>
          <w:rFonts w:ascii="Arial"/>
          <w:color w:val="auto"/>
          <w:sz w:val="21"/>
          <w:highlight w:val="none"/>
        </w:rPr>
      </w:pPr>
    </w:p>
    <w:p w14:paraId="30A4AD38">
      <w:pPr>
        <w:spacing w:line="316" w:lineRule="auto"/>
        <w:rPr>
          <w:rFonts w:ascii="Arial"/>
          <w:color w:val="auto"/>
          <w:sz w:val="21"/>
          <w:highlight w:val="none"/>
        </w:rPr>
      </w:pPr>
    </w:p>
    <w:p w14:paraId="08954ABE">
      <w:pPr>
        <w:rPr>
          <w:rFonts w:ascii="宋体" w:hAnsi="宋体" w:eastAsia="宋体" w:cs="宋体"/>
          <w:color w:val="auto"/>
          <w:spacing w:val="-5"/>
          <w:sz w:val="40"/>
          <w:szCs w:val="40"/>
          <w:highlight w:val="none"/>
        </w:rPr>
      </w:pPr>
    </w:p>
    <w:sectPr>
      <w:footerReference r:id="rId72" w:type="default"/>
      <w:pgSz w:w="11906" w:h="16839"/>
      <w:pgMar w:top="1402" w:right="1306" w:bottom="1297" w:left="1304" w:header="0" w:footer="106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ngLiU-ExtB">
    <w:panose1 w:val="02020500000000000000"/>
    <w:charset w:val="86"/>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1B79">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0A13">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8B877">
                          <w:pPr>
                            <w:pStyle w:val="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638B877">
                    <w:pPr>
                      <w:pStyle w:val="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226A5">
    <w:pPr>
      <w:spacing w:line="225" w:lineRule="auto"/>
      <w:ind w:left="4713"/>
      <w:rPr>
        <w:rFonts w:ascii="MingLiU-ExtB" w:hAnsi="MingLiU-ExtB" w:eastAsia="MingLiU-ExtB" w:cs="MingLiU-ExtB"/>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EA6E9">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1CEEA6E9">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23599">
    <w:pPr>
      <w:spacing w:line="225" w:lineRule="auto"/>
      <w:ind w:left="4451"/>
      <w:rPr>
        <w:rFonts w:ascii="MingLiU-ExtB" w:hAnsi="MingLiU-ExtB" w:eastAsia="MingLiU-ExtB" w:cs="MingLiU-ExtB"/>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14F88">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76314F88">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2F712">
    <w:pPr>
      <w:spacing w:line="225" w:lineRule="auto"/>
      <w:ind w:left="4088"/>
      <w:rPr>
        <w:rFonts w:ascii="MingLiU-ExtB" w:hAnsi="MingLiU-ExtB" w:eastAsia="MingLiU-ExtB" w:cs="MingLiU-ExtB"/>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1D34B">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EF1D34B">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C817C">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FB829">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B7FB829">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877BF">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2A1B9">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222A1B9">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1152">
    <w:pPr>
      <w:spacing w:line="226"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B278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38CB278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8C86">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D3AD3">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AD3AD3">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6B330">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B8D7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34EB8D7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5B5FF">
    <w:pPr>
      <w:spacing w:line="226"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AB467">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CFAB467">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3C24">
    <w:pPr>
      <w:pStyle w:val="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D3229">
    <w:pPr>
      <w:spacing w:line="225"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F2D51">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B7F2D51">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36B5">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C6185">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43C6185">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62F4B">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F83FE">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64F83FE">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06AD">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574C6">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7B574C6">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00512">
    <w:pPr>
      <w:spacing w:line="223" w:lineRule="auto"/>
      <w:ind w:left="4086"/>
      <w:rPr>
        <w:rFonts w:ascii="MingLiU-ExtB" w:hAnsi="MingLiU-ExtB" w:eastAsia="MingLiU-ExtB" w:cs="MingLiU-ExtB"/>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E889E">
                          <w:pPr>
                            <w:pStyle w:val="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3AAE889E">
                    <w:pPr>
                      <w:pStyle w:val="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BBC6B">
    <w:pPr>
      <w:spacing w:line="225" w:lineRule="auto"/>
      <w:ind w:left="4445"/>
      <w:rPr>
        <w:rFonts w:ascii="MingLiU-ExtB" w:hAnsi="MingLiU-ExtB" w:eastAsia="MingLiU-ExtB" w:cs="MingLiU-ExtB"/>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D5338">
                          <w:pPr>
                            <w:pStyle w:val="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5BD5338">
                    <w:pPr>
                      <w:pStyle w:val="9"/>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95267">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2D526">
                          <w:pPr>
                            <w:pStyle w:val="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4172D526">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D5E7">
    <w:pPr>
      <w:spacing w:line="227"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18045">
                          <w:pPr>
                            <w:pStyle w:val="9"/>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06B18045">
                    <w:pPr>
                      <w:pStyle w:val="9"/>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33F8">
    <w:pPr>
      <w:spacing w:line="225" w:lineRule="auto"/>
      <w:ind w:left="4532"/>
      <w:rPr>
        <w:rFonts w:ascii="MingLiU-ExtB" w:hAnsi="MingLiU-ExtB" w:eastAsia="MingLiU-ExtB" w:cs="MingLiU-ExtB"/>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A3E92">
                          <w:pPr>
                            <w:pStyle w:val="9"/>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3C0A3E92">
                    <w:pPr>
                      <w:pStyle w:val="9"/>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425D">
    <w:pPr>
      <w:spacing w:line="226"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ED5D7">
                          <w:pPr>
                            <w:pStyle w:val="9"/>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4D6ED5D7">
                    <w:pPr>
                      <w:pStyle w:val="9"/>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EDF05">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37C1F">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737C1F">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1938D">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D5C65">
                          <w:pPr>
                            <w:pStyle w:val="9"/>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1F4D5C65">
                    <w:pPr>
                      <w:pStyle w:val="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9EA89">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F76A1">
                          <w:pPr>
                            <w:pStyle w:val="9"/>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2FAF76A1">
                    <w:pPr>
                      <w:pStyle w:val="9"/>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9F69">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814EE">
                          <w:pPr>
                            <w:pStyle w:val="9"/>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048814EE">
                    <w:pPr>
                      <w:pStyle w:val="9"/>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9D70A">
    <w:pPr>
      <w:spacing w:line="227"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29C52">
                          <w:pPr>
                            <w:pStyle w:val="9"/>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77829C52">
                    <w:pPr>
                      <w:pStyle w:val="9"/>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B81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2127C">
                          <w:pPr>
                            <w:pStyle w:val="9"/>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6AC2127C">
                    <w:pPr>
                      <w:pStyle w:val="9"/>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3E0F2">
    <w:pPr>
      <w:spacing w:line="226"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9978C">
                          <w:pPr>
                            <w:pStyle w:val="9"/>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0FA9978C">
                    <w:pPr>
                      <w:pStyle w:val="9"/>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522F0">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9E622">
                          <w:pPr>
                            <w:pStyle w:val="9"/>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22B9E622">
                    <w:pPr>
                      <w:pStyle w:val="9"/>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1AA6">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7C668">
                          <w:pPr>
                            <w:pStyle w:val="9"/>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4C57C668">
                    <w:pPr>
                      <w:pStyle w:val="9"/>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32FCB">
    <w:pPr>
      <w:spacing w:line="225" w:lineRule="auto"/>
      <w:ind w:left="4520"/>
      <w:rPr>
        <w:rFonts w:ascii="MingLiU-ExtB" w:hAnsi="MingLiU-ExtB" w:eastAsia="MingLiU-ExtB" w:cs="MingLiU-ExtB"/>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53CFA">
                          <w:pPr>
                            <w:pStyle w:val="9"/>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59653CFA">
                    <w:pPr>
                      <w:pStyle w:val="9"/>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E3570">
    <w:pPr>
      <w:spacing w:line="225"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BD737">
                          <w:pPr>
                            <w:pStyle w:val="9"/>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315BD737">
                    <w:pPr>
                      <w:pStyle w:val="9"/>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95F33">
    <w:pPr>
      <w:spacing w:line="223" w:lineRule="auto"/>
      <w:ind w:left="4612"/>
      <w:rPr>
        <w:rFonts w:ascii="MingLiU-ExtB" w:hAnsi="MingLiU-ExtB" w:eastAsia="MingLiU-ExtB" w:cs="MingLiU-ExtB"/>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F4281">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DF4281">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923B9">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6A6F1">
                          <w:pPr>
                            <w:pStyle w:val="9"/>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1CC6A6F1">
                    <w:pPr>
                      <w:pStyle w:val="9"/>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17E6B">
    <w:pPr>
      <w:spacing w:line="225" w:lineRule="auto"/>
      <w:ind w:left="4421"/>
      <w:rPr>
        <w:rFonts w:ascii="MingLiU-ExtB" w:hAnsi="MingLiU-ExtB" w:eastAsia="MingLiU-ExtB" w:cs="MingLiU-ExtB"/>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5D0D1">
                          <w:pPr>
                            <w:pStyle w:val="9"/>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7775D0D1">
                    <w:pPr>
                      <w:pStyle w:val="9"/>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0462">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36B8E">
                          <w:pPr>
                            <w:pStyle w:val="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26936B8E">
                    <w:pPr>
                      <w:pStyle w:val="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5CD7">
    <w:pPr>
      <w:spacing w:line="225" w:lineRule="auto"/>
      <w:ind w:left="4535"/>
      <w:rPr>
        <w:rFonts w:ascii="MingLiU-ExtB" w:hAnsi="MingLiU-ExtB" w:eastAsia="MingLiU-ExtB" w:cs="MingLiU-ExtB"/>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3101B">
                          <w:pPr>
                            <w:pStyle w:val="9"/>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5D43101B">
                    <w:pPr>
                      <w:pStyle w:val="9"/>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E5119">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94243">
                          <w:pPr>
                            <w:pStyle w:val="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46D94243">
                    <w:pPr>
                      <w:pStyle w:val="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154A">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1028B">
                          <w:pPr>
                            <w:pStyle w:val="9"/>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0AF1028B">
                    <w:pPr>
                      <w:pStyle w:val="9"/>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6B28D">
    <w:pPr>
      <w:spacing w:line="223"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A84A4">
                          <w:pPr>
                            <w:pStyle w:val="9"/>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6DDA84A4">
                    <w:pPr>
                      <w:pStyle w:val="9"/>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331A6">
    <w:pPr>
      <w:spacing w:line="225" w:lineRule="auto"/>
      <w:ind w:left="4453"/>
      <w:rPr>
        <w:rFonts w:ascii="MingLiU-ExtB" w:hAnsi="MingLiU-ExtB" w:eastAsia="MingLiU-ExtB" w:cs="MingLiU-ExtB"/>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0ADA2">
                          <w:pPr>
                            <w:pStyle w:val="9"/>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5570ADA2">
                    <w:pPr>
                      <w:pStyle w:val="9"/>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2BBB">
    <w:pPr>
      <w:spacing w:line="225" w:lineRule="auto"/>
      <w:ind w:left="4521"/>
      <w:rPr>
        <w:rFonts w:ascii="MingLiU-ExtB" w:hAnsi="MingLiU-ExtB" w:eastAsia="MingLiU-ExtB" w:cs="MingLiU-ExtB"/>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A52C4">
                          <w:pPr>
                            <w:pStyle w:val="9"/>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4AFA52C4">
                    <w:pPr>
                      <w:pStyle w:val="9"/>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008A">
    <w:pPr>
      <w:spacing w:line="227"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1DE71">
                          <w:pPr>
                            <w:pStyle w:val="9"/>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3451DE71">
                    <w:pPr>
                      <w:pStyle w:val="9"/>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B1AE">
    <w:pPr>
      <w:spacing w:line="225" w:lineRule="auto"/>
      <w:ind w:left="4097"/>
      <w:rPr>
        <w:rFonts w:ascii="MingLiU-ExtB" w:hAnsi="MingLiU-ExtB" w:eastAsia="MingLiU-ExtB" w:cs="MingLiU-ExtB"/>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8CBE3">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9A8CBE3">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E704">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1857E">
                          <w:pPr>
                            <w:pStyle w:val="9"/>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1491857E">
                    <w:pPr>
                      <w:pStyle w:val="9"/>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10EFB">
    <w:pPr>
      <w:spacing w:line="225" w:lineRule="auto"/>
      <w:ind w:left="4360"/>
      <w:rPr>
        <w:rFonts w:ascii="MingLiU-ExtB" w:hAnsi="MingLiU-ExtB" w:eastAsia="MingLiU-ExtB" w:cs="MingLiU-ExtB"/>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006FD">
                          <w:pPr>
                            <w:pStyle w:val="9"/>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242006FD">
                    <w:pPr>
                      <w:pStyle w:val="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5CC78">
    <w:pPr>
      <w:spacing w:line="226"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F6159">
                          <w:pPr>
                            <w:pStyle w:val="9"/>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1B3F6159">
                    <w:pPr>
                      <w:pStyle w:val="9"/>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2524">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0E962">
                          <w:pPr>
                            <w:pStyle w:val="9"/>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14:paraId="5B20E962">
                    <w:pPr>
                      <w:pStyle w:val="9"/>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1F926">
    <w:pPr>
      <w:spacing w:line="223"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5373C">
                          <w:pPr>
                            <w:pStyle w:val="9"/>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75F5373C">
                    <w:pPr>
                      <w:pStyle w:val="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06B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1C94B">
                          <w:pPr>
                            <w:pStyle w:val="9"/>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7E81C94B">
                    <w:pPr>
                      <w:pStyle w:val="9"/>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C1D6">
    <w:pPr>
      <w:spacing w:line="225"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969BB">
                          <w:pPr>
                            <w:pStyle w:val="9"/>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3B6969BB">
                    <w:pPr>
                      <w:pStyle w:val="9"/>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503C2">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34555">
                          <w:pPr>
                            <w:pStyle w:val="9"/>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2D934555">
                    <w:pPr>
                      <w:pStyle w:val="9"/>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8DAAB">
    <w:pPr>
      <w:spacing w:line="225"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71743">
                          <w:pPr>
                            <w:pStyle w:val="9"/>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14:paraId="60771743">
                    <w:pPr>
                      <w:pStyle w:val="9"/>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DC98A">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3F7C5">
                          <w:pPr>
                            <w:pStyle w:val="9"/>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14:paraId="2453F7C5">
                    <w:pPr>
                      <w:pStyle w:val="9"/>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F7540">
    <w:pPr>
      <w:spacing w:line="226"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0F743">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D00F743">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9255D">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339A3">
                          <w:pPr>
                            <w:pStyle w:val="9"/>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35E339A3">
                    <w:pPr>
                      <w:pStyle w:val="9"/>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221A">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8DF09">
                          <w:pPr>
                            <w:pStyle w:val="9"/>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10D8DF09">
                    <w:pPr>
                      <w:pStyle w:val="9"/>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5B48C">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7D89C">
                          <w:pPr>
                            <w:pStyle w:val="9"/>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1C67D89C">
                    <w:pPr>
                      <w:pStyle w:val="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1B3B">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CE80D">
                          <w:pPr>
                            <w:pStyle w:val="9"/>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14:paraId="4A8CE80D">
                    <w:pPr>
                      <w:pStyle w:val="9"/>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92863">
    <w:pPr>
      <w:spacing w:line="223"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1900A">
                          <w:pPr>
                            <w:pStyle w:val="9"/>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7DD1900A">
                    <w:pPr>
                      <w:pStyle w:val="9"/>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CC65">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4AB3A">
                          <w:pPr>
                            <w:pStyle w:val="9"/>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0714AB3A">
                    <w:pPr>
                      <w:pStyle w:val="9"/>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0712D">
    <w:pPr>
      <w:spacing w:line="225" w:lineRule="auto"/>
      <w:ind w:left="4530"/>
      <w:rPr>
        <w:rFonts w:ascii="MingLiU-ExtB" w:hAnsi="MingLiU-ExtB" w:eastAsia="MingLiU-ExtB" w:cs="MingLiU-ExtB"/>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C3755">
                          <w:pPr>
                            <w:pStyle w:val="9"/>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5F1C3755">
                    <w:pPr>
                      <w:pStyle w:val="9"/>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C6E10">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7852C">
                          <w:pPr>
                            <w:pStyle w:val="9"/>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01B7852C">
                    <w:pPr>
                      <w:pStyle w:val="9"/>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8D326">
    <w:pPr>
      <w:spacing w:line="225" w:lineRule="auto"/>
      <w:ind w:left="4566"/>
      <w:rPr>
        <w:rFonts w:ascii="MingLiU-ExtB" w:hAnsi="MingLiU-ExtB" w:eastAsia="MingLiU-ExtB" w:cs="MingLiU-ExtB"/>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4C5A6">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6B4C5A6">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EE6F">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0E845">
                          <w:pPr>
                            <w:pStyle w:val="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890E845">
                    <w:pPr>
                      <w:pStyle w:val="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8B61F">
    <w:pPr>
      <w:spacing w:line="225" w:lineRule="auto"/>
      <w:ind w:left="4570"/>
      <w:rPr>
        <w:rFonts w:ascii="MingLiU-ExtB" w:hAnsi="MingLiU-ExtB" w:eastAsia="MingLiU-ExtB" w:cs="MingLiU-ExtB"/>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C250E">
                          <w:pPr>
                            <w:pStyle w:val="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B0C250E">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pPr>
      <w:r>
        <w:separator/>
      </w:r>
    </w:p>
  </w:footnote>
  <w:footnote w:type="continuationSeparator" w:id="5">
    <w:p>
      <w:pPr>
        <w:spacing w:line="240" w:lineRule="auto"/>
      </w:pPr>
      <w:r>
        <w:continuationSeparator/>
      </w:r>
    </w:p>
  </w:footnote>
  <w:footnote w:id="0">
    <w:p w14:paraId="1417B4FF">
      <w:pPr>
        <w:pStyle w:val="12"/>
        <w:spacing w:line="320" w:lineRule="atLeast"/>
        <w:ind w:left="180" w:hanging="180" w:hangingChars="100"/>
        <w:rPr>
          <w:rFonts w:hint="eastAsia"/>
        </w:rPr>
      </w:pPr>
      <w:r>
        <w:rPr>
          <w:rStyle w:val="20"/>
        </w:rPr>
        <w:footnoteRef/>
      </w:r>
      <w:r>
        <w:t xml:space="preserve"> 根据招标项目实际情况</w:t>
      </w:r>
      <w:r>
        <w:rPr>
          <w:rFonts w:hint="eastAsia"/>
        </w:rPr>
        <w:t>，本目内容可修改为“</w:t>
      </w:r>
      <w:r>
        <w:t>（1）施工期间的监理人员服务费根据各级监理人员服务费的报价总额按月度等额支付给监理人。监理人必须保证实际投入本项目的</w:t>
      </w:r>
      <w:r>
        <w:rPr>
          <w:rFonts w:hint="eastAsia"/>
        </w:rPr>
        <w:t>监理</w:t>
      </w:r>
      <w:r>
        <w:t>人员能满足本招标文件的要求和实际工作的需要，否则委托人将根据本合同第</w:t>
      </w:r>
      <w:r>
        <w:rPr>
          <w:rFonts w:hint="eastAsia"/>
        </w:rPr>
        <w:t>11</w:t>
      </w:r>
      <w:r>
        <w:t>.1.2项的规定从其报价总额中扣除违约赔偿金。</w:t>
      </w:r>
      <w:r>
        <w:rPr>
          <w:rFonts w:hint="eastAsia"/>
        </w:rPr>
        <w:t>”</w:t>
      </w:r>
    </w:p>
  </w:footnote>
  <w:footnote w:id="1">
    <w:p w14:paraId="08789F40">
      <w:pPr>
        <w:pStyle w:val="12"/>
        <w:tabs>
          <w:tab w:val="left" w:pos="3780"/>
        </w:tabs>
        <w:spacing w:line="340" w:lineRule="atLeast"/>
      </w:pPr>
      <w:r>
        <w:rPr>
          <w:rStyle w:val="20"/>
        </w:rPr>
        <w:footnoteRef/>
      </w:r>
      <w:r>
        <w:rPr>
          <w:rFonts w:hint="eastAsia"/>
        </w:rPr>
        <w:t>本条内容可修改为：“</w:t>
      </w:r>
      <w:r>
        <w:t>本</w:t>
      </w:r>
      <w:r>
        <w:rPr>
          <w:rFonts w:hint="eastAsia"/>
        </w:rPr>
        <w:t>担保</w:t>
      </w:r>
      <w:r>
        <w:t>自</w:t>
      </w:r>
      <w:r>
        <w:rPr>
          <w:rFonts w:hint="eastAsia"/>
          <w:u w:val="single"/>
        </w:rPr>
        <w:t xml:space="preserve">         </w:t>
      </w:r>
      <w:r>
        <w:t>（生效日期）之日起生效，至</w:t>
      </w:r>
      <w:r>
        <w:rPr>
          <w:rFonts w:hint="eastAsia"/>
          <w:u w:val="single"/>
        </w:rPr>
        <w:t xml:space="preserve">         </w:t>
      </w:r>
      <w:r>
        <w:t>（失效日期）之日失效</w:t>
      </w:r>
      <w:r>
        <w:rPr>
          <w:rFonts w:hint="eastAsia"/>
        </w:rPr>
        <w:t>。”如委托人接受履约</w:t>
      </w:r>
      <w:r>
        <w:t>保函</w:t>
      </w:r>
      <w:r>
        <w:rPr>
          <w:rFonts w:hint="eastAsia"/>
        </w:rPr>
        <w:t>采用固定有效</w:t>
      </w:r>
      <w:r>
        <w:t>期，</w:t>
      </w:r>
      <w:r>
        <w:rPr>
          <w:rFonts w:hint="eastAsia"/>
        </w:rPr>
        <w:t>在</w:t>
      </w:r>
      <w:r>
        <w:t>专用合同条款中</w:t>
      </w:r>
      <w:r>
        <w:rPr>
          <w:rFonts w:hint="eastAsia"/>
        </w:rPr>
        <w:t>应</w:t>
      </w:r>
      <w:r>
        <w:t>增加</w:t>
      </w:r>
      <w:r>
        <w:rPr>
          <w:rFonts w:hint="eastAsia"/>
        </w:rPr>
        <w:t>保证设计人在履约</w:t>
      </w:r>
      <w:r>
        <w:t>保函失效</w:t>
      </w:r>
      <w:r>
        <w:rPr>
          <w:rFonts w:hint="eastAsia"/>
        </w:rPr>
        <w:t>日</w:t>
      </w:r>
      <w:r>
        <w:t>前向委托人出具后续阶段履约保函</w:t>
      </w:r>
      <w:r>
        <w:rPr>
          <w:rFonts w:hint="eastAsia"/>
        </w:rPr>
        <w:t>的约束性</w:t>
      </w:r>
      <w:r>
        <w:t>条款，直至委托人签发交工验收证书且监理人按照合同约定提交缺陷责任期保函之日</w:t>
      </w:r>
      <w:r>
        <w:rPr>
          <w:rFonts w:hint="eastAsia"/>
        </w:rPr>
        <w:t>为止</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5003C">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014036"/>
    <w:multiLevelType w:val="singleLevel"/>
    <w:tmpl w:val="F4014036"/>
    <w:lvl w:ilvl="0" w:tentative="0">
      <w:start w:val="1"/>
      <w:numFmt w:val="decimal"/>
      <w:suff w:val="space"/>
      <w:lvlText w:val="%1."/>
      <w:lvlJc w:val="left"/>
    </w:lvl>
  </w:abstractNum>
  <w:abstractNum w:abstractNumId="1">
    <w:nsid w:val="FA9C057D"/>
    <w:multiLevelType w:val="singleLevel"/>
    <w:tmpl w:val="FA9C057D"/>
    <w:lvl w:ilvl="0" w:tentative="0">
      <w:start w:val="4"/>
      <w:numFmt w:val="decimal"/>
      <w:suff w:val="space"/>
      <w:lvlText w:val="%1."/>
      <w:lvlJc w:val="left"/>
    </w:lvl>
  </w:abstractNum>
  <w:abstractNum w:abstractNumId="2">
    <w:nsid w:val="FCBABB33"/>
    <w:multiLevelType w:val="singleLevel"/>
    <w:tmpl w:val="FCBABB33"/>
    <w:lvl w:ilvl="0" w:tentative="0">
      <w:start w:val="1"/>
      <w:numFmt w:val="decimal"/>
      <w:lvlText w:val="%1."/>
      <w:lvlJc w:val="left"/>
      <w:pPr>
        <w:tabs>
          <w:tab w:val="left" w:pos="312"/>
        </w:tabs>
      </w:pPr>
    </w:lvl>
  </w:abstractNum>
  <w:abstractNum w:abstractNumId="3">
    <w:nsid w:val="5AAF1C38"/>
    <w:multiLevelType w:val="multilevel"/>
    <w:tmpl w:val="5AAF1C38"/>
    <w:lvl w:ilvl="0" w:tentative="0">
      <w:start w:val="1"/>
      <w:numFmt w:val="chineseCountingThousand"/>
      <w:suff w:val="space"/>
      <w:lvlText w:val="第%1章  "/>
      <w:lvlJc w:val="left"/>
      <w:pPr>
        <w:ind w:left="0" w:firstLine="0"/>
      </w:pPr>
      <w:rPr>
        <w:rFonts w:hint="eastAsia"/>
      </w:rPr>
    </w:lvl>
    <w:lvl w:ilvl="1" w:tentative="0">
      <w:start w:val="1"/>
      <w:numFmt w:val="decimal"/>
      <w:pStyle w:val="31"/>
      <w:suff w:val="space"/>
      <w:lvlText w:val="%2."/>
      <w:lvlJc w:val="left"/>
      <w:pPr>
        <w:tabs>
          <w:tab w:val="left" w:pos="0"/>
        </w:tabs>
        <w:ind w:left="284" w:firstLine="0"/>
      </w:pPr>
      <w:rPr>
        <w:rFonts w:hint="eastAsia" w:ascii="宋体" w:hAnsi="宋体" w:eastAsia="宋体" w:cs="宋体"/>
      </w:rPr>
    </w:lvl>
    <w:lvl w:ilvl="2" w:tentative="0">
      <w:start w:val="1"/>
      <w:numFmt w:val="decimal"/>
      <w:pStyle w:val="30"/>
      <w:suff w:val="space"/>
      <w:lvlText w:val="%2.%3"/>
      <w:lvlJc w:val="left"/>
      <w:pPr>
        <w:tabs>
          <w:tab w:val="left" w:pos="0"/>
        </w:tabs>
        <w:ind w:left="425" w:hanging="425"/>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4"/>
    <w:footnote w:id="5"/>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386300"/>
    <w:rsid w:val="004C0647"/>
    <w:rsid w:val="007825D1"/>
    <w:rsid w:val="0090270C"/>
    <w:rsid w:val="00D36B69"/>
    <w:rsid w:val="01505F15"/>
    <w:rsid w:val="018067FB"/>
    <w:rsid w:val="0198556B"/>
    <w:rsid w:val="02101F44"/>
    <w:rsid w:val="02413EFD"/>
    <w:rsid w:val="0265517B"/>
    <w:rsid w:val="033E696D"/>
    <w:rsid w:val="04376843"/>
    <w:rsid w:val="04703D0A"/>
    <w:rsid w:val="049918E5"/>
    <w:rsid w:val="04AC2FBA"/>
    <w:rsid w:val="04DF5F2E"/>
    <w:rsid w:val="05203B59"/>
    <w:rsid w:val="05375005"/>
    <w:rsid w:val="05914531"/>
    <w:rsid w:val="05E834AE"/>
    <w:rsid w:val="06033F82"/>
    <w:rsid w:val="067F1A0F"/>
    <w:rsid w:val="06A7718A"/>
    <w:rsid w:val="06CA61A3"/>
    <w:rsid w:val="071F4C46"/>
    <w:rsid w:val="07AC44BB"/>
    <w:rsid w:val="07AE356D"/>
    <w:rsid w:val="07E5409F"/>
    <w:rsid w:val="07F37D3F"/>
    <w:rsid w:val="07FE491D"/>
    <w:rsid w:val="081952B3"/>
    <w:rsid w:val="0822787F"/>
    <w:rsid w:val="0843413D"/>
    <w:rsid w:val="08934557"/>
    <w:rsid w:val="08980E61"/>
    <w:rsid w:val="08CD7A60"/>
    <w:rsid w:val="08DB6A0C"/>
    <w:rsid w:val="08FD32B2"/>
    <w:rsid w:val="09844198"/>
    <w:rsid w:val="09AB6350"/>
    <w:rsid w:val="0A075D0B"/>
    <w:rsid w:val="0A122902"/>
    <w:rsid w:val="0A6D0D3A"/>
    <w:rsid w:val="0AB87DA1"/>
    <w:rsid w:val="0ADE2444"/>
    <w:rsid w:val="0B8B2C37"/>
    <w:rsid w:val="0BAA5B77"/>
    <w:rsid w:val="0C9327B6"/>
    <w:rsid w:val="0D256DDE"/>
    <w:rsid w:val="0D906017"/>
    <w:rsid w:val="0DC45A7B"/>
    <w:rsid w:val="0E163EA2"/>
    <w:rsid w:val="0E2C734E"/>
    <w:rsid w:val="0E3C006D"/>
    <w:rsid w:val="0E4A266A"/>
    <w:rsid w:val="0E875E54"/>
    <w:rsid w:val="0EF95E3E"/>
    <w:rsid w:val="0F87169C"/>
    <w:rsid w:val="0FEF6A5D"/>
    <w:rsid w:val="10320424"/>
    <w:rsid w:val="1070093E"/>
    <w:rsid w:val="1074577C"/>
    <w:rsid w:val="11416A9A"/>
    <w:rsid w:val="11643A43"/>
    <w:rsid w:val="11CB2733"/>
    <w:rsid w:val="11F34DC7"/>
    <w:rsid w:val="12071A36"/>
    <w:rsid w:val="121A2A32"/>
    <w:rsid w:val="127C3C10"/>
    <w:rsid w:val="12B46AE6"/>
    <w:rsid w:val="12BA5C7D"/>
    <w:rsid w:val="12DE784D"/>
    <w:rsid w:val="134F427F"/>
    <w:rsid w:val="13E11AFB"/>
    <w:rsid w:val="13E42ED8"/>
    <w:rsid w:val="14400EA8"/>
    <w:rsid w:val="14877C8E"/>
    <w:rsid w:val="14943583"/>
    <w:rsid w:val="14EB7FD7"/>
    <w:rsid w:val="151561F8"/>
    <w:rsid w:val="153C564B"/>
    <w:rsid w:val="15612B32"/>
    <w:rsid w:val="1571543C"/>
    <w:rsid w:val="157B5EDA"/>
    <w:rsid w:val="15DD2016"/>
    <w:rsid w:val="15E21042"/>
    <w:rsid w:val="16665322"/>
    <w:rsid w:val="16C240F4"/>
    <w:rsid w:val="16CD4552"/>
    <w:rsid w:val="171D7580"/>
    <w:rsid w:val="171E63FC"/>
    <w:rsid w:val="174001C6"/>
    <w:rsid w:val="17400B06"/>
    <w:rsid w:val="17F9206A"/>
    <w:rsid w:val="184E796B"/>
    <w:rsid w:val="18532FFB"/>
    <w:rsid w:val="187B739F"/>
    <w:rsid w:val="191F7A9B"/>
    <w:rsid w:val="193208CA"/>
    <w:rsid w:val="195919B3"/>
    <w:rsid w:val="196035AE"/>
    <w:rsid w:val="19806D21"/>
    <w:rsid w:val="19AD790D"/>
    <w:rsid w:val="19EA6CD0"/>
    <w:rsid w:val="1A24134C"/>
    <w:rsid w:val="1A257974"/>
    <w:rsid w:val="1A6A7BF0"/>
    <w:rsid w:val="1AD0229D"/>
    <w:rsid w:val="1B0167A6"/>
    <w:rsid w:val="1B382083"/>
    <w:rsid w:val="1B421854"/>
    <w:rsid w:val="1B6D1746"/>
    <w:rsid w:val="1B9C027D"/>
    <w:rsid w:val="1C220434"/>
    <w:rsid w:val="1C420E24"/>
    <w:rsid w:val="1C521C7A"/>
    <w:rsid w:val="1C6A484E"/>
    <w:rsid w:val="1C6B61C2"/>
    <w:rsid w:val="1D2E664B"/>
    <w:rsid w:val="1D3674A7"/>
    <w:rsid w:val="1D8A48F9"/>
    <w:rsid w:val="1DA65E17"/>
    <w:rsid w:val="1DDF2827"/>
    <w:rsid w:val="1DF36D83"/>
    <w:rsid w:val="1E2C37D2"/>
    <w:rsid w:val="1E366767"/>
    <w:rsid w:val="1E3D5039"/>
    <w:rsid w:val="1E4A3FC0"/>
    <w:rsid w:val="1EDE4BA9"/>
    <w:rsid w:val="1EFA3E00"/>
    <w:rsid w:val="1F3A1996"/>
    <w:rsid w:val="1FC102B2"/>
    <w:rsid w:val="207350E1"/>
    <w:rsid w:val="2117172D"/>
    <w:rsid w:val="21543588"/>
    <w:rsid w:val="21D54B6F"/>
    <w:rsid w:val="221B313D"/>
    <w:rsid w:val="22553F99"/>
    <w:rsid w:val="22A16AC8"/>
    <w:rsid w:val="23123443"/>
    <w:rsid w:val="235109AF"/>
    <w:rsid w:val="23994D98"/>
    <w:rsid w:val="23CF0E84"/>
    <w:rsid w:val="24364576"/>
    <w:rsid w:val="24433DED"/>
    <w:rsid w:val="247F027C"/>
    <w:rsid w:val="25495698"/>
    <w:rsid w:val="257356BC"/>
    <w:rsid w:val="26461511"/>
    <w:rsid w:val="26776E1F"/>
    <w:rsid w:val="26962499"/>
    <w:rsid w:val="275411F6"/>
    <w:rsid w:val="27766813"/>
    <w:rsid w:val="27BC2A82"/>
    <w:rsid w:val="27E9484A"/>
    <w:rsid w:val="281C3EDC"/>
    <w:rsid w:val="283427BA"/>
    <w:rsid w:val="284460E4"/>
    <w:rsid w:val="28771E56"/>
    <w:rsid w:val="28A81A10"/>
    <w:rsid w:val="28BC3660"/>
    <w:rsid w:val="28FA4ACB"/>
    <w:rsid w:val="29A97CB7"/>
    <w:rsid w:val="29C273E5"/>
    <w:rsid w:val="29EF438A"/>
    <w:rsid w:val="2A1F61A6"/>
    <w:rsid w:val="2A491993"/>
    <w:rsid w:val="2AC75577"/>
    <w:rsid w:val="2ACB39C4"/>
    <w:rsid w:val="2B1D1237"/>
    <w:rsid w:val="2BA32F62"/>
    <w:rsid w:val="2BB71FB5"/>
    <w:rsid w:val="2C0538E9"/>
    <w:rsid w:val="2C091017"/>
    <w:rsid w:val="2C2A4C66"/>
    <w:rsid w:val="2D094162"/>
    <w:rsid w:val="2D2968FF"/>
    <w:rsid w:val="2D2E0C20"/>
    <w:rsid w:val="2D9E60D7"/>
    <w:rsid w:val="2DE031F3"/>
    <w:rsid w:val="2E1843DC"/>
    <w:rsid w:val="2E67780F"/>
    <w:rsid w:val="2EAE5EA6"/>
    <w:rsid w:val="2EFE3FF7"/>
    <w:rsid w:val="2F115796"/>
    <w:rsid w:val="2F3650DA"/>
    <w:rsid w:val="2F611EBB"/>
    <w:rsid w:val="2F9D7791"/>
    <w:rsid w:val="2FBFAD39"/>
    <w:rsid w:val="30247D84"/>
    <w:rsid w:val="30404B18"/>
    <w:rsid w:val="306646DA"/>
    <w:rsid w:val="30C23098"/>
    <w:rsid w:val="31131651"/>
    <w:rsid w:val="316F4012"/>
    <w:rsid w:val="323260A9"/>
    <w:rsid w:val="32695BC1"/>
    <w:rsid w:val="328E12D4"/>
    <w:rsid w:val="32C4034C"/>
    <w:rsid w:val="33E9051D"/>
    <w:rsid w:val="34394B00"/>
    <w:rsid w:val="34722CD4"/>
    <w:rsid w:val="34767465"/>
    <w:rsid w:val="34E1639F"/>
    <w:rsid w:val="35446E64"/>
    <w:rsid w:val="355F614C"/>
    <w:rsid w:val="35661288"/>
    <w:rsid w:val="356C50F7"/>
    <w:rsid w:val="35960261"/>
    <w:rsid w:val="35C236B1"/>
    <w:rsid w:val="369E0EF6"/>
    <w:rsid w:val="36AA4432"/>
    <w:rsid w:val="37215F74"/>
    <w:rsid w:val="37567327"/>
    <w:rsid w:val="37797999"/>
    <w:rsid w:val="378D5AE2"/>
    <w:rsid w:val="37B24C58"/>
    <w:rsid w:val="37C93D50"/>
    <w:rsid w:val="37EB72B3"/>
    <w:rsid w:val="380D6A6C"/>
    <w:rsid w:val="38201673"/>
    <w:rsid w:val="382A2A41"/>
    <w:rsid w:val="388C0E59"/>
    <w:rsid w:val="389A29C0"/>
    <w:rsid w:val="38A52E99"/>
    <w:rsid w:val="38B82C06"/>
    <w:rsid w:val="38C70B1E"/>
    <w:rsid w:val="38CC1D4A"/>
    <w:rsid w:val="38D351C0"/>
    <w:rsid w:val="38E97FB1"/>
    <w:rsid w:val="39180AEB"/>
    <w:rsid w:val="39203CBF"/>
    <w:rsid w:val="393F55C0"/>
    <w:rsid w:val="39B575A2"/>
    <w:rsid w:val="3A030B34"/>
    <w:rsid w:val="3A5404D8"/>
    <w:rsid w:val="3B2A2D58"/>
    <w:rsid w:val="3B895CD0"/>
    <w:rsid w:val="3B8F28D0"/>
    <w:rsid w:val="3BAA041B"/>
    <w:rsid w:val="3BD776DA"/>
    <w:rsid w:val="3BEC7784"/>
    <w:rsid w:val="3CA20800"/>
    <w:rsid w:val="3CAD59EE"/>
    <w:rsid w:val="3D057829"/>
    <w:rsid w:val="3D124D7F"/>
    <w:rsid w:val="3DAF05AF"/>
    <w:rsid w:val="3DE02C57"/>
    <w:rsid w:val="3E23127F"/>
    <w:rsid w:val="3E490945"/>
    <w:rsid w:val="3E4D7489"/>
    <w:rsid w:val="3E555110"/>
    <w:rsid w:val="3E7E1019"/>
    <w:rsid w:val="3F235940"/>
    <w:rsid w:val="3FDD26ED"/>
    <w:rsid w:val="40050660"/>
    <w:rsid w:val="401B4FB0"/>
    <w:rsid w:val="402C30CE"/>
    <w:rsid w:val="407E6B3E"/>
    <w:rsid w:val="409B3729"/>
    <w:rsid w:val="40BF69B9"/>
    <w:rsid w:val="40E7136E"/>
    <w:rsid w:val="40FE0030"/>
    <w:rsid w:val="41443B0A"/>
    <w:rsid w:val="41456B3D"/>
    <w:rsid w:val="418672B4"/>
    <w:rsid w:val="41B0188E"/>
    <w:rsid w:val="41BB295C"/>
    <w:rsid w:val="4205007B"/>
    <w:rsid w:val="425C3259"/>
    <w:rsid w:val="427C77E8"/>
    <w:rsid w:val="427C7D09"/>
    <w:rsid w:val="43087A30"/>
    <w:rsid w:val="430D6B32"/>
    <w:rsid w:val="43176703"/>
    <w:rsid w:val="438F6794"/>
    <w:rsid w:val="4391369E"/>
    <w:rsid w:val="439D5D2D"/>
    <w:rsid w:val="43D22786"/>
    <w:rsid w:val="43FB7987"/>
    <w:rsid w:val="44872FC9"/>
    <w:rsid w:val="44A4014A"/>
    <w:rsid w:val="45573759"/>
    <w:rsid w:val="457B4694"/>
    <w:rsid w:val="45F2612A"/>
    <w:rsid w:val="460C34F8"/>
    <w:rsid w:val="460C5E7C"/>
    <w:rsid w:val="4623680D"/>
    <w:rsid w:val="46DC1E07"/>
    <w:rsid w:val="46EA5546"/>
    <w:rsid w:val="47281C9C"/>
    <w:rsid w:val="479A39CC"/>
    <w:rsid w:val="47C56238"/>
    <w:rsid w:val="48007381"/>
    <w:rsid w:val="489022A2"/>
    <w:rsid w:val="4910358D"/>
    <w:rsid w:val="49E427A6"/>
    <w:rsid w:val="4A187C57"/>
    <w:rsid w:val="4A362361"/>
    <w:rsid w:val="4A710F60"/>
    <w:rsid w:val="4A8741CA"/>
    <w:rsid w:val="4A8D1239"/>
    <w:rsid w:val="4A960221"/>
    <w:rsid w:val="4AA87B9D"/>
    <w:rsid w:val="4AC109BF"/>
    <w:rsid w:val="4ACC6C2B"/>
    <w:rsid w:val="4AD122BB"/>
    <w:rsid w:val="4B310C69"/>
    <w:rsid w:val="4B3223A6"/>
    <w:rsid w:val="4BB8645E"/>
    <w:rsid w:val="4BBA27A1"/>
    <w:rsid w:val="4BC82845"/>
    <w:rsid w:val="4BE3142D"/>
    <w:rsid w:val="4C48060D"/>
    <w:rsid w:val="4C4874E2"/>
    <w:rsid w:val="4CAE1754"/>
    <w:rsid w:val="4E5B691B"/>
    <w:rsid w:val="4E7378F2"/>
    <w:rsid w:val="4EB330D2"/>
    <w:rsid w:val="4EE003B8"/>
    <w:rsid w:val="4F1862AA"/>
    <w:rsid w:val="4F2A2ECF"/>
    <w:rsid w:val="4F660CD1"/>
    <w:rsid w:val="4F822A97"/>
    <w:rsid w:val="4F824AB9"/>
    <w:rsid w:val="4FE25169"/>
    <w:rsid w:val="5070003A"/>
    <w:rsid w:val="508545E5"/>
    <w:rsid w:val="50B006B8"/>
    <w:rsid w:val="50CD6207"/>
    <w:rsid w:val="51255F55"/>
    <w:rsid w:val="512C3D35"/>
    <w:rsid w:val="5131125D"/>
    <w:rsid w:val="52007E97"/>
    <w:rsid w:val="52045C59"/>
    <w:rsid w:val="525672E6"/>
    <w:rsid w:val="52705CA9"/>
    <w:rsid w:val="527F4518"/>
    <w:rsid w:val="529B6283"/>
    <w:rsid w:val="53235275"/>
    <w:rsid w:val="53242390"/>
    <w:rsid w:val="532A16EF"/>
    <w:rsid w:val="535577A8"/>
    <w:rsid w:val="53D61877"/>
    <w:rsid w:val="53FF8260"/>
    <w:rsid w:val="54175631"/>
    <w:rsid w:val="54212AF2"/>
    <w:rsid w:val="548D462B"/>
    <w:rsid w:val="555467FF"/>
    <w:rsid w:val="55770A92"/>
    <w:rsid w:val="559A1FC3"/>
    <w:rsid w:val="55CC6FE2"/>
    <w:rsid w:val="55F906D3"/>
    <w:rsid w:val="56272DD3"/>
    <w:rsid w:val="562B5E8C"/>
    <w:rsid w:val="56697BB0"/>
    <w:rsid w:val="56D46032"/>
    <w:rsid w:val="56E56E54"/>
    <w:rsid w:val="571C1B8D"/>
    <w:rsid w:val="572B41B4"/>
    <w:rsid w:val="5751723E"/>
    <w:rsid w:val="57914481"/>
    <w:rsid w:val="57EC3BFE"/>
    <w:rsid w:val="57F473DA"/>
    <w:rsid w:val="58487AE6"/>
    <w:rsid w:val="58522703"/>
    <w:rsid w:val="58705F7F"/>
    <w:rsid w:val="587662F4"/>
    <w:rsid w:val="589715D5"/>
    <w:rsid w:val="58BA4828"/>
    <w:rsid w:val="59305AC2"/>
    <w:rsid w:val="5A8C298F"/>
    <w:rsid w:val="5A9102A6"/>
    <w:rsid w:val="5AE92129"/>
    <w:rsid w:val="5B58582D"/>
    <w:rsid w:val="5B6339F0"/>
    <w:rsid w:val="5B93724D"/>
    <w:rsid w:val="5B982433"/>
    <w:rsid w:val="5B9F3060"/>
    <w:rsid w:val="5BC11016"/>
    <w:rsid w:val="5BD05F88"/>
    <w:rsid w:val="5C9E45E6"/>
    <w:rsid w:val="5CDB3A5A"/>
    <w:rsid w:val="5DAA7FFC"/>
    <w:rsid w:val="5DB217C6"/>
    <w:rsid w:val="5E193449"/>
    <w:rsid w:val="5E4B2AFB"/>
    <w:rsid w:val="5E736005"/>
    <w:rsid w:val="5E8E5228"/>
    <w:rsid w:val="5EE46BA1"/>
    <w:rsid w:val="5F881C77"/>
    <w:rsid w:val="5FB8795D"/>
    <w:rsid w:val="5FC37F08"/>
    <w:rsid w:val="5FEB19E8"/>
    <w:rsid w:val="6001125E"/>
    <w:rsid w:val="602838EF"/>
    <w:rsid w:val="604B0A34"/>
    <w:rsid w:val="608F2ABA"/>
    <w:rsid w:val="60A87A87"/>
    <w:rsid w:val="60B436AB"/>
    <w:rsid w:val="60DA339F"/>
    <w:rsid w:val="610A2B60"/>
    <w:rsid w:val="611F03B9"/>
    <w:rsid w:val="611F2AAF"/>
    <w:rsid w:val="614C4638"/>
    <w:rsid w:val="618D5C6B"/>
    <w:rsid w:val="61954B1F"/>
    <w:rsid w:val="619957F1"/>
    <w:rsid w:val="61E66498"/>
    <w:rsid w:val="61F7494E"/>
    <w:rsid w:val="62500A46"/>
    <w:rsid w:val="62600C89"/>
    <w:rsid w:val="63282E2F"/>
    <w:rsid w:val="63871BF1"/>
    <w:rsid w:val="639D1585"/>
    <w:rsid w:val="63A27E4A"/>
    <w:rsid w:val="63D71080"/>
    <w:rsid w:val="641A4BC0"/>
    <w:rsid w:val="64362F3E"/>
    <w:rsid w:val="647153D0"/>
    <w:rsid w:val="64982B6D"/>
    <w:rsid w:val="65562818"/>
    <w:rsid w:val="65965345"/>
    <w:rsid w:val="660E3AE9"/>
    <w:rsid w:val="66384800"/>
    <w:rsid w:val="66527BAE"/>
    <w:rsid w:val="666D7E19"/>
    <w:rsid w:val="667E2026"/>
    <w:rsid w:val="66C11F13"/>
    <w:rsid w:val="67184229"/>
    <w:rsid w:val="672E75A8"/>
    <w:rsid w:val="674A0261"/>
    <w:rsid w:val="67630340"/>
    <w:rsid w:val="67A376E5"/>
    <w:rsid w:val="67A907C5"/>
    <w:rsid w:val="687B6CC4"/>
    <w:rsid w:val="68880F3A"/>
    <w:rsid w:val="68D423D1"/>
    <w:rsid w:val="692F7608"/>
    <w:rsid w:val="694852BF"/>
    <w:rsid w:val="69CA4922"/>
    <w:rsid w:val="6A677B50"/>
    <w:rsid w:val="6A8A71EB"/>
    <w:rsid w:val="6AA22005"/>
    <w:rsid w:val="6AD733CC"/>
    <w:rsid w:val="6B686E01"/>
    <w:rsid w:val="6BAE1C75"/>
    <w:rsid w:val="6BC229B5"/>
    <w:rsid w:val="6C040682"/>
    <w:rsid w:val="6C1763DF"/>
    <w:rsid w:val="6C354F35"/>
    <w:rsid w:val="6C792A11"/>
    <w:rsid w:val="6C9C1458"/>
    <w:rsid w:val="6CCF798C"/>
    <w:rsid w:val="6CE23D5D"/>
    <w:rsid w:val="6D123218"/>
    <w:rsid w:val="6D725612"/>
    <w:rsid w:val="6D9BF22C"/>
    <w:rsid w:val="6DA63D6E"/>
    <w:rsid w:val="6DC96001"/>
    <w:rsid w:val="6DCA2D85"/>
    <w:rsid w:val="6DD62CAD"/>
    <w:rsid w:val="6E014F43"/>
    <w:rsid w:val="6E274D51"/>
    <w:rsid w:val="6E301E58"/>
    <w:rsid w:val="6E355449"/>
    <w:rsid w:val="6E6E1A43"/>
    <w:rsid w:val="6EBC10DE"/>
    <w:rsid w:val="6F132B65"/>
    <w:rsid w:val="6FB055DB"/>
    <w:rsid w:val="6FD601DD"/>
    <w:rsid w:val="6FF13F65"/>
    <w:rsid w:val="70AD3C34"/>
    <w:rsid w:val="712A45CE"/>
    <w:rsid w:val="712C0696"/>
    <w:rsid w:val="71303888"/>
    <w:rsid w:val="71347EB1"/>
    <w:rsid w:val="713A2523"/>
    <w:rsid w:val="71E0253D"/>
    <w:rsid w:val="72184F34"/>
    <w:rsid w:val="7245773D"/>
    <w:rsid w:val="724C2FD8"/>
    <w:rsid w:val="72A0114E"/>
    <w:rsid w:val="72A83B07"/>
    <w:rsid w:val="72A95415"/>
    <w:rsid w:val="72B92358"/>
    <w:rsid w:val="72E27499"/>
    <w:rsid w:val="72F5541E"/>
    <w:rsid w:val="72F85D20"/>
    <w:rsid w:val="73101192"/>
    <w:rsid w:val="7343262D"/>
    <w:rsid w:val="73571C35"/>
    <w:rsid w:val="73780439"/>
    <w:rsid w:val="7415295F"/>
    <w:rsid w:val="742D097B"/>
    <w:rsid w:val="74324AFF"/>
    <w:rsid w:val="74620ED1"/>
    <w:rsid w:val="74A26674"/>
    <w:rsid w:val="74AA048A"/>
    <w:rsid w:val="74DE41A5"/>
    <w:rsid w:val="74F47C43"/>
    <w:rsid w:val="74FD06B6"/>
    <w:rsid w:val="750D1BC6"/>
    <w:rsid w:val="752B5547"/>
    <w:rsid w:val="75A4312B"/>
    <w:rsid w:val="75BC563D"/>
    <w:rsid w:val="75E021D2"/>
    <w:rsid w:val="76680B61"/>
    <w:rsid w:val="768858BC"/>
    <w:rsid w:val="76AA3EB5"/>
    <w:rsid w:val="76CA63C9"/>
    <w:rsid w:val="76DB6026"/>
    <w:rsid w:val="7714467F"/>
    <w:rsid w:val="77452DDC"/>
    <w:rsid w:val="77613082"/>
    <w:rsid w:val="776A1499"/>
    <w:rsid w:val="77E23F4F"/>
    <w:rsid w:val="78B67C13"/>
    <w:rsid w:val="78E02241"/>
    <w:rsid w:val="793236F3"/>
    <w:rsid w:val="79500F4C"/>
    <w:rsid w:val="79554FB7"/>
    <w:rsid w:val="797866AB"/>
    <w:rsid w:val="7979151E"/>
    <w:rsid w:val="79C3399F"/>
    <w:rsid w:val="79CD2C51"/>
    <w:rsid w:val="7A201EF3"/>
    <w:rsid w:val="7A635830"/>
    <w:rsid w:val="7A982578"/>
    <w:rsid w:val="7AB80698"/>
    <w:rsid w:val="7ACF47A6"/>
    <w:rsid w:val="7B024B7C"/>
    <w:rsid w:val="7B045B68"/>
    <w:rsid w:val="7B405AF6"/>
    <w:rsid w:val="7B5029EE"/>
    <w:rsid w:val="7B9A1258"/>
    <w:rsid w:val="7BEC31E9"/>
    <w:rsid w:val="7C95557C"/>
    <w:rsid w:val="7CF43EAA"/>
    <w:rsid w:val="7D902913"/>
    <w:rsid w:val="7D9F2B56"/>
    <w:rsid w:val="7E2A628E"/>
    <w:rsid w:val="7E3D5990"/>
    <w:rsid w:val="7E5D7F31"/>
    <w:rsid w:val="7E9D7358"/>
    <w:rsid w:val="7F0709B3"/>
    <w:rsid w:val="7F1E5CFC"/>
    <w:rsid w:val="7F337740"/>
    <w:rsid w:val="7F521573"/>
    <w:rsid w:val="7FA14865"/>
    <w:rsid w:val="7FB8A5D6"/>
    <w:rsid w:val="7FC11FD4"/>
    <w:rsid w:val="91F32A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416" w:lineRule="auto"/>
      <w:outlineLvl w:val="1"/>
    </w:pPr>
    <w:rPr>
      <w:rFonts w:ascii="Arial" w:hAnsi="Arial"/>
      <w:b/>
      <w:bCs/>
      <w:sz w:val="24"/>
      <w:szCs w:val="32"/>
    </w:rPr>
  </w:style>
  <w:style w:type="paragraph" w:styleId="3">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4">
    <w:name w:val="heading 4"/>
    <w:basedOn w:val="1"/>
    <w:next w:val="1"/>
    <w:qFormat/>
    <w:uiPriority w:val="0"/>
    <w:pPr>
      <w:keepNext/>
      <w:keepLines/>
      <w:spacing w:line="374" w:lineRule="auto"/>
      <w:outlineLvl w:val="3"/>
    </w:pPr>
    <w:rPr>
      <w:rFonts w:ascii="Arial" w:hAnsi="Arial"/>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黑体" w:hAnsi="黑体" w:eastAsia="黑体" w:cs="黑体"/>
      <w:sz w:val="52"/>
      <w:szCs w:val="52"/>
      <w:lang w:val="en-US" w:eastAsia="en-US" w:bidi="ar-SA"/>
    </w:rPr>
  </w:style>
  <w:style w:type="paragraph" w:styleId="7">
    <w:name w:val="Body Text Indent"/>
    <w:basedOn w:val="1"/>
    <w:next w:val="1"/>
    <w:qFormat/>
    <w:uiPriority w:val="0"/>
    <w:pPr>
      <w:ind w:firstLine="480" w:firstLineChars="200"/>
    </w:pPr>
    <w:rPr>
      <w:rFonts w:ascii="宋体" w:hAnsi="宋体"/>
      <w:sz w:val="24"/>
    </w:rPr>
  </w:style>
  <w:style w:type="paragraph" w:styleId="8">
    <w:name w:val="toc 3"/>
    <w:basedOn w:val="1"/>
    <w:next w:val="1"/>
    <w:qFormat/>
    <w:uiPriority w:val="39"/>
    <w:pPr>
      <w:ind w:left="840" w:leftChars="4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footnote text"/>
    <w:basedOn w:val="1"/>
    <w:qFormat/>
    <w:uiPriority w:val="0"/>
    <w:pPr>
      <w:snapToGrid w:val="0"/>
      <w:jc w:val="left"/>
    </w:pPr>
    <w:rPr>
      <w:rFonts w:eastAsia="宋体"/>
      <w:kern w:val="2"/>
      <w:sz w:val="18"/>
      <w:szCs w:val="18"/>
      <w:lang w:val="en-US" w:eastAsia="zh-CN" w:bidi="ar-SA"/>
    </w:rPr>
  </w:style>
  <w:style w:type="paragraph" w:styleId="13">
    <w:name w:val="toc 2"/>
    <w:basedOn w:val="1"/>
    <w:next w:val="1"/>
    <w:qFormat/>
    <w:uiPriority w:val="0"/>
    <w:pPr>
      <w:ind w:left="420" w:leftChars="200"/>
    </w:pPr>
  </w:style>
  <w:style w:type="paragraph" w:styleId="14">
    <w:name w:val="Body Text 2"/>
    <w:basedOn w:val="1"/>
    <w:qFormat/>
    <w:uiPriority w:val="0"/>
    <w:pPr>
      <w:spacing w:line="500" w:lineRule="exact"/>
    </w:pPr>
    <w:rPr>
      <w:rFonts w:ascii="宋体"/>
      <w:sz w:val="24"/>
    </w:rPr>
  </w:style>
  <w:style w:type="paragraph" w:styleId="15">
    <w:name w:val="Normal (Web)"/>
    <w:basedOn w:val="1"/>
    <w:qFormat/>
    <w:uiPriority w:val="0"/>
    <w:pPr>
      <w:spacing w:beforeAutospacing="1" w:afterAutospacing="1"/>
      <w:jc w:val="left"/>
    </w:pPr>
    <w:rPr>
      <w:kern w:val="0"/>
      <w:sz w:val="24"/>
    </w:rPr>
  </w:style>
  <w:style w:type="paragraph" w:styleId="16">
    <w:name w:val="Body Text First Indent"/>
    <w:basedOn w:val="6"/>
    <w:next w:val="1"/>
    <w:qFormat/>
    <w:uiPriority w:val="0"/>
    <w:pPr>
      <w:widowControl/>
      <w:ind w:firstLine="420" w:firstLineChars="100"/>
      <w:jc w:val="left"/>
    </w:pPr>
  </w:style>
  <w:style w:type="character" w:styleId="19">
    <w:name w:val="Strong"/>
    <w:basedOn w:val="18"/>
    <w:qFormat/>
    <w:uiPriority w:val="0"/>
    <w:rPr>
      <w:b/>
    </w:rPr>
  </w:style>
  <w:style w:type="character" w:styleId="20">
    <w:name w:val="footnote reference"/>
    <w:qFormat/>
    <w:uiPriority w:val="0"/>
    <w:rPr>
      <w:vertAlign w:val="superscript"/>
    </w:rPr>
  </w:style>
  <w:style w:type="paragraph" w:customStyle="1" w:styleId="21">
    <w:name w:val="正文正"/>
    <w:basedOn w:val="1"/>
    <w:unhideWhenUsed/>
    <w:qFormat/>
    <w:uiPriority w:val="99"/>
    <w:pPr>
      <w:widowControl w:val="0"/>
      <w:autoSpaceDE w:val="0"/>
      <w:autoSpaceDN w:val="0"/>
      <w:adjustRightInd w:val="0"/>
      <w:spacing w:line="560" w:lineRule="exact"/>
      <w:ind w:firstLine="561"/>
      <w:jc w:val="left"/>
    </w:pPr>
    <w:rPr>
      <w:rFonts w:hint="eastAsia" w:ascii="Calibri" w:hAnsi="Calibri"/>
      <w:sz w:val="28"/>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0"/>
      <w:szCs w:val="20"/>
      <w:lang w:val="en-US" w:eastAsia="en-US" w:bidi="ar-SA"/>
    </w:rPr>
  </w:style>
  <w:style w:type="paragraph" w:customStyle="1" w:styleId="24">
    <w:name w:val="表格内容"/>
    <w:basedOn w:val="25"/>
    <w:unhideWhenUsed/>
    <w:qFormat/>
    <w:uiPriority w:val="99"/>
    <w:pPr>
      <w:ind w:firstLine="0" w:firstLineChars="0"/>
      <w:jc w:val="center"/>
    </w:pPr>
    <w:rPr>
      <w:rFonts w:hint="eastAsia"/>
      <w:sz w:val="24"/>
    </w:rPr>
  </w:style>
  <w:style w:type="paragraph" w:customStyle="1" w:styleId="25">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26">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7">
    <w:name w:val="Table Paragraph"/>
    <w:basedOn w:val="1"/>
    <w:qFormat/>
    <w:uiPriority w:val="0"/>
  </w:style>
  <w:style w:type="paragraph" w:customStyle="1" w:styleId="28">
    <w:name w:val="条款正文"/>
    <w:basedOn w:val="25"/>
    <w:qFormat/>
    <w:uiPriority w:val="0"/>
    <w:pPr>
      <w:ind w:firstLine="0" w:firstLineChars="0"/>
    </w:pPr>
  </w:style>
  <w:style w:type="paragraph" w:customStyle="1" w:styleId="2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0">
    <w:name w:val="标题1.1"/>
    <w:basedOn w:val="25"/>
    <w:next w:val="1"/>
    <w:qFormat/>
    <w:uiPriority w:val="0"/>
    <w:pPr>
      <w:numPr>
        <w:ilvl w:val="2"/>
        <w:numId w:val="1"/>
      </w:numPr>
      <w:ind w:firstLineChars="0"/>
      <w:outlineLvl w:val="2"/>
    </w:pPr>
    <w:rPr>
      <w:rFonts w:ascii="Times New Roman" w:hAnsi="Times New Roman" w:eastAsia="宋体" w:cs="微软雅黑"/>
      <w:b/>
      <w:kern w:val="0"/>
      <w:sz w:val="24"/>
      <w:szCs w:val="24"/>
    </w:rPr>
  </w:style>
  <w:style w:type="paragraph" w:customStyle="1" w:styleId="31">
    <w:name w:val="标题1、"/>
    <w:basedOn w:val="2"/>
    <w:qFormat/>
    <w:uiPriority w:val="0"/>
    <w:pPr>
      <w:numPr>
        <w:ilvl w:val="1"/>
        <w:numId w:val="1"/>
      </w:numPr>
      <w:autoSpaceDE w:val="0"/>
      <w:autoSpaceDN w:val="0"/>
      <w:adjustRightInd w:val="0"/>
      <w:spacing w:before="50" w:beforeLines="50" w:line="416" w:lineRule="auto"/>
      <w:ind w:left="284"/>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2.png"/><Relationship Id="rId75" Type="http://schemas.openxmlformats.org/officeDocument/2006/relationships/hyperlink" Target="#bookmark150"/><Relationship Id="rId74" Type="http://schemas.openxmlformats.org/officeDocument/2006/relationships/image" Target="media/image1.png"/><Relationship Id="rId73" Type="http://schemas.openxmlformats.org/officeDocument/2006/relationships/theme" Target="theme/theme1.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2.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header" Target="header1.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187</Pages>
  <Words>105615</Words>
  <Characters>111287</Characters>
  <TotalTime>35</TotalTime>
  <ScaleCrop>false</ScaleCrop>
  <LinksUpToDate>false</LinksUpToDate>
  <CharactersWithSpaces>117090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2026-01-09T14:58:00Z</dcterms:created>
  <dc:creator>袁静</dc:creator>
  <cp:lastModifiedBy>随意</cp:lastModifiedBy>
  <dcterms:modified xsi:type="dcterms:W3CDTF">2026-07-24T08:37:07Z</dcterms:modified>
  <dc:title>公路工程标准施工招标文件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2026-03-09T12:54:02Z</vt:filetime>
  </property>
  <property fmtid="{D5CDD505-2E9C-101B-9397-08002B2CF9AE}" pid="4" name="KSOTemplateDocerSaveRecord">
    <vt:lpwstr>eyJoZGlkIjoiYzNlODk4MWRhNWRlM2U0MjcwNzliYjU2YzcxNzM1YTQiLCJ1c2VySWQiOiIxMjU5Mzc5Mjc1In0=</vt:lpwstr>
  </property>
  <property fmtid="{D5CDD505-2E9C-101B-9397-08002B2CF9AE}" pid="5" name="KSOProductBuildVer">
    <vt:lpwstr>2052-12.1.0.26895</vt:lpwstr>
  </property>
  <property fmtid="{D5CDD505-2E9C-101B-9397-08002B2CF9AE}" pid="6" name="ICV">
    <vt:lpwstr>4253354CF0444E7195BC66F73C7A01E4_13</vt:lpwstr>
  </property>
</Properties>
</file>